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sz w:val="44"/>
          <w:szCs w:val="44"/>
        </w:rPr>
      </w:pPr>
      <w:r>
        <w:rPr>
          <w:rFonts w:hint="eastAsia" w:ascii="方正小标宋简体" w:hAnsi="方正小标宋简体" w:eastAsia="方正小标宋简体" w:cs="方正小标宋简体"/>
          <w:sz w:val="44"/>
          <w:szCs w:val="44"/>
        </w:rPr>
        <w:t>焦作市</w:t>
      </w:r>
      <w:r>
        <w:rPr>
          <w:rFonts w:hint="eastAsia" w:ascii="方正小标宋简体" w:hAnsi="方正小标宋简体" w:eastAsia="方正小标宋简体" w:cs="方正小标宋简体"/>
          <w:sz w:val="44"/>
          <w:szCs w:val="44"/>
          <w:lang w:eastAsia="zh-CN"/>
        </w:rPr>
        <w:t>城市</w:t>
      </w:r>
      <w:r>
        <w:rPr>
          <w:rFonts w:hint="eastAsia" w:ascii="方正小标宋简体" w:hAnsi="方正小标宋简体" w:eastAsia="方正小标宋简体" w:cs="方正小标宋简体"/>
          <w:sz w:val="44"/>
          <w:szCs w:val="44"/>
        </w:rPr>
        <w:t>再生水利用管理办法</w:t>
      </w:r>
    </w:p>
    <w:p>
      <w:pPr>
        <w:spacing w:line="560" w:lineRule="exact"/>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第一条</w:t>
      </w:r>
      <w:r>
        <w:rPr>
          <w:rFonts w:hint="eastAsia" w:ascii="楷体_GB2312" w:hAnsi="楷体_GB2312" w:eastAsia="楷体_GB2312" w:cs="楷体_GB2312"/>
          <w:sz w:val="32"/>
          <w:szCs w:val="32"/>
          <w:lang w:val="en-US" w:eastAsia="zh-CN"/>
        </w:rPr>
        <w:t xml:space="preserve"> </w:t>
      </w:r>
      <w:r>
        <w:rPr>
          <w:rFonts w:hint="default" w:ascii="Times New Roman" w:hAnsi="Times New Roman" w:eastAsia="仿宋_GB2312" w:cs="Times New Roman"/>
          <w:sz w:val="32"/>
          <w:szCs w:val="32"/>
        </w:rPr>
        <w:t>为加强本市城市再生水利用管理，科学高效推动再生水资源综合利用，保障再生水用户与运营单位合法权益，促进再生水事业健康发展，根据《中华人民共和国水法》《中华人民共和国水污染防治法》《城镇排水与污水处理条例》</w:t>
      </w:r>
      <w:r>
        <w:rPr>
          <w:rFonts w:hint="eastAsia" w:ascii="Times New Roman" w:hAnsi="Times New Roman" w:eastAsia="仿宋_GB2312" w:cs="Times New Roman"/>
          <w:sz w:val="32"/>
          <w:szCs w:val="32"/>
          <w:lang w:eastAsia="zh-CN"/>
        </w:rPr>
        <w:t>《中华人民共和国循环经济促进法》</w:t>
      </w:r>
      <w:r>
        <w:rPr>
          <w:rFonts w:hint="default" w:ascii="Times New Roman" w:hAnsi="Times New Roman" w:eastAsia="仿宋_GB2312" w:cs="Times New Roman"/>
          <w:sz w:val="32"/>
          <w:szCs w:val="32"/>
        </w:rPr>
        <w:t>等法律法规，结合本市水资源</w:t>
      </w:r>
      <w:r>
        <w:rPr>
          <w:rFonts w:hint="eastAsia" w:ascii="Times New Roman" w:hAnsi="Times New Roman" w:eastAsia="仿宋_GB2312" w:cs="Times New Roman"/>
          <w:sz w:val="32"/>
          <w:szCs w:val="32"/>
          <w:lang w:eastAsia="zh-CN"/>
        </w:rPr>
        <w:t>情况</w:t>
      </w:r>
      <w:r>
        <w:rPr>
          <w:rFonts w:hint="default" w:ascii="Times New Roman" w:hAnsi="Times New Roman" w:eastAsia="仿宋_GB2312" w:cs="Times New Roman"/>
          <w:sz w:val="32"/>
          <w:szCs w:val="32"/>
        </w:rPr>
        <w:t>及城市发展实际，制定本办法。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第二条</w:t>
      </w:r>
      <w:r>
        <w:rPr>
          <w:rFonts w:hint="eastAsia" w:ascii="楷体_GB2312" w:hAnsi="楷体_GB2312" w:eastAsia="楷体_GB2312" w:cs="楷体_GB2312"/>
          <w:sz w:val="32"/>
          <w:szCs w:val="32"/>
          <w:lang w:val="en-US" w:eastAsia="zh-CN"/>
        </w:rPr>
        <w:t xml:space="preserve"> </w:t>
      </w:r>
      <w:r>
        <w:rPr>
          <w:rFonts w:hint="default" w:ascii="Times New Roman" w:hAnsi="Times New Roman" w:eastAsia="仿宋_GB2312" w:cs="Times New Roman"/>
          <w:sz w:val="32"/>
          <w:szCs w:val="32"/>
        </w:rPr>
        <w:t>本办法适用于焦作市</w:t>
      </w:r>
      <w:r>
        <w:rPr>
          <w:rFonts w:hint="eastAsia" w:ascii="Times New Roman" w:hAnsi="Times New Roman" w:eastAsia="仿宋_GB2312" w:cs="Times New Roman"/>
          <w:sz w:val="32"/>
          <w:szCs w:val="32"/>
          <w:highlight w:val="none"/>
          <w:lang w:eastAsia="zh-CN"/>
        </w:rPr>
        <w:t>城区</w:t>
      </w:r>
      <w:r>
        <w:rPr>
          <w:rFonts w:hint="default" w:ascii="Times New Roman" w:hAnsi="Times New Roman" w:eastAsia="仿宋_GB2312" w:cs="Times New Roman"/>
          <w:sz w:val="32"/>
          <w:szCs w:val="32"/>
        </w:rPr>
        <w:t>内再生水的规划编制、设施建设、供水运营、用户使用、维护管理及监督考核等相关活动。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第三条</w:t>
      </w:r>
      <w:r>
        <w:rPr>
          <w:rFonts w:hint="eastAsia" w:ascii="楷体_GB2312" w:hAnsi="楷体_GB2312" w:eastAsia="楷体_GB2312" w:cs="楷体_GB2312"/>
          <w:sz w:val="32"/>
          <w:szCs w:val="32"/>
          <w:lang w:val="en-US" w:eastAsia="zh-CN"/>
        </w:rPr>
        <w:t xml:space="preserve"> </w:t>
      </w:r>
      <w:r>
        <w:rPr>
          <w:rFonts w:hint="default" w:ascii="Times New Roman" w:hAnsi="Times New Roman" w:eastAsia="仿宋_GB2312" w:cs="Times New Roman"/>
          <w:sz w:val="32"/>
          <w:szCs w:val="32"/>
        </w:rPr>
        <w:t>再生水作为水资源的重要组成部分，依法属于国家所有，纳入全市水资源统一管控体系，实行总量统筹、分质利用。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rPr>
      </w:pPr>
      <w:r>
        <w:rPr>
          <w:rFonts w:hint="default" w:ascii="楷体_GB2312" w:hAnsi="楷体_GB2312" w:eastAsia="楷体_GB2312" w:cs="楷体_GB2312"/>
          <w:sz w:val="32"/>
          <w:szCs w:val="32"/>
        </w:rPr>
        <w:t>第四条</w:t>
      </w:r>
      <w:r>
        <w:rPr>
          <w:rFonts w:hint="eastAsia" w:ascii="楷体_GB2312" w:hAnsi="楷体_GB2312" w:eastAsia="楷体_GB2312" w:cs="楷体_GB2312"/>
          <w:sz w:val="32"/>
          <w:szCs w:val="32"/>
          <w:lang w:val="en-US" w:eastAsia="zh-CN"/>
        </w:rPr>
        <w:t xml:space="preserve"> </w:t>
      </w:r>
      <w:r>
        <w:rPr>
          <w:rFonts w:hint="eastAsia" w:ascii="仿宋_GB2312" w:hAnsi="仿宋_GB2312" w:eastAsia="仿宋_GB2312" w:cs="仿宋_GB2312"/>
          <w:sz w:val="32"/>
          <w:szCs w:val="32"/>
        </w:rPr>
        <w:t>相关定义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（一）</w:t>
      </w:r>
      <w:r>
        <w:rPr>
          <w:rFonts w:hint="default" w:ascii="Times New Roman" w:hAnsi="Times New Roman" w:eastAsia="仿宋_GB2312" w:cs="Times New Roman"/>
          <w:b/>
          <w:bCs/>
          <w:sz w:val="32"/>
          <w:szCs w:val="32"/>
        </w:rPr>
        <w:t>再生水</w:t>
      </w:r>
      <w:r>
        <w:rPr>
          <w:rFonts w:hint="eastAsia"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指城市雨水、生活污水、生产经营废水等经收集处理后，水质达到国家、行业或地方规定标准，可在特定领域循环使用的净化水；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（二）</w:t>
      </w:r>
      <w:r>
        <w:rPr>
          <w:rFonts w:hint="default" w:ascii="Times New Roman" w:hAnsi="Times New Roman" w:eastAsia="仿宋_GB2312" w:cs="Times New Roman"/>
          <w:b/>
          <w:bCs/>
          <w:sz w:val="32"/>
          <w:szCs w:val="32"/>
        </w:rPr>
        <w:t>再生水运营单位</w:t>
      </w:r>
      <w:r>
        <w:rPr>
          <w:rFonts w:hint="eastAsia"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指依法取得再生水项目经营权或运营管理权，负责再生水厂站、输配管网等设施运营维护的企业或事业单位；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（三）</w:t>
      </w:r>
      <w:r>
        <w:rPr>
          <w:rFonts w:hint="default" w:ascii="Times New Roman" w:hAnsi="Times New Roman" w:eastAsia="仿宋_GB2312" w:cs="Times New Roman"/>
          <w:b/>
          <w:bCs/>
          <w:sz w:val="32"/>
          <w:szCs w:val="32"/>
        </w:rPr>
        <w:t>再生水设施设备</w:t>
      </w:r>
      <w:r>
        <w:rPr>
          <w:rFonts w:hint="eastAsia"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包括再生水处理厂站、输配水管网、加压泵站、水质监测站、计量器具、检查井等，分为公共再生水设施（政府投资建设或委托运营的公共服务设施）和用户自建再生水设施（用户为自身用水需求建设的输送、储存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第五条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市住房和城乡建设部门是本市再生水利用行政主管部门，履行下列职责：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组织编制再生水利用专项规划；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统筹再生水设施建设与运营监管；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协调再生水在市政</w:t>
      </w:r>
      <w:bookmarkStart w:id="3" w:name="_GoBack"/>
      <w:bookmarkEnd w:id="3"/>
      <w:r>
        <w:rPr>
          <w:rFonts w:hint="default" w:ascii="Times New Roman" w:hAnsi="Times New Roman" w:eastAsia="仿宋_GB2312" w:cs="Times New Roman"/>
          <w:sz w:val="32"/>
          <w:szCs w:val="32"/>
        </w:rPr>
        <w:t>、生态等领域的推广应用；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建立再生水利用考核评价机制。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lang w:eastAsia="zh-CN"/>
        </w:rPr>
        <w:t>市直相关</w:t>
      </w:r>
      <w:r>
        <w:rPr>
          <w:rFonts w:ascii="Times New Roman" w:hAnsi="Times New Roman" w:eastAsia="仿宋_GB2312" w:cs="Times New Roman"/>
          <w:sz w:val="32"/>
          <w:szCs w:val="32"/>
          <w:highlight w:val="none"/>
        </w:rPr>
        <w:t>部门</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各区</w:t>
      </w:r>
      <w:r>
        <w:rPr>
          <w:rFonts w:ascii="Times New Roman" w:hAnsi="Times New Roman" w:eastAsia="仿宋_GB2312" w:cs="Times New Roman"/>
          <w:sz w:val="32"/>
          <w:szCs w:val="32"/>
        </w:rPr>
        <w:t>人民政府</w:t>
      </w:r>
      <w:r>
        <w:rPr>
          <w:rFonts w:hint="eastAsia" w:ascii="Times New Roman" w:hAnsi="Times New Roman" w:eastAsia="仿宋_GB2312" w:cs="Times New Roman"/>
          <w:sz w:val="32"/>
          <w:szCs w:val="32"/>
          <w:lang w:eastAsia="zh-CN"/>
        </w:rPr>
        <w:t>、高新区</w:t>
      </w:r>
      <w:r>
        <w:rPr>
          <w:rFonts w:ascii="Times New Roman" w:hAnsi="Times New Roman" w:eastAsia="仿宋_GB2312" w:cs="Times New Roman"/>
          <w:sz w:val="32"/>
          <w:szCs w:val="32"/>
        </w:rPr>
        <w:t>管委会</w:t>
      </w:r>
      <w:r>
        <w:rPr>
          <w:rFonts w:hint="eastAsia" w:ascii="Times New Roman" w:hAnsi="Times New Roman" w:eastAsia="仿宋_GB2312" w:cs="Times New Roman"/>
          <w:sz w:val="32"/>
          <w:szCs w:val="32"/>
          <w:lang w:eastAsia="zh-CN"/>
        </w:rPr>
        <w:t>等</w:t>
      </w:r>
      <w:r>
        <w:rPr>
          <w:rFonts w:hint="eastAsia" w:ascii="Times New Roman" w:hAnsi="Times New Roman" w:eastAsia="仿宋_GB2312" w:cs="Times New Roman"/>
          <w:sz w:val="32"/>
          <w:szCs w:val="32"/>
          <w:highlight w:val="none"/>
          <w:lang w:eastAsia="zh-CN"/>
        </w:rPr>
        <w:t>负有再生水利用职责的</w:t>
      </w:r>
      <w:r>
        <w:rPr>
          <w:rFonts w:ascii="Times New Roman" w:hAnsi="Times New Roman" w:eastAsia="仿宋_GB2312" w:cs="Times New Roman"/>
          <w:sz w:val="32"/>
          <w:szCs w:val="32"/>
          <w:highlight w:val="none"/>
        </w:rPr>
        <w:t>单位按照各自职责分工，协同做好再</w:t>
      </w:r>
      <w:r>
        <w:rPr>
          <w:rFonts w:ascii="Times New Roman" w:hAnsi="Times New Roman" w:eastAsia="仿宋_GB2312" w:cs="Times New Roman"/>
          <w:sz w:val="32"/>
          <w:szCs w:val="32"/>
        </w:rPr>
        <w:t>生水利用的监督和管理工作。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黑体" w:cs="Times New Roman"/>
          <w:sz w:val="32"/>
          <w:szCs w:val="32"/>
        </w:rPr>
        <w:t>第二章 配置与利用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第六条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再生水配置遵循“优先替代、总量</w:t>
      </w:r>
      <w:r>
        <w:rPr>
          <w:rFonts w:hint="eastAsia" w:ascii="Times New Roman" w:hAnsi="Times New Roman" w:eastAsia="仿宋_GB2312" w:cs="Times New Roman"/>
          <w:sz w:val="32"/>
          <w:szCs w:val="32"/>
          <w:lang w:eastAsia="zh-CN"/>
        </w:rPr>
        <w:t>统筹</w:t>
      </w:r>
      <w:r>
        <w:rPr>
          <w:rFonts w:hint="default" w:ascii="Times New Roman" w:hAnsi="Times New Roman" w:eastAsia="仿宋_GB2312" w:cs="Times New Roman"/>
          <w:sz w:val="32"/>
          <w:szCs w:val="32"/>
        </w:rPr>
        <w:t>”原则，优先用于工业冷却、市政杂用、生态补水等非饮用水领域；再生水利用遵循“安全可控、分质适配”原则，根据不同用途执行对应水质标准。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default" w:ascii="楷体_GB2312" w:hAnsi="楷体_GB2312" w:eastAsia="楷体_GB2312" w:cs="楷体_GB2312"/>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eastAsia="zh-CN"/>
        </w:rPr>
        <w:t>市</w:t>
      </w:r>
      <w:r>
        <w:rPr>
          <w:rFonts w:ascii="Times New Roman" w:hAnsi="Times New Roman" w:eastAsia="仿宋_GB2312" w:cs="Times New Roman"/>
          <w:sz w:val="32"/>
          <w:szCs w:val="32"/>
        </w:rPr>
        <w:t>水利部门应当将再生水纳入水资源统一配置，加强再生水用途管理，强化水资源刚性约束。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在新建、改建、扩建项目水资源论证审查及取水许可审批中，应当充分考虑优先配置使用再生水，逐步减少具备使用再生水条件用户的新鲜水用量，提高再生水资源利用效率。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第八条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再生水输配管网覆盖范围内的用水户，符合下列条件之一的，应当</w:t>
      </w:r>
      <w:r>
        <w:rPr>
          <w:rFonts w:hint="eastAsia" w:ascii="Times New Roman" w:hAnsi="Times New Roman" w:eastAsia="仿宋_GB2312" w:cs="Times New Roman"/>
          <w:sz w:val="32"/>
          <w:szCs w:val="32"/>
          <w:lang w:eastAsia="zh-CN"/>
        </w:rPr>
        <w:t>优先</w:t>
      </w:r>
      <w:r>
        <w:rPr>
          <w:rFonts w:hint="default" w:ascii="Times New Roman" w:hAnsi="Times New Roman" w:eastAsia="仿宋_GB2312" w:cs="Times New Roman"/>
          <w:sz w:val="32"/>
          <w:szCs w:val="32"/>
        </w:rPr>
        <w:t>使用再生水：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城市绿化（含公园、道路、小区绿化浇灌）、道路清扫、车辆冲洗、建筑施工、公共厕所冲洗等市政杂用；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工业生产中的冷却用水、洗涤用水、工艺辅助用水（食品、医药等特殊行业除外）；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河道生态修复补水、湿地涵养补水等生态用水；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其他适宜使用再生水的场景。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FF0000"/>
          <w:sz w:val="32"/>
          <w:szCs w:val="32"/>
        </w:rPr>
      </w:pPr>
      <w:r>
        <w:rPr>
          <w:rFonts w:hint="eastAsia" w:ascii="楷体_GB2312" w:hAnsi="楷体_GB2312" w:eastAsia="楷体_GB2312" w:cs="楷体_GB2312"/>
          <w:sz w:val="32"/>
          <w:szCs w:val="32"/>
        </w:rPr>
        <w:t>第九条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热电、化工、冶金、煤化工等高耗水企业，</w:t>
      </w:r>
      <w:r>
        <w:rPr>
          <w:rFonts w:ascii="Times New Roman" w:hAnsi="Times New Roman" w:eastAsia="仿宋_GB2312" w:cs="Times New Roman"/>
          <w:sz w:val="32"/>
          <w:szCs w:val="32"/>
        </w:rPr>
        <w:t>具备使用条件的，</w:t>
      </w:r>
      <w:r>
        <w:rPr>
          <w:rFonts w:hint="eastAsia" w:ascii="Times New Roman" w:hAnsi="Times New Roman" w:eastAsia="仿宋_GB2312" w:cs="Times New Roman"/>
          <w:sz w:val="32"/>
          <w:szCs w:val="32"/>
          <w:lang w:eastAsia="zh-CN"/>
        </w:rPr>
        <w:t>应当优先</w:t>
      </w:r>
      <w:r>
        <w:rPr>
          <w:rFonts w:ascii="Times New Roman" w:hAnsi="Times New Roman" w:eastAsia="仿宋_GB2312" w:cs="Times New Roman"/>
          <w:sz w:val="32"/>
          <w:szCs w:val="32"/>
        </w:rPr>
        <w:t>使用再生水；具备条件而未使用的，要严格控制新增取水许可，</w:t>
      </w:r>
      <w:r>
        <w:rPr>
          <w:rFonts w:hint="eastAsia" w:ascii="Times New Roman" w:hAnsi="Times New Roman" w:eastAsia="仿宋_GB2312" w:cs="Times New Roman"/>
          <w:sz w:val="32"/>
          <w:szCs w:val="32"/>
        </w:rPr>
        <w:t>以达到充分使用再生水目的。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kern w:val="2"/>
          <w:sz w:val="32"/>
          <w:szCs w:val="32"/>
          <w:lang w:val="en-US" w:eastAsia="zh-CN" w:bidi="ar-SA"/>
        </w:rPr>
        <w:t>第十条</w:t>
      </w:r>
      <w:r>
        <w:rPr>
          <w:rFonts w:hint="eastAsia"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sz w:val="32"/>
          <w:szCs w:val="32"/>
        </w:rPr>
        <w:t>再生水水质应当符合再生水应用领域相关标准和要求。</w:t>
      </w:r>
      <w:r>
        <w:rPr>
          <w:rFonts w:hint="default" w:ascii="Times New Roman" w:hAnsi="Times New Roman" w:eastAsia="仿宋_GB2312" w:cs="Times New Roman"/>
          <w:sz w:val="32"/>
          <w:szCs w:val="32"/>
        </w:rPr>
        <w:t>同一再生水系统供多种用途的，按最高水质标准执行；分系统供水的，按对应用途标准执行。再生水运营单位应在供水点公示水质标准及检测结果。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第三章 规划和建设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kern w:val="2"/>
          <w:sz w:val="32"/>
          <w:szCs w:val="32"/>
          <w:lang w:val="en-US" w:eastAsia="zh-CN" w:bidi="ar-SA"/>
        </w:rPr>
        <w:t>第十一条</w:t>
      </w:r>
      <w:r>
        <w:rPr>
          <w:rFonts w:ascii="Times New Roman" w:hAnsi="Times New Roman" w:eastAsia="仿宋_GB2312" w:cs="Times New Roman"/>
          <w:sz w:val="32"/>
          <w:szCs w:val="32"/>
        </w:rPr>
        <w:t xml:space="preserve"> </w:t>
      </w:r>
      <w:r>
        <w:rPr>
          <w:rFonts w:ascii="Times New Roman" w:hAnsi="Times New Roman" w:eastAsia="仿宋_GB2312" w:cs="Times New Roman"/>
          <w:sz w:val="32"/>
          <w:szCs w:val="32"/>
          <w:highlight w:val="none"/>
        </w:rPr>
        <w:t>城市再生水利用专项规划应依据国民经济和社会发展规划、国土空间</w:t>
      </w:r>
      <w:r>
        <w:rPr>
          <w:rFonts w:hint="eastAsia" w:ascii="Times New Roman" w:hAnsi="Times New Roman" w:eastAsia="仿宋_GB2312" w:cs="Times New Roman"/>
          <w:sz w:val="32"/>
          <w:szCs w:val="32"/>
          <w:highlight w:val="none"/>
        </w:rPr>
        <w:t>总体</w:t>
      </w:r>
      <w:r>
        <w:rPr>
          <w:rFonts w:ascii="Times New Roman" w:hAnsi="Times New Roman" w:eastAsia="仿宋_GB2312" w:cs="Times New Roman"/>
          <w:sz w:val="32"/>
          <w:szCs w:val="32"/>
          <w:highlight w:val="none"/>
        </w:rPr>
        <w:t>规划、水资源利用规划、城市供水规划等编制，并与其他相关规划相协调</w:t>
      </w:r>
      <w:r>
        <w:rPr>
          <w:rFonts w:hint="eastAsia" w:ascii="Times New Roman" w:hAnsi="Times New Roman" w:eastAsia="仿宋_GB2312" w:cs="Times New Roman"/>
          <w:sz w:val="32"/>
          <w:szCs w:val="32"/>
          <w:highlight w:val="none"/>
        </w:rPr>
        <w:t>，报市人民政府批准后实施</w:t>
      </w:r>
      <w:r>
        <w:rPr>
          <w:rFonts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kern w:val="2"/>
          <w:sz w:val="32"/>
          <w:szCs w:val="32"/>
          <w:lang w:val="en-US" w:eastAsia="zh-CN" w:bidi="ar-SA"/>
        </w:rPr>
        <w:t>第十二条</w:t>
      </w:r>
      <w:r>
        <w:rPr>
          <w:rFonts w:ascii="Times New Roman" w:hAnsi="Times New Roman" w:eastAsia="仿宋_GB2312" w:cs="Times New Roman"/>
          <w:sz w:val="32"/>
          <w:szCs w:val="32"/>
        </w:rPr>
        <w:t xml:space="preserve"> 有关部门在编制各类规划或者进行城市建设时，应当结合再生水利用专项规划，统筹安排，合理布局，预留再生水利用设施的建设用地，配套相应再生水设施设备。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kern w:val="2"/>
          <w:sz w:val="32"/>
          <w:szCs w:val="32"/>
          <w:lang w:val="en-US" w:eastAsia="zh-CN" w:bidi="ar-SA"/>
        </w:rPr>
        <w:t>第十三条</w:t>
      </w:r>
      <w:r>
        <w:rPr>
          <w:rFonts w:ascii="Times New Roman" w:hAnsi="Times New Roman" w:eastAsia="仿宋_GB2312" w:cs="Times New Roman"/>
          <w:sz w:val="32"/>
          <w:szCs w:val="32"/>
        </w:rPr>
        <w:t xml:space="preserve"> 再生水利用设施建设应当保证系统性，做到厂站网配套、管网优先，并与市政设施建设相协调。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kern w:val="2"/>
          <w:sz w:val="32"/>
          <w:szCs w:val="32"/>
          <w:lang w:val="en-US" w:eastAsia="zh-CN" w:bidi="ar-SA"/>
        </w:rPr>
        <w:t>第十四条</w:t>
      </w:r>
      <w:r>
        <w:rPr>
          <w:rFonts w:ascii="Times New Roman" w:hAnsi="Times New Roman" w:eastAsia="仿宋_GB2312" w:cs="Times New Roman"/>
          <w:sz w:val="32"/>
          <w:szCs w:val="32"/>
          <w:highlight w:val="none"/>
        </w:rPr>
        <w:t xml:space="preserve"> </w:t>
      </w:r>
      <w:r>
        <w:rPr>
          <w:rFonts w:hint="eastAsia" w:ascii="Times New Roman" w:hAnsi="Times New Roman" w:eastAsia="仿宋_GB2312" w:cs="Times New Roman"/>
          <w:sz w:val="32"/>
          <w:szCs w:val="32"/>
          <w:highlight w:val="none"/>
        </w:rPr>
        <w:t>单体建筑面积超过2万平方米的新建公用建筑要</w:t>
      </w:r>
      <w:r>
        <w:rPr>
          <w:rFonts w:ascii="Times New Roman" w:hAnsi="Times New Roman" w:eastAsia="仿宋_GB2312" w:cs="Times New Roman"/>
          <w:sz w:val="32"/>
          <w:szCs w:val="32"/>
          <w:highlight w:val="none"/>
        </w:rPr>
        <w:t>配套再生水利用设施，其再生水利用设施应当与主体</w:t>
      </w:r>
      <w:r>
        <w:rPr>
          <w:rFonts w:hint="eastAsia" w:ascii="Times New Roman" w:hAnsi="Times New Roman" w:eastAsia="仿宋_GB2312" w:cs="Times New Roman"/>
          <w:sz w:val="32"/>
          <w:szCs w:val="32"/>
          <w:highlight w:val="none"/>
        </w:rPr>
        <w:t>建筑</w:t>
      </w:r>
      <w:r>
        <w:rPr>
          <w:rFonts w:hint="default" w:ascii="Times New Roman" w:hAnsi="Times New Roman" w:eastAsia="仿宋_GB2312" w:cs="Times New Roman"/>
          <w:sz w:val="32"/>
          <w:szCs w:val="32"/>
          <w:highlight w:val="none"/>
        </w:rPr>
        <w:t>实现“三同时”（同时设计、同时施工、同时交付使用）</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建设、设计、施工图审查、施工、监理等单位应严格按照相关标准、规范进行再生水设施设计和建设。鼓励通过工程建设项目审批管理系统加强“三同时”相关信息共享。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bookmarkStart w:id="0" w:name="_Hlk193958566"/>
      <w:r>
        <w:rPr>
          <w:rFonts w:hint="eastAsia" w:ascii="楷体_GB2312" w:hAnsi="楷体_GB2312" w:eastAsia="楷体_GB2312" w:cs="楷体_GB2312"/>
          <w:sz w:val="32"/>
          <w:szCs w:val="32"/>
        </w:rPr>
        <w:t>第十五条</w:t>
      </w:r>
      <w:r>
        <w:rPr>
          <w:rFonts w:ascii="Times New Roman" w:hAnsi="Times New Roman" w:eastAsia="仿宋_GB2312" w:cs="Times New Roman"/>
          <w:sz w:val="32"/>
          <w:szCs w:val="32"/>
        </w:rPr>
        <w:t xml:space="preserve"> 新建工业园区、公园、广场等应配套建设再生水利用</w:t>
      </w:r>
      <w:r>
        <w:rPr>
          <w:rFonts w:ascii="Times New Roman" w:hAnsi="Times New Roman" w:eastAsia="仿宋_GB2312" w:cs="Times New Roman"/>
          <w:sz w:val="32"/>
          <w:szCs w:val="32"/>
          <w:highlight w:val="none"/>
        </w:rPr>
        <w:t>设施</w:t>
      </w:r>
      <w:r>
        <w:rPr>
          <w:rFonts w:hint="eastAsia" w:ascii="Times New Roman" w:hAnsi="Times New Roman" w:eastAsia="仿宋_GB2312" w:cs="Times New Roman"/>
          <w:sz w:val="32"/>
          <w:szCs w:val="32"/>
          <w:highlight w:val="none"/>
        </w:rPr>
        <w:t>设备</w:t>
      </w:r>
      <w:r>
        <w:rPr>
          <w:rFonts w:ascii="Times New Roman" w:hAnsi="Times New Roman" w:eastAsia="仿宋_GB2312" w:cs="Times New Roman"/>
          <w:sz w:val="32"/>
          <w:szCs w:val="32"/>
        </w:rPr>
        <w:t>并同步使用。已建成区域应逐步进行改造，达到再生水利用要求。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highlight w:val="none"/>
        </w:rPr>
      </w:pPr>
      <w:r>
        <w:rPr>
          <w:rFonts w:hint="eastAsia" w:ascii="楷体_GB2312" w:hAnsi="楷体_GB2312" w:eastAsia="楷体_GB2312" w:cs="楷体_GB2312"/>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highlight w:val="none"/>
        </w:rPr>
        <w:t>在道路新建、扩建、大修时应同步考虑预留再生水管位。</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第十七条</w:t>
      </w:r>
      <w:r>
        <w:rPr>
          <w:rFonts w:ascii="Times New Roman" w:hAnsi="Times New Roman" w:eastAsia="仿宋_GB2312" w:cs="Times New Roman"/>
          <w:sz w:val="32"/>
          <w:szCs w:val="32"/>
        </w:rPr>
        <w:t xml:space="preserve"> 再生水利用设施在建设、经营过程中，项目经营主体发生变化时，须在行政主管部门和相关部门监督下办理移交手续</w:t>
      </w:r>
      <w:r>
        <w:rPr>
          <w:rFonts w:hint="eastAsia" w:ascii="Times New Roman" w:hAnsi="Times New Roman" w:eastAsia="仿宋_GB2312" w:cs="Times New Roman"/>
          <w:sz w:val="32"/>
          <w:szCs w:val="32"/>
        </w:rPr>
        <w:t>，确保设施正常运行</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第十八条</w:t>
      </w:r>
      <w:r>
        <w:rPr>
          <w:rFonts w:ascii="Times New Roman" w:hAnsi="Times New Roman" w:eastAsia="仿宋_GB2312" w:cs="Times New Roman"/>
          <w:sz w:val="32"/>
          <w:szCs w:val="32"/>
        </w:rPr>
        <w:t xml:space="preserve"> 再生水利用设施建设应当符合再生水利用规划和相关标准，配套建设再生水利用设施的项目在竣工验收合格后方能投入使用。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第四章 经营与管理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第十九条</w:t>
      </w:r>
      <w:r>
        <w:rPr>
          <w:rFonts w:ascii="Times New Roman" w:hAnsi="Times New Roman" w:eastAsia="仿宋_GB2312" w:cs="Times New Roman"/>
          <w:sz w:val="32"/>
          <w:szCs w:val="32"/>
        </w:rPr>
        <w:t> 再生水运营单位应当取得人民政府授予的经营权或运营管理权，并与再生水利用的行政主管部门签订相应协议后，方可从事经营活动。 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第二十条</w:t>
      </w:r>
      <w:r>
        <w:rPr>
          <w:rFonts w:ascii="Times New Roman" w:hAnsi="Times New Roman" w:eastAsia="仿宋_GB2312" w:cs="Times New Roman"/>
          <w:sz w:val="32"/>
          <w:szCs w:val="32"/>
        </w:rPr>
        <w:t> 再</w:t>
      </w:r>
      <w:r>
        <w:rPr>
          <w:rFonts w:hint="default" w:ascii="Times New Roman" w:hAnsi="Times New Roman" w:eastAsia="仿宋_GB2312" w:cs="Times New Roman"/>
          <w:sz w:val="32"/>
          <w:szCs w:val="32"/>
          <w:highlight w:val="none"/>
        </w:rPr>
        <w:t>生水利用</w:t>
      </w:r>
      <w:r>
        <w:rPr>
          <w:rFonts w:hint="eastAsia" w:ascii="Times New Roman" w:hAnsi="Times New Roman" w:eastAsia="仿宋_GB2312" w:cs="Times New Roman"/>
          <w:sz w:val="32"/>
          <w:szCs w:val="32"/>
          <w:highlight w:val="none"/>
          <w:lang w:eastAsia="zh-CN"/>
        </w:rPr>
        <w:t>行政</w:t>
      </w:r>
      <w:r>
        <w:rPr>
          <w:rFonts w:hint="default" w:ascii="Times New Roman" w:hAnsi="Times New Roman" w:eastAsia="仿宋_GB2312" w:cs="Times New Roman"/>
          <w:sz w:val="32"/>
          <w:szCs w:val="32"/>
          <w:highlight w:val="none"/>
        </w:rPr>
        <w:t>主管部门应当就再生水</w:t>
      </w:r>
      <w:r>
        <w:rPr>
          <w:rFonts w:hint="eastAsia" w:ascii="Times New Roman" w:hAnsi="Times New Roman" w:eastAsia="仿宋_GB2312" w:cs="Times New Roman"/>
          <w:sz w:val="32"/>
          <w:szCs w:val="32"/>
          <w:highlight w:val="none"/>
          <w:lang w:eastAsia="zh-CN"/>
        </w:rPr>
        <w:t>运营</w:t>
      </w:r>
      <w:r>
        <w:rPr>
          <w:rFonts w:hint="default" w:ascii="Times New Roman" w:hAnsi="Times New Roman" w:eastAsia="仿宋_GB2312" w:cs="Times New Roman"/>
          <w:sz w:val="32"/>
          <w:szCs w:val="32"/>
          <w:highlight w:val="none"/>
        </w:rPr>
        <w:t>单位对公共再生水利用设施的建设、运行、维护情况和对再生水用户的服务进行监督检查</w:t>
      </w:r>
      <w:r>
        <w:rPr>
          <w:rFonts w:ascii="Times New Roman" w:hAnsi="Times New Roman" w:eastAsia="仿宋_GB2312" w:cs="Times New Roman"/>
          <w:sz w:val="32"/>
          <w:szCs w:val="32"/>
          <w:highlight w:val="none"/>
        </w:rPr>
        <w:t>。</w:t>
      </w:r>
      <w:r>
        <w:rPr>
          <w:rFonts w:ascii="Times New Roman" w:hAnsi="Times New Roman" w:eastAsia="仿宋_GB2312" w:cs="Times New Roman"/>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第二十一条</w:t>
      </w:r>
      <w:r>
        <w:rPr>
          <w:rFonts w:ascii="Times New Roman" w:hAnsi="Times New Roman" w:eastAsia="仿宋_GB2312" w:cs="Times New Roman"/>
          <w:sz w:val="32"/>
          <w:szCs w:val="32"/>
        </w:rPr>
        <w:t> </w:t>
      </w:r>
      <w:r>
        <w:rPr>
          <w:rFonts w:hint="eastAsia" w:ascii="Times New Roman" w:hAnsi="Times New Roman" w:eastAsia="仿宋_GB2312" w:cs="Times New Roman"/>
          <w:sz w:val="32"/>
          <w:szCs w:val="32"/>
          <w:highlight w:val="none"/>
          <w:lang w:eastAsia="zh-CN"/>
        </w:rPr>
        <w:t>相关</w:t>
      </w:r>
      <w:r>
        <w:rPr>
          <w:rFonts w:ascii="Times New Roman" w:hAnsi="Times New Roman" w:eastAsia="仿宋_GB2312" w:cs="Times New Roman"/>
          <w:sz w:val="32"/>
          <w:szCs w:val="32"/>
          <w:highlight w:val="none"/>
        </w:rPr>
        <w:t>部门应</w:t>
      </w:r>
      <w:r>
        <w:rPr>
          <w:rFonts w:hint="eastAsia" w:ascii="Times New Roman" w:hAnsi="Times New Roman" w:eastAsia="仿宋_GB2312" w:cs="Times New Roman"/>
          <w:sz w:val="32"/>
          <w:szCs w:val="32"/>
          <w:highlight w:val="none"/>
        </w:rPr>
        <w:t>指导督促重点行业、重点企业加强再生水利用，推动再生水在工业生产、市政用水、生态补水等重点领域的使用</w:t>
      </w:r>
      <w:r>
        <w:rPr>
          <w:rFonts w:ascii="Times New Roman" w:hAnsi="Times New Roman" w:eastAsia="仿宋_GB2312" w:cs="Times New Roman"/>
          <w:sz w:val="32"/>
          <w:szCs w:val="32"/>
          <w:highlight w:val="none"/>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rPr>
      </w:pPr>
      <w:r>
        <w:rPr>
          <w:rFonts w:hint="eastAsia" w:ascii="楷体_GB2312" w:hAnsi="楷体_GB2312" w:eastAsia="楷体_GB2312" w:cs="楷体_GB2312"/>
          <w:sz w:val="32"/>
          <w:szCs w:val="32"/>
        </w:rPr>
        <w:t>第二十二条</w:t>
      </w:r>
      <w:r>
        <w:rPr>
          <w:rFonts w:ascii="Times New Roman" w:hAnsi="Times New Roman" w:eastAsia="仿宋_GB2312" w:cs="Times New Roman"/>
          <w:sz w:val="32"/>
          <w:szCs w:val="32"/>
        </w:rPr>
        <w:t> </w:t>
      </w:r>
      <w:r>
        <w:rPr>
          <w:rFonts w:hint="eastAsia" w:ascii="Times New Roman" w:hAnsi="Times New Roman" w:eastAsia="仿宋_GB2312" w:cs="Times New Roman"/>
          <w:sz w:val="32"/>
          <w:szCs w:val="32"/>
        </w:rPr>
        <w:t>再生水实行有偿使用制度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b w:val="0"/>
          <w:bCs w:val="0"/>
          <w:sz w:val="32"/>
          <w:szCs w:val="32"/>
        </w:rPr>
        <w:t>由运营单位与用户根据水质标准、生产成本、市场供求</w:t>
      </w:r>
      <w:r>
        <w:rPr>
          <w:rFonts w:hint="eastAsia" w:ascii="Times New Roman" w:hAnsi="Times New Roman" w:eastAsia="仿宋_GB2312" w:cs="Times New Roman"/>
          <w:b w:val="0"/>
          <w:bCs w:val="0"/>
          <w:sz w:val="32"/>
          <w:szCs w:val="32"/>
          <w:lang w:eastAsia="zh-CN"/>
        </w:rPr>
        <w:t>等</w:t>
      </w:r>
      <w:r>
        <w:rPr>
          <w:rFonts w:hint="eastAsia" w:ascii="Times New Roman" w:hAnsi="Times New Roman" w:eastAsia="仿宋_GB2312" w:cs="Times New Roman"/>
          <w:b w:val="0"/>
          <w:bCs w:val="0"/>
          <w:sz w:val="32"/>
          <w:szCs w:val="32"/>
        </w:rPr>
        <w:t>自主协商确定，签订供</w:t>
      </w:r>
      <w:r>
        <w:rPr>
          <w:rFonts w:hint="eastAsia" w:ascii="Times New Roman" w:hAnsi="Times New Roman" w:eastAsia="仿宋_GB2312" w:cs="Times New Roman"/>
          <w:b w:val="0"/>
          <w:bCs w:val="0"/>
          <w:sz w:val="32"/>
          <w:szCs w:val="32"/>
          <w:lang w:eastAsia="zh-CN"/>
        </w:rPr>
        <w:t>用</w:t>
      </w:r>
      <w:r>
        <w:rPr>
          <w:rFonts w:hint="eastAsia" w:ascii="Times New Roman" w:hAnsi="Times New Roman" w:eastAsia="仿宋_GB2312" w:cs="Times New Roman"/>
          <w:b w:val="0"/>
          <w:bCs w:val="0"/>
          <w:sz w:val="32"/>
          <w:szCs w:val="32"/>
        </w:rPr>
        <w:t>水合同</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由于政策调整、成本上涨、地质条件发生重大变化等原因确需对再生水价格进行调整的，由双方协商确定。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再生水水价的构成包括但不限于再生水生产、销售、管理、建设、管网维护、泵站及其附属设施维护等费用。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再生水运营单位应履行下列义务：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ascii="Times New Roman" w:hAnsi="Times New Roman" w:eastAsia="仿宋_GB2312" w:cs="Times New Roman"/>
          <w:sz w:val="32"/>
          <w:szCs w:val="32"/>
        </w:rPr>
        <w:t>建立健全再生水利用管理制度，</w:t>
      </w:r>
      <w:r>
        <w:rPr>
          <w:rFonts w:hint="default" w:ascii="Times New Roman" w:hAnsi="Times New Roman" w:eastAsia="仿宋_GB2312" w:cs="Times New Roman"/>
          <w:sz w:val="32"/>
          <w:szCs w:val="32"/>
        </w:rPr>
        <w:t>配备专职技术人员与应急抢修队伍</w:t>
      </w:r>
      <w:r>
        <w:rPr>
          <w:rFonts w:ascii="Times New Roman" w:hAnsi="Times New Roman" w:eastAsia="仿宋_GB2312" w:cs="Times New Roman"/>
          <w:sz w:val="32"/>
          <w:szCs w:val="32"/>
        </w:rPr>
        <w:t>，落实安全生产管理责任；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对再生水处理设施、管网、计量器具</w:t>
      </w:r>
      <w:r>
        <w:rPr>
          <w:rFonts w:hint="eastAsia"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进行定期检测维护，建立设施运行台账，</w:t>
      </w:r>
      <w:r>
        <w:rPr>
          <w:rFonts w:ascii="Times New Roman" w:hAnsi="Times New Roman" w:eastAsia="仿宋_GB2312" w:cs="Times New Roman"/>
          <w:sz w:val="32"/>
          <w:szCs w:val="32"/>
        </w:rPr>
        <w:t>确保数据信息真实准确，设施、设备运行安全；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按照国家规定的检测规范，做好再生水水质日常检测工作，确保再生水水质符合有关标准；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安装符合国家相关质量标准和规范要求的用水计量设施，并按要求定期进行校验</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（五）</w:t>
      </w:r>
      <w:r>
        <w:rPr>
          <w:rFonts w:ascii="Times New Roman" w:hAnsi="Times New Roman" w:eastAsia="仿宋_GB2312" w:cs="Times New Roman"/>
          <w:sz w:val="32"/>
          <w:szCs w:val="32"/>
        </w:rPr>
        <w:t>做好再生水厂的其他运营维护管理工作。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第五章 鼓励措施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highlight w:val="none"/>
        </w:rPr>
      </w:pPr>
      <w:r>
        <w:rPr>
          <w:rFonts w:hint="eastAsia" w:ascii="楷体_GB2312" w:hAnsi="楷体_GB2312" w:eastAsia="楷体_GB2312" w:cs="楷体_GB2312"/>
          <w:sz w:val="32"/>
          <w:szCs w:val="32"/>
        </w:rPr>
        <w:t>第二十四条</w:t>
      </w:r>
      <w:r>
        <w:rPr>
          <w:rFonts w:ascii="Times New Roman" w:hAnsi="Times New Roman" w:eastAsia="仿宋_GB2312" w:cs="Times New Roman"/>
          <w:sz w:val="32"/>
          <w:szCs w:val="32"/>
        </w:rPr>
        <w:t xml:space="preserve"> </w:t>
      </w:r>
      <w:r>
        <w:rPr>
          <w:rFonts w:ascii="Times New Roman" w:hAnsi="Times New Roman" w:eastAsia="仿宋_GB2312" w:cs="Times New Roman"/>
          <w:sz w:val="32"/>
          <w:szCs w:val="32"/>
          <w:highlight w:val="none"/>
        </w:rPr>
        <w:t>政府鼓励和引导社会资本及再生水用户参与再生水利用系统的建设和运营。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第二十五条</w:t>
      </w:r>
      <w:bookmarkStart w:id="1" w:name="_Hlk193958279"/>
      <w:r>
        <w:rPr>
          <w:rFonts w:ascii="Times New Roman" w:hAnsi="Times New Roman" w:eastAsia="仿宋_GB2312" w:cs="Times New Roman"/>
          <w:sz w:val="32"/>
          <w:szCs w:val="32"/>
        </w:rPr>
        <w:t xml:space="preserve"> 各级部门应积极开展宣传工作，加强科普教育，提高公众对再生水利用的认知度和认可度，消除公众顾虑，增强使用意愿。</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第二十六条</w:t>
      </w:r>
      <w:r>
        <w:rPr>
          <w:rFonts w:ascii="Times New Roman" w:hAnsi="Times New Roman" w:eastAsia="仿宋_GB2312" w:cs="Times New Roman"/>
          <w:sz w:val="32"/>
          <w:szCs w:val="32"/>
        </w:rPr>
        <w:t xml:space="preserve"> 鼓励、支持再生水利用的科学研究和技术开发，引进和推广新技术、新工艺、新设备，不断提高再生水的利用和资源化水平。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highlight w:val="yellow"/>
        </w:rPr>
      </w:pPr>
      <w:r>
        <w:rPr>
          <w:rFonts w:hint="eastAsia" w:ascii="楷体_GB2312" w:hAnsi="楷体_GB2312" w:eastAsia="楷体_GB2312" w:cs="楷体_GB2312"/>
          <w:sz w:val="32"/>
          <w:szCs w:val="32"/>
        </w:rPr>
        <w:t>第二十七条</w:t>
      </w:r>
      <w:bookmarkStart w:id="2" w:name="_Hlk193958312"/>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eastAsia="zh-CN"/>
        </w:rPr>
        <w:t>有关</w:t>
      </w:r>
      <w:r>
        <w:rPr>
          <w:rFonts w:hint="eastAsia" w:ascii="Times New Roman" w:hAnsi="Times New Roman" w:eastAsia="仿宋_GB2312" w:cs="Times New Roman"/>
          <w:sz w:val="32"/>
          <w:szCs w:val="32"/>
        </w:rPr>
        <w:t>部门应当在资金保障、政策制定等方面加大对再生水设施设备建设项目的扶持力度</w:t>
      </w:r>
      <w:r>
        <w:rPr>
          <w:rFonts w:hint="eastAsia" w:ascii="Times New Roman" w:hAnsi="Times New Roman" w:eastAsia="仿宋_GB2312" w:cs="Times New Roman"/>
          <w:sz w:val="32"/>
          <w:szCs w:val="32"/>
          <w:highlight w:val="none"/>
        </w:rPr>
        <w:t>。</w:t>
      </w:r>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第二十八条</w:t>
      </w:r>
      <w:r>
        <w:rPr>
          <w:rFonts w:ascii="Times New Roman" w:hAnsi="Times New Roman" w:eastAsia="仿宋_GB2312" w:cs="Times New Roman"/>
          <w:sz w:val="32"/>
          <w:szCs w:val="32"/>
        </w:rPr>
        <w:t xml:space="preserve"> 创新工作流程，简化再生水项目前期工作启动手续；优化项目审批流程，推动审批工作快速高效；加强项目管理，及时解决再生水项目建设过程中遇到的问题。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highlight w:val="none"/>
        </w:rPr>
      </w:pPr>
      <w:r>
        <w:rPr>
          <w:rFonts w:hint="eastAsia" w:ascii="楷体_GB2312" w:hAnsi="楷体_GB2312" w:eastAsia="楷体_GB2312" w:cs="楷体_GB2312"/>
          <w:sz w:val="32"/>
          <w:szCs w:val="32"/>
          <w:highlight w:val="none"/>
        </w:rPr>
        <w:t>第二十九条</w:t>
      </w:r>
      <w:r>
        <w:rPr>
          <w:rFonts w:hint="eastAsia"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rPr>
        <w:t>鼓励再生水运营单位因地制宜推广再生水在清洁能源领域的应用，支持企事业单位利用</w:t>
      </w:r>
      <w:r>
        <w:rPr>
          <w:rFonts w:hint="eastAsia" w:ascii="Times New Roman" w:hAnsi="Times New Roman" w:eastAsia="仿宋_GB2312" w:cs="Times New Roman"/>
          <w:sz w:val="32"/>
          <w:szCs w:val="32"/>
          <w:highlight w:val="none"/>
          <w:lang w:eastAsia="zh-CN"/>
        </w:rPr>
        <w:t>清洁能源</w:t>
      </w:r>
      <w:r>
        <w:rPr>
          <w:rFonts w:hint="eastAsia" w:ascii="Times New Roman" w:hAnsi="Times New Roman" w:eastAsia="仿宋_GB2312" w:cs="Times New Roman"/>
          <w:sz w:val="32"/>
          <w:szCs w:val="32"/>
          <w:highlight w:val="none"/>
        </w:rPr>
        <w:t>，促进能源结构优化与资源循环利用。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第六章 用水安全与应急管理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Cs/>
          <w:sz w:val="32"/>
          <w:szCs w:val="32"/>
        </w:rPr>
        <w:t>第</w:t>
      </w:r>
      <w:r>
        <w:rPr>
          <w:rFonts w:hint="eastAsia" w:ascii="楷体_GB2312" w:hAnsi="楷体_GB2312" w:eastAsia="楷体_GB2312" w:cs="楷体_GB2312"/>
          <w:bCs/>
          <w:sz w:val="32"/>
          <w:szCs w:val="32"/>
          <w:lang w:eastAsia="zh-CN"/>
        </w:rPr>
        <w:t>三十</w:t>
      </w:r>
      <w:r>
        <w:rPr>
          <w:rFonts w:hint="default" w:ascii="楷体_GB2312" w:hAnsi="楷体_GB2312" w:eastAsia="楷体_GB2312" w:cs="楷体_GB2312"/>
          <w:bCs/>
          <w:sz w:val="32"/>
          <w:szCs w:val="32"/>
        </w:rPr>
        <w:t>条</w:t>
      </w:r>
      <w:r>
        <w:rPr>
          <w:rFonts w:hint="eastAsia" w:ascii="楷体_GB2312" w:hAnsi="楷体_GB2312" w:eastAsia="楷体_GB2312" w:cs="楷体_GB2312"/>
          <w:bCs/>
          <w:sz w:val="32"/>
          <w:szCs w:val="32"/>
          <w:lang w:val="en-US" w:eastAsia="zh-CN"/>
        </w:rPr>
        <w:t xml:space="preserve"> </w:t>
      </w:r>
      <w:r>
        <w:rPr>
          <w:rFonts w:hint="default" w:ascii="Times New Roman" w:hAnsi="Times New Roman" w:eastAsia="仿宋_GB2312" w:cs="Times New Roman"/>
          <w:sz w:val="32"/>
          <w:szCs w:val="32"/>
        </w:rPr>
        <w:t>再生水使用应严格遵守下列规定：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用户应按合同约定的用途使用再生水，不得擅自改变用途或转供他人；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再生水取水接口、用水设备及储水设施应</w:t>
      </w:r>
      <w:r>
        <w:rPr>
          <w:rFonts w:hint="eastAsia" w:ascii="Times New Roman" w:hAnsi="Times New Roman" w:eastAsia="仿宋_GB2312" w:cs="Times New Roman"/>
          <w:sz w:val="32"/>
          <w:szCs w:val="32"/>
          <w:lang w:eastAsia="zh-CN"/>
        </w:rPr>
        <w:t>配置</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再生水不得饮用</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的耐久</w:t>
      </w:r>
      <w:r>
        <w:rPr>
          <w:rFonts w:hint="default" w:ascii="Times New Roman" w:hAnsi="Times New Roman" w:eastAsia="仿宋_GB2312" w:cs="Times New Roman"/>
          <w:sz w:val="32"/>
          <w:szCs w:val="32"/>
        </w:rPr>
        <w:t>警示标识，标识样式、颜色应符合</w:t>
      </w:r>
      <w:r>
        <w:rPr>
          <w:rFonts w:hint="eastAsia" w:ascii="Times New Roman" w:hAnsi="Times New Roman" w:eastAsia="仿宋_GB2312" w:cs="Times New Roman"/>
          <w:sz w:val="32"/>
          <w:szCs w:val="32"/>
          <w:lang w:eastAsia="zh-CN"/>
        </w:rPr>
        <w:t>相关规范要求</w:t>
      </w:r>
      <w:r>
        <w:rPr>
          <w:rFonts w:hint="default" w:ascii="Times New Roman" w:hAnsi="Times New Roman" w:eastAsia="仿宋_GB2312" w:cs="Times New Roman"/>
          <w:sz w:val="32"/>
          <w:szCs w:val="32"/>
        </w:rPr>
        <w:t>，标识损坏的应及时更换；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lang w:val="en"/>
        </w:rPr>
        <w:t>再生水输配水管网中所有组件和附属设施的位置应配置“再生水”耐久标识，再生水管道明装时应采用识别色，并配置“再生水管道”耐久标识，埋地再生水管道应在管道上方设置耐久标志带</w:t>
      </w:r>
      <w:r>
        <w:rPr>
          <w:rFonts w:hint="eastAsia" w:ascii="Times New Roman" w:hAnsi="Times New Roman" w:eastAsia="仿宋_GB2312" w:cs="Times New Roman"/>
          <w:sz w:val="32"/>
          <w:szCs w:val="32"/>
          <w:lang w:val="en" w:eastAsia="zh-CN"/>
        </w:rPr>
        <w:t>，</w:t>
      </w:r>
      <w:r>
        <w:rPr>
          <w:rFonts w:hint="default" w:ascii="Times New Roman" w:hAnsi="Times New Roman" w:eastAsia="仿宋_GB2312" w:cs="Times New Roman"/>
          <w:sz w:val="32"/>
          <w:szCs w:val="32"/>
          <w:highlight w:val="none"/>
        </w:rPr>
        <w:t>井室须符合国家相关安全规范要求，并具备锁闭功能</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再生水系统与自来水系统应采取物理隔断措施，严禁直接或间接连接，再生水储水设施不得与自来水储水设施共用。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任何单位和个人不得实施下列行为：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将再生水管道、储水设施与自来水管道、储水设施连接；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擅自改变再生水用途</w:t>
      </w:r>
      <w:r>
        <w:rPr>
          <w:rFonts w:hint="eastAsia" w:ascii="Times New Roman" w:hAnsi="Times New Roman" w:eastAsia="仿宋_GB2312" w:cs="Times New Roman"/>
          <w:sz w:val="32"/>
          <w:szCs w:val="32"/>
          <w:lang w:eastAsia="zh-CN"/>
        </w:rPr>
        <w:t>，特别是</w:t>
      </w:r>
      <w:r>
        <w:rPr>
          <w:rFonts w:hint="default" w:ascii="Times New Roman" w:hAnsi="Times New Roman" w:eastAsia="仿宋_GB2312" w:cs="Times New Roman"/>
          <w:sz w:val="32"/>
          <w:szCs w:val="32"/>
        </w:rPr>
        <w:t>将再生水用于饮用、食品加工、洗浴等人体直接接触的用途；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占压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挖掘、</w:t>
      </w:r>
      <w:r>
        <w:rPr>
          <w:rFonts w:hint="eastAsia" w:ascii="Times New Roman" w:hAnsi="Times New Roman" w:eastAsia="仿宋_GB2312" w:cs="Times New Roman"/>
          <w:sz w:val="32"/>
          <w:szCs w:val="32"/>
          <w:lang w:eastAsia="zh-CN"/>
        </w:rPr>
        <w:t>拆卸</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移动、</w:t>
      </w:r>
      <w:r>
        <w:rPr>
          <w:rFonts w:hint="default" w:ascii="Times New Roman" w:hAnsi="Times New Roman" w:eastAsia="仿宋_GB2312" w:cs="Times New Roman"/>
          <w:sz w:val="32"/>
          <w:szCs w:val="32"/>
        </w:rPr>
        <w:t>穿凿</w:t>
      </w:r>
      <w:r>
        <w:rPr>
          <w:rFonts w:hint="eastAsia" w:ascii="Times New Roman" w:hAnsi="Times New Roman" w:eastAsia="仿宋_GB2312" w:cs="Times New Roman"/>
          <w:sz w:val="32"/>
          <w:szCs w:val="32"/>
          <w:lang w:eastAsia="zh-CN"/>
        </w:rPr>
        <w:t>、堵塞</w:t>
      </w:r>
      <w:r>
        <w:rPr>
          <w:rFonts w:hint="default" w:ascii="Times New Roman" w:hAnsi="Times New Roman" w:eastAsia="仿宋_GB2312" w:cs="Times New Roman"/>
          <w:sz w:val="32"/>
          <w:szCs w:val="32"/>
        </w:rPr>
        <w:t>再生水管道或设施；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擅自拆卸、改装再生水计量器具或绕表用水；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向再生水管道或设施内排放污水、垃圾、有毒有害物质；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rPr>
        <w:t>其他破坏再生水设施或影响用水安全的行为。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因工程建设需改装、迁移、拆除再生水设施的，建设单位应提前30日向运营单位提交方案，经市住建部门</w:t>
      </w:r>
      <w:r>
        <w:rPr>
          <w:rFonts w:hint="eastAsia" w:ascii="Times New Roman" w:hAnsi="Times New Roman" w:eastAsia="仿宋_GB2312" w:cs="Times New Roman"/>
          <w:sz w:val="32"/>
          <w:szCs w:val="32"/>
          <w:highlight w:val="none"/>
          <w:lang w:eastAsia="zh-CN"/>
        </w:rPr>
        <w:t>在法定期限</w:t>
      </w:r>
      <w:r>
        <w:rPr>
          <w:rFonts w:hint="default" w:ascii="Times New Roman" w:hAnsi="Times New Roman" w:eastAsia="仿宋_GB2312" w:cs="Times New Roman"/>
          <w:sz w:val="32"/>
          <w:szCs w:val="32"/>
        </w:rPr>
        <w:t>批准后，由运营单位组织实施，费用由建设单位承担；造成设施损坏的，建设单位应按实际损失赔偿。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条</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再生水设施发生故障时，运营单位</w:t>
      </w:r>
      <w:r>
        <w:rPr>
          <w:rFonts w:hint="eastAsia" w:ascii="Times New Roman" w:hAnsi="Times New Roman" w:eastAsia="仿宋_GB2312" w:cs="Times New Roman"/>
          <w:sz w:val="32"/>
          <w:szCs w:val="32"/>
          <w:lang w:eastAsia="zh-CN"/>
        </w:rPr>
        <w:t>应当</w:t>
      </w:r>
      <w:r>
        <w:rPr>
          <w:rFonts w:hint="default" w:ascii="Times New Roman" w:hAnsi="Times New Roman" w:eastAsia="仿宋_GB2312" w:cs="Times New Roman"/>
          <w:sz w:val="32"/>
          <w:szCs w:val="32"/>
        </w:rPr>
        <w:t>立即启动应急预案，</w:t>
      </w:r>
      <w:r>
        <w:rPr>
          <w:rFonts w:hint="eastAsia" w:ascii="Times New Roman" w:hAnsi="Times New Roman" w:eastAsia="仿宋_GB2312" w:cs="Times New Roman"/>
          <w:sz w:val="32"/>
          <w:szCs w:val="32"/>
          <w:lang w:eastAsia="zh-CN"/>
        </w:rPr>
        <w:t>即时</w:t>
      </w:r>
      <w:r>
        <w:rPr>
          <w:rFonts w:ascii="Times New Roman" w:hAnsi="Times New Roman" w:eastAsia="仿宋_GB2312" w:cs="Times New Roman"/>
          <w:sz w:val="32"/>
          <w:szCs w:val="32"/>
        </w:rPr>
        <w:t>组织抢修并采取安全防护措施。公安、</w:t>
      </w:r>
      <w:r>
        <w:rPr>
          <w:rFonts w:hint="eastAsia" w:ascii="Times New Roman" w:hAnsi="Times New Roman" w:eastAsia="仿宋_GB2312" w:cs="Times New Roman"/>
          <w:sz w:val="32"/>
          <w:szCs w:val="32"/>
          <w:lang w:eastAsia="zh-CN"/>
        </w:rPr>
        <w:t>城管</w:t>
      </w:r>
      <w:r>
        <w:rPr>
          <w:rFonts w:ascii="Times New Roman" w:hAnsi="Times New Roman" w:eastAsia="仿宋_GB2312" w:cs="Times New Roman"/>
          <w:sz w:val="32"/>
          <w:szCs w:val="32"/>
        </w:rPr>
        <w:t>、生态环境、工信、住建等有关部门和单位应当积极配合，保证抢修作业的进行。</w:t>
      </w:r>
      <w:r>
        <w:rPr>
          <w:rFonts w:hint="default" w:ascii="Times New Roman" w:hAnsi="Times New Roman" w:eastAsia="仿宋_GB2312" w:cs="Times New Roman"/>
          <w:sz w:val="32"/>
          <w:szCs w:val="32"/>
        </w:rPr>
        <w:t>因抢修需中断供水的，应通过短信、公告等方式通知用户，并协调临时供水措施。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第七章 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再生水应纳入水资源统一配置，由水利部门严格监督实施，确保再生水资源合理调配。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住建部门严格履行行业监管责任，对再生水规划、建设、使用、企业经营、供水保障等全面监督，确保再生水利用工作健康发展。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六</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生态环境部门负责督促污水处理企业和单位达标排放，配合做好再生水水质及水污染防治等相关工作。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其他有关部门应当建立工作联动机制，实现城市再生水管理信息共享。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七</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再生水运营单位和用户自觉接受和服从再生水行政主管部门的监督管理，不得拒绝、阻挠、妨碍监督检查人员依法执行公务。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highlight w:val="none"/>
          <w:lang w:eastAsia="zh-CN"/>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八</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highlight w:val="none"/>
        </w:rPr>
        <w:t>再生水运营单位应当建立规范的投诉处理机制，公布投诉电话（24小时畅通），对用户投诉的水质、水压、计费等问题，应在24小时内响应，并自受理投诉之日起10个工作日内处理完毕并答复用户；用户对答复不满意的，可向市住建部门申诉</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市住建部门应当自收到申诉之日起5个工作日内协调解决并反馈结果；因情况复杂需延长处理时限的，应</w:t>
      </w:r>
      <w:r>
        <w:rPr>
          <w:rFonts w:hint="eastAsia" w:ascii="Times New Roman" w:hAnsi="Times New Roman" w:eastAsia="仿宋_GB2312" w:cs="Times New Roman"/>
          <w:sz w:val="32"/>
          <w:szCs w:val="32"/>
          <w:highlight w:val="none"/>
          <w:lang w:eastAsia="zh-CN"/>
        </w:rPr>
        <w:t>充分</w:t>
      </w:r>
      <w:r>
        <w:rPr>
          <w:rFonts w:hint="default" w:ascii="Times New Roman" w:hAnsi="Times New Roman" w:eastAsia="仿宋_GB2312" w:cs="Times New Roman"/>
          <w:sz w:val="32"/>
          <w:szCs w:val="32"/>
          <w:highlight w:val="none"/>
        </w:rPr>
        <w:t>告知用户并说明理由，延长后的处理时限不超过10个工作日。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第三十</w:t>
      </w:r>
      <w:r>
        <w:rPr>
          <w:rFonts w:hint="eastAsia" w:ascii="楷体_GB2312" w:hAnsi="楷体_GB2312" w:eastAsia="楷体_GB2312" w:cs="楷体_GB2312"/>
          <w:sz w:val="32"/>
          <w:szCs w:val="32"/>
          <w:lang w:eastAsia="zh-CN"/>
        </w:rPr>
        <w:t>九</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违反本办法规定的行为，法律、行政法规已有处罚规定的，从其规定；构成犯罪的，依法追究刑事责任。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第八章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hint="eastAsia" w:ascii="楷体_GB2312" w:hAnsi="楷体_GB2312" w:eastAsia="楷体_GB2312" w:cs="楷体_GB2312"/>
          <w:sz w:val="32"/>
          <w:szCs w:val="32"/>
        </w:rPr>
        <w:t>第</w:t>
      </w:r>
      <w:r>
        <w:rPr>
          <w:rFonts w:hint="eastAsia" w:ascii="楷体_GB2312" w:hAnsi="楷体_GB2312" w:eastAsia="楷体_GB2312" w:cs="楷体_GB2312"/>
          <w:sz w:val="32"/>
          <w:szCs w:val="32"/>
          <w:lang w:eastAsia="zh-CN"/>
        </w:rPr>
        <w:t>四十</w:t>
      </w:r>
      <w:r>
        <w:rPr>
          <w:rFonts w:hint="eastAsia" w:ascii="楷体_GB2312" w:hAnsi="楷体_GB2312" w:eastAsia="楷体_GB2312" w:cs="楷体_GB2312"/>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本办法自发布之日起施行，有效期两年。</w:t>
      </w:r>
    </w:p>
    <w:sectPr>
      <w:footerReference r:id="rId3" w:type="default"/>
      <w:pgSz w:w="11906" w:h="16838"/>
      <w:pgMar w:top="2098" w:right="1531" w:bottom="1928"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1Y2EzOThiMjUwNjExMTA3NjBjMDYwN2EwODQ2ZDQifQ=="/>
    <w:docVar w:name="KSO_WPS_MARK_KEY" w:val="0122fb7b-4e64-4664-8c9c-f43b8e1ca19d"/>
  </w:docVars>
  <w:rsids>
    <w:rsidRoot w:val="001639D8"/>
    <w:rsid w:val="00002213"/>
    <w:rsid w:val="00032B30"/>
    <w:rsid w:val="00056D6E"/>
    <w:rsid w:val="00090A0D"/>
    <w:rsid w:val="000C14DE"/>
    <w:rsid w:val="000C6D00"/>
    <w:rsid w:val="000C7F02"/>
    <w:rsid w:val="000E08F8"/>
    <w:rsid w:val="000E56F2"/>
    <w:rsid w:val="001100FA"/>
    <w:rsid w:val="0011100C"/>
    <w:rsid w:val="0012697B"/>
    <w:rsid w:val="00133985"/>
    <w:rsid w:val="001639D8"/>
    <w:rsid w:val="00183A9B"/>
    <w:rsid w:val="001C206F"/>
    <w:rsid w:val="001D18E7"/>
    <w:rsid w:val="001D19CC"/>
    <w:rsid w:val="001F22C2"/>
    <w:rsid w:val="00225B04"/>
    <w:rsid w:val="002758C1"/>
    <w:rsid w:val="002D6214"/>
    <w:rsid w:val="00302D28"/>
    <w:rsid w:val="0030635E"/>
    <w:rsid w:val="0035022A"/>
    <w:rsid w:val="0035677C"/>
    <w:rsid w:val="00356CD0"/>
    <w:rsid w:val="00360A92"/>
    <w:rsid w:val="003A491C"/>
    <w:rsid w:val="003B6541"/>
    <w:rsid w:val="003D1410"/>
    <w:rsid w:val="003D3CBB"/>
    <w:rsid w:val="00484C3E"/>
    <w:rsid w:val="00490C1B"/>
    <w:rsid w:val="004C2DD4"/>
    <w:rsid w:val="004E4C35"/>
    <w:rsid w:val="005359F2"/>
    <w:rsid w:val="00536D7A"/>
    <w:rsid w:val="00543F65"/>
    <w:rsid w:val="00555E5C"/>
    <w:rsid w:val="00561E34"/>
    <w:rsid w:val="005760B8"/>
    <w:rsid w:val="005819FE"/>
    <w:rsid w:val="005F1746"/>
    <w:rsid w:val="00602114"/>
    <w:rsid w:val="006335C0"/>
    <w:rsid w:val="006B53F7"/>
    <w:rsid w:val="0076453A"/>
    <w:rsid w:val="00765E81"/>
    <w:rsid w:val="00780534"/>
    <w:rsid w:val="00790BC2"/>
    <w:rsid w:val="007B6E80"/>
    <w:rsid w:val="007E60F6"/>
    <w:rsid w:val="00834DD5"/>
    <w:rsid w:val="00881FCB"/>
    <w:rsid w:val="008879DA"/>
    <w:rsid w:val="008970AA"/>
    <w:rsid w:val="008E1450"/>
    <w:rsid w:val="008E74A0"/>
    <w:rsid w:val="0090051A"/>
    <w:rsid w:val="00902BDA"/>
    <w:rsid w:val="0090377C"/>
    <w:rsid w:val="0091089E"/>
    <w:rsid w:val="00925454"/>
    <w:rsid w:val="00942E0A"/>
    <w:rsid w:val="009843BB"/>
    <w:rsid w:val="009B7D47"/>
    <w:rsid w:val="00A268AB"/>
    <w:rsid w:val="00A5158A"/>
    <w:rsid w:val="00A806E8"/>
    <w:rsid w:val="00A96387"/>
    <w:rsid w:val="00AA43B6"/>
    <w:rsid w:val="00AA498E"/>
    <w:rsid w:val="00AD673E"/>
    <w:rsid w:val="00B0452B"/>
    <w:rsid w:val="00B05E30"/>
    <w:rsid w:val="00B43A94"/>
    <w:rsid w:val="00B86BC7"/>
    <w:rsid w:val="00BD6D06"/>
    <w:rsid w:val="00BE7951"/>
    <w:rsid w:val="00C50EC1"/>
    <w:rsid w:val="00C82129"/>
    <w:rsid w:val="00CB550B"/>
    <w:rsid w:val="00CE0EBE"/>
    <w:rsid w:val="00CE4CE9"/>
    <w:rsid w:val="00E248A1"/>
    <w:rsid w:val="00E42291"/>
    <w:rsid w:val="00E738EF"/>
    <w:rsid w:val="00E811EB"/>
    <w:rsid w:val="00ED2FD5"/>
    <w:rsid w:val="00F11E21"/>
    <w:rsid w:val="00F132AC"/>
    <w:rsid w:val="00F50379"/>
    <w:rsid w:val="00F65072"/>
    <w:rsid w:val="02092282"/>
    <w:rsid w:val="03D64DF8"/>
    <w:rsid w:val="0AE844D7"/>
    <w:rsid w:val="0BDC31C7"/>
    <w:rsid w:val="10FE1DEE"/>
    <w:rsid w:val="11FA7F03"/>
    <w:rsid w:val="13FC61B5"/>
    <w:rsid w:val="146E62E0"/>
    <w:rsid w:val="152D05F0"/>
    <w:rsid w:val="154A6D7F"/>
    <w:rsid w:val="18591B0F"/>
    <w:rsid w:val="19793BD5"/>
    <w:rsid w:val="1B1C740F"/>
    <w:rsid w:val="1C414302"/>
    <w:rsid w:val="1D644DCB"/>
    <w:rsid w:val="20AF2801"/>
    <w:rsid w:val="21081298"/>
    <w:rsid w:val="22E5075C"/>
    <w:rsid w:val="28AE5879"/>
    <w:rsid w:val="29C7422F"/>
    <w:rsid w:val="2BE11973"/>
    <w:rsid w:val="3034687E"/>
    <w:rsid w:val="314D28E6"/>
    <w:rsid w:val="338B1787"/>
    <w:rsid w:val="36FC292C"/>
    <w:rsid w:val="37CB5D1A"/>
    <w:rsid w:val="398B236F"/>
    <w:rsid w:val="3A796EFD"/>
    <w:rsid w:val="3A8A64E4"/>
    <w:rsid w:val="3C8B51DE"/>
    <w:rsid w:val="3DA85B63"/>
    <w:rsid w:val="3E1F05E3"/>
    <w:rsid w:val="3E4B3711"/>
    <w:rsid w:val="3E952885"/>
    <w:rsid w:val="3EE92E4F"/>
    <w:rsid w:val="3F913F9C"/>
    <w:rsid w:val="40D3591E"/>
    <w:rsid w:val="427D6EDF"/>
    <w:rsid w:val="49973F81"/>
    <w:rsid w:val="49E86553"/>
    <w:rsid w:val="4B0C247A"/>
    <w:rsid w:val="4B9A7C37"/>
    <w:rsid w:val="4EB53E8C"/>
    <w:rsid w:val="53B159ED"/>
    <w:rsid w:val="56CF479D"/>
    <w:rsid w:val="5DAB5B22"/>
    <w:rsid w:val="5E8E2A3C"/>
    <w:rsid w:val="5F3D389E"/>
    <w:rsid w:val="5F9D6589"/>
    <w:rsid w:val="61C55405"/>
    <w:rsid w:val="62C81B3E"/>
    <w:rsid w:val="63D556A7"/>
    <w:rsid w:val="64912E33"/>
    <w:rsid w:val="66C0483B"/>
    <w:rsid w:val="66E856F1"/>
    <w:rsid w:val="68E5013A"/>
    <w:rsid w:val="6CFF4C33"/>
    <w:rsid w:val="73CC2623"/>
    <w:rsid w:val="74B63EEC"/>
    <w:rsid w:val="77BB3D00"/>
    <w:rsid w:val="7A62086F"/>
    <w:rsid w:val="7ADB646D"/>
    <w:rsid w:val="7B9C1B1E"/>
    <w:rsid w:val="7BFD3B5F"/>
    <w:rsid w:val="7C831E97"/>
    <w:rsid w:val="7CD10CAA"/>
    <w:rsid w:val="7D2C0CD0"/>
    <w:rsid w:val="7F4F20F6"/>
    <w:rsid w:val="7FEB3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2E75B6"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2E75B6"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2E75B6" w:themeColor="accent1" w:themeShade="BF"/>
      <w:sz w:val="24"/>
      <w:szCs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2E75B6"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semiHidden/>
    <w:unhideWhenUsed/>
    <w:qFormat/>
    <w:uiPriority w:val="99"/>
    <w:rPr>
      <w:rFonts w:ascii="Times New Roman" w:hAnsi="Times New Roman" w:cs="Times New Roman"/>
      <w:sz w:val="24"/>
      <w:szCs w:val="24"/>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8">
    <w:name w:val="Strong"/>
    <w:basedOn w:val="17"/>
    <w:qFormat/>
    <w:uiPriority w:val="0"/>
    <w:rPr>
      <w:b/>
    </w:rPr>
  </w:style>
  <w:style w:type="character" w:customStyle="1" w:styleId="19">
    <w:name w:val="标题 1 字符"/>
    <w:basedOn w:val="17"/>
    <w:link w:val="2"/>
    <w:qFormat/>
    <w:uiPriority w:val="9"/>
    <w:rPr>
      <w:rFonts w:asciiTheme="majorHAnsi" w:hAnsiTheme="majorHAnsi" w:eastAsiaTheme="majorEastAsia" w:cstheme="majorBidi"/>
      <w:color w:val="2E75B6"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2E75B6"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2E75B6" w:themeColor="accent1" w:themeShade="BF"/>
      <w:sz w:val="32"/>
      <w:szCs w:val="32"/>
    </w:rPr>
  </w:style>
  <w:style w:type="character" w:customStyle="1" w:styleId="22">
    <w:name w:val="标题 4 字符"/>
    <w:basedOn w:val="17"/>
    <w:link w:val="5"/>
    <w:semiHidden/>
    <w:qFormat/>
    <w:uiPriority w:val="9"/>
    <w:rPr>
      <w:rFonts w:cstheme="majorBidi"/>
      <w:color w:val="2E75B6" w:themeColor="accent1" w:themeShade="BF"/>
      <w:sz w:val="28"/>
      <w:szCs w:val="28"/>
    </w:rPr>
  </w:style>
  <w:style w:type="character" w:customStyle="1" w:styleId="23">
    <w:name w:val="标题 5 字符"/>
    <w:basedOn w:val="17"/>
    <w:link w:val="6"/>
    <w:semiHidden/>
    <w:qFormat/>
    <w:uiPriority w:val="9"/>
    <w:rPr>
      <w:rFonts w:cstheme="majorBidi"/>
      <w:color w:val="2E75B6" w:themeColor="accent1" w:themeShade="BF"/>
      <w:sz w:val="24"/>
      <w:szCs w:val="24"/>
    </w:rPr>
  </w:style>
  <w:style w:type="character" w:customStyle="1" w:styleId="24">
    <w:name w:val="标题 6 字符"/>
    <w:basedOn w:val="17"/>
    <w:link w:val="7"/>
    <w:semiHidden/>
    <w:qFormat/>
    <w:uiPriority w:val="9"/>
    <w:rPr>
      <w:rFonts w:cstheme="majorBidi"/>
      <w:b/>
      <w:bCs/>
      <w:color w:val="2E75B6"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明显强调1"/>
    <w:basedOn w:val="17"/>
    <w:qFormat/>
    <w:uiPriority w:val="21"/>
    <w:rPr>
      <w:i/>
      <w:iCs/>
      <w:color w:val="2E75B6" w:themeColor="accent1" w:themeShade="BF"/>
    </w:rPr>
  </w:style>
  <w:style w:type="paragraph" w:styleId="34">
    <w:name w:val="Intense Quote"/>
    <w:basedOn w:val="1"/>
    <w:next w:val="1"/>
    <w:link w:val="35"/>
    <w:qFormat/>
    <w:uiPriority w:val="30"/>
    <w:pPr>
      <w:pBdr>
        <w:top w:val="single" w:color="2E75B5" w:themeColor="accent1" w:themeShade="BF" w:sz="4" w:space="10"/>
        <w:bottom w:val="single" w:color="2E75B5" w:themeColor="accent1" w:themeShade="BF" w:sz="4" w:space="10"/>
      </w:pBdr>
      <w:spacing w:before="360" w:after="360"/>
      <w:ind w:left="864" w:right="864"/>
      <w:jc w:val="center"/>
    </w:pPr>
    <w:rPr>
      <w:i/>
      <w:iCs/>
      <w:color w:val="2E75B6" w:themeColor="accent1" w:themeShade="BF"/>
    </w:rPr>
  </w:style>
  <w:style w:type="character" w:customStyle="1" w:styleId="35">
    <w:name w:val="明显引用 字符"/>
    <w:basedOn w:val="17"/>
    <w:link w:val="34"/>
    <w:qFormat/>
    <w:uiPriority w:val="30"/>
    <w:rPr>
      <w:i/>
      <w:iCs/>
      <w:color w:val="2E75B6" w:themeColor="accent1" w:themeShade="BF"/>
    </w:rPr>
  </w:style>
  <w:style w:type="character" w:customStyle="1" w:styleId="36">
    <w:name w:val="明显参考1"/>
    <w:basedOn w:val="17"/>
    <w:qFormat/>
    <w:uiPriority w:val="32"/>
    <w:rPr>
      <w:b/>
      <w:bCs/>
      <w:smallCaps/>
      <w:color w:val="2E75B6" w:themeColor="accent1" w:themeShade="BF"/>
      <w:spacing w:val="5"/>
    </w:rPr>
  </w:style>
  <w:style w:type="character" w:customStyle="1" w:styleId="37">
    <w:name w:val="页眉 字符"/>
    <w:basedOn w:val="17"/>
    <w:link w:val="12"/>
    <w:qFormat/>
    <w:uiPriority w:val="99"/>
    <w:rPr>
      <w:sz w:val="18"/>
      <w:szCs w:val="18"/>
    </w:rPr>
  </w:style>
  <w:style w:type="character" w:customStyle="1" w:styleId="38">
    <w:name w:val="页脚 字符"/>
    <w:basedOn w:val="17"/>
    <w:link w:val="11"/>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3981</Words>
  <Characters>3986</Characters>
  <Lines>25</Lines>
  <Paragraphs>7</Paragraphs>
  <TotalTime>22</TotalTime>
  <ScaleCrop>false</ScaleCrop>
  <LinksUpToDate>false</LinksUpToDate>
  <CharactersWithSpaces>4029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2025-03-24T07:30:00Z</dcterms:created>
  <dc:creator>陆天 车</dc:creator>
  <cp:lastModifiedBy>lenovo</cp:lastModifiedBy>
  <cp:lastPrinted>2025-03-31T07:18:00Z</cp:lastPrinted>
  <dcterms:modified xsi:type="dcterms:W3CDTF">2025-12-02T01:22:15Z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eyJoZGlkIjoiNDY2YmM0YTkwNTU3MjUwNDEwNzUyMzU3YjJhYjA2YmIifQ==</vt:lpwstr>
  </property>
  <property fmtid="{D5CDD505-2E9C-101B-9397-08002B2CF9AE}" pid="3" name="KSOProductBuildVer">
    <vt:lpwstr>2052-11.1.0.14309</vt:lpwstr>
  </property>
  <property fmtid="{D5CDD505-2E9C-101B-9397-08002B2CF9AE}" pid="4" name="ICV">
    <vt:lpwstr>EE74926AB78A4828B18CF9E2B1E48400_12</vt:lpwstr>
  </property>
</Properties>
</file>