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29.xml" ContentType="application/vnd.openxmlformats-officedocument.drawingml.chart+xml"/>
  <Override PartName="/word/charts/chart3.xml" ContentType="application/vnd.openxmlformats-officedocument.drawingml.chart+xml"/>
  <Override PartName="/word/charts/chart30.xml" ContentType="application/vnd.openxmlformats-officedocument.drawingml.chart+xml"/>
  <Override PartName="/word/charts/chart31.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11.xml" ContentType="application/vnd.ms-office.chartcolorstyle+xml"/>
  <Override PartName="/word/charts/colors12.xml" ContentType="application/vnd.ms-office.chartcolorstyle+xml"/>
  <Override PartName="/word/charts/colors13.xml" ContentType="application/vnd.ms-office.chartcolorstyle+xml"/>
  <Override PartName="/word/charts/colors14.xml" ContentType="application/vnd.ms-office.chartcolorstyle+xml"/>
  <Override PartName="/word/charts/colors15.xml" ContentType="application/vnd.ms-office.chartcolorstyle+xml"/>
  <Override PartName="/word/charts/colors16.xml" ContentType="application/vnd.ms-office.chartcolorstyle+xml"/>
  <Override PartName="/word/charts/colors17.xml" ContentType="application/vnd.ms-office.chartcolorstyle+xml"/>
  <Override PartName="/word/charts/colors18.xml" ContentType="application/vnd.ms-office.chartcolorstyle+xml"/>
  <Override PartName="/word/charts/colors19.xml" ContentType="application/vnd.ms-office.chartcolorstyle+xml"/>
  <Override PartName="/word/charts/colors2.xml" ContentType="application/vnd.ms-office.chartcolorstyle+xml"/>
  <Override PartName="/word/charts/colors20.xml" ContentType="application/vnd.ms-office.chartcolorstyle+xml"/>
  <Override PartName="/word/charts/colors21.xml" ContentType="application/vnd.ms-office.chartcolorstyle+xml"/>
  <Override PartName="/word/charts/colors22.xml" ContentType="application/vnd.ms-office.chartcolorstyle+xml"/>
  <Override PartName="/word/charts/colors23.xml" ContentType="application/vnd.ms-office.chartcolorstyle+xml"/>
  <Override PartName="/word/charts/colors24.xml" ContentType="application/vnd.ms-office.chartcolorstyle+xml"/>
  <Override PartName="/word/charts/colors25.xml" ContentType="application/vnd.ms-office.chartcolorstyle+xml"/>
  <Override PartName="/word/charts/colors26.xml" ContentType="application/vnd.ms-office.chartcolorstyle+xml"/>
  <Override PartName="/word/charts/colors27.xml" ContentType="application/vnd.ms-office.chartcolorstyle+xml"/>
  <Override PartName="/word/charts/colors28.xml" ContentType="application/vnd.ms-office.chartcolorstyle+xml"/>
  <Override PartName="/word/charts/colors29.xml" ContentType="application/vnd.ms-office.chartcolorstyle+xml"/>
  <Override PartName="/word/charts/colors3.xml" ContentType="application/vnd.ms-office.chartcolorstyle+xml"/>
  <Override PartName="/word/charts/colors30.xml" ContentType="application/vnd.ms-office.chartcolorstyle+xml"/>
  <Override PartName="/word/charts/colors31.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11.xml" ContentType="application/vnd.ms-office.chartstyle+xml"/>
  <Override PartName="/word/charts/style12.xml" ContentType="application/vnd.ms-office.chartstyle+xml"/>
  <Override PartName="/word/charts/style13.xml" ContentType="application/vnd.ms-office.chartstyle+xml"/>
  <Override PartName="/word/charts/style14.xml" ContentType="application/vnd.ms-office.chartstyle+xml"/>
  <Override PartName="/word/charts/style15.xml" ContentType="application/vnd.ms-office.chartstyle+xml"/>
  <Override PartName="/word/charts/style16.xml" ContentType="application/vnd.ms-office.chartstyle+xml"/>
  <Override PartName="/word/charts/style17.xml" ContentType="application/vnd.ms-office.chartstyle+xml"/>
  <Override PartName="/word/charts/style18.xml" ContentType="application/vnd.ms-office.chartstyle+xml"/>
  <Override PartName="/word/charts/style19.xml" ContentType="application/vnd.ms-office.chartstyle+xml"/>
  <Override PartName="/word/charts/style2.xml" ContentType="application/vnd.ms-office.chartstyle+xml"/>
  <Override PartName="/word/charts/style20.xml" ContentType="application/vnd.ms-office.chartstyle+xml"/>
  <Override PartName="/word/charts/style21.xml" ContentType="application/vnd.ms-office.chartstyle+xml"/>
  <Override PartName="/word/charts/style22.xml" ContentType="application/vnd.ms-office.chartstyle+xml"/>
  <Override PartName="/word/charts/style23.xml" ContentType="application/vnd.ms-office.chartstyle+xml"/>
  <Override PartName="/word/charts/style24.xml" ContentType="application/vnd.ms-office.chartstyle+xml"/>
  <Override PartName="/word/charts/style25.xml" ContentType="application/vnd.ms-office.chartstyle+xml"/>
  <Override PartName="/word/charts/style26.xml" ContentType="application/vnd.ms-office.chartstyle+xml"/>
  <Override PartName="/word/charts/style27.xml" ContentType="application/vnd.ms-office.chartstyle+xml"/>
  <Override PartName="/word/charts/style28.xml" ContentType="application/vnd.ms-office.chartstyle+xml"/>
  <Override PartName="/word/charts/style29.xml" ContentType="application/vnd.ms-office.chartstyle+xml"/>
  <Override PartName="/word/charts/style3.xml" ContentType="application/vnd.ms-office.chartstyle+xml"/>
  <Override PartName="/word/charts/style30.xml" ContentType="application/vnd.ms-office.chartstyle+xml"/>
  <Override PartName="/word/charts/style31.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AD6FC7">
      <w:pPr>
        <w:spacing w:line="360" w:lineRule="auto"/>
        <w:jc w:val="right"/>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14:paraId="01659EB7">
      <w:pPr>
        <w:spacing w:line="360" w:lineRule="auto"/>
        <w:rPr>
          <w:rFonts w:hint="eastAsia" w:ascii="宋体" w:hAnsi="宋体" w:eastAsia="宋体" w:cs="宋体"/>
          <w:color w:val="auto"/>
          <w:sz w:val="24"/>
          <w:szCs w:val="24"/>
        </w:rPr>
      </w:pPr>
    </w:p>
    <w:p w14:paraId="19F35B09">
      <w:pPr>
        <w:pStyle w:val="7"/>
        <w:rPr>
          <w:rFonts w:hint="eastAsia" w:ascii="宋体" w:hAnsi="宋体" w:eastAsia="宋体" w:cs="宋体"/>
          <w:color w:val="auto"/>
          <w:sz w:val="24"/>
          <w:szCs w:val="24"/>
        </w:rPr>
      </w:pPr>
    </w:p>
    <w:p w14:paraId="25E496D5">
      <w:pPr>
        <w:rPr>
          <w:rFonts w:hint="eastAsia" w:ascii="宋体" w:hAnsi="宋体" w:eastAsia="宋体" w:cs="宋体"/>
          <w:color w:val="auto"/>
          <w:sz w:val="24"/>
          <w:szCs w:val="24"/>
        </w:rPr>
      </w:pPr>
    </w:p>
    <w:p w14:paraId="20526871">
      <w:pPr>
        <w:pStyle w:val="7"/>
        <w:rPr>
          <w:rFonts w:hint="eastAsia"/>
          <w:color w:val="auto"/>
        </w:rPr>
      </w:pPr>
    </w:p>
    <w:p w14:paraId="6A45C2A5">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14:paraId="082D946E">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14:paraId="09229F04">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14:paraId="6083D2D9">
      <w:pPr>
        <w:spacing w:line="360" w:lineRule="auto"/>
        <w:rPr>
          <w:rFonts w:hint="eastAsia" w:ascii="宋体" w:hAnsi="宋体" w:eastAsia="宋体" w:cs="宋体"/>
          <w:color w:val="auto"/>
          <w:sz w:val="24"/>
          <w:szCs w:val="24"/>
        </w:rPr>
      </w:pPr>
    </w:p>
    <w:p w14:paraId="540D9D40">
      <w:pPr>
        <w:spacing w:line="360" w:lineRule="auto"/>
        <w:jc w:val="center"/>
        <w:rPr>
          <w:rFonts w:hint="eastAsia" w:ascii="黑体" w:hAnsi="黑体" w:eastAsia="黑体" w:cs="黑体"/>
          <w:b w:val="0"/>
          <w:bCs w:val="0"/>
          <w:color w:val="auto"/>
          <w:sz w:val="44"/>
          <w:szCs w:val="44"/>
        </w:rPr>
      </w:pPr>
      <w:r>
        <w:rPr>
          <w:rFonts w:hint="eastAsia" w:ascii="黑体" w:hAnsi="黑体" w:eastAsia="黑体" w:cs="黑体"/>
          <w:b w:val="0"/>
          <w:bCs w:val="0"/>
          <w:color w:val="auto"/>
          <w:sz w:val="44"/>
          <w:szCs w:val="44"/>
          <w:lang w:eastAsia="zh-CN"/>
        </w:rPr>
        <w:t>焦作</w:t>
      </w:r>
      <w:r>
        <w:rPr>
          <w:rFonts w:hint="eastAsia" w:ascii="黑体" w:hAnsi="黑体" w:eastAsia="黑体" w:cs="黑体"/>
          <w:b w:val="0"/>
          <w:bCs w:val="0"/>
          <w:color w:val="auto"/>
          <w:sz w:val="44"/>
          <w:szCs w:val="44"/>
        </w:rPr>
        <w:t>市</w:t>
      </w:r>
      <w:r>
        <w:rPr>
          <w:rFonts w:hint="eastAsia" w:ascii="黑体" w:hAnsi="黑体" w:eastAsia="黑体" w:cs="黑体"/>
          <w:b w:val="0"/>
          <w:bCs w:val="0"/>
          <w:color w:val="auto"/>
          <w:sz w:val="44"/>
          <w:szCs w:val="44"/>
          <w:lang w:eastAsia="zh-CN"/>
        </w:rPr>
        <w:t>旅游</w:t>
      </w:r>
      <w:r>
        <w:rPr>
          <w:rFonts w:hint="eastAsia" w:ascii="黑体" w:hAnsi="黑体" w:eastAsia="黑体" w:cs="黑体"/>
          <w:b w:val="0"/>
          <w:bCs w:val="0"/>
          <w:color w:val="auto"/>
          <w:sz w:val="44"/>
          <w:szCs w:val="44"/>
        </w:rPr>
        <w:t>资源普查报告</w:t>
      </w:r>
    </w:p>
    <w:p w14:paraId="47FE26C3">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14:paraId="20FAFB0F">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14:paraId="714430AA">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14:paraId="1D813888">
      <w:pPr>
        <w:spacing w:line="360" w:lineRule="auto"/>
        <w:rPr>
          <w:rFonts w:hint="eastAsia" w:ascii="宋体" w:hAnsi="宋体" w:eastAsia="宋体" w:cs="宋体"/>
          <w:color w:val="auto"/>
          <w:sz w:val="24"/>
          <w:szCs w:val="24"/>
        </w:rPr>
      </w:pPr>
    </w:p>
    <w:p w14:paraId="07C075B7">
      <w:pPr>
        <w:spacing w:line="360" w:lineRule="auto"/>
        <w:rPr>
          <w:rFonts w:hint="eastAsia" w:ascii="宋体" w:hAnsi="宋体" w:eastAsia="宋体" w:cs="宋体"/>
          <w:color w:val="auto"/>
          <w:sz w:val="24"/>
          <w:szCs w:val="24"/>
        </w:rPr>
      </w:pPr>
    </w:p>
    <w:p w14:paraId="3DB8A442">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14:paraId="363D34B9">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14:paraId="1BAF1DD1">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14:paraId="1C734063">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14:paraId="781269A6">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14:paraId="1972B4CB">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14:paraId="61E38783">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14:paraId="1C760184">
      <w:pPr>
        <w:spacing w:line="360" w:lineRule="auto"/>
        <w:rPr>
          <w:rFonts w:hint="eastAsia" w:ascii="宋体" w:hAnsi="宋体" w:eastAsia="宋体" w:cs="宋体"/>
          <w:color w:val="auto"/>
          <w:sz w:val="24"/>
          <w:szCs w:val="24"/>
        </w:rPr>
      </w:pPr>
    </w:p>
    <w:p w14:paraId="33C080B2">
      <w:pPr>
        <w:spacing w:line="360" w:lineRule="auto"/>
        <w:jc w:val="center"/>
        <w:rPr>
          <w:rFonts w:hint="eastAsia" w:ascii="仿宋" w:hAnsi="仿宋" w:eastAsia="仿宋" w:cs="仿宋"/>
          <w:b/>
          <w:bCs/>
          <w:color w:val="auto"/>
          <w:sz w:val="32"/>
          <w:szCs w:val="32"/>
        </w:rPr>
      </w:pPr>
      <w:r>
        <w:rPr>
          <w:rFonts w:hint="eastAsia" w:ascii="仿宋" w:hAnsi="仿宋" w:eastAsia="仿宋" w:cs="仿宋"/>
          <w:b/>
          <w:bCs/>
          <w:color w:val="auto"/>
          <w:sz w:val="32"/>
          <w:szCs w:val="32"/>
          <w:lang w:eastAsia="zh-CN"/>
        </w:rPr>
        <w:t>焦作</w:t>
      </w:r>
      <w:r>
        <w:rPr>
          <w:rFonts w:hint="eastAsia" w:ascii="仿宋" w:hAnsi="仿宋" w:eastAsia="仿宋" w:cs="仿宋"/>
          <w:b/>
          <w:bCs/>
          <w:color w:val="auto"/>
          <w:sz w:val="32"/>
          <w:szCs w:val="32"/>
        </w:rPr>
        <w:t>市文化</w:t>
      </w:r>
      <w:r>
        <w:rPr>
          <w:rFonts w:hint="eastAsia" w:ascii="仿宋" w:hAnsi="仿宋" w:eastAsia="仿宋" w:cs="仿宋"/>
          <w:b/>
          <w:bCs/>
          <w:color w:val="auto"/>
          <w:sz w:val="32"/>
          <w:szCs w:val="32"/>
          <w:lang w:val="en-US" w:eastAsia="zh-CN"/>
        </w:rPr>
        <w:t>广电</w:t>
      </w:r>
      <w:r>
        <w:rPr>
          <w:rFonts w:hint="eastAsia" w:ascii="仿宋" w:hAnsi="仿宋" w:eastAsia="仿宋" w:cs="仿宋"/>
          <w:b/>
          <w:bCs/>
          <w:color w:val="auto"/>
          <w:sz w:val="32"/>
          <w:szCs w:val="32"/>
        </w:rPr>
        <w:t>和旅游局</w:t>
      </w:r>
    </w:p>
    <w:p w14:paraId="1118912B">
      <w:pPr>
        <w:spacing w:line="360" w:lineRule="auto"/>
        <w:jc w:val="center"/>
        <w:rPr>
          <w:rFonts w:hint="eastAsia" w:ascii="仿宋" w:hAnsi="仿宋" w:eastAsia="仿宋" w:cs="仿宋"/>
          <w:b/>
          <w:bCs/>
          <w:color w:val="auto"/>
          <w:sz w:val="32"/>
          <w:szCs w:val="32"/>
        </w:rPr>
      </w:pPr>
      <w:r>
        <w:rPr>
          <w:rFonts w:hint="eastAsia" w:ascii="仿宋" w:hAnsi="仿宋" w:eastAsia="仿宋" w:cs="仿宋"/>
          <w:b w:val="0"/>
          <w:bCs w:val="0"/>
          <w:color w:val="auto"/>
          <w:sz w:val="32"/>
          <w:szCs w:val="32"/>
        </w:rPr>
        <w:t>二〇二</w:t>
      </w:r>
      <w:r>
        <w:rPr>
          <w:rFonts w:hint="eastAsia" w:ascii="仿宋" w:hAnsi="仿宋" w:eastAsia="仿宋" w:cs="仿宋"/>
          <w:b w:val="0"/>
          <w:bCs w:val="0"/>
          <w:color w:val="auto"/>
          <w:sz w:val="32"/>
          <w:szCs w:val="32"/>
          <w:lang w:eastAsia="zh-CN"/>
        </w:rPr>
        <w:t>五</w:t>
      </w:r>
      <w:r>
        <w:rPr>
          <w:rFonts w:hint="eastAsia" w:ascii="仿宋" w:hAnsi="仿宋" w:eastAsia="仿宋" w:cs="仿宋"/>
          <w:b w:val="0"/>
          <w:bCs w:val="0"/>
          <w:color w:val="auto"/>
          <w:sz w:val="32"/>
          <w:szCs w:val="32"/>
        </w:rPr>
        <w:t>年</w:t>
      </w:r>
      <w:r>
        <w:rPr>
          <w:rFonts w:hint="eastAsia" w:ascii="仿宋" w:hAnsi="仿宋" w:eastAsia="仿宋" w:cs="仿宋"/>
          <w:b w:val="0"/>
          <w:bCs w:val="0"/>
          <w:color w:val="auto"/>
          <w:sz w:val="32"/>
          <w:szCs w:val="32"/>
          <w:lang w:val="en-US" w:eastAsia="zh-CN"/>
        </w:rPr>
        <w:t>十一</w:t>
      </w:r>
      <w:r>
        <w:rPr>
          <w:rFonts w:hint="eastAsia" w:ascii="仿宋" w:hAnsi="仿宋" w:eastAsia="仿宋" w:cs="仿宋"/>
          <w:b w:val="0"/>
          <w:bCs w:val="0"/>
          <w:color w:val="auto"/>
          <w:sz w:val="32"/>
          <w:szCs w:val="32"/>
        </w:rPr>
        <w:t>月</w:t>
      </w:r>
    </w:p>
    <w:p w14:paraId="145C1339">
      <w:pPr>
        <w:spacing w:line="360" w:lineRule="auto"/>
        <w:jc w:val="center"/>
        <w:rPr>
          <w:rFonts w:hint="eastAsia" w:ascii="宋体" w:hAnsi="宋体" w:eastAsia="宋体" w:cs="宋体"/>
          <w:color w:val="auto"/>
          <w:sz w:val="24"/>
          <w:szCs w:val="24"/>
        </w:rPr>
      </w:pPr>
    </w:p>
    <w:p w14:paraId="78CDF70B">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14:paraId="652C05C9">
      <w:pPr>
        <w:spacing w:line="360" w:lineRule="auto"/>
        <w:jc w:val="right"/>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14:paraId="5F4B7643">
      <w:pPr>
        <w:spacing w:line="360" w:lineRule="auto"/>
        <w:rPr>
          <w:rFonts w:hint="eastAsia" w:ascii="宋体" w:hAnsi="宋体" w:eastAsia="宋体" w:cs="宋体"/>
          <w:color w:val="auto"/>
          <w:sz w:val="24"/>
          <w:szCs w:val="24"/>
        </w:rPr>
      </w:pPr>
    </w:p>
    <w:p w14:paraId="2E1BC226">
      <w:pPr>
        <w:spacing w:line="360" w:lineRule="auto"/>
        <w:jc w:val="center"/>
        <w:rPr>
          <w:rFonts w:hint="eastAsia" w:ascii="黑体" w:hAnsi="黑体" w:eastAsia="黑体" w:cs="黑体"/>
          <w:color w:val="auto"/>
          <w:sz w:val="32"/>
          <w:szCs w:val="32"/>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14:paraId="265B2BC0">
      <w:pPr>
        <w:keepNext w:val="0"/>
        <w:keepLines w:val="0"/>
        <w:pageBreakBefore w:val="0"/>
        <w:widowControl w:val="0"/>
        <w:kinsoku/>
        <w:wordWrap/>
        <w:overflowPunct/>
        <w:topLinePunct w:val="0"/>
        <w:autoSpaceDE/>
        <w:autoSpaceDN/>
        <w:bidi w:val="0"/>
        <w:adjustRightInd/>
        <w:snapToGrid/>
        <w:spacing w:line="360" w:lineRule="auto"/>
        <w:ind w:firstLine="643" w:firstLineChars="200"/>
        <w:jc w:val="center"/>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序 言</w:t>
      </w:r>
    </w:p>
    <w:p w14:paraId="287CF02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焦作市地处河南省西北部，北依太行山脉，南临黄河之滨，呈</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北山、中川、南滩</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的立体地理格局。作为中原城市群与晋冀交界地区的区域性中心城市，焦作不仅是郑州大都市区</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1小时经济圈</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核心节点，更是河南</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米</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字形高铁网的重要枢纽。作为河南省的一颗璀璨明珠，</w:t>
      </w:r>
      <w:r>
        <w:rPr>
          <w:rFonts w:hint="eastAsia" w:asciiTheme="minorEastAsia" w:hAnsiTheme="minorEastAsia" w:eastAsiaTheme="minorEastAsia" w:cstheme="minorEastAsia"/>
          <w:color w:val="auto"/>
          <w:sz w:val="24"/>
          <w:szCs w:val="24"/>
          <w:lang w:val="en-US" w:eastAsia="zh-CN"/>
        </w:rPr>
        <w:t>焦作市</w:t>
      </w:r>
      <w:r>
        <w:rPr>
          <w:rFonts w:hint="eastAsia" w:asciiTheme="minorEastAsia" w:hAnsiTheme="minorEastAsia" w:eastAsiaTheme="minorEastAsia" w:cstheme="minorEastAsia"/>
          <w:color w:val="auto"/>
          <w:sz w:val="24"/>
          <w:szCs w:val="24"/>
        </w:rPr>
        <w:t>兼具自然与人文的双重馈赠</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从云台山的</w:t>
      </w:r>
      <w:r>
        <w:rPr>
          <w:rFonts w:hint="eastAsia" w:asciiTheme="minorEastAsia" w:hAnsiTheme="minorEastAsia" w:eastAsiaTheme="minorEastAsia" w:cstheme="minorEastAsia"/>
          <w:color w:val="auto"/>
          <w:sz w:val="24"/>
          <w:szCs w:val="24"/>
          <w:lang w:val="en-US" w:eastAsia="zh-CN"/>
        </w:rPr>
        <w:t>云台</w:t>
      </w:r>
      <w:r>
        <w:rPr>
          <w:rFonts w:hint="eastAsia" w:asciiTheme="minorEastAsia" w:hAnsiTheme="minorEastAsia" w:eastAsiaTheme="minorEastAsia" w:cstheme="minorEastAsia"/>
          <w:color w:val="auto"/>
          <w:sz w:val="24"/>
          <w:szCs w:val="24"/>
        </w:rPr>
        <w:t>奇观到陈家沟的太极源流，从黄河文化的千年积淀到现代文旅的融合创新，</w:t>
      </w:r>
      <w:r>
        <w:rPr>
          <w:rFonts w:hint="eastAsia" w:asciiTheme="minorEastAsia" w:hAnsiTheme="minorEastAsia" w:eastAsiaTheme="minorEastAsia" w:cstheme="minorEastAsia"/>
          <w:color w:val="auto"/>
          <w:sz w:val="24"/>
          <w:szCs w:val="24"/>
          <w:lang w:val="en-US" w:eastAsia="zh-CN"/>
        </w:rPr>
        <w:t>焦作</w:t>
      </w:r>
      <w:r>
        <w:rPr>
          <w:rFonts w:hint="eastAsia" w:asciiTheme="minorEastAsia" w:hAnsiTheme="minorEastAsia" w:eastAsiaTheme="minorEastAsia" w:cstheme="minorEastAsia"/>
          <w:color w:val="auto"/>
          <w:sz w:val="24"/>
          <w:szCs w:val="24"/>
        </w:rPr>
        <w:t>市以</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山魂水韵</w:t>
      </w:r>
      <w:r>
        <w:rPr>
          <w:rFonts w:hint="eastAsia" w:asciiTheme="minorEastAsia" w:hAnsiTheme="minorEastAsia" w:eastAsiaTheme="minorEastAsia" w:cstheme="minorEastAsia"/>
          <w:color w:val="auto"/>
          <w:sz w:val="24"/>
          <w:szCs w:val="24"/>
          <w:lang w:val="en-US" w:eastAsia="zh-CN"/>
        </w:rPr>
        <w:t>·</w:t>
      </w:r>
      <w:r>
        <w:rPr>
          <w:rFonts w:hint="eastAsia" w:asciiTheme="minorEastAsia" w:hAnsiTheme="minorEastAsia" w:eastAsiaTheme="minorEastAsia" w:cstheme="minorEastAsia"/>
          <w:color w:val="auto"/>
          <w:sz w:val="24"/>
          <w:szCs w:val="24"/>
        </w:rPr>
        <w:t>文武双绝</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的特质，持续擦亮</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山水焦作</w:t>
      </w:r>
      <w:r>
        <w:rPr>
          <w:rFonts w:hint="eastAsia" w:asciiTheme="minorEastAsia" w:hAnsiTheme="minorEastAsia" w:eastAsiaTheme="minorEastAsia" w:cstheme="minorEastAsia"/>
          <w:color w:val="auto"/>
          <w:sz w:val="24"/>
          <w:szCs w:val="24"/>
          <w:lang w:val="en-US" w:eastAsia="zh-CN"/>
        </w:rPr>
        <w:t>·</w:t>
      </w:r>
      <w:r>
        <w:rPr>
          <w:rFonts w:hint="eastAsia" w:asciiTheme="minorEastAsia" w:hAnsiTheme="minorEastAsia" w:eastAsiaTheme="minorEastAsia" w:cstheme="minorEastAsia"/>
          <w:color w:val="auto"/>
          <w:sz w:val="24"/>
          <w:szCs w:val="24"/>
        </w:rPr>
        <w:t>太极圣地</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城市品牌。</w:t>
      </w:r>
    </w:p>
    <w:p w14:paraId="79BB56B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开展</w:t>
      </w:r>
      <w:r>
        <w:rPr>
          <w:rFonts w:hint="eastAsia" w:asciiTheme="minorEastAsia" w:hAnsiTheme="minorEastAsia" w:eastAsiaTheme="minorEastAsia" w:cstheme="minorEastAsia"/>
          <w:color w:val="auto"/>
          <w:sz w:val="24"/>
          <w:szCs w:val="24"/>
          <w:lang w:val="en-US" w:eastAsia="zh-CN"/>
        </w:rPr>
        <w:t>全市</w:t>
      </w:r>
      <w:r>
        <w:rPr>
          <w:rFonts w:hint="eastAsia" w:asciiTheme="minorEastAsia" w:hAnsiTheme="minorEastAsia" w:eastAsiaTheme="minorEastAsia" w:cstheme="minorEastAsia"/>
          <w:color w:val="auto"/>
          <w:sz w:val="24"/>
          <w:szCs w:val="24"/>
        </w:rPr>
        <w:t>旅游资源普查，既能摸清资源家底，精准识别脆弱资源以加强保护，又能科学规划、挖掘潜在资源实现合理开发；可促进旅游产业升级、吸引投资，还能保护</w:t>
      </w:r>
      <w:r>
        <w:rPr>
          <w:rFonts w:hint="eastAsia" w:asciiTheme="minorEastAsia" w:hAnsiTheme="minorEastAsia" w:eastAsiaTheme="minorEastAsia" w:cstheme="minorEastAsia"/>
          <w:color w:val="auto"/>
          <w:sz w:val="24"/>
          <w:szCs w:val="24"/>
          <w:lang w:val="en-US" w:eastAsia="zh-CN"/>
        </w:rPr>
        <w:t>和</w:t>
      </w:r>
      <w:r>
        <w:rPr>
          <w:rFonts w:hint="eastAsia" w:asciiTheme="minorEastAsia" w:hAnsiTheme="minorEastAsia" w:eastAsiaTheme="minorEastAsia" w:cstheme="minorEastAsia"/>
          <w:color w:val="auto"/>
          <w:sz w:val="24"/>
          <w:szCs w:val="24"/>
        </w:rPr>
        <w:t>传承文化遗产、弘扬地域文化；同时</w:t>
      </w:r>
      <w:r>
        <w:rPr>
          <w:rFonts w:hint="eastAsia" w:asciiTheme="minorEastAsia" w:hAnsiTheme="minorEastAsia" w:eastAsiaTheme="minorEastAsia" w:cstheme="minorEastAsia"/>
          <w:color w:val="auto"/>
          <w:sz w:val="24"/>
          <w:szCs w:val="24"/>
          <w:lang w:val="en-US" w:eastAsia="zh-CN"/>
        </w:rPr>
        <w:t>可以</w:t>
      </w:r>
      <w:r>
        <w:rPr>
          <w:rFonts w:hint="eastAsia" w:asciiTheme="minorEastAsia" w:hAnsiTheme="minorEastAsia" w:eastAsiaTheme="minorEastAsia" w:cstheme="minorEastAsia"/>
          <w:color w:val="auto"/>
          <w:sz w:val="24"/>
          <w:szCs w:val="24"/>
        </w:rPr>
        <w:t>加强区域合作、实现资源共享，提升区域旅游整体形象，推动旅游产业在多方面协同发展。</w:t>
      </w:r>
    </w:p>
    <w:p w14:paraId="632E64F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为积极</w:t>
      </w:r>
      <w:r>
        <w:rPr>
          <w:rFonts w:hint="eastAsia" w:asciiTheme="minorEastAsia" w:hAnsiTheme="minorEastAsia" w:eastAsiaTheme="minorEastAsia" w:cstheme="minorEastAsia"/>
          <w:color w:val="auto"/>
          <w:sz w:val="24"/>
          <w:szCs w:val="24"/>
        </w:rPr>
        <w:t>面对文旅融合时代</w:t>
      </w:r>
      <w:r>
        <w:rPr>
          <w:rFonts w:hint="eastAsia" w:asciiTheme="minorEastAsia" w:hAnsiTheme="minorEastAsia" w:eastAsiaTheme="minorEastAsia" w:cstheme="minorEastAsia"/>
          <w:color w:val="auto"/>
          <w:sz w:val="24"/>
          <w:szCs w:val="24"/>
          <w:lang w:val="en-US" w:eastAsia="zh-CN"/>
        </w:rPr>
        <w:t>新</w:t>
      </w:r>
      <w:r>
        <w:rPr>
          <w:rFonts w:hint="eastAsia" w:asciiTheme="minorEastAsia" w:hAnsiTheme="minorEastAsia" w:eastAsiaTheme="minorEastAsia" w:cstheme="minorEastAsia"/>
          <w:color w:val="auto"/>
          <w:sz w:val="24"/>
          <w:szCs w:val="24"/>
        </w:rPr>
        <w:t>命题，</w:t>
      </w:r>
      <w:r>
        <w:rPr>
          <w:rFonts w:hint="eastAsia" w:asciiTheme="minorEastAsia" w:hAnsiTheme="minorEastAsia" w:eastAsiaTheme="minorEastAsia" w:cstheme="minorEastAsia"/>
          <w:color w:val="auto"/>
          <w:sz w:val="24"/>
          <w:szCs w:val="24"/>
          <w:lang w:val="en-US" w:eastAsia="zh-CN"/>
        </w:rPr>
        <w:t>科学精准擘画文旅发展新篇章，</w:t>
      </w:r>
      <w:r>
        <w:rPr>
          <w:rFonts w:hint="eastAsia" w:asciiTheme="minorEastAsia" w:hAnsiTheme="minorEastAsia" w:eastAsiaTheme="minorEastAsia" w:cstheme="minorEastAsia"/>
          <w:color w:val="auto"/>
          <w:sz w:val="24"/>
          <w:szCs w:val="24"/>
        </w:rPr>
        <w:t>焦作市</w:t>
      </w:r>
      <w:r>
        <w:rPr>
          <w:rFonts w:hint="eastAsia" w:asciiTheme="minorEastAsia" w:hAnsiTheme="minorEastAsia" w:eastAsiaTheme="minorEastAsia" w:cstheme="minorEastAsia"/>
          <w:color w:val="auto"/>
          <w:sz w:val="24"/>
          <w:szCs w:val="24"/>
          <w:lang w:val="en-US" w:eastAsia="zh-CN"/>
        </w:rPr>
        <w:t>全面统筹、周密部署，</w:t>
      </w:r>
      <w:r>
        <w:rPr>
          <w:rFonts w:hint="eastAsia" w:asciiTheme="minorEastAsia" w:hAnsiTheme="minorEastAsia" w:eastAsiaTheme="minorEastAsia" w:cstheme="minorEastAsia"/>
          <w:color w:val="auto"/>
          <w:sz w:val="24"/>
          <w:szCs w:val="24"/>
        </w:rPr>
        <w:t>于202</w:t>
      </w:r>
      <w:r>
        <w:rPr>
          <w:rFonts w:hint="eastAsia" w:asciiTheme="minorEastAsia" w:hAnsiTheme="minorEastAsia" w:eastAsiaTheme="minorEastAsia" w:cstheme="minorEastAsia"/>
          <w:color w:val="auto"/>
          <w:sz w:val="24"/>
          <w:szCs w:val="24"/>
          <w:lang w:val="en-US" w:eastAsia="zh-CN"/>
        </w:rPr>
        <w:t>3</w:t>
      </w:r>
      <w:r>
        <w:rPr>
          <w:rFonts w:hint="eastAsia" w:asciiTheme="minorEastAsia" w:hAnsiTheme="minorEastAsia" w:eastAsiaTheme="minorEastAsia" w:cstheme="minorEastAsia"/>
          <w:color w:val="auto"/>
          <w:sz w:val="24"/>
          <w:szCs w:val="24"/>
        </w:rPr>
        <w:t>年1</w:t>
      </w:r>
      <w:r>
        <w:rPr>
          <w:rFonts w:hint="eastAsia" w:asciiTheme="minorEastAsia" w:hAnsiTheme="minorEastAsia" w:eastAsiaTheme="minorEastAsia" w:cstheme="minorEastAsia"/>
          <w:color w:val="auto"/>
          <w:sz w:val="24"/>
          <w:szCs w:val="24"/>
          <w:lang w:val="en-US" w:eastAsia="zh-CN"/>
        </w:rPr>
        <w:t>1</w:t>
      </w:r>
      <w:r>
        <w:rPr>
          <w:rFonts w:hint="eastAsia" w:asciiTheme="minorEastAsia" w:hAnsiTheme="minorEastAsia" w:eastAsiaTheme="minorEastAsia" w:cstheme="minorEastAsia"/>
          <w:color w:val="auto"/>
          <w:sz w:val="24"/>
          <w:szCs w:val="24"/>
        </w:rPr>
        <w:t>月全面启动旅游资源普查工作</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全市累计投入专项资金400余万元，历时22个月，历经“筹备启动、实地普查、成果编制”三个阶段，组织40余支专业队伍，600余名普查人员，近5000名群众，足迹遍布全市4072平方公里的山川河流、沟谷稻田、城市乡间，严格按照《河南省旅游资源普查技术规程》《河南省旅游资源分类、调查与评价》《河南省旅游资源普查工作手册》等技术要求和标准，对旅游资源进行了系统性详细调查，切实做到了“应普尽普”。经过扎实的野外实地踏勘，细致的内业整理、科学严谨的分类定级和权威专家的多轮审核评定，最终提交了满意的焦作市旅游资源普查答卷。</w:t>
      </w:r>
    </w:p>
    <w:p w14:paraId="18433F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全市共查明旅游资源单体12008个，其中，新发现资源1662个，占比13.84%。资源类型覆盖8大主类、25个亚类、107个基本类型，仅缺少海面1个亚类，埋藏水体、现代冰川、游憩海域、涌潮与击浪现象、小型岛礁、蝶类等昆虫栖息地、景观牧场、养殖业产品及制品和旅游装备产品9个基本类型。三四五级优良级旅游资源共计1841个，占全市总量的15.33%。其中，五级资源189个，占全市总量的1.57%；四级资源420个，占全市总量的3.50%；三级资源1232个，占全市总量的10.26%。自然类旅游资源2706处，占资源总量的22.53%，人文类旅游资源9302处，占资源总量的77.47%。全市旅游资源总量大，类型全，质量优，人文重，充分彰显了焦作市旅游强市的本色。</w:t>
      </w:r>
    </w:p>
    <w:p w14:paraId="771E3DE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本次普查坚持全方位动员，全过程质控，全流程监管，形成了“916”普查体系。“9”为9个到位，切实做到思想认识到位、专班责任到位、宣传发动到位、资料收集到位、资金安排到位、方案编制到位、外业调查到位、评价定级到位、成果编制到位等“九个到位”。“1”为1个工作方法，采用了“一横一纵两摸排”工作法。横向联动各部门，全面收集文献、档案等基础资料；纵向深入实地，开展地毯式普查；实施两轮全覆盖排查，确保无遗漏。“6”为6大普查成果。焦作市旅游资源普查最终形成了一个工作总结、一个普查报告、一套图集、一批调查区（小区）实际资料表、一批基础图表影像资料、一个专家人才库等“六个一”主要普查成果，并按照数字化要求，在河南省旅游资源管理与应用平台上集成展示。</w:t>
      </w:r>
    </w:p>
    <w:p w14:paraId="62D29E7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本次普查不仅是一次资源清查，更是焦作</w:t>
      </w:r>
      <w:r>
        <w:rPr>
          <w:rFonts w:hint="eastAsia" w:asciiTheme="minorEastAsia" w:hAnsiTheme="minorEastAsia" w:eastAsiaTheme="minorEastAsia" w:cstheme="minorEastAsia"/>
          <w:color w:val="auto"/>
          <w:sz w:val="24"/>
          <w:szCs w:val="24"/>
          <w:lang w:val="en-US" w:eastAsia="zh-CN"/>
        </w:rPr>
        <w:t>市</w:t>
      </w:r>
      <w:r>
        <w:rPr>
          <w:rFonts w:hint="eastAsia" w:asciiTheme="minorEastAsia" w:hAnsiTheme="minorEastAsia" w:eastAsiaTheme="minorEastAsia" w:cstheme="minorEastAsia"/>
          <w:color w:val="auto"/>
          <w:sz w:val="24"/>
          <w:szCs w:val="24"/>
        </w:rPr>
        <w:t>从</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资源驱动</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向</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创新驱动</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转型的战略布局。本次普查成果</w:t>
      </w:r>
      <w:r>
        <w:rPr>
          <w:rFonts w:hint="eastAsia" w:asciiTheme="minorEastAsia" w:hAnsiTheme="minorEastAsia" w:eastAsiaTheme="minorEastAsia" w:cstheme="minorEastAsia"/>
          <w:color w:val="auto"/>
          <w:sz w:val="24"/>
          <w:szCs w:val="24"/>
          <w:lang w:val="en-US" w:eastAsia="zh-CN"/>
        </w:rPr>
        <w:t>将为焦作市</w:t>
      </w:r>
      <w:r>
        <w:rPr>
          <w:rFonts w:hint="eastAsia" w:asciiTheme="minorEastAsia" w:hAnsiTheme="minorEastAsia" w:eastAsiaTheme="minorEastAsia" w:cstheme="minorEastAsia"/>
          <w:color w:val="auto"/>
          <w:sz w:val="24"/>
          <w:szCs w:val="24"/>
        </w:rPr>
        <w:t>建立</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资源</w:t>
      </w:r>
      <w:r>
        <w:rPr>
          <w:rFonts w:hint="eastAsia" w:asciiTheme="minorEastAsia" w:hAnsiTheme="minorEastAsia" w:eastAsiaTheme="minorEastAsia" w:cstheme="minorEastAsia"/>
          <w:color w:val="auto"/>
          <w:sz w:val="24"/>
          <w:szCs w:val="24"/>
          <w:lang w:val="en-US" w:eastAsia="zh-CN"/>
        </w:rPr>
        <w:t>-</w:t>
      </w:r>
      <w:r>
        <w:rPr>
          <w:rFonts w:hint="eastAsia" w:asciiTheme="minorEastAsia" w:hAnsiTheme="minorEastAsia" w:eastAsiaTheme="minorEastAsia" w:cstheme="minorEastAsia"/>
          <w:color w:val="auto"/>
          <w:sz w:val="24"/>
          <w:szCs w:val="24"/>
        </w:rPr>
        <w:t>产品-产业</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转化机制，持续深化</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文旅+农业</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文旅+工业</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文旅+科技</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融合实践，</w:t>
      </w:r>
      <w:r>
        <w:rPr>
          <w:rFonts w:hint="eastAsia" w:asciiTheme="minorEastAsia" w:hAnsiTheme="minorEastAsia" w:eastAsiaTheme="minorEastAsia" w:cstheme="minorEastAsia"/>
          <w:color w:val="auto"/>
          <w:sz w:val="24"/>
          <w:szCs w:val="24"/>
          <w:lang w:val="en-US" w:eastAsia="zh-CN"/>
        </w:rPr>
        <w:t>提供翔实的数据支撑，为焦作市打造</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太行山下的生态城、黄河岸边的文化城、转型路上的创新城</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成为全国资源型城市转型的示范标杆</w:t>
      </w:r>
      <w:r>
        <w:rPr>
          <w:rFonts w:hint="eastAsia" w:asciiTheme="minorEastAsia" w:hAnsiTheme="minorEastAsia" w:eastAsiaTheme="minorEastAsia" w:cstheme="minorEastAsia"/>
          <w:color w:val="auto"/>
          <w:sz w:val="24"/>
          <w:szCs w:val="24"/>
          <w:lang w:val="en-US" w:eastAsia="zh-CN"/>
        </w:rPr>
        <w:t>打下坚实的基础</w:t>
      </w:r>
      <w:r>
        <w:rPr>
          <w:rFonts w:hint="eastAsia" w:asciiTheme="minorEastAsia" w:hAnsiTheme="minorEastAsia" w:eastAsiaTheme="minorEastAsia" w:cstheme="minorEastAsia"/>
          <w:color w:val="auto"/>
          <w:sz w:val="24"/>
          <w:szCs w:val="24"/>
        </w:rPr>
        <w:t>。</w:t>
      </w:r>
    </w:p>
    <w:p w14:paraId="512DDA78">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Times New Roman" w:hAnsi="Times New Roman" w:eastAsia="宋体" w:cs="Times New Roman"/>
          <w:color w:val="auto"/>
          <w:sz w:val="28"/>
          <w:szCs w:val="28"/>
          <w:lang w:eastAsia="zh-CN"/>
        </w:rPr>
      </w:pPr>
    </w:p>
    <w:p w14:paraId="0F2A29B9">
      <w:pPr>
        <w:spacing w:line="360" w:lineRule="auto"/>
        <w:jc w:val="center"/>
        <w:rPr>
          <w:rFonts w:hint="eastAsia" w:ascii="黑体" w:hAnsi="黑体" w:eastAsia="黑体" w:cs="黑体"/>
          <w:color w:val="auto"/>
          <w:sz w:val="32"/>
          <w:szCs w:val="32"/>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14:paraId="7BB3A30E">
      <w:pPr>
        <w:spacing w:line="360" w:lineRule="auto"/>
        <w:jc w:val="center"/>
        <w:rPr>
          <w:rFonts w:hint="eastAsia" w:ascii="黑体" w:hAnsi="黑体" w:eastAsia="黑体" w:cs="黑体"/>
          <w:color w:val="auto"/>
          <w:sz w:val="32"/>
          <w:szCs w:val="32"/>
        </w:rPr>
      </w:pPr>
      <w:r>
        <w:rPr>
          <w:rFonts w:hint="eastAsia" w:ascii="黑体" w:hAnsi="黑体" w:eastAsia="黑体" w:cs="黑体"/>
          <w:color w:val="auto"/>
          <w:sz w:val="32"/>
          <w:szCs w:val="32"/>
        </w:rPr>
        <w:t>目</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录</w:t>
      </w:r>
    </w:p>
    <w:sdt>
      <w:sdtPr>
        <w:rPr>
          <w:rFonts w:hint="default" w:ascii="Times New Roman" w:hAnsi="Times New Roman" w:cs="Times New Roman" w:eastAsiaTheme="minorEastAsia"/>
          <w:color w:val="auto"/>
          <w:kern w:val="2"/>
          <w:sz w:val="24"/>
          <w:szCs w:val="24"/>
          <w:lang w:val="en-US" w:eastAsia="zh-CN" w:bidi="ar-SA"/>
        </w:rPr>
        <w:id w:val="147457339"/>
        <w15:color w:val="DBDBDB"/>
        <w:docPartObj>
          <w:docPartGallery w:val="Table of Contents"/>
          <w:docPartUnique/>
        </w:docPartObj>
      </w:sdtPr>
      <w:sdtEndPr>
        <w:rPr>
          <w:rFonts w:hint="eastAsia" w:ascii="宋体" w:hAnsi="宋体" w:eastAsia="宋体" w:cs="宋体"/>
          <w:bCs/>
          <w:color w:val="auto"/>
          <w:kern w:val="2"/>
          <w:sz w:val="24"/>
          <w:szCs w:val="24"/>
          <w:lang w:val="en-US" w:eastAsia="zh-CN" w:bidi="ar-SA"/>
        </w:rPr>
      </w:sdtEndPr>
      <w:sdtContent>
        <w:p w14:paraId="06483769">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center"/>
            <w:textAlignment w:val="auto"/>
            <w:rPr>
              <w:rFonts w:hint="default" w:ascii="Times New Roman" w:hAnsi="Times New Roman" w:cs="Times New Roman" w:eastAsiaTheme="minorEastAsia"/>
              <w:color w:val="auto"/>
              <w:sz w:val="24"/>
              <w:szCs w:val="24"/>
            </w:rPr>
          </w:pPr>
        </w:p>
        <w:p w14:paraId="366D8869">
          <w:pPr>
            <w:pStyle w:val="12"/>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
              <w:bCs/>
              <w:color w:val="auto"/>
              <w:sz w:val="24"/>
              <w:szCs w:val="24"/>
            </w:rPr>
            <w:fldChar w:fldCharType="begin"/>
          </w:r>
          <w:r>
            <w:rPr>
              <w:rFonts w:hint="eastAsia" w:ascii="宋体" w:hAnsi="宋体" w:eastAsia="宋体" w:cs="宋体"/>
              <w:b/>
              <w:bCs/>
              <w:color w:val="auto"/>
              <w:sz w:val="24"/>
              <w:szCs w:val="24"/>
            </w:rPr>
            <w:instrText xml:space="preserve">TOC \o "1-3" \h \u </w:instrText>
          </w:r>
          <w:r>
            <w:rPr>
              <w:rFonts w:hint="eastAsia" w:ascii="宋体" w:hAnsi="宋体" w:eastAsia="宋体" w:cs="宋体"/>
              <w:b/>
              <w:bCs/>
              <w:color w:val="auto"/>
              <w:sz w:val="24"/>
              <w:szCs w:val="24"/>
            </w:rPr>
            <w:fldChar w:fldCharType="separate"/>
          </w: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_Toc13912 </w:instrText>
          </w:r>
          <w:r>
            <w:rPr>
              <w:rFonts w:hint="eastAsia" w:ascii="宋体" w:hAnsi="宋体" w:eastAsia="宋体" w:cs="宋体"/>
              <w:bCs/>
              <w:sz w:val="24"/>
              <w:szCs w:val="24"/>
            </w:rPr>
            <w:fldChar w:fldCharType="separate"/>
          </w:r>
          <w:r>
            <w:rPr>
              <w:rFonts w:hint="eastAsia" w:ascii="宋体" w:hAnsi="宋体" w:eastAsia="宋体" w:cs="宋体"/>
              <w:bCs/>
              <w:sz w:val="24"/>
              <w:szCs w:val="24"/>
            </w:rPr>
            <w:t>第一章</w:t>
          </w:r>
          <w:r>
            <w:rPr>
              <w:rFonts w:hint="eastAsia" w:ascii="宋体" w:hAnsi="宋体" w:eastAsia="宋体" w:cs="宋体"/>
              <w:bCs/>
              <w:sz w:val="24"/>
              <w:szCs w:val="24"/>
              <w:lang w:val="en-US" w:eastAsia="zh-CN"/>
            </w:rPr>
            <w:t xml:space="preserve"> </w:t>
          </w:r>
          <w:r>
            <w:rPr>
              <w:rFonts w:hint="eastAsia" w:ascii="宋体" w:hAnsi="宋体" w:eastAsia="宋体" w:cs="宋体"/>
              <w:bCs/>
              <w:sz w:val="24"/>
              <w:szCs w:val="24"/>
            </w:rPr>
            <w:t>普查工作概况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_Toc13912 \h </w:instrText>
          </w:r>
          <w:r>
            <w:rPr>
              <w:rFonts w:hint="eastAsia" w:ascii="宋体" w:hAnsi="宋体" w:eastAsia="宋体" w:cs="宋体"/>
              <w:sz w:val="24"/>
              <w:szCs w:val="24"/>
            </w:rPr>
            <w:fldChar w:fldCharType="separate"/>
          </w:r>
          <w:r>
            <w:rPr>
              <w:rFonts w:hint="eastAsia" w:ascii="宋体" w:hAnsi="宋体" w:eastAsia="宋体" w:cs="宋体"/>
              <w:sz w:val="24"/>
              <w:szCs w:val="24"/>
            </w:rPr>
            <w:t>- 1 -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23FB1AAD">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_Toc24182 </w:instrText>
          </w:r>
          <w:r>
            <w:rPr>
              <w:rFonts w:hint="eastAsia" w:ascii="宋体" w:hAnsi="宋体" w:eastAsia="宋体" w:cs="宋体"/>
              <w:bCs/>
              <w:sz w:val="24"/>
              <w:szCs w:val="24"/>
            </w:rPr>
            <w:fldChar w:fldCharType="separate"/>
          </w:r>
          <w:r>
            <w:rPr>
              <w:rFonts w:hint="eastAsia" w:ascii="宋体" w:hAnsi="宋体" w:eastAsia="宋体" w:cs="宋体"/>
              <w:bCs/>
              <w:sz w:val="24"/>
              <w:szCs w:val="24"/>
            </w:rPr>
            <w:t>第一节</w:t>
          </w:r>
          <w:r>
            <w:rPr>
              <w:rFonts w:hint="eastAsia" w:ascii="宋体" w:hAnsi="宋体" w:eastAsia="宋体" w:cs="宋体"/>
              <w:bCs/>
              <w:sz w:val="24"/>
              <w:szCs w:val="24"/>
              <w:lang w:val="en-US" w:eastAsia="zh-CN"/>
            </w:rPr>
            <w:t xml:space="preserve"> </w:t>
          </w:r>
          <w:r>
            <w:rPr>
              <w:rFonts w:hint="eastAsia" w:ascii="宋体" w:hAnsi="宋体" w:eastAsia="宋体" w:cs="宋体"/>
              <w:bCs/>
              <w:sz w:val="24"/>
              <w:szCs w:val="24"/>
            </w:rPr>
            <w:t>目标任务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_Toc24182 \h </w:instrText>
          </w:r>
          <w:r>
            <w:rPr>
              <w:rFonts w:hint="eastAsia" w:ascii="宋体" w:hAnsi="宋体" w:eastAsia="宋体" w:cs="宋体"/>
              <w:sz w:val="24"/>
              <w:szCs w:val="24"/>
            </w:rPr>
            <w:fldChar w:fldCharType="separate"/>
          </w:r>
          <w:r>
            <w:rPr>
              <w:rFonts w:hint="eastAsia" w:ascii="宋体" w:hAnsi="宋体" w:eastAsia="宋体" w:cs="宋体"/>
              <w:sz w:val="24"/>
              <w:szCs w:val="24"/>
            </w:rPr>
            <w:t>- 1 -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62CC5D6A">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_Toc7675 </w:instrText>
          </w:r>
          <w:r>
            <w:rPr>
              <w:rFonts w:hint="eastAsia" w:ascii="宋体" w:hAnsi="宋体" w:eastAsia="宋体" w:cs="宋体"/>
              <w:bCs/>
              <w:sz w:val="24"/>
              <w:szCs w:val="24"/>
            </w:rPr>
            <w:fldChar w:fldCharType="separate"/>
          </w:r>
          <w:r>
            <w:rPr>
              <w:rFonts w:hint="eastAsia" w:ascii="宋体" w:hAnsi="宋体" w:eastAsia="宋体" w:cs="宋体"/>
              <w:bCs/>
              <w:sz w:val="24"/>
              <w:szCs w:val="24"/>
            </w:rPr>
            <w:t>一、</w:t>
          </w:r>
          <w:r>
            <w:rPr>
              <w:rFonts w:hint="eastAsia" w:ascii="宋体" w:hAnsi="宋体" w:eastAsia="宋体" w:cs="宋体"/>
              <w:bCs/>
              <w:sz w:val="24"/>
              <w:szCs w:val="24"/>
              <w:lang w:eastAsia="zh-CN"/>
            </w:rPr>
            <w:t>普查对象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_Toc7675 \h </w:instrText>
          </w:r>
          <w:r>
            <w:rPr>
              <w:rFonts w:hint="eastAsia" w:ascii="宋体" w:hAnsi="宋体" w:eastAsia="宋体" w:cs="宋体"/>
              <w:sz w:val="24"/>
              <w:szCs w:val="24"/>
            </w:rPr>
            <w:fldChar w:fldCharType="separate"/>
          </w:r>
          <w:r>
            <w:rPr>
              <w:rFonts w:hint="eastAsia" w:ascii="宋体" w:hAnsi="宋体" w:eastAsia="宋体" w:cs="宋体"/>
              <w:sz w:val="24"/>
              <w:szCs w:val="24"/>
            </w:rPr>
            <w:t>- 1 -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7FD0A5B7">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_Toc26304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二</w:t>
          </w:r>
          <w:r>
            <w:rPr>
              <w:rFonts w:hint="eastAsia" w:ascii="宋体" w:hAnsi="宋体" w:eastAsia="宋体" w:cs="宋体"/>
              <w:bCs/>
              <w:sz w:val="24"/>
              <w:szCs w:val="24"/>
            </w:rPr>
            <w:t>、</w:t>
          </w:r>
          <w:r>
            <w:rPr>
              <w:rFonts w:hint="eastAsia" w:ascii="宋体" w:hAnsi="宋体" w:eastAsia="宋体" w:cs="宋体"/>
              <w:bCs/>
              <w:sz w:val="24"/>
              <w:szCs w:val="24"/>
              <w:lang w:eastAsia="zh-CN"/>
            </w:rPr>
            <w:t>普查范围</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_Toc26304 \h </w:instrText>
          </w:r>
          <w:r>
            <w:rPr>
              <w:rFonts w:hint="eastAsia" w:ascii="宋体" w:hAnsi="宋体" w:eastAsia="宋体" w:cs="宋体"/>
              <w:sz w:val="24"/>
              <w:szCs w:val="24"/>
            </w:rPr>
            <w:fldChar w:fldCharType="separate"/>
          </w:r>
          <w:r>
            <w:rPr>
              <w:rFonts w:hint="eastAsia" w:ascii="宋体" w:hAnsi="宋体" w:eastAsia="宋体" w:cs="宋体"/>
              <w:sz w:val="24"/>
              <w:szCs w:val="24"/>
            </w:rPr>
            <w:t>- 1 -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1B15C1BC">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_Toc10664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三</w:t>
          </w:r>
          <w:r>
            <w:rPr>
              <w:rFonts w:hint="eastAsia" w:ascii="宋体" w:hAnsi="宋体" w:eastAsia="宋体" w:cs="宋体"/>
              <w:bCs/>
              <w:sz w:val="24"/>
              <w:szCs w:val="24"/>
            </w:rPr>
            <w:t>、</w:t>
          </w:r>
          <w:r>
            <w:rPr>
              <w:rFonts w:hint="eastAsia" w:ascii="宋体" w:hAnsi="宋体" w:eastAsia="宋体" w:cs="宋体"/>
              <w:bCs/>
              <w:sz w:val="24"/>
              <w:szCs w:val="24"/>
              <w:lang w:eastAsia="zh-CN"/>
            </w:rPr>
            <w:t>任务目标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_Toc10664 \h </w:instrText>
          </w:r>
          <w:r>
            <w:rPr>
              <w:rFonts w:hint="eastAsia" w:ascii="宋体" w:hAnsi="宋体" w:eastAsia="宋体" w:cs="宋体"/>
              <w:sz w:val="24"/>
              <w:szCs w:val="24"/>
            </w:rPr>
            <w:fldChar w:fldCharType="separate"/>
          </w:r>
          <w:r>
            <w:rPr>
              <w:rFonts w:hint="eastAsia" w:ascii="宋体" w:hAnsi="宋体" w:eastAsia="宋体" w:cs="宋体"/>
              <w:sz w:val="24"/>
              <w:szCs w:val="24"/>
            </w:rPr>
            <w:t>- 1 -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7051841D">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_Toc12218 </w:instrText>
          </w:r>
          <w:r>
            <w:rPr>
              <w:rFonts w:hint="eastAsia" w:ascii="宋体" w:hAnsi="宋体" w:eastAsia="宋体" w:cs="宋体"/>
              <w:bCs/>
              <w:sz w:val="24"/>
              <w:szCs w:val="24"/>
            </w:rPr>
            <w:fldChar w:fldCharType="separate"/>
          </w:r>
          <w:r>
            <w:rPr>
              <w:rFonts w:hint="eastAsia" w:ascii="宋体" w:hAnsi="宋体" w:eastAsia="宋体" w:cs="宋体"/>
              <w:bCs/>
              <w:sz w:val="24"/>
              <w:szCs w:val="24"/>
            </w:rPr>
            <w:t>第</w:t>
          </w:r>
          <w:r>
            <w:rPr>
              <w:rFonts w:hint="eastAsia" w:ascii="宋体" w:hAnsi="宋体" w:eastAsia="宋体" w:cs="宋体"/>
              <w:bCs/>
              <w:sz w:val="24"/>
              <w:szCs w:val="24"/>
              <w:lang w:eastAsia="zh-CN"/>
            </w:rPr>
            <w:t>二</w:t>
          </w:r>
          <w:r>
            <w:rPr>
              <w:rFonts w:hint="eastAsia" w:ascii="宋体" w:hAnsi="宋体" w:eastAsia="宋体" w:cs="宋体"/>
              <w:bCs/>
              <w:sz w:val="24"/>
              <w:szCs w:val="24"/>
            </w:rPr>
            <w:t>节</w:t>
          </w:r>
          <w:r>
            <w:rPr>
              <w:rFonts w:hint="eastAsia" w:ascii="宋体" w:hAnsi="宋体" w:eastAsia="宋体" w:cs="宋体"/>
              <w:bCs/>
              <w:sz w:val="24"/>
              <w:szCs w:val="24"/>
              <w:lang w:val="en-US" w:eastAsia="zh-CN"/>
            </w:rPr>
            <w:t xml:space="preserve"> </w:t>
          </w:r>
          <w:r>
            <w:rPr>
              <w:rFonts w:hint="eastAsia" w:ascii="宋体" w:hAnsi="宋体" w:eastAsia="宋体" w:cs="宋体"/>
              <w:bCs/>
              <w:sz w:val="24"/>
              <w:szCs w:val="24"/>
              <w:lang w:eastAsia="zh-CN"/>
            </w:rPr>
            <w:t>基本原则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_Toc12218 \h </w:instrText>
          </w:r>
          <w:r>
            <w:rPr>
              <w:rFonts w:hint="eastAsia" w:ascii="宋体" w:hAnsi="宋体" w:eastAsia="宋体" w:cs="宋体"/>
              <w:sz w:val="24"/>
              <w:szCs w:val="24"/>
            </w:rPr>
            <w:fldChar w:fldCharType="separate"/>
          </w:r>
          <w:r>
            <w:rPr>
              <w:rFonts w:hint="eastAsia" w:ascii="宋体" w:hAnsi="宋体" w:eastAsia="宋体" w:cs="宋体"/>
              <w:sz w:val="24"/>
              <w:szCs w:val="24"/>
            </w:rPr>
            <w:t>- 2 -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7C2BDF9E">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_Toc32210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一、</w:t>
          </w:r>
          <w:r>
            <w:rPr>
              <w:rFonts w:hint="eastAsia" w:ascii="宋体" w:hAnsi="宋体" w:eastAsia="宋体" w:cs="宋体"/>
              <w:bCs/>
              <w:sz w:val="24"/>
              <w:szCs w:val="24"/>
            </w:rPr>
            <w:t>普适性原则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_Toc32210 \h </w:instrText>
          </w:r>
          <w:r>
            <w:rPr>
              <w:rFonts w:hint="eastAsia" w:ascii="宋体" w:hAnsi="宋体" w:eastAsia="宋体" w:cs="宋体"/>
              <w:sz w:val="24"/>
              <w:szCs w:val="24"/>
            </w:rPr>
            <w:fldChar w:fldCharType="separate"/>
          </w:r>
          <w:r>
            <w:rPr>
              <w:rFonts w:hint="eastAsia" w:ascii="宋体" w:hAnsi="宋体" w:eastAsia="宋体" w:cs="宋体"/>
              <w:sz w:val="24"/>
              <w:szCs w:val="24"/>
            </w:rPr>
            <w:t>- 2 -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2DD1A5A9">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_Toc19601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二、可操作性原则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_Toc19601 \h </w:instrText>
          </w:r>
          <w:r>
            <w:rPr>
              <w:rFonts w:hint="eastAsia" w:ascii="宋体" w:hAnsi="宋体" w:eastAsia="宋体" w:cs="宋体"/>
              <w:sz w:val="24"/>
              <w:szCs w:val="24"/>
            </w:rPr>
            <w:fldChar w:fldCharType="separate"/>
          </w:r>
          <w:r>
            <w:rPr>
              <w:rFonts w:hint="eastAsia" w:ascii="宋体" w:hAnsi="宋体" w:eastAsia="宋体" w:cs="宋体"/>
              <w:sz w:val="24"/>
              <w:szCs w:val="24"/>
            </w:rPr>
            <w:t>- 2 -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495BCE0">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_Toc26481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三、信息化原则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_Toc26481 \h </w:instrText>
          </w:r>
          <w:r>
            <w:rPr>
              <w:rFonts w:hint="eastAsia" w:ascii="宋体" w:hAnsi="宋体" w:eastAsia="宋体" w:cs="宋体"/>
              <w:sz w:val="24"/>
              <w:szCs w:val="24"/>
            </w:rPr>
            <w:fldChar w:fldCharType="separate"/>
          </w:r>
          <w:r>
            <w:rPr>
              <w:rFonts w:hint="eastAsia" w:ascii="宋体" w:hAnsi="宋体" w:eastAsia="宋体" w:cs="宋体"/>
              <w:sz w:val="24"/>
              <w:szCs w:val="24"/>
            </w:rPr>
            <w:t>- 3 -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4BD64C74">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_Toc10989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四、传承性原则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_Toc10989 \h </w:instrText>
          </w:r>
          <w:r>
            <w:rPr>
              <w:rFonts w:hint="eastAsia" w:ascii="宋体" w:hAnsi="宋体" w:eastAsia="宋体" w:cs="宋体"/>
              <w:sz w:val="24"/>
              <w:szCs w:val="24"/>
            </w:rPr>
            <w:fldChar w:fldCharType="separate"/>
          </w:r>
          <w:r>
            <w:rPr>
              <w:rFonts w:hint="eastAsia" w:ascii="宋体" w:hAnsi="宋体" w:eastAsia="宋体" w:cs="宋体"/>
              <w:sz w:val="24"/>
              <w:szCs w:val="24"/>
            </w:rPr>
            <w:t>- 3 -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6B1769E7">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_Toc26576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五、创新性原则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_Toc26576 \h </w:instrText>
          </w:r>
          <w:r>
            <w:rPr>
              <w:rFonts w:hint="eastAsia" w:ascii="宋体" w:hAnsi="宋体" w:eastAsia="宋体" w:cs="宋体"/>
              <w:sz w:val="24"/>
              <w:szCs w:val="24"/>
            </w:rPr>
            <w:fldChar w:fldCharType="separate"/>
          </w:r>
          <w:r>
            <w:rPr>
              <w:rFonts w:hint="eastAsia" w:ascii="宋体" w:hAnsi="宋体" w:eastAsia="宋体" w:cs="宋体"/>
              <w:sz w:val="24"/>
              <w:szCs w:val="24"/>
            </w:rPr>
            <w:t>- 3 -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343C8866">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_Toc4111 </w:instrText>
          </w:r>
          <w:r>
            <w:rPr>
              <w:rFonts w:hint="eastAsia" w:ascii="宋体" w:hAnsi="宋体" w:eastAsia="宋体" w:cs="宋体"/>
              <w:bCs/>
              <w:sz w:val="24"/>
              <w:szCs w:val="24"/>
            </w:rPr>
            <w:fldChar w:fldCharType="separate"/>
          </w:r>
          <w:r>
            <w:rPr>
              <w:rFonts w:hint="eastAsia" w:ascii="宋体" w:hAnsi="宋体" w:eastAsia="宋体" w:cs="宋体"/>
              <w:bCs/>
              <w:sz w:val="24"/>
              <w:szCs w:val="24"/>
            </w:rPr>
            <w:t>第</w:t>
          </w:r>
          <w:r>
            <w:rPr>
              <w:rFonts w:hint="eastAsia" w:ascii="宋体" w:hAnsi="宋体" w:eastAsia="宋体" w:cs="宋体"/>
              <w:bCs/>
              <w:sz w:val="24"/>
              <w:szCs w:val="24"/>
              <w:lang w:eastAsia="zh-CN"/>
            </w:rPr>
            <w:t>三</w:t>
          </w:r>
          <w:r>
            <w:rPr>
              <w:rFonts w:hint="eastAsia" w:ascii="宋体" w:hAnsi="宋体" w:eastAsia="宋体" w:cs="宋体"/>
              <w:bCs/>
              <w:sz w:val="24"/>
              <w:szCs w:val="24"/>
            </w:rPr>
            <w:t>节</w:t>
          </w:r>
          <w:r>
            <w:rPr>
              <w:rFonts w:hint="eastAsia" w:ascii="宋体" w:hAnsi="宋体" w:eastAsia="宋体" w:cs="宋体"/>
              <w:bCs/>
              <w:sz w:val="24"/>
              <w:szCs w:val="24"/>
              <w:lang w:val="en-US" w:eastAsia="zh-CN"/>
            </w:rPr>
            <w:t xml:space="preserve"> </w:t>
          </w:r>
          <w:r>
            <w:rPr>
              <w:rFonts w:hint="eastAsia" w:ascii="宋体" w:hAnsi="宋体" w:eastAsia="宋体" w:cs="宋体"/>
              <w:bCs/>
              <w:sz w:val="24"/>
              <w:szCs w:val="24"/>
              <w:lang w:eastAsia="zh-CN"/>
            </w:rPr>
            <w:t>技术规范</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_Toc4111 \h </w:instrText>
          </w:r>
          <w:r>
            <w:rPr>
              <w:rFonts w:hint="eastAsia" w:ascii="宋体" w:hAnsi="宋体" w:eastAsia="宋体" w:cs="宋体"/>
              <w:sz w:val="24"/>
              <w:szCs w:val="24"/>
            </w:rPr>
            <w:fldChar w:fldCharType="separate"/>
          </w:r>
          <w:r>
            <w:rPr>
              <w:rFonts w:hint="eastAsia" w:ascii="宋体" w:hAnsi="宋体" w:eastAsia="宋体" w:cs="宋体"/>
              <w:sz w:val="24"/>
              <w:szCs w:val="24"/>
            </w:rPr>
            <w:t>- 3 -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1A482D72">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_Toc23503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一、技术标准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_Toc23503 \h </w:instrText>
          </w:r>
          <w:r>
            <w:rPr>
              <w:rFonts w:hint="eastAsia" w:ascii="宋体" w:hAnsi="宋体" w:eastAsia="宋体" w:cs="宋体"/>
              <w:sz w:val="24"/>
              <w:szCs w:val="24"/>
            </w:rPr>
            <w:fldChar w:fldCharType="separate"/>
          </w:r>
          <w:r>
            <w:rPr>
              <w:rFonts w:hint="eastAsia" w:ascii="宋体" w:hAnsi="宋体" w:eastAsia="宋体" w:cs="宋体"/>
              <w:sz w:val="24"/>
              <w:szCs w:val="24"/>
            </w:rPr>
            <w:t>- 4 -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8ED3CFC">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_Toc18314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二、</w:t>
          </w:r>
          <w:r>
            <w:rPr>
              <w:rFonts w:hint="eastAsia" w:ascii="宋体" w:hAnsi="宋体" w:eastAsia="宋体" w:cs="宋体"/>
              <w:bCs/>
              <w:sz w:val="24"/>
              <w:szCs w:val="24"/>
            </w:rPr>
            <w:t>政策法规依据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_Toc18314 \h </w:instrText>
          </w:r>
          <w:r>
            <w:rPr>
              <w:rFonts w:hint="eastAsia" w:ascii="宋体" w:hAnsi="宋体" w:eastAsia="宋体" w:cs="宋体"/>
              <w:sz w:val="24"/>
              <w:szCs w:val="24"/>
            </w:rPr>
            <w:fldChar w:fldCharType="separate"/>
          </w:r>
          <w:r>
            <w:rPr>
              <w:rFonts w:hint="eastAsia" w:ascii="宋体" w:hAnsi="宋体" w:eastAsia="宋体" w:cs="宋体"/>
              <w:sz w:val="24"/>
              <w:szCs w:val="24"/>
            </w:rPr>
            <w:t>- 4 -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7063CC3C">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_Toc535 </w:instrText>
          </w:r>
          <w:r>
            <w:rPr>
              <w:rFonts w:hint="eastAsia" w:ascii="宋体" w:hAnsi="宋体" w:eastAsia="宋体" w:cs="宋体"/>
              <w:bCs/>
              <w:sz w:val="24"/>
              <w:szCs w:val="24"/>
            </w:rPr>
            <w:fldChar w:fldCharType="separate"/>
          </w:r>
          <w:r>
            <w:rPr>
              <w:rFonts w:hint="eastAsia" w:ascii="宋体" w:hAnsi="宋体" w:eastAsia="宋体" w:cs="宋体"/>
              <w:bCs/>
              <w:sz w:val="24"/>
              <w:szCs w:val="24"/>
            </w:rPr>
            <w:t>第</w:t>
          </w:r>
          <w:r>
            <w:rPr>
              <w:rFonts w:hint="eastAsia" w:ascii="宋体" w:hAnsi="宋体" w:eastAsia="宋体" w:cs="宋体"/>
              <w:bCs/>
              <w:sz w:val="24"/>
              <w:szCs w:val="24"/>
              <w:lang w:eastAsia="zh-CN"/>
            </w:rPr>
            <w:t>四</w:t>
          </w:r>
          <w:r>
            <w:rPr>
              <w:rFonts w:hint="eastAsia" w:ascii="宋体" w:hAnsi="宋体" w:eastAsia="宋体" w:cs="宋体"/>
              <w:bCs/>
              <w:sz w:val="24"/>
              <w:szCs w:val="24"/>
            </w:rPr>
            <w:t>节</w:t>
          </w:r>
          <w:r>
            <w:rPr>
              <w:rFonts w:hint="eastAsia" w:ascii="宋体" w:hAnsi="宋体" w:eastAsia="宋体" w:cs="宋体"/>
              <w:bCs/>
              <w:sz w:val="24"/>
              <w:szCs w:val="24"/>
              <w:lang w:val="en-US" w:eastAsia="zh-CN"/>
            </w:rPr>
            <w:t xml:space="preserve"> </w:t>
          </w:r>
          <w:r>
            <w:rPr>
              <w:rFonts w:hint="eastAsia" w:ascii="宋体" w:hAnsi="宋体" w:eastAsia="宋体" w:cs="宋体"/>
              <w:bCs/>
              <w:sz w:val="24"/>
              <w:szCs w:val="24"/>
              <w:lang w:eastAsia="zh-CN"/>
            </w:rPr>
            <w:t>工作路径</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_Toc535 \h </w:instrText>
          </w:r>
          <w:r>
            <w:rPr>
              <w:rFonts w:hint="eastAsia" w:ascii="宋体" w:hAnsi="宋体" w:eastAsia="宋体" w:cs="宋体"/>
              <w:sz w:val="24"/>
              <w:szCs w:val="24"/>
            </w:rPr>
            <w:fldChar w:fldCharType="separate"/>
          </w:r>
          <w:r>
            <w:rPr>
              <w:rFonts w:hint="eastAsia" w:ascii="宋体" w:hAnsi="宋体" w:eastAsia="宋体" w:cs="宋体"/>
              <w:sz w:val="24"/>
              <w:szCs w:val="24"/>
            </w:rPr>
            <w:t>- 4 -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286FFEDF">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_Toc22819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一、焦作市普查机构及职责</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_Toc22819 \h </w:instrText>
          </w:r>
          <w:r>
            <w:rPr>
              <w:rFonts w:hint="eastAsia" w:ascii="宋体" w:hAnsi="宋体" w:eastAsia="宋体" w:cs="宋体"/>
              <w:sz w:val="24"/>
              <w:szCs w:val="24"/>
            </w:rPr>
            <w:fldChar w:fldCharType="separate"/>
          </w:r>
          <w:r>
            <w:rPr>
              <w:rFonts w:hint="eastAsia" w:ascii="宋体" w:hAnsi="宋体" w:eastAsia="宋体" w:cs="宋体"/>
              <w:sz w:val="24"/>
              <w:szCs w:val="24"/>
            </w:rPr>
            <w:t>- 5 -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A21A523">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_Toc23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二、工作路径</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 \h </w:instrText>
          </w:r>
          <w:r>
            <w:rPr>
              <w:rFonts w:hint="eastAsia" w:ascii="宋体" w:hAnsi="宋体" w:eastAsia="宋体" w:cs="宋体"/>
              <w:sz w:val="24"/>
              <w:szCs w:val="24"/>
            </w:rPr>
            <w:fldChar w:fldCharType="separate"/>
          </w:r>
          <w:r>
            <w:rPr>
              <w:rFonts w:hint="eastAsia" w:ascii="宋体" w:hAnsi="宋体" w:eastAsia="宋体" w:cs="宋体"/>
              <w:sz w:val="24"/>
              <w:szCs w:val="24"/>
            </w:rPr>
            <w:t>- 5 -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38DDED96">
          <w:pPr>
            <w:pStyle w:val="12"/>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_Toc1633 </w:instrText>
          </w:r>
          <w:r>
            <w:rPr>
              <w:rFonts w:hint="eastAsia" w:ascii="宋体" w:hAnsi="宋体" w:eastAsia="宋体" w:cs="宋体"/>
              <w:bCs/>
              <w:sz w:val="24"/>
              <w:szCs w:val="24"/>
            </w:rPr>
            <w:fldChar w:fldCharType="separate"/>
          </w:r>
          <w:r>
            <w:rPr>
              <w:rFonts w:hint="eastAsia" w:ascii="宋体" w:hAnsi="宋体" w:eastAsia="宋体" w:cs="宋体"/>
              <w:bCs/>
              <w:sz w:val="24"/>
              <w:szCs w:val="24"/>
            </w:rPr>
            <w:t>第</w:t>
          </w:r>
          <w:r>
            <w:rPr>
              <w:rFonts w:hint="eastAsia" w:ascii="宋体" w:hAnsi="宋体" w:eastAsia="宋体" w:cs="宋体"/>
              <w:bCs/>
              <w:sz w:val="24"/>
              <w:szCs w:val="24"/>
              <w:lang w:eastAsia="zh-CN"/>
            </w:rPr>
            <w:t>二</w:t>
          </w:r>
          <w:r>
            <w:rPr>
              <w:rFonts w:hint="eastAsia" w:ascii="宋体" w:hAnsi="宋体" w:eastAsia="宋体" w:cs="宋体"/>
              <w:bCs/>
              <w:sz w:val="24"/>
              <w:szCs w:val="24"/>
            </w:rPr>
            <w:t>章</w:t>
          </w:r>
          <w:r>
            <w:rPr>
              <w:rFonts w:hint="eastAsia" w:ascii="宋体" w:hAnsi="宋体" w:eastAsia="宋体" w:cs="宋体"/>
              <w:bCs/>
              <w:sz w:val="24"/>
              <w:szCs w:val="24"/>
              <w:lang w:val="en-US" w:eastAsia="zh-CN"/>
            </w:rPr>
            <w:t xml:space="preserve"> 焦作市基本情况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_Toc1633 \h </w:instrText>
          </w:r>
          <w:r>
            <w:rPr>
              <w:rFonts w:hint="eastAsia" w:ascii="宋体" w:hAnsi="宋体" w:eastAsia="宋体" w:cs="宋体"/>
              <w:sz w:val="24"/>
              <w:szCs w:val="24"/>
            </w:rPr>
            <w:fldChar w:fldCharType="separate"/>
          </w:r>
          <w:r>
            <w:rPr>
              <w:rFonts w:hint="eastAsia" w:ascii="宋体" w:hAnsi="宋体" w:eastAsia="宋体" w:cs="宋体"/>
              <w:sz w:val="24"/>
              <w:szCs w:val="24"/>
            </w:rPr>
            <w:t>- 7 -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3EEB9DDF">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_Toc17347 </w:instrText>
          </w:r>
          <w:r>
            <w:rPr>
              <w:rFonts w:hint="eastAsia" w:ascii="宋体" w:hAnsi="宋体" w:eastAsia="宋体" w:cs="宋体"/>
              <w:bCs/>
              <w:sz w:val="24"/>
              <w:szCs w:val="24"/>
            </w:rPr>
            <w:fldChar w:fldCharType="separate"/>
          </w:r>
          <w:r>
            <w:rPr>
              <w:rFonts w:hint="eastAsia" w:ascii="宋体" w:hAnsi="宋体" w:eastAsia="宋体" w:cs="宋体"/>
              <w:bCs/>
              <w:sz w:val="24"/>
              <w:szCs w:val="24"/>
            </w:rPr>
            <w:t>第</w:t>
          </w:r>
          <w:r>
            <w:rPr>
              <w:rFonts w:hint="eastAsia" w:ascii="宋体" w:hAnsi="宋体" w:eastAsia="宋体" w:cs="宋体"/>
              <w:bCs/>
              <w:sz w:val="24"/>
              <w:szCs w:val="24"/>
              <w:lang w:eastAsia="zh-CN"/>
            </w:rPr>
            <w:t>一</w:t>
          </w:r>
          <w:r>
            <w:rPr>
              <w:rFonts w:hint="eastAsia" w:ascii="宋体" w:hAnsi="宋体" w:eastAsia="宋体" w:cs="宋体"/>
              <w:bCs/>
              <w:sz w:val="24"/>
              <w:szCs w:val="24"/>
            </w:rPr>
            <w:t>节</w:t>
          </w:r>
          <w:r>
            <w:rPr>
              <w:rFonts w:hint="eastAsia" w:ascii="宋体" w:hAnsi="宋体" w:eastAsia="宋体" w:cs="宋体"/>
              <w:bCs/>
              <w:sz w:val="24"/>
              <w:szCs w:val="24"/>
              <w:lang w:val="en-US" w:eastAsia="zh-CN"/>
            </w:rPr>
            <w:t xml:space="preserve"> </w:t>
          </w:r>
          <w:r>
            <w:rPr>
              <w:rFonts w:hint="eastAsia" w:ascii="宋体" w:hAnsi="宋体" w:eastAsia="宋体" w:cs="宋体"/>
              <w:bCs/>
              <w:sz w:val="24"/>
              <w:szCs w:val="24"/>
              <w:lang w:eastAsia="zh-CN"/>
            </w:rPr>
            <w:t>地理位置及区位交通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_Toc17347 \h </w:instrText>
          </w:r>
          <w:r>
            <w:rPr>
              <w:rFonts w:hint="eastAsia" w:ascii="宋体" w:hAnsi="宋体" w:eastAsia="宋体" w:cs="宋体"/>
              <w:sz w:val="24"/>
              <w:szCs w:val="24"/>
            </w:rPr>
            <w:fldChar w:fldCharType="separate"/>
          </w:r>
          <w:r>
            <w:rPr>
              <w:rFonts w:hint="eastAsia" w:ascii="宋体" w:hAnsi="宋体" w:eastAsia="宋体" w:cs="宋体"/>
              <w:sz w:val="24"/>
              <w:szCs w:val="24"/>
            </w:rPr>
            <w:t>- 7 -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6DFD7B87">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_Toc5576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一、地理位置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_Toc5576 \h </w:instrText>
          </w:r>
          <w:r>
            <w:rPr>
              <w:rFonts w:hint="eastAsia" w:ascii="宋体" w:hAnsi="宋体" w:eastAsia="宋体" w:cs="宋体"/>
              <w:sz w:val="24"/>
              <w:szCs w:val="24"/>
            </w:rPr>
            <w:fldChar w:fldCharType="separate"/>
          </w:r>
          <w:r>
            <w:rPr>
              <w:rFonts w:hint="eastAsia" w:ascii="宋体" w:hAnsi="宋体" w:eastAsia="宋体" w:cs="宋体"/>
              <w:sz w:val="24"/>
              <w:szCs w:val="24"/>
            </w:rPr>
            <w:t>- 7 -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5B3C2399">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_Toc20586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二、区位交通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_Toc20586 \h </w:instrText>
          </w:r>
          <w:r>
            <w:rPr>
              <w:rFonts w:hint="eastAsia" w:ascii="宋体" w:hAnsi="宋体" w:eastAsia="宋体" w:cs="宋体"/>
              <w:sz w:val="24"/>
              <w:szCs w:val="24"/>
            </w:rPr>
            <w:fldChar w:fldCharType="separate"/>
          </w:r>
          <w:r>
            <w:rPr>
              <w:rFonts w:hint="eastAsia" w:ascii="宋体" w:hAnsi="宋体" w:eastAsia="宋体" w:cs="宋体"/>
              <w:sz w:val="24"/>
              <w:szCs w:val="24"/>
            </w:rPr>
            <w:t>- 10 -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1470CA3D">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_Toc24800 </w:instrText>
          </w:r>
          <w:r>
            <w:rPr>
              <w:rFonts w:hint="eastAsia" w:ascii="宋体" w:hAnsi="宋体" w:eastAsia="宋体" w:cs="宋体"/>
              <w:bCs/>
              <w:sz w:val="24"/>
              <w:szCs w:val="24"/>
            </w:rPr>
            <w:fldChar w:fldCharType="separate"/>
          </w:r>
          <w:r>
            <w:rPr>
              <w:rFonts w:hint="eastAsia" w:ascii="宋体" w:hAnsi="宋体" w:eastAsia="宋体" w:cs="宋体"/>
              <w:bCs/>
              <w:sz w:val="24"/>
              <w:szCs w:val="24"/>
            </w:rPr>
            <w:t>第</w:t>
          </w:r>
          <w:r>
            <w:rPr>
              <w:rFonts w:hint="eastAsia" w:ascii="宋体" w:hAnsi="宋体" w:eastAsia="宋体" w:cs="宋体"/>
              <w:bCs/>
              <w:sz w:val="24"/>
              <w:szCs w:val="24"/>
              <w:lang w:eastAsia="zh-CN"/>
            </w:rPr>
            <w:t>二</w:t>
          </w:r>
          <w:r>
            <w:rPr>
              <w:rFonts w:hint="eastAsia" w:ascii="宋体" w:hAnsi="宋体" w:eastAsia="宋体" w:cs="宋体"/>
              <w:bCs/>
              <w:sz w:val="24"/>
              <w:szCs w:val="24"/>
            </w:rPr>
            <w:t>节</w:t>
          </w:r>
          <w:r>
            <w:rPr>
              <w:rFonts w:hint="eastAsia" w:ascii="宋体" w:hAnsi="宋体" w:eastAsia="宋体" w:cs="宋体"/>
              <w:bCs/>
              <w:sz w:val="24"/>
              <w:szCs w:val="24"/>
              <w:lang w:val="en-US" w:eastAsia="zh-CN"/>
            </w:rPr>
            <w:t xml:space="preserve"> </w:t>
          </w:r>
          <w:r>
            <w:rPr>
              <w:rFonts w:hint="eastAsia" w:ascii="宋体" w:hAnsi="宋体" w:eastAsia="宋体" w:cs="宋体"/>
              <w:bCs/>
              <w:sz w:val="24"/>
              <w:szCs w:val="24"/>
              <w:lang w:eastAsia="zh-CN"/>
            </w:rPr>
            <w:t>自然地理环境</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_Toc24800 \h </w:instrText>
          </w:r>
          <w:r>
            <w:rPr>
              <w:rFonts w:hint="eastAsia" w:ascii="宋体" w:hAnsi="宋体" w:eastAsia="宋体" w:cs="宋体"/>
              <w:sz w:val="24"/>
              <w:szCs w:val="24"/>
            </w:rPr>
            <w:fldChar w:fldCharType="separate"/>
          </w:r>
          <w:r>
            <w:rPr>
              <w:rFonts w:hint="eastAsia" w:ascii="宋体" w:hAnsi="宋体" w:eastAsia="宋体" w:cs="宋体"/>
              <w:sz w:val="24"/>
              <w:szCs w:val="24"/>
            </w:rPr>
            <w:t>- 12 -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1CF4702B">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_Toc14112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一、地形特征与地质构造</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_Toc14112 \h </w:instrText>
          </w:r>
          <w:r>
            <w:rPr>
              <w:rFonts w:hint="eastAsia" w:ascii="宋体" w:hAnsi="宋体" w:eastAsia="宋体" w:cs="宋体"/>
              <w:sz w:val="24"/>
              <w:szCs w:val="24"/>
            </w:rPr>
            <w:fldChar w:fldCharType="separate"/>
          </w:r>
          <w:r>
            <w:rPr>
              <w:rFonts w:hint="eastAsia" w:ascii="宋体" w:hAnsi="宋体" w:eastAsia="宋体" w:cs="宋体"/>
              <w:sz w:val="24"/>
              <w:szCs w:val="24"/>
            </w:rPr>
            <w:t>- 12 -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26AF3EAA">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_Toc878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二、气候特征与气象规律</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_Toc878 \h </w:instrText>
          </w:r>
          <w:r>
            <w:rPr>
              <w:rFonts w:hint="eastAsia" w:ascii="宋体" w:hAnsi="宋体" w:eastAsia="宋体" w:cs="宋体"/>
              <w:sz w:val="24"/>
              <w:szCs w:val="24"/>
            </w:rPr>
            <w:fldChar w:fldCharType="separate"/>
          </w:r>
          <w:r>
            <w:rPr>
              <w:rFonts w:hint="eastAsia" w:ascii="宋体" w:hAnsi="宋体" w:eastAsia="宋体" w:cs="宋体"/>
              <w:sz w:val="24"/>
              <w:szCs w:val="24"/>
            </w:rPr>
            <w:t>- 13 -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2233B43">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_Toc16266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三、水文系统与水资源</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_Toc16266 \h </w:instrText>
          </w:r>
          <w:r>
            <w:rPr>
              <w:rFonts w:hint="eastAsia" w:ascii="宋体" w:hAnsi="宋体" w:eastAsia="宋体" w:cs="宋体"/>
              <w:sz w:val="24"/>
              <w:szCs w:val="24"/>
            </w:rPr>
            <w:fldChar w:fldCharType="separate"/>
          </w:r>
          <w:r>
            <w:rPr>
              <w:rFonts w:hint="eastAsia" w:ascii="宋体" w:hAnsi="宋体" w:eastAsia="宋体" w:cs="宋体"/>
              <w:sz w:val="24"/>
              <w:szCs w:val="24"/>
            </w:rPr>
            <w:t>- 13 -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564A464B">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_Toc15760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四、土壤类型与植被分布</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_Toc15760 \h </w:instrText>
          </w:r>
          <w:r>
            <w:rPr>
              <w:rFonts w:hint="eastAsia" w:ascii="宋体" w:hAnsi="宋体" w:eastAsia="宋体" w:cs="宋体"/>
              <w:sz w:val="24"/>
              <w:szCs w:val="24"/>
            </w:rPr>
            <w:fldChar w:fldCharType="separate"/>
          </w:r>
          <w:r>
            <w:rPr>
              <w:rFonts w:hint="eastAsia" w:ascii="宋体" w:hAnsi="宋体" w:eastAsia="宋体" w:cs="宋体"/>
              <w:sz w:val="24"/>
              <w:szCs w:val="24"/>
            </w:rPr>
            <w:t>- 13 -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59B09956">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_Toc11290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五、自然资源禀赋</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_Toc11290 \h </w:instrText>
          </w:r>
          <w:r>
            <w:rPr>
              <w:rFonts w:hint="eastAsia" w:ascii="宋体" w:hAnsi="宋体" w:eastAsia="宋体" w:cs="宋体"/>
              <w:sz w:val="24"/>
              <w:szCs w:val="24"/>
            </w:rPr>
            <w:fldChar w:fldCharType="separate"/>
          </w:r>
          <w:r>
            <w:rPr>
              <w:rFonts w:hint="eastAsia" w:ascii="宋体" w:hAnsi="宋体" w:eastAsia="宋体" w:cs="宋体"/>
              <w:sz w:val="24"/>
              <w:szCs w:val="24"/>
            </w:rPr>
            <w:t>- 14 -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64F43260">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_Toc26523 </w:instrText>
          </w:r>
          <w:r>
            <w:rPr>
              <w:rFonts w:hint="eastAsia" w:ascii="宋体" w:hAnsi="宋体" w:eastAsia="宋体" w:cs="宋体"/>
              <w:bCs/>
              <w:sz w:val="24"/>
              <w:szCs w:val="24"/>
            </w:rPr>
            <w:fldChar w:fldCharType="separate"/>
          </w:r>
          <w:r>
            <w:rPr>
              <w:rFonts w:hint="eastAsia" w:ascii="宋体" w:hAnsi="宋体" w:eastAsia="宋体" w:cs="宋体"/>
              <w:bCs/>
              <w:sz w:val="24"/>
              <w:szCs w:val="24"/>
            </w:rPr>
            <w:t>第</w:t>
          </w:r>
          <w:r>
            <w:rPr>
              <w:rFonts w:hint="eastAsia" w:ascii="宋体" w:hAnsi="宋体" w:eastAsia="宋体" w:cs="宋体"/>
              <w:bCs/>
              <w:sz w:val="24"/>
              <w:szCs w:val="24"/>
              <w:lang w:eastAsia="zh-CN"/>
            </w:rPr>
            <w:t>三</w:t>
          </w:r>
          <w:r>
            <w:rPr>
              <w:rFonts w:hint="eastAsia" w:ascii="宋体" w:hAnsi="宋体" w:eastAsia="宋体" w:cs="宋体"/>
              <w:bCs/>
              <w:sz w:val="24"/>
              <w:szCs w:val="24"/>
            </w:rPr>
            <w:t>节</w:t>
          </w:r>
          <w:r>
            <w:rPr>
              <w:rFonts w:hint="eastAsia" w:ascii="宋体" w:hAnsi="宋体" w:eastAsia="宋体" w:cs="宋体"/>
              <w:bCs/>
              <w:sz w:val="24"/>
              <w:szCs w:val="24"/>
              <w:lang w:val="en-US" w:eastAsia="zh-CN"/>
            </w:rPr>
            <w:t xml:space="preserve"> </w:t>
          </w:r>
          <w:r>
            <w:rPr>
              <w:rFonts w:hint="eastAsia" w:ascii="宋体" w:hAnsi="宋体" w:eastAsia="宋体" w:cs="宋体"/>
              <w:bCs/>
              <w:sz w:val="24"/>
              <w:szCs w:val="24"/>
              <w:lang w:eastAsia="zh-CN"/>
            </w:rPr>
            <w:t>历史文化发展</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_Toc26523 \h </w:instrText>
          </w:r>
          <w:r>
            <w:rPr>
              <w:rFonts w:hint="eastAsia" w:ascii="宋体" w:hAnsi="宋体" w:eastAsia="宋体" w:cs="宋体"/>
              <w:sz w:val="24"/>
              <w:szCs w:val="24"/>
            </w:rPr>
            <w:fldChar w:fldCharType="separate"/>
          </w:r>
          <w:r>
            <w:rPr>
              <w:rFonts w:hint="eastAsia" w:ascii="宋体" w:hAnsi="宋体" w:eastAsia="宋体" w:cs="宋体"/>
              <w:sz w:val="24"/>
              <w:szCs w:val="24"/>
            </w:rPr>
            <w:t>- 14 -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26FFC3C8">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_Toc7405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一、历史沿革</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_Toc7405 \h </w:instrText>
          </w:r>
          <w:r>
            <w:rPr>
              <w:rFonts w:hint="eastAsia" w:ascii="宋体" w:hAnsi="宋体" w:eastAsia="宋体" w:cs="宋体"/>
              <w:sz w:val="24"/>
              <w:szCs w:val="24"/>
            </w:rPr>
            <w:fldChar w:fldCharType="separate"/>
          </w:r>
          <w:r>
            <w:rPr>
              <w:rFonts w:hint="eastAsia" w:ascii="宋体" w:hAnsi="宋体" w:eastAsia="宋体" w:cs="宋体"/>
              <w:sz w:val="24"/>
              <w:szCs w:val="24"/>
            </w:rPr>
            <w:t>- 14 -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334C039">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_Toc3554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二、文化遗产</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_Toc3554 \h </w:instrText>
          </w:r>
          <w:r>
            <w:rPr>
              <w:rFonts w:hint="eastAsia" w:ascii="宋体" w:hAnsi="宋体" w:eastAsia="宋体" w:cs="宋体"/>
              <w:sz w:val="24"/>
              <w:szCs w:val="24"/>
            </w:rPr>
            <w:fldChar w:fldCharType="separate"/>
          </w:r>
          <w:r>
            <w:rPr>
              <w:rFonts w:hint="eastAsia" w:ascii="宋体" w:hAnsi="宋体" w:eastAsia="宋体" w:cs="宋体"/>
              <w:sz w:val="24"/>
              <w:szCs w:val="24"/>
            </w:rPr>
            <w:t>- 15 -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239A83CB">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_Toc28404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三、文学艺术</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_Toc28404 \h </w:instrText>
          </w:r>
          <w:r>
            <w:rPr>
              <w:rFonts w:hint="eastAsia" w:ascii="宋体" w:hAnsi="宋体" w:eastAsia="宋体" w:cs="宋体"/>
              <w:sz w:val="24"/>
              <w:szCs w:val="24"/>
            </w:rPr>
            <w:fldChar w:fldCharType="separate"/>
          </w:r>
          <w:r>
            <w:rPr>
              <w:rFonts w:hint="eastAsia" w:ascii="宋体" w:hAnsi="宋体" w:eastAsia="宋体" w:cs="宋体"/>
              <w:sz w:val="24"/>
              <w:szCs w:val="24"/>
            </w:rPr>
            <w:t>- 17 -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5C88F275">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_Toc15320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四、社会经济变迁</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_Toc15320 \h </w:instrText>
          </w:r>
          <w:r>
            <w:rPr>
              <w:rFonts w:hint="eastAsia" w:ascii="宋体" w:hAnsi="宋体" w:eastAsia="宋体" w:cs="宋体"/>
              <w:sz w:val="24"/>
              <w:szCs w:val="24"/>
            </w:rPr>
            <w:fldChar w:fldCharType="separate"/>
          </w:r>
          <w:r>
            <w:rPr>
              <w:rFonts w:hint="eastAsia" w:ascii="宋体" w:hAnsi="宋体" w:eastAsia="宋体" w:cs="宋体"/>
              <w:sz w:val="24"/>
              <w:szCs w:val="24"/>
            </w:rPr>
            <w:t>- 18 -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36CB310D">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_Toc8464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五、教育与学术交流</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_Toc8464 \h </w:instrText>
          </w:r>
          <w:r>
            <w:rPr>
              <w:rFonts w:hint="eastAsia" w:ascii="宋体" w:hAnsi="宋体" w:eastAsia="宋体" w:cs="宋体"/>
              <w:sz w:val="24"/>
              <w:szCs w:val="24"/>
            </w:rPr>
            <w:fldChar w:fldCharType="separate"/>
          </w:r>
          <w:r>
            <w:rPr>
              <w:rFonts w:hint="eastAsia" w:ascii="宋体" w:hAnsi="宋体" w:eastAsia="宋体" w:cs="宋体"/>
              <w:sz w:val="24"/>
              <w:szCs w:val="24"/>
            </w:rPr>
            <w:t>- 19 -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AC2525D">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_Toc31020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六、现代文化融合与创新</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_Toc31020 \h </w:instrText>
          </w:r>
          <w:r>
            <w:rPr>
              <w:rFonts w:hint="eastAsia" w:ascii="宋体" w:hAnsi="宋体" w:eastAsia="宋体" w:cs="宋体"/>
              <w:sz w:val="24"/>
              <w:szCs w:val="24"/>
            </w:rPr>
            <w:fldChar w:fldCharType="separate"/>
          </w:r>
          <w:r>
            <w:rPr>
              <w:rFonts w:hint="eastAsia" w:ascii="宋体" w:hAnsi="宋体" w:eastAsia="宋体" w:cs="宋体"/>
              <w:sz w:val="24"/>
              <w:szCs w:val="24"/>
            </w:rPr>
            <w:t>- 21 -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A091BB4">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_Toc22333 </w:instrText>
          </w:r>
          <w:r>
            <w:rPr>
              <w:rFonts w:hint="eastAsia" w:ascii="宋体" w:hAnsi="宋体" w:eastAsia="宋体" w:cs="宋体"/>
              <w:bCs/>
              <w:sz w:val="24"/>
              <w:szCs w:val="24"/>
            </w:rPr>
            <w:fldChar w:fldCharType="separate"/>
          </w:r>
          <w:r>
            <w:rPr>
              <w:rFonts w:hint="eastAsia" w:ascii="宋体" w:hAnsi="宋体" w:eastAsia="宋体" w:cs="宋体"/>
              <w:bCs/>
              <w:sz w:val="24"/>
              <w:szCs w:val="24"/>
            </w:rPr>
            <w:t>第</w:t>
          </w:r>
          <w:r>
            <w:rPr>
              <w:rFonts w:hint="eastAsia" w:ascii="宋体" w:hAnsi="宋体" w:eastAsia="宋体" w:cs="宋体"/>
              <w:bCs/>
              <w:sz w:val="24"/>
              <w:szCs w:val="24"/>
              <w:lang w:eastAsia="zh-CN"/>
            </w:rPr>
            <w:t>四</w:t>
          </w:r>
          <w:r>
            <w:rPr>
              <w:rFonts w:hint="eastAsia" w:ascii="宋体" w:hAnsi="宋体" w:eastAsia="宋体" w:cs="宋体"/>
              <w:bCs/>
              <w:sz w:val="24"/>
              <w:szCs w:val="24"/>
            </w:rPr>
            <w:t>节</w:t>
          </w:r>
          <w:r>
            <w:rPr>
              <w:rFonts w:hint="eastAsia" w:ascii="宋体" w:hAnsi="宋体" w:eastAsia="宋体" w:cs="宋体"/>
              <w:bCs/>
              <w:sz w:val="24"/>
              <w:szCs w:val="24"/>
              <w:lang w:val="en-US" w:eastAsia="zh-CN"/>
            </w:rPr>
            <w:t xml:space="preserve"> </w:t>
          </w:r>
          <w:r>
            <w:rPr>
              <w:rFonts w:hint="eastAsia" w:ascii="宋体" w:hAnsi="宋体" w:eastAsia="宋体" w:cs="宋体"/>
              <w:bCs/>
              <w:sz w:val="24"/>
              <w:szCs w:val="24"/>
              <w:lang w:eastAsia="zh-CN"/>
            </w:rPr>
            <w:t>行政区划沿革</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_Toc22333 \h </w:instrText>
          </w:r>
          <w:r>
            <w:rPr>
              <w:rFonts w:hint="eastAsia" w:ascii="宋体" w:hAnsi="宋体" w:eastAsia="宋体" w:cs="宋体"/>
              <w:sz w:val="24"/>
              <w:szCs w:val="24"/>
            </w:rPr>
            <w:fldChar w:fldCharType="separate"/>
          </w:r>
          <w:r>
            <w:rPr>
              <w:rFonts w:hint="eastAsia" w:ascii="宋体" w:hAnsi="宋体" w:eastAsia="宋体" w:cs="宋体"/>
              <w:sz w:val="24"/>
              <w:szCs w:val="24"/>
            </w:rPr>
            <w:t>- 22 -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1366A951">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_Toc20683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一、历史背景与演变过程</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_Toc20683 \h </w:instrText>
          </w:r>
          <w:r>
            <w:rPr>
              <w:rFonts w:hint="eastAsia" w:ascii="宋体" w:hAnsi="宋体" w:eastAsia="宋体" w:cs="宋体"/>
              <w:sz w:val="24"/>
              <w:szCs w:val="24"/>
            </w:rPr>
            <w:fldChar w:fldCharType="separate"/>
          </w:r>
          <w:r>
            <w:rPr>
              <w:rFonts w:hint="eastAsia" w:ascii="宋体" w:hAnsi="宋体" w:eastAsia="宋体" w:cs="宋体"/>
              <w:sz w:val="24"/>
              <w:szCs w:val="24"/>
            </w:rPr>
            <w:t>- 22 -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5E71FC70">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_Toc5134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二、调整与变革</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_Toc5134 \h </w:instrText>
          </w:r>
          <w:r>
            <w:rPr>
              <w:rFonts w:hint="eastAsia" w:ascii="宋体" w:hAnsi="宋体" w:eastAsia="宋体" w:cs="宋体"/>
              <w:sz w:val="24"/>
              <w:szCs w:val="24"/>
            </w:rPr>
            <w:fldChar w:fldCharType="separate"/>
          </w:r>
          <w:r>
            <w:rPr>
              <w:rFonts w:hint="eastAsia" w:ascii="宋体" w:hAnsi="宋体" w:eastAsia="宋体" w:cs="宋体"/>
              <w:sz w:val="24"/>
              <w:szCs w:val="24"/>
            </w:rPr>
            <w:t>- 23 -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6F026669">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_Toc14575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三、特点与现状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_Toc14575 \h </w:instrText>
          </w:r>
          <w:r>
            <w:rPr>
              <w:rFonts w:hint="eastAsia" w:ascii="宋体" w:hAnsi="宋体" w:eastAsia="宋体" w:cs="宋体"/>
              <w:sz w:val="24"/>
              <w:szCs w:val="24"/>
            </w:rPr>
            <w:fldChar w:fldCharType="separate"/>
          </w:r>
          <w:r>
            <w:rPr>
              <w:rFonts w:hint="eastAsia" w:ascii="宋体" w:hAnsi="宋体" w:eastAsia="宋体" w:cs="宋体"/>
              <w:sz w:val="24"/>
              <w:szCs w:val="24"/>
            </w:rPr>
            <w:t>- 24 -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974A2AD">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_Toc17152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四、未来发展趋势</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_Toc17152 \h </w:instrText>
          </w:r>
          <w:r>
            <w:rPr>
              <w:rFonts w:hint="eastAsia" w:ascii="宋体" w:hAnsi="宋体" w:eastAsia="宋体" w:cs="宋体"/>
              <w:sz w:val="24"/>
              <w:szCs w:val="24"/>
            </w:rPr>
            <w:fldChar w:fldCharType="separate"/>
          </w:r>
          <w:r>
            <w:rPr>
              <w:rFonts w:hint="eastAsia" w:ascii="宋体" w:hAnsi="宋体" w:eastAsia="宋体" w:cs="宋体"/>
              <w:sz w:val="24"/>
              <w:szCs w:val="24"/>
            </w:rPr>
            <w:t>- 32 -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5566D54C">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_Toc11425 </w:instrText>
          </w:r>
          <w:r>
            <w:rPr>
              <w:rFonts w:hint="eastAsia" w:ascii="宋体" w:hAnsi="宋体" w:eastAsia="宋体" w:cs="宋体"/>
              <w:bCs/>
              <w:sz w:val="24"/>
              <w:szCs w:val="24"/>
            </w:rPr>
            <w:fldChar w:fldCharType="separate"/>
          </w:r>
          <w:r>
            <w:rPr>
              <w:rFonts w:hint="eastAsia" w:ascii="宋体" w:hAnsi="宋体" w:eastAsia="宋体" w:cs="宋体"/>
              <w:bCs/>
              <w:sz w:val="24"/>
              <w:szCs w:val="24"/>
            </w:rPr>
            <w:t>第</w:t>
          </w:r>
          <w:r>
            <w:rPr>
              <w:rFonts w:hint="eastAsia" w:ascii="宋体" w:hAnsi="宋体" w:eastAsia="宋体" w:cs="宋体"/>
              <w:bCs/>
              <w:sz w:val="24"/>
              <w:szCs w:val="24"/>
              <w:lang w:eastAsia="zh-CN"/>
            </w:rPr>
            <w:t>五</w:t>
          </w:r>
          <w:r>
            <w:rPr>
              <w:rFonts w:hint="eastAsia" w:ascii="宋体" w:hAnsi="宋体" w:eastAsia="宋体" w:cs="宋体"/>
              <w:bCs/>
              <w:sz w:val="24"/>
              <w:szCs w:val="24"/>
            </w:rPr>
            <w:t>节</w:t>
          </w:r>
          <w:r>
            <w:rPr>
              <w:rFonts w:hint="eastAsia" w:ascii="宋体" w:hAnsi="宋体" w:eastAsia="宋体" w:cs="宋体"/>
              <w:bCs/>
              <w:sz w:val="24"/>
              <w:szCs w:val="24"/>
              <w:lang w:val="en-US" w:eastAsia="zh-CN"/>
            </w:rPr>
            <w:t xml:space="preserve"> </w:t>
          </w:r>
          <w:r>
            <w:rPr>
              <w:rFonts w:hint="eastAsia" w:ascii="宋体" w:hAnsi="宋体" w:eastAsia="宋体" w:cs="宋体"/>
              <w:bCs/>
              <w:sz w:val="24"/>
              <w:szCs w:val="24"/>
              <w:lang w:eastAsia="zh-CN"/>
            </w:rPr>
            <w:t>人口与社会经济发展</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_Toc11425 \h </w:instrText>
          </w:r>
          <w:r>
            <w:rPr>
              <w:rFonts w:hint="eastAsia" w:ascii="宋体" w:hAnsi="宋体" w:eastAsia="宋体" w:cs="宋体"/>
              <w:sz w:val="24"/>
              <w:szCs w:val="24"/>
            </w:rPr>
            <w:fldChar w:fldCharType="separate"/>
          </w:r>
          <w:r>
            <w:rPr>
              <w:rFonts w:hint="eastAsia" w:ascii="宋体" w:hAnsi="宋体" w:eastAsia="宋体" w:cs="宋体"/>
              <w:sz w:val="24"/>
              <w:szCs w:val="24"/>
            </w:rPr>
            <w:t>- 33 -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51482F6A">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_Toc17009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一、人口维度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_Toc17009 \h </w:instrText>
          </w:r>
          <w:r>
            <w:rPr>
              <w:rFonts w:hint="eastAsia" w:ascii="宋体" w:hAnsi="宋体" w:eastAsia="宋体" w:cs="宋体"/>
              <w:sz w:val="24"/>
              <w:szCs w:val="24"/>
            </w:rPr>
            <w:fldChar w:fldCharType="separate"/>
          </w:r>
          <w:r>
            <w:rPr>
              <w:rFonts w:hint="eastAsia" w:ascii="宋体" w:hAnsi="宋体" w:eastAsia="宋体" w:cs="宋体"/>
              <w:sz w:val="24"/>
              <w:szCs w:val="24"/>
            </w:rPr>
            <w:t>- 33 -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45C8068C">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_Toc2651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二、社会经济维度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_Toc2651 \h </w:instrText>
          </w:r>
          <w:r>
            <w:rPr>
              <w:rFonts w:hint="eastAsia" w:ascii="宋体" w:hAnsi="宋体" w:eastAsia="宋体" w:cs="宋体"/>
              <w:sz w:val="24"/>
              <w:szCs w:val="24"/>
            </w:rPr>
            <w:fldChar w:fldCharType="separate"/>
          </w:r>
          <w:r>
            <w:rPr>
              <w:rFonts w:hint="eastAsia" w:ascii="宋体" w:hAnsi="宋体" w:eastAsia="宋体" w:cs="宋体"/>
              <w:sz w:val="24"/>
              <w:szCs w:val="24"/>
            </w:rPr>
            <w:t>- 34 -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CED50B8">
          <w:pPr>
            <w:pStyle w:val="12"/>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_Toc21052 </w:instrText>
          </w:r>
          <w:r>
            <w:rPr>
              <w:rFonts w:hint="eastAsia" w:ascii="宋体" w:hAnsi="宋体" w:eastAsia="宋体" w:cs="宋体"/>
              <w:bCs/>
              <w:sz w:val="24"/>
              <w:szCs w:val="24"/>
            </w:rPr>
            <w:fldChar w:fldCharType="separate"/>
          </w:r>
          <w:r>
            <w:rPr>
              <w:rFonts w:hint="eastAsia" w:ascii="宋体" w:hAnsi="宋体" w:eastAsia="宋体" w:cs="宋体"/>
              <w:bCs/>
              <w:sz w:val="24"/>
              <w:szCs w:val="24"/>
            </w:rPr>
            <w:t>第</w:t>
          </w:r>
          <w:r>
            <w:rPr>
              <w:rFonts w:hint="eastAsia" w:ascii="宋体" w:hAnsi="宋体" w:eastAsia="宋体" w:cs="宋体"/>
              <w:bCs/>
              <w:sz w:val="24"/>
              <w:szCs w:val="24"/>
              <w:lang w:eastAsia="zh-CN"/>
            </w:rPr>
            <w:t>三</w:t>
          </w:r>
          <w:r>
            <w:rPr>
              <w:rFonts w:hint="eastAsia" w:ascii="宋体" w:hAnsi="宋体" w:eastAsia="宋体" w:cs="宋体"/>
              <w:bCs/>
              <w:sz w:val="24"/>
              <w:szCs w:val="24"/>
            </w:rPr>
            <w:t>章</w:t>
          </w:r>
          <w:r>
            <w:rPr>
              <w:rFonts w:hint="eastAsia" w:ascii="宋体" w:hAnsi="宋体" w:eastAsia="宋体" w:cs="宋体"/>
              <w:bCs/>
              <w:sz w:val="24"/>
              <w:szCs w:val="24"/>
              <w:lang w:val="en-US" w:eastAsia="zh-CN"/>
            </w:rPr>
            <w:t xml:space="preserve"> 旅游资源</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_Toc21052 \h </w:instrText>
          </w:r>
          <w:r>
            <w:rPr>
              <w:rFonts w:hint="eastAsia" w:ascii="宋体" w:hAnsi="宋体" w:eastAsia="宋体" w:cs="宋体"/>
              <w:sz w:val="24"/>
              <w:szCs w:val="24"/>
            </w:rPr>
            <w:fldChar w:fldCharType="separate"/>
          </w:r>
          <w:r>
            <w:rPr>
              <w:rFonts w:hint="eastAsia" w:ascii="宋体" w:hAnsi="宋体" w:eastAsia="宋体" w:cs="宋体"/>
              <w:sz w:val="24"/>
              <w:szCs w:val="24"/>
            </w:rPr>
            <w:t>- 39 -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3AB6827F">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_Toc10415 </w:instrText>
          </w:r>
          <w:r>
            <w:rPr>
              <w:rFonts w:hint="eastAsia" w:ascii="宋体" w:hAnsi="宋体" w:eastAsia="宋体" w:cs="宋体"/>
              <w:bCs/>
              <w:sz w:val="24"/>
              <w:szCs w:val="24"/>
            </w:rPr>
            <w:fldChar w:fldCharType="separate"/>
          </w:r>
          <w:r>
            <w:rPr>
              <w:rFonts w:hint="eastAsia" w:ascii="宋体" w:hAnsi="宋体" w:eastAsia="宋体" w:cs="宋体"/>
              <w:bCs/>
              <w:sz w:val="24"/>
              <w:szCs w:val="24"/>
            </w:rPr>
            <w:t>第</w:t>
          </w:r>
          <w:r>
            <w:rPr>
              <w:rFonts w:hint="eastAsia" w:ascii="宋体" w:hAnsi="宋体" w:eastAsia="宋体" w:cs="宋体"/>
              <w:bCs/>
              <w:sz w:val="24"/>
              <w:szCs w:val="24"/>
              <w:lang w:eastAsia="zh-CN"/>
            </w:rPr>
            <w:t>一</w:t>
          </w:r>
          <w:r>
            <w:rPr>
              <w:rFonts w:hint="eastAsia" w:ascii="宋体" w:hAnsi="宋体" w:eastAsia="宋体" w:cs="宋体"/>
              <w:bCs/>
              <w:sz w:val="24"/>
              <w:szCs w:val="24"/>
            </w:rPr>
            <w:t>节</w:t>
          </w:r>
          <w:r>
            <w:rPr>
              <w:rFonts w:hint="eastAsia" w:ascii="宋体" w:hAnsi="宋体" w:eastAsia="宋体" w:cs="宋体"/>
              <w:bCs/>
              <w:sz w:val="24"/>
              <w:szCs w:val="24"/>
              <w:lang w:val="en-US" w:eastAsia="zh-CN"/>
            </w:rPr>
            <w:t xml:space="preserve"> </w:t>
          </w:r>
          <w:r>
            <w:rPr>
              <w:rFonts w:hint="eastAsia" w:ascii="宋体" w:hAnsi="宋体" w:eastAsia="宋体" w:cs="宋体"/>
              <w:bCs/>
              <w:sz w:val="24"/>
              <w:szCs w:val="24"/>
              <w:lang w:eastAsia="zh-CN"/>
            </w:rPr>
            <w:t>旅游资源总体特征</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_Toc10415 \h </w:instrText>
          </w:r>
          <w:r>
            <w:rPr>
              <w:rFonts w:hint="eastAsia" w:ascii="宋体" w:hAnsi="宋体" w:eastAsia="宋体" w:cs="宋体"/>
              <w:sz w:val="24"/>
              <w:szCs w:val="24"/>
            </w:rPr>
            <w:fldChar w:fldCharType="separate"/>
          </w:r>
          <w:r>
            <w:rPr>
              <w:rFonts w:hint="eastAsia" w:ascii="宋体" w:hAnsi="宋体" w:eastAsia="宋体" w:cs="宋体"/>
              <w:sz w:val="24"/>
              <w:szCs w:val="24"/>
            </w:rPr>
            <w:t>- 39 -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4DABBFAB">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_Toc13384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一、资源类型数量比重分析</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_Toc13384 \h </w:instrText>
          </w:r>
          <w:r>
            <w:rPr>
              <w:rFonts w:hint="eastAsia" w:ascii="宋体" w:hAnsi="宋体" w:eastAsia="宋体" w:cs="宋体"/>
              <w:sz w:val="24"/>
              <w:szCs w:val="24"/>
            </w:rPr>
            <w:fldChar w:fldCharType="separate"/>
          </w:r>
          <w:r>
            <w:rPr>
              <w:rFonts w:hint="eastAsia" w:ascii="宋体" w:hAnsi="宋体" w:eastAsia="宋体" w:cs="宋体"/>
              <w:sz w:val="24"/>
              <w:szCs w:val="24"/>
            </w:rPr>
            <w:t>- 39 -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CFFFD37">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_Toc22805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二、资源等级数量比重分析</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_Toc22805 \h </w:instrText>
          </w:r>
          <w:r>
            <w:rPr>
              <w:rFonts w:hint="eastAsia" w:ascii="宋体" w:hAnsi="宋体" w:eastAsia="宋体" w:cs="宋体"/>
              <w:sz w:val="24"/>
              <w:szCs w:val="24"/>
            </w:rPr>
            <w:fldChar w:fldCharType="separate"/>
          </w:r>
          <w:r>
            <w:rPr>
              <w:rFonts w:hint="eastAsia" w:ascii="宋体" w:hAnsi="宋体" w:eastAsia="宋体" w:cs="宋体"/>
              <w:sz w:val="24"/>
              <w:szCs w:val="24"/>
            </w:rPr>
            <w:t>- 46 -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5673FF29">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_Toc30355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三、 各等级旅游资源的类型结构分析</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_Toc30355 \h </w:instrText>
          </w:r>
          <w:r>
            <w:rPr>
              <w:rFonts w:hint="eastAsia" w:ascii="宋体" w:hAnsi="宋体" w:eastAsia="宋体" w:cs="宋体"/>
              <w:sz w:val="24"/>
              <w:szCs w:val="24"/>
            </w:rPr>
            <w:fldChar w:fldCharType="separate"/>
          </w:r>
          <w:r>
            <w:rPr>
              <w:rFonts w:hint="eastAsia" w:ascii="宋体" w:hAnsi="宋体" w:eastAsia="宋体" w:cs="宋体"/>
              <w:sz w:val="24"/>
              <w:szCs w:val="24"/>
            </w:rPr>
            <w:t>- 47 -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11569D79">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_Toc4696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四、县（市、区）资源数量结构</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_Toc4696 \h </w:instrText>
          </w:r>
          <w:r>
            <w:rPr>
              <w:rFonts w:hint="eastAsia" w:ascii="宋体" w:hAnsi="宋体" w:eastAsia="宋体" w:cs="宋体"/>
              <w:sz w:val="24"/>
              <w:szCs w:val="24"/>
            </w:rPr>
            <w:fldChar w:fldCharType="separate"/>
          </w:r>
          <w:r>
            <w:rPr>
              <w:rFonts w:hint="eastAsia" w:ascii="宋体" w:hAnsi="宋体" w:eastAsia="宋体" w:cs="宋体"/>
              <w:sz w:val="24"/>
              <w:szCs w:val="24"/>
            </w:rPr>
            <w:t>- 48 -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4D936088">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_Toc23162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五、新发现旅游资源分析</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_Toc23162 \h </w:instrText>
          </w:r>
          <w:r>
            <w:rPr>
              <w:rFonts w:hint="eastAsia" w:ascii="宋体" w:hAnsi="宋体" w:eastAsia="宋体" w:cs="宋体"/>
              <w:sz w:val="24"/>
              <w:szCs w:val="24"/>
            </w:rPr>
            <w:fldChar w:fldCharType="separate"/>
          </w:r>
          <w:r>
            <w:rPr>
              <w:rFonts w:hint="eastAsia" w:ascii="宋体" w:hAnsi="宋体" w:eastAsia="宋体" w:cs="宋体"/>
              <w:sz w:val="24"/>
              <w:szCs w:val="24"/>
            </w:rPr>
            <w:t>- 49 -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2B12173D">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_Toc1847 </w:instrText>
          </w:r>
          <w:r>
            <w:rPr>
              <w:rFonts w:hint="eastAsia" w:ascii="宋体" w:hAnsi="宋体" w:eastAsia="宋体" w:cs="宋体"/>
              <w:bCs/>
              <w:sz w:val="24"/>
              <w:szCs w:val="24"/>
            </w:rPr>
            <w:fldChar w:fldCharType="separate"/>
          </w:r>
          <w:r>
            <w:rPr>
              <w:rFonts w:hint="eastAsia" w:ascii="宋体" w:hAnsi="宋体" w:eastAsia="宋体" w:cs="宋体"/>
              <w:bCs/>
              <w:sz w:val="24"/>
              <w:szCs w:val="24"/>
            </w:rPr>
            <w:t>第</w:t>
          </w:r>
          <w:r>
            <w:rPr>
              <w:rFonts w:hint="eastAsia" w:ascii="宋体" w:hAnsi="宋体" w:eastAsia="宋体" w:cs="宋体"/>
              <w:bCs/>
              <w:sz w:val="24"/>
              <w:szCs w:val="24"/>
              <w:lang w:eastAsia="zh-CN"/>
            </w:rPr>
            <w:t>二</w:t>
          </w:r>
          <w:r>
            <w:rPr>
              <w:rFonts w:hint="eastAsia" w:ascii="宋体" w:hAnsi="宋体" w:eastAsia="宋体" w:cs="宋体"/>
              <w:bCs/>
              <w:sz w:val="24"/>
              <w:szCs w:val="24"/>
            </w:rPr>
            <w:t>节</w:t>
          </w:r>
          <w:r>
            <w:rPr>
              <w:rFonts w:hint="eastAsia" w:ascii="宋体" w:hAnsi="宋体" w:eastAsia="宋体" w:cs="宋体"/>
              <w:bCs/>
              <w:sz w:val="24"/>
              <w:szCs w:val="24"/>
              <w:lang w:val="en-US" w:eastAsia="zh-CN"/>
            </w:rPr>
            <w:t xml:space="preserve"> 旅游资源类型及特征</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_Toc1847 \h </w:instrText>
          </w:r>
          <w:r>
            <w:rPr>
              <w:rFonts w:hint="eastAsia" w:ascii="宋体" w:hAnsi="宋体" w:eastAsia="宋体" w:cs="宋体"/>
              <w:sz w:val="24"/>
              <w:szCs w:val="24"/>
            </w:rPr>
            <w:fldChar w:fldCharType="separate"/>
          </w:r>
          <w:r>
            <w:rPr>
              <w:rFonts w:hint="eastAsia" w:ascii="宋体" w:hAnsi="宋体" w:eastAsia="宋体" w:cs="宋体"/>
              <w:sz w:val="24"/>
              <w:szCs w:val="24"/>
            </w:rPr>
            <w:t>- 51 -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471650F0">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_Toc11078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一、地文景观类</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_Toc11078 \h </w:instrText>
          </w:r>
          <w:r>
            <w:rPr>
              <w:rFonts w:hint="eastAsia" w:ascii="宋体" w:hAnsi="宋体" w:eastAsia="宋体" w:cs="宋体"/>
              <w:sz w:val="24"/>
              <w:szCs w:val="24"/>
            </w:rPr>
            <w:fldChar w:fldCharType="separate"/>
          </w:r>
          <w:r>
            <w:rPr>
              <w:rFonts w:hint="eastAsia" w:ascii="宋体" w:hAnsi="宋体" w:eastAsia="宋体" w:cs="宋体"/>
              <w:sz w:val="24"/>
              <w:szCs w:val="24"/>
            </w:rPr>
            <w:t>- 51 -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17B2CDDF">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_Toc21297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二、 水域景观类</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_Toc21297 \h </w:instrText>
          </w:r>
          <w:r>
            <w:rPr>
              <w:rFonts w:hint="eastAsia" w:ascii="宋体" w:hAnsi="宋体" w:eastAsia="宋体" w:cs="宋体"/>
              <w:sz w:val="24"/>
              <w:szCs w:val="24"/>
            </w:rPr>
            <w:fldChar w:fldCharType="separate"/>
          </w:r>
          <w:r>
            <w:rPr>
              <w:rFonts w:hint="eastAsia" w:ascii="宋体" w:hAnsi="宋体" w:eastAsia="宋体" w:cs="宋体"/>
              <w:sz w:val="24"/>
              <w:szCs w:val="24"/>
            </w:rPr>
            <w:t>- 56 -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66B267EC">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_Toc9817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三、 生物景观类</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_Toc9817 \h </w:instrText>
          </w:r>
          <w:r>
            <w:rPr>
              <w:rFonts w:hint="eastAsia" w:ascii="宋体" w:hAnsi="宋体" w:eastAsia="宋体" w:cs="宋体"/>
              <w:sz w:val="24"/>
              <w:szCs w:val="24"/>
            </w:rPr>
            <w:fldChar w:fldCharType="separate"/>
          </w:r>
          <w:r>
            <w:rPr>
              <w:rFonts w:hint="eastAsia" w:ascii="宋体" w:hAnsi="宋体" w:eastAsia="宋体" w:cs="宋体"/>
              <w:sz w:val="24"/>
              <w:szCs w:val="24"/>
            </w:rPr>
            <w:t>- 59 -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FFF1407">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_Toc30361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四、 天象与气候景观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_Toc30361 \h </w:instrText>
          </w:r>
          <w:r>
            <w:rPr>
              <w:rFonts w:hint="eastAsia" w:ascii="宋体" w:hAnsi="宋体" w:eastAsia="宋体" w:cs="宋体"/>
              <w:sz w:val="24"/>
              <w:szCs w:val="24"/>
            </w:rPr>
            <w:fldChar w:fldCharType="separate"/>
          </w:r>
          <w:r>
            <w:rPr>
              <w:rFonts w:hint="eastAsia" w:ascii="宋体" w:hAnsi="宋体" w:eastAsia="宋体" w:cs="宋体"/>
              <w:sz w:val="24"/>
              <w:szCs w:val="24"/>
            </w:rPr>
            <w:t>- 61 -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1477D4C">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_Toc26977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五、 建筑与设施类</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_Toc26977 \h </w:instrText>
          </w:r>
          <w:r>
            <w:rPr>
              <w:rFonts w:hint="eastAsia" w:ascii="宋体" w:hAnsi="宋体" w:eastAsia="宋体" w:cs="宋体"/>
              <w:sz w:val="24"/>
              <w:szCs w:val="24"/>
            </w:rPr>
            <w:fldChar w:fldCharType="separate"/>
          </w:r>
          <w:r>
            <w:rPr>
              <w:rFonts w:hint="eastAsia" w:ascii="宋体" w:hAnsi="宋体" w:eastAsia="宋体" w:cs="宋体"/>
              <w:sz w:val="24"/>
              <w:szCs w:val="24"/>
            </w:rPr>
            <w:t>- 63 -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41E549FC">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_Toc25699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六、 历史遗迹类</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_Toc25699 \h </w:instrText>
          </w:r>
          <w:r>
            <w:rPr>
              <w:rFonts w:hint="eastAsia" w:ascii="宋体" w:hAnsi="宋体" w:eastAsia="宋体" w:cs="宋体"/>
              <w:sz w:val="24"/>
              <w:szCs w:val="24"/>
            </w:rPr>
            <w:fldChar w:fldCharType="separate"/>
          </w:r>
          <w:r>
            <w:rPr>
              <w:rFonts w:hint="eastAsia" w:ascii="宋体" w:hAnsi="宋体" w:eastAsia="宋体" w:cs="宋体"/>
              <w:sz w:val="24"/>
              <w:szCs w:val="24"/>
            </w:rPr>
            <w:t>- 73 -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6CC8833A">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_Toc16250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七、 旅游购品类</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_Toc16250 \h </w:instrText>
          </w:r>
          <w:r>
            <w:rPr>
              <w:rFonts w:hint="eastAsia" w:ascii="宋体" w:hAnsi="宋体" w:eastAsia="宋体" w:cs="宋体"/>
              <w:sz w:val="24"/>
              <w:szCs w:val="24"/>
            </w:rPr>
            <w:fldChar w:fldCharType="separate"/>
          </w:r>
          <w:r>
            <w:rPr>
              <w:rFonts w:hint="eastAsia" w:ascii="宋体" w:hAnsi="宋体" w:eastAsia="宋体" w:cs="宋体"/>
              <w:sz w:val="24"/>
              <w:szCs w:val="24"/>
            </w:rPr>
            <w:t>- 77 -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27ED5E54">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_Toc14159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八、人文活动类</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_Toc14159 \h </w:instrText>
          </w:r>
          <w:r>
            <w:rPr>
              <w:rFonts w:hint="eastAsia" w:ascii="宋体" w:hAnsi="宋体" w:eastAsia="宋体" w:cs="宋体"/>
              <w:sz w:val="24"/>
              <w:szCs w:val="24"/>
            </w:rPr>
            <w:fldChar w:fldCharType="separate"/>
          </w:r>
          <w:r>
            <w:rPr>
              <w:rFonts w:hint="eastAsia" w:ascii="宋体" w:hAnsi="宋体" w:eastAsia="宋体" w:cs="宋体"/>
              <w:sz w:val="24"/>
              <w:szCs w:val="24"/>
            </w:rPr>
            <w:t>- 81 -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39FBA289">
          <w:pPr>
            <w:pStyle w:val="12"/>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_Toc11315 </w:instrText>
          </w:r>
          <w:r>
            <w:rPr>
              <w:rFonts w:hint="eastAsia" w:ascii="宋体" w:hAnsi="宋体" w:eastAsia="宋体" w:cs="宋体"/>
              <w:bCs/>
              <w:sz w:val="24"/>
              <w:szCs w:val="24"/>
            </w:rPr>
            <w:fldChar w:fldCharType="separate"/>
          </w:r>
          <w:r>
            <w:rPr>
              <w:rFonts w:hint="eastAsia" w:ascii="宋体" w:hAnsi="宋体" w:eastAsia="宋体" w:cs="宋体"/>
              <w:bCs/>
              <w:sz w:val="24"/>
              <w:szCs w:val="24"/>
            </w:rPr>
            <w:t>第</w:t>
          </w:r>
          <w:r>
            <w:rPr>
              <w:rFonts w:hint="eastAsia" w:ascii="宋体" w:hAnsi="宋体" w:eastAsia="宋体" w:cs="宋体"/>
              <w:bCs/>
              <w:sz w:val="24"/>
              <w:szCs w:val="24"/>
              <w:lang w:eastAsia="zh-CN"/>
            </w:rPr>
            <w:t>四</w:t>
          </w:r>
          <w:r>
            <w:rPr>
              <w:rFonts w:hint="eastAsia" w:ascii="宋体" w:hAnsi="宋体" w:eastAsia="宋体" w:cs="宋体"/>
              <w:bCs/>
              <w:sz w:val="24"/>
              <w:szCs w:val="24"/>
            </w:rPr>
            <w:t>章</w:t>
          </w:r>
          <w:r>
            <w:rPr>
              <w:rFonts w:hint="eastAsia" w:ascii="宋体" w:hAnsi="宋体" w:eastAsia="宋体" w:cs="宋体"/>
              <w:bCs/>
              <w:sz w:val="24"/>
              <w:szCs w:val="24"/>
              <w:lang w:val="en-US" w:eastAsia="zh-CN"/>
            </w:rPr>
            <w:t xml:space="preserve"> 旅游资源评价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_Toc11315 \h </w:instrText>
          </w:r>
          <w:r>
            <w:rPr>
              <w:rFonts w:hint="eastAsia" w:ascii="宋体" w:hAnsi="宋体" w:eastAsia="宋体" w:cs="宋体"/>
              <w:sz w:val="24"/>
              <w:szCs w:val="24"/>
            </w:rPr>
            <w:fldChar w:fldCharType="separate"/>
          </w:r>
          <w:r>
            <w:rPr>
              <w:rFonts w:hint="eastAsia" w:ascii="宋体" w:hAnsi="宋体" w:eastAsia="宋体" w:cs="宋体"/>
              <w:sz w:val="24"/>
              <w:szCs w:val="24"/>
            </w:rPr>
            <w:t>- 85 -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10423CBF">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_Toc4433 </w:instrText>
          </w:r>
          <w:r>
            <w:rPr>
              <w:rFonts w:hint="eastAsia" w:ascii="宋体" w:hAnsi="宋体" w:eastAsia="宋体" w:cs="宋体"/>
              <w:bCs/>
              <w:sz w:val="24"/>
              <w:szCs w:val="24"/>
            </w:rPr>
            <w:fldChar w:fldCharType="separate"/>
          </w:r>
          <w:r>
            <w:rPr>
              <w:rFonts w:hint="eastAsia" w:ascii="宋体" w:hAnsi="宋体" w:eastAsia="宋体" w:cs="宋体"/>
              <w:bCs/>
              <w:sz w:val="24"/>
              <w:szCs w:val="24"/>
            </w:rPr>
            <w:t>第</w:t>
          </w:r>
          <w:r>
            <w:rPr>
              <w:rFonts w:hint="eastAsia" w:ascii="宋体" w:hAnsi="宋体" w:eastAsia="宋体" w:cs="宋体"/>
              <w:bCs/>
              <w:sz w:val="24"/>
              <w:szCs w:val="24"/>
              <w:lang w:eastAsia="zh-CN"/>
            </w:rPr>
            <w:t>一</w:t>
          </w:r>
          <w:r>
            <w:rPr>
              <w:rFonts w:hint="eastAsia" w:ascii="宋体" w:hAnsi="宋体" w:eastAsia="宋体" w:cs="宋体"/>
              <w:bCs/>
              <w:sz w:val="24"/>
              <w:szCs w:val="24"/>
            </w:rPr>
            <w:t>节</w:t>
          </w:r>
          <w:r>
            <w:rPr>
              <w:rFonts w:hint="eastAsia" w:ascii="宋体" w:hAnsi="宋体" w:eastAsia="宋体" w:cs="宋体"/>
              <w:bCs/>
              <w:sz w:val="24"/>
              <w:szCs w:val="24"/>
              <w:lang w:val="en-US" w:eastAsia="zh-CN"/>
            </w:rPr>
            <w:t xml:space="preserve"> 优良级旅游资源类型分布特征</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_Toc4433 \h </w:instrText>
          </w:r>
          <w:r>
            <w:rPr>
              <w:rFonts w:hint="eastAsia" w:ascii="宋体" w:hAnsi="宋体" w:eastAsia="宋体" w:cs="宋体"/>
              <w:sz w:val="24"/>
              <w:szCs w:val="24"/>
            </w:rPr>
            <w:fldChar w:fldCharType="separate"/>
          </w:r>
          <w:r>
            <w:rPr>
              <w:rFonts w:hint="eastAsia" w:ascii="宋体" w:hAnsi="宋体" w:eastAsia="宋体" w:cs="宋体"/>
              <w:sz w:val="24"/>
              <w:szCs w:val="24"/>
            </w:rPr>
            <w:t>- 85 -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59EF3147">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_Toc19397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一、总体分布特征</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_Toc19397 \h </w:instrText>
          </w:r>
          <w:r>
            <w:rPr>
              <w:rFonts w:hint="eastAsia" w:ascii="宋体" w:hAnsi="宋体" w:eastAsia="宋体" w:cs="宋体"/>
              <w:sz w:val="24"/>
              <w:szCs w:val="24"/>
            </w:rPr>
            <w:fldChar w:fldCharType="separate"/>
          </w:r>
          <w:r>
            <w:rPr>
              <w:rFonts w:hint="eastAsia" w:ascii="宋体" w:hAnsi="宋体" w:eastAsia="宋体" w:cs="宋体"/>
              <w:sz w:val="24"/>
              <w:szCs w:val="24"/>
            </w:rPr>
            <w:t>- 85 -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5F2EE59E">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_Toc32626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二、五级资源</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_Toc32626 \h </w:instrText>
          </w:r>
          <w:r>
            <w:rPr>
              <w:rFonts w:hint="eastAsia" w:ascii="宋体" w:hAnsi="宋体" w:eastAsia="宋体" w:cs="宋体"/>
              <w:sz w:val="24"/>
              <w:szCs w:val="24"/>
            </w:rPr>
            <w:fldChar w:fldCharType="separate"/>
          </w:r>
          <w:r>
            <w:rPr>
              <w:rFonts w:hint="eastAsia" w:ascii="宋体" w:hAnsi="宋体" w:eastAsia="宋体" w:cs="宋体"/>
              <w:sz w:val="24"/>
              <w:szCs w:val="24"/>
            </w:rPr>
            <w:t>- 86 -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3C1AC03B">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_Toc6657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二、四级资源</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_Toc6657 \h </w:instrText>
          </w:r>
          <w:r>
            <w:rPr>
              <w:rFonts w:hint="eastAsia" w:ascii="宋体" w:hAnsi="宋体" w:eastAsia="宋体" w:cs="宋体"/>
              <w:sz w:val="24"/>
              <w:szCs w:val="24"/>
            </w:rPr>
            <w:fldChar w:fldCharType="separate"/>
          </w:r>
          <w:r>
            <w:rPr>
              <w:rFonts w:hint="eastAsia" w:ascii="宋体" w:hAnsi="宋体" w:eastAsia="宋体" w:cs="宋体"/>
              <w:sz w:val="24"/>
              <w:szCs w:val="24"/>
            </w:rPr>
            <w:t>- 88 -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6341C8B9">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_Toc19835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三、三级资源</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_Toc19835 \h </w:instrText>
          </w:r>
          <w:r>
            <w:rPr>
              <w:rFonts w:hint="eastAsia" w:ascii="宋体" w:hAnsi="宋体" w:eastAsia="宋体" w:cs="宋体"/>
              <w:sz w:val="24"/>
              <w:szCs w:val="24"/>
            </w:rPr>
            <w:fldChar w:fldCharType="separate"/>
          </w:r>
          <w:r>
            <w:rPr>
              <w:rFonts w:hint="eastAsia" w:ascii="宋体" w:hAnsi="宋体" w:eastAsia="宋体" w:cs="宋体"/>
              <w:sz w:val="24"/>
              <w:szCs w:val="24"/>
            </w:rPr>
            <w:t>- 92 -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4B76D814">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_Toc32200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第二节 旅游资源地域分布及评价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_Toc32200 \h </w:instrText>
          </w:r>
          <w:r>
            <w:rPr>
              <w:rFonts w:hint="eastAsia" w:ascii="宋体" w:hAnsi="宋体" w:eastAsia="宋体" w:cs="宋体"/>
              <w:sz w:val="24"/>
              <w:szCs w:val="24"/>
            </w:rPr>
            <w:fldChar w:fldCharType="separate"/>
          </w:r>
          <w:r>
            <w:rPr>
              <w:rFonts w:hint="eastAsia" w:ascii="宋体" w:hAnsi="宋体" w:eastAsia="宋体" w:cs="宋体"/>
              <w:sz w:val="24"/>
              <w:szCs w:val="24"/>
            </w:rPr>
            <w:t>- 102 -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4218C45D">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_Toc20516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一、修武县</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_Toc20516 \h </w:instrText>
          </w:r>
          <w:r>
            <w:rPr>
              <w:rFonts w:hint="eastAsia" w:ascii="宋体" w:hAnsi="宋体" w:eastAsia="宋体" w:cs="宋体"/>
              <w:sz w:val="24"/>
              <w:szCs w:val="24"/>
            </w:rPr>
            <w:fldChar w:fldCharType="separate"/>
          </w:r>
          <w:r>
            <w:rPr>
              <w:rFonts w:hint="eastAsia" w:ascii="宋体" w:hAnsi="宋体" w:eastAsia="宋体" w:cs="宋体"/>
              <w:sz w:val="24"/>
              <w:szCs w:val="24"/>
            </w:rPr>
            <w:t>- 102 -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4B56064C">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_Toc9468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二、博爱县</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_Toc9468 \h </w:instrText>
          </w:r>
          <w:r>
            <w:rPr>
              <w:rFonts w:hint="eastAsia" w:ascii="宋体" w:hAnsi="宋体" w:eastAsia="宋体" w:cs="宋体"/>
              <w:sz w:val="24"/>
              <w:szCs w:val="24"/>
            </w:rPr>
            <w:fldChar w:fldCharType="separate"/>
          </w:r>
          <w:r>
            <w:rPr>
              <w:rFonts w:hint="eastAsia" w:ascii="宋体" w:hAnsi="宋体" w:eastAsia="宋体" w:cs="宋体"/>
              <w:sz w:val="24"/>
              <w:szCs w:val="24"/>
            </w:rPr>
            <w:t>- 103 -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3B0610A3">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_Toc8610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三、沁阳市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_Toc8610 \h </w:instrText>
          </w:r>
          <w:r>
            <w:rPr>
              <w:rFonts w:hint="eastAsia" w:ascii="宋体" w:hAnsi="宋体" w:eastAsia="宋体" w:cs="宋体"/>
              <w:sz w:val="24"/>
              <w:szCs w:val="24"/>
            </w:rPr>
            <w:fldChar w:fldCharType="separate"/>
          </w:r>
          <w:r>
            <w:rPr>
              <w:rFonts w:hint="eastAsia" w:ascii="宋体" w:hAnsi="宋体" w:eastAsia="宋体" w:cs="宋体"/>
              <w:sz w:val="24"/>
              <w:szCs w:val="24"/>
            </w:rPr>
            <w:t>- 105 -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6A19AF03">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_Toc23888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四、山阳区</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_Toc23888 \h </w:instrText>
          </w:r>
          <w:r>
            <w:rPr>
              <w:rFonts w:hint="eastAsia" w:ascii="宋体" w:hAnsi="宋体" w:eastAsia="宋体" w:cs="宋体"/>
              <w:sz w:val="24"/>
              <w:szCs w:val="24"/>
            </w:rPr>
            <w:fldChar w:fldCharType="separate"/>
          </w:r>
          <w:r>
            <w:rPr>
              <w:rFonts w:hint="eastAsia" w:ascii="宋体" w:hAnsi="宋体" w:eastAsia="宋体" w:cs="宋体"/>
              <w:sz w:val="24"/>
              <w:szCs w:val="24"/>
            </w:rPr>
            <w:t>- 106 -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18B39711">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_Toc27598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五、温县</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_Toc27598 \h </w:instrText>
          </w:r>
          <w:r>
            <w:rPr>
              <w:rFonts w:hint="eastAsia" w:ascii="宋体" w:hAnsi="宋体" w:eastAsia="宋体" w:cs="宋体"/>
              <w:sz w:val="24"/>
              <w:szCs w:val="24"/>
            </w:rPr>
            <w:fldChar w:fldCharType="separate"/>
          </w:r>
          <w:r>
            <w:rPr>
              <w:rFonts w:hint="eastAsia" w:ascii="宋体" w:hAnsi="宋体" w:eastAsia="宋体" w:cs="宋体"/>
              <w:sz w:val="24"/>
              <w:szCs w:val="24"/>
            </w:rPr>
            <w:t>- 107 -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4ACA12BD">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_Toc14447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六、孟州市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_Toc14447 \h </w:instrText>
          </w:r>
          <w:r>
            <w:rPr>
              <w:rFonts w:hint="eastAsia" w:ascii="宋体" w:hAnsi="宋体" w:eastAsia="宋体" w:cs="宋体"/>
              <w:sz w:val="24"/>
              <w:szCs w:val="24"/>
            </w:rPr>
            <w:fldChar w:fldCharType="separate"/>
          </w:r>
          <w:r>
            <w:rPr>
              <w:rFonts w:hint="eastAsia" w:ascii="宋体" w:hAnsi="宋体" w:eastAsia="宋体" w:cs="宋体"/>
              <w:sz w:val="24"/>
              <w:szCs w:val="24"/>
            </w:rPr>
            <w:t>- 108 -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7FD7A55C">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_Toc29742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七、武陟县</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_Toc29742 \h </w:instrText>
          </w:r>
          <w:r>
            <w:rPr>
              <w:rFonts w:hint="eastAsia" w:ascii="宋体" w:hAnsi="宋体" w:eastAsia="宋体" w:cs="宋体"/>
              <w:sz w:val="24"/>
              <w:szCs w:val="24"/>
            </w:rPr>
            <w:fldChar w:fldCharType="separate"/>
          </w:r>
          <w:r>
            <w:rPr>
              <w:rFonts w:hint="eastAsia" w:ascii="宋体" w:hAnsi="宋体" w:eastAsia="宋体" w:cs="宋体"/>
              <w:sz w:val="24"/>
              <w:szCs w:val="24"/>
            </w:rPr>
            <w:t>- 110 -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7E37FCB9">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_Toc32315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八、解放区</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_Toc32315 \h </w:instrText>
          </w:r>
          <w:r>
            <w:rPr>
              <w:rFonts w:hint="eastAsia" w:ascii="宋体" w:hAnsi="宋体" w:eastAsia="宋体" w:cs="宋体"/>
              <w:sz w:val="24"/>
              <w:szCs w:val="24"/>
            </w:rPr>
            <w:fldChar w:fldCharType="separate"/>
          </w:r>
          <w:r>
            <w:rPr>
              <w:rFonts w:hint="eastAsia" w:ascii="宋体" w:hAnsi="宋体" w:eastAsia="宋体" w:cs="宋体"/>
              <w:sz w:val="24"/>
              <w:szCs w:val="24"/>
            </w:rPr>
            <w:t>- 111 -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1A03A57A">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_Toc428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九、中站区</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_Toc428 \h </w:instrText>
          </w:r>
          <w:r>
            <w:rPr>
              <w:rFonts w:hint="eastAsia" w:ascii="宋体" w:hAnsi="宋体" w:eastAsia="宋体" w:cs="宋体"/>
              <w:sz w:val="24"/>
              <w:szCs w:val="24"/>
            </w:rPr>
            <w:fldChar w:fldCharType="separate"/>
          </w:r>
          <w:r>
            <w:rPr>
              <w:rFonts w:hint="eastAsia" w:ascii="宋体" w:hAnsi="宋体" w:eastAsia="宋体" w:cs="宋体"/>
              <w:sz w:val="24"/>
              <w:szCs w:val="24"/>
            </w:rPr>
            <w:t>- 112 -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505ED4EF">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_Toc17981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十、马村区</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_Toc17981 \h </w:instrText>
          </w:r>
          <w:r>
            <w:rPr>
              <w:rFonts w:hint="eastAsia" w:ascii="宋体" w:hAnsi="宋体" w:eastAsia="宋体" w:cs="宋体"/>
              <w:sz w:val="24"/>
              <w:szCs w:val="24"/>
            </w:rPr>
            <w:fldChar w:fldCharType="separate"/>
          </w:r>
          <w:r>
            <w:rPr>
              <w:rFonts w:hint="eastAsia" w:ascii="宋体" w:hAnsi="宋体" w:eastAsia="宋体" w:cs="宋体"/>
              <w:sz w:val="24"/>
              <w:szCs w:val="24"/>
            </w:rPr>
            <w:t>- 113 -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2A4B8E2B">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_Toc12492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第三节 旅游资源组合及评价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_Toc12492 \h </w:instrText>
          </w:r>
          <w:r>
            <w:rPr>
              <w:rFonts w:hint="eastAsia" w:ascii="宋体" w:hAnsi="宋体" w:eastAsia="宋体" w:cs="宋体"/>
              <w:sz w:val="24"/>
              <w:szCs w:val="24"/>
            </w:rPr>
            <w:fldChar w:fldCharType="separate"/>
          </w:r>
          <w:r>
            <w:rPr>
              <w:rFonts w:hint="eastAsia" w:ascii="宋体" w:hAnsi="宋体" w:eastAsia="宋体" w:cs="宋体"/>
              <w:sz w:val="24"/>
              <w:szCs w:val="24"/>
            </w:rPr>
            <w:t>- 115 -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6CB078A1">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_Toc6536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一、自然观光类旅游资源组合</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_Toc6536 \h </w:instrText>
          </w:r>
          <w:r>
            <w:rPr>
              <w:rFonts w:hint="eastAsia" w:ascii="宋体" w:hAnsi="宋体" w:eastAsia="宋体" w:cs="宋体"/>
              <w:sz w:val="24"/>
              <w:szCs w:val="24"/>
            </w:rPr>
            <w:fldChar w:fldCharType="separate"/>
          </w:r>
          <w:r>
            <w:rPr>
              <w:rFonts w:hint="eastAsia" w:ascii="宋体" w:hAnsi="宋体" w:eastAsia="宋体" w:cs="宋体"/>
              <w:sz w:val="24"/>
              <w:szCs w:val="24"/>
            </w:rPr>
            <w:t>- 115 -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2DD5ACF0">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_Toc12940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二、乡村旅游资源组合</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_Toc12940 \h </w:instrText>
          </w:r>
          <w:r>
            <w:rPr>
              <w:rFonts w:hint="eastAsia" w:ascii="宋体" w:hAnsi="宋体" w:eastAsia="宋体" w:cs="宋体"/>
              <w:sz w:val="24"/>
              <w:szCs w:val="24"/>
            </w:rPr>
            <w:fldChar w:fldCharType="separate"/>
          </w:r>
          <w:r>
            <w:rPr>
              <w:rFonts w:hint="eastAsia" w:ascii="宋体" w:hAnsi="宋体" w:eastAsia="宋体" w:cs="宋体"/>
              <w:sz w:val="24"/>
              <w:szCs w:val="24"/>
            </w:rPr>
            <w:t>- 116 -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242DFA20">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_Toc18571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四、工业旅游资源组合</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_Toc18571 \h </w:instrText>
          </w:r>
          <w:r>
            <w:rPr>
              <w:rFonts w:hint="eastAsia" w:ascii="宋体" w:hAnsi="宋体" w:eastAsia="宋体" w:cs="宋体"/>
              <w:sz w:val="24"/>
              <w:szCs w:val="24"/>
            </w:rPr>
            <w:fldChar w:fldCharType="separate"/>
          </w:r>
          <w:r>
            <w:rPr>
              <w:rFonts w:hint="eastAsia" w:ascii="宋体" w:hAnsi="宋体" w:eastAsia="宋体" w:cs="宋体"/>
              <w:sz w:val="24"/>
              <w:szCs w:val="24"/>
            </w:rPr>
            <w:t>- 118 -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198395F">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_Toc4955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五、康养旅游资源组合</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_Toc4955 \h </w:instrText>
          </w:r>
          <w:r>
            <w:rPr>
              <w:rFonts w:hint="eastAsia" w:ascii="宋体" w:hAnsi="宋体" w:eastAsia="宋体" w:cs="宋体"/>
              <w:sz w:val="24"/>
              <w:szCs w:val="24"/>
            </w:rPr>
            <w:fldChar w:fldCharType="separate"/>
          </w:r>
          <w:r>
            <w:rPr>
              <w:rFonts w:hint="eastAsia" w:ascii="宋体" w:hAnsi="宋体" w:eastAsia="宋体" w:cs="宋体"/>
              <w:sz w:val="24"/>
              <w:szCs w:val="24"/>
            </w:rPr>
            <w:t>- 119 -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13F58E48">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_Toc15536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六、体育旅游资源组合</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_Toc15536 \h </w:instrText>
          </w:r>
          <w:r>
            <w:rPr>
              <w:rFonts w:hint="eastAsia" w:ascii="宋体" w:hAnsi="宋体" w:eastAsia="宋体" w:cs="宋体"/>
              <w:sz w:val="24"/>
              <w:szCs w:val="24"/>
            </w:rPr>
            <w:fldChar w:fldCharType="separate"/>
          </w:r>
          <w:r>
            <w:rPr>
              <w:rFonts w:hint="eastAsia" w:ascii="宋体" w:hAnsi="宋体" w:eastAsia="宋体" w:cs="宋体"/>
              <w:sz w:val="24"/>
              <w:szCs w:val="24"/>
            </w:rPr>
            <w:t>- 120 -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21D48BB2">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_Toc21202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第四节 旅游资源富集区评价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_Toc21202 \h </w:instrText>
          </w:r>
          <w:r>
            <w:rPr>
              <w:rFonts w:hint="eastAsia" w:ascii="宋体" w:hAnsi="宋体" w:eastAsia="宋体" w:cs="宋体"/>
              <w:sz w:val="24"/>
              <w:szCs w:val="24"/>
            </w:rPr>
            <w:fldChar w:fldCharType="separate"/>
          </w:r>
          <w:r>
            <w:rPr>
              <w:rFonts w:hint="eastAsia" w:ascii="宋体" w:hAnsi="宋体" w:eastAsia="宋体" w:cs="宋体"/>
              <w:sz w:val="24"/>
              <w:szCs w:val="24"/>
            </w:rPr>
            <w:t>- 121 -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39E15B56">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_Toc3002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一、 资源空间分布特征与富集区认定条件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_Toc3002 \h </w:instrText>
          </w:r>
          <w:r>
            <w:rPr>
              <w:rFonts w:hint="eastAsia" w:ascii="宋体" w:hAnsi="宋体" w:eastAsia="宋体" w:cs="宋体"/>
              <w:sz w:val="24"/>
              <w:szCs w:val="24"/>
            </w:rPr>
            <w:fldChar w:fldCharType="separate"/>
          </w:r>
          <w:r>
            <w:rPr>
              <w:rFonts w:hint="eastAsia" w:ascii="宋体" w:hAnsi="宋体" w:eastAsia="宋体" w:cs="宋体"/>
              <w:sz w:val="24"/>
              <w:szCs w:val="24"/>
            </w:rPr>
            <w:t>- 121 -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92AD00A">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_Toc6665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二、 修武县旅游资源富集区现状与评价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_Toc6665 \h </w:instrText>
          </w:r>
          <w:r>
            <w:rPr>
              <w:rFonts w:hint="eastAsia" w:ascii="宋体" w:hAnsi="宋体" w:eastAsia="宋体" w:cs="宋体"/>
              <w:sz w:val="24"/>
              <w:szCs w:val="24"/>
            </w:rPr>
            <w:fldChar w:fldCharType="separate"/>
          </w:r>
          <w:r>
            <w:rPr>
              <w:rFonts w:hint="eastAsia" w:ascii="宋体" w:hAnsi="宋体" w:eastAsia="宋体" w:cs="宋体"/>
              <w:sz w:val="24"/>
              <w:szCs w:val="24"/>
            </w:rPr>
            <w:t>- 122 -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67384516">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_Toc825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三、 博爱县旅游资源富集区现状与评价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_Toc825 \h </w:instrText>
          </w:r>
          <w:r>
            <w:rPr>
              <w:rFonts w:hint="eastAsia" w:ascii="宋体" w:hAnsi="宋体" w:eastAsia="宋体" w:cs="宋体"/>
              <w:sz w:val="24"/>
              <w:szCs w:val="24"/>
            </w:rPr>
            <w:fldChar w:fldCharType="separate"/>
          </w:r>
          <w:r>
            <w:rPr>
              <w:rFonts w:hint="eastAsia" w:ascii="宋体" w:hAnsi="宋体" w:eastAsia="宋体" w:cs="宋体"/>
              <w:sz w:val="24"/>
              <w:szCs w:val="24"/>
            </w:rPr>
            <w:t>- 129 -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1106DF37">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_Toc3520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四、沁阳市旅游资源富集区现状与评价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_Toc3520 \h </w:instrText>
          </w:r>
          <w:r>
            <w:rPr>
              <w:rFonts w:hint="eastAsia" w:ascii="宋体" w:hAnsi="宋体" w:eastAsia="宋体" w:cs="宋体"/>
              <w:sz w:val="24"/>
              <w:szCs w:val="24"/>
            </w:rPr>
            <w:fldChar w:fldCharType="separate"/>
          </w:r>
          <w:r>
            <w:rPr>
              <w:rFonts w:hint="eastAsia" w:ascii="宋体" w:hAnsi="宋体" w:eastAsia="宋体" w:cs="宋体"/>
              <w:sz w:val="24"/>
              <w:szCs w:val="24"/>
            </w:rPr>
            <w:t>- 133 -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53ED64D1">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_Toc21656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五、山阳区旅游资源富集区现状与评价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_Toc21656 \h </w:instrText>
          </w:r>
          <w:r>
            <w:rPr>
              <w:rFonts w:hint="eastAsia" w:ascii="宋体" w:hAnsi="宋体" w:eastAsia="宋体" w:cs="宋体"/>
              <w:sz w:val="24"/>
              <w:szCs w:val="24"/>
            </w:rPr>
            <w:fldChar w:fldCharType="separate"/>
          </w:r>
          <w:r>
            <w:rPr>
              <w:rFonts w:hint="eastAsia" w:ascii="宋体" w:hAnsi="宋体" w:eastAsia="宋体" w:cs="宋体"/>
              <w:sz w:val="24"/>
              <w:szCs w:val="24"/>
            </w:rPr>
            <w:t>- 137 -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4BA9D852">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_Toc25273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六、温县旅游资源富集区现状与评价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_Toc25273 \h </w:instrText>
          </w:r>
          <w:r>
            <w:rPr>
              <w:rFonts w:hint="eastAsia" w:ascii="宋体" w:hAnsi="宋体" w:eastAsia="宋体" w:cs="宋体"/>
              <w:sz w:val="24"/>
              <w:szCs w:val="24"/>
            </w:rPr>
            <w:fldChar w:fldCharType="separate"/>
          </w:r>
          <w:r>
            <w:rPr>
              <w:rFonts w:hint="eastAsia" w:ascii="宋体" w:hAnsi="宋体" w:eastAsia="宋体" w:cs="宋体"/>
              <w:sz w:val="24"/>
              <w:szCs w:val="24"/>
            </w:rPr>
            <w:t>- 139 -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26F4634C">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_Toc3720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七、孟州市旅游资源富集区现状与评价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_Toc3720 \h </w:instrText>
          </w:r>
          <w:r>
            <w:rPr>
              <w:rFonts w:hint="eastAsia" w:ascii="宋体" w:hAnsi="宋体" w:eastAsia="宋体" w:cs="宋体"/>
              <w:sz w:val="24"/>
              <w:szCs w:val="24"/>
            </w:rPr>
            <w:fldChar w:fldCharType="separate"/>
          </w:r>
          <w:r>
            <w:rPr>
              <w:rFonts w:hint="eastAsia" w:ascii="宋体" w:hAnsi="宋体" w:eastAsia="宋体" w:cs="宋体"/>
              <w:sz w:val="24"/>
              <w:szCs w:val="24"/>
            </w:rPr>
            <w:t>- 143 -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55E67718">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_Toc19956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八、武陟县旅游资源富集区现状与评价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_Toc19956 \h </w:instrText>
          </w:r>
          <w:r>
            <w:rPr>
              <w:rFonts w:hint="eastAsia" w:ascii="宋体" w:hAnsi="宋体" w:eastAsia="宋体" w:cs="宋体"/>
              <w:sz w:val="24"/>
              <w:szCs w:val="24"/>
            </w:rPr>
            <w:fldChar w:fldCharType="separate"/>
          </w:r>
          <w:r>
            <w:rPr>
              <w:rFonts w:hint="eastAsia" w:ascii="宋体" w:hAnsi="宋体" w:eastAsia="宋体" w:cs="宋体"/>
              <w:sz w:val="24"/>
              <w:szCs w:val="24"/>
            </w:rPr>
            <w:t>- 145 -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7002CF2">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_Toc14039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九、解放区旅游资源富集区现状与评价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_Toc14039 \h </w:instrText>
          </w:r>
          <w:r>
            <w:rPr>
              <w:rFonts w:hint="eastAsia" w:ascii="宋体" w:hAnsi="宋体" w:eastAsia="宋体" w:cs="宋体"/>
              <w:sz w:val="24"/>
              <w:szCs w:val="24"/>
            </w:rPr>
            <w:fldChar w:fldCharType="separate"/>
          </w:r>
          <w:r>
            <w:rPr>
              <w:rFonts w:hint="eastAsia" w:ascii="宋体" w:hAnsi="宋体" w:eastAsia="宋体" w:cs="宋体"/>
              <w:sz w:val="24"/>
              <w:szCs w:val="24"/>
            </w:rPr>
            <w:t>- 147 -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431552E9">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_Toc30633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十、中站区旅游资源富集区现状与评价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_Toc30633 \h </w:instrText>
          </w:r>
          <w:r>
            <w:rPr>
              <w:rFonts w:hint="eastAsia" w:ascii="宋体" w:hAnsi="宋体" w:eastAsia="宋体" w:cs="宋体"/>
              <w:sz w:val="24"/>
              <w:szCs w:val="24"/>
            </w:rPr>
            <w:fldChar w:fldCharType="separate"/>
          </w:r>
          <w:r>
            <w:rPr>
              <w:rFonts w:hint="eastAsia" w:ascii="宋体" w:hAnsi="宋体" w:eastAsia="宋体" w:cs="宋体"/>
              <w:sz w:val="24"/>
              <w:szCs w:val="24"/>
            </w:rPr>
            <w:t>- 151 -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6FCDCD2B">
          <w:pPr>
            <w:pStyle w:val="12"/>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_Toc12279 </w:instrText>
          </w:r>
          <w:r>
            <w:rPr>
              <w:rFonts w:hint="eastAsia" w:ascii="宋体" w:hAnsi="宋体" w:eastAsia="宋体" w:cs="宋体"/>
              <w:bCs/>
              <w:sz w:val="24"/>
              <w:szCs w:val="24"/>
            </w:rPr>
            <w:fldChar w:fldCharType="separate"/>
          </w:r>
          <w:r>
            <w:rPr>
              <w:rFonts w:hint="eastAsia" w:ascii="宋体" w:hAnsi="宋体" w:eastAsia="宋体" w:cs="宋体"/>
              <w:bCs/>
              <w:sz w:val="24"/>
              <w:szCs w:val="24"/>
            </w:rPr>
            <w:t>第</w:t>
          </w:r>
          <w:r>
            <w:rPr>
              <w:rFonts w:hint="eastAsia" w:ascii="宋体" w:hAnsi="宋体" w:eastAsia="宋体" w:cs="宋体"/>
              <w:bCs/>
              <w:sz w:val="24"/>
              <w:szCs w:val="24"/>
              <w:lang w:eastAsia="zh-CN"/>
            </w:rPr>
            <w:t>五</w:t>
          </w:r>
          <w:r>
            <w:rPr>
              <w:rFonts w:hint="eastAsia" w:ascii="宋体" w:hAnsi="宋体" w:eastAsia="宋体" w:cs="宋体"/>
              <w:bCs/>
              <w:sz w:val="24"/>
              <w:szCs w:val="24"/>
            </w:rPr>
            <w:t>章</w:t>
          </w:r>
          <w:r>
            <w:rPr>
              <w:rFonts w:hint="eastAsia" w:ascii="宋体" w:hAnsi="宋体" w:eastAsia="宋体" w:cs="宋体"/>
              <w:bCs/>
              <w:sz w:val="24"/>
              <w:szCs w:val="24"/>
              <w:lang w:val="en-US" w:eastAsia="zh-CN"/>
            </w:rPr>
            <w:t xml:space="preserve"> 旅游资源特色优势及评价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_Toc12279 \h </w:instrText>
          </w:r>
          <w:r>
            <w:rPr>
              <w:rFonts w:hint="eastAsia" w:ascii="宋体" w:hAnsi="宋体" w:eastAsia="宋体" w:cs="宋体"/>
              <w:sz w:val="24"/>
              <w:szCs w:val="24"/>
            </w:rPr>
            <w:fldChar w:fldCharType="separate"/>
          </w:r>
          <w:r>
            <w:rPr>
              <w:rFonts w:hint="eastAsia" w:ascii="宋体" w:hAnsi="宋体" w:eastAsia="宋体" w:cs="宋体"/>
              <w:sz w:val="24"/>
              <w:szCs w:val="24"/>
            </w:rPr>
            <w:t>- 154 -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50871980">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_Toc3890 </w:instrText>
          </w:r>
          <w:r>
            <w:rPr>
              <w:rFonts w:hint="eastAsia" w:ascii="宋体" w:hAnsi="宋体" w:eastAsia="宋体" w:cs="宋体"/>
              <w:bCs/>
              <w:sz w:val="24"/>
              <w:szCs w:val="24"/>
            </w:rPr>
            <w:fldChar w:fldCharType="separate"/>
          </w:r>
          <w:r>
            <w:rPr>
              <w:rFonts w:hint="eastAsia" w:ascii="宋体" w:hAnsi="宋体" w:eastAsia="宋体" w:cs="宋体"/>
              <w:bCs/>
              <w:sz w:val="24"/>
              <w:szCs w:val="24"/>
            </w:rPr>
            <w:t>第</w:t>
          </w:r>
          <w:r>
            <w:rPr>
              <w:rFonts w:hint="eastAsia" w:ascii="宋体" w:hAnsi="宋体" w:eastAsia="宋体" w:cs="宋体"/>
              <w:bCs/>
              <w:sz w:val="24"/>
              <w:szCs w:val="24"/>
              <w:lang w:eastAsia="zh-CN"/>
            </w:rPr>
            <w:t>一</w:t>
          </w:r>
          <w:r>
            <w:rPr>
              <w:rFonts w:hint="eastAsia" w:ascii="宋体" w:hAnsi="宋体" w:eastAsia="宋体" w:cs="宋体"/>
              <w:bCs/>
              <w:sz w:val="24"/>
              <w:szCs w:val="24"/>
            </w:rPr>
            <w:t>节</w:t>
          </w:r>
          <w:r>
            <w:rPr>
              <w:rFonts w:hint="eastAsia" w:ascii="宋体" w:hAnsi="宋体" w:eastAsia="宋体" w:cs="宋体"/>
              <w:bCs/>
              <w:sz w:val="24"/>
              <w:szCs w:val="24"/>
              <w:lang w:val="en-US" w:eastAsia="zh-CN"/>
            </w:rPr>
            <w:t xml:space="preserve"> 旅游资源特色评价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_Toc3890 \h </w:instrText>
          </w:r>
          <w:r>
            <w:rPr>
              <w:rFonts w:hint="eastAsia" w:ascii="宋体" w:hAnsi="宋体" w:eastAsia="宋体" w:cs="宋体"/>
              <w:sz w:val="24"/>
              <w:szCs w:val="24"/>
            </w:rPr>
            <w:fldChar w:fldCharType="separate"/>
          </w:r>
          <w:r>
            <w:rPr>
              <w:rFonts w:hint="eastAsia" w:ascii="宋体" w:hAnsi="宋体" w:eastAsia="宋体" w:cs="宋体"/>
              <w:sz w:val="24"/>
              <w:szCs w:val="24"/>
            </w:rPr>
            <w:t>- 154 -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5A0CD406">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_Toc12222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一、山水为骨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_Toc12222 \h </w:instrText>
          </w:r>
          <w:r>
            <w:rPr>
              <w:rFonts w:hint="eastAsia" w:ascii="宋体" w:hAnsi="宋体" w:eastAsia="宋体" w:cs="宋体"/>
              <w:sz w:val="24"/>
              <w:szCs w:val="24"/>
            </w:rPr>
            <w:fldChar w:fldCharType="separate"/>
          </w:r>
          <w:r>
            <w:rPr>
              <w:rFonts w:hint="eastAsia" w:ascii="宋体" w:hAnsi="宋体" w:eastAsia="宋体" w:cs="宋体"/>
              <w:sz w:val="24"/>
              <w:szCs w:val="24"/>
            </w:rPr>
            <w:t>- 154 -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19331C11">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_Toc20305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二、文化铸魂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_Toc20305 \h </w:instrText>
          </w:r>
          <w:r>
            <w:rPr>
              <w:rFonts w:hint="eastAsia" w:ascii="宋体" w:hAnsi="宋体" w:eastAsia="宋体" w:cs="宋体"/>
              <w:sz w:val="24"/>
              <w:szCs w:val="24"/>
            </w:rPr>
            <w:fldChar w:fldCharType="separate"/>
          </w:r>
          <w:r>
            <w:rPr>
              <w:rFonts w:hint="eastAsia" w:ascii="宋体" w:hAnsi="宋体" w:eastAsia="宋体" w:cs="宋体"/>
              <w:sz w:val="24"/>
              <w:szCs w:val="24"/>
            </w:rPr>
            <w:t>- 157 -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5ECC3DD">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_Toc31015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三、民俗点睛</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_Toc31015 \h </w:instrText>
          </w:r>
          <w:r>
            <w:rPr>
              <w:rFonts w:hint="eastAsia" w:ascii="宋体" w:hAnsi="宋体" w:eastAsia="宋体" w:cs="宋体"/>
              <w:sz w:val="24"/>
              <w:szCs w:val="24"/>
            </w:rPr>
            <w:fldChar w:fldCharType="separate"/>
          </w:r>
          <w:r>
            <w:rPr>
              <w:rFonts w:hint="eastAsia" w:ascii="宋体" w:hAnsi="宋体" w:eastAsia="宋体" w:cs="宋体"/>
              <w:sz w:val="24"/>
              <w:szCs w:val="24"/>
            </w:rPr>
            <w:t>- 161 -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724DA5A0">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_Toc32100 </w:instrText>
          </w:r>
          <w:r>
            <w:rPr>
              <w:rFonts w:hint="eastAsia" w:ascii="宋体" w:hAnsi="宋体" w:eastAsia="宋体" w:cs="宋体"/>
              <w:bCs/>
              <w:sz w:val="24"/>
              <w:szCs w:val="24"/>
            </w:rPr>
            <w:fldChar w:fldCharType="separate"/>
          </w:r>
          <w:r>
            <w:rPr>
              <w:rFonts w:hint="eastAsia" w:ascii="宋体" w:hAnsi="宋体" w:eastAsia="宋体" w:cs="宋体"/>
              <w:bCs/>
              <w:sz w:val="24"/>
              <w:szCs w:val="24"/>
            </w:rPr>
            <w:t>第</w:t>
          </w:r>
          <w:r>
            <w:rPr>
              <w:rFonts w:hint="eastAsia" w:ascii="宋体" w:hAnsi="宋体" w:eastAsia="宋体" w:cs="宋体"/>
              <w:bCs/>
              <w:sz w:val="24"/>
              <w:szCs w:val="24"/>
              <w:lang w:eastAsia="zh-CN"/>
            </w:rPr>
            <w:t>二</w:t>
          </w:r>
          <w:r>
            <w:rPr>
              <w:rFonts w:hint="eastAsia" w:ascii="宋体" w:hAnsi="宋体" w:eastAsia="宋体" w:cs="宋体"/>
              <w:bCs/>
              <w:sz w:val="24"/>
              <w:szCs w:val="24"/>
            </w:rPr>
            <w:t>节</w:t>
          </w:r>
          <w:r>
            <w:rPr>
              <w:rFonts w:hint="eastAsia" w:ascii="宋体" w:hAnsi="宋体" w:eastAsia="宋体" w:cs="宋体"/>
              <w:bCs/>
              <w:sz w:val="24"/>
              <w:szCs w:val="24"/>
              <w:lang w:val="en-US" w:eastAsia="zh-CN"/>
            </w:rPr>
            <w:t xml:space="preserve"> 优势旅游资源对比分析</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_Toc32100 \h </w:instrText>
          </w:r>
          <w:r>
            <w:rPr>
              <w:rFonts w:hint="eastAsia" w:ascii="宋体" w:hAnsi="宋体" w:eastAsia="宋体" w:cs="宋体"/>
              <w:sz w:val="24"/>
              <w:szCs w:val="24"/>
            </w:rPr>
            <w:fldChar w:fldCharType="separate"/>
          </w:r>
          <w:r>
            <w:rPr>
              <w:rFonts w:hint="eastAsia" w:ascii="宋体" w:hAnsi="宋体" w:eastAsia="宋体" w:cs="宋体"/>
              <w:sz w:val="24"/>
              <w:szCs w:val="24"/>
            </w:rPr>
            <w:t>- 162 -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47E9FDF9">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_Toc22814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一、山水旅游资源对比分析</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_Toc22814 \h </w:instrText>
          </w:r>
          <w:r>
            <w:rPr>
              <w:rFonts w:hint="eastAsia" w:ascii="宋体" w:hAnsi="宋体" w:eastAsia="宋体" w:cs="宋体"/>
              <w:sz w:val="24"/>
              <w:szCs w:val="24"/>
            </w:rPr>
            <w:fldChar w:fldCharType="separate"/>
          </w:r>
          <w:r>
            <w:rPr>
              <w:rFonts w:hint="eastAsia" w:ascii="宋体" w:hAnsi="宋体" w:eastAsia="宋体" w:cs="宋体"/>
              <w:sz w:val="24"/>
              <w:szCs w:val="24"/>
            </w:rPr>
            <w:t>- 162 -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7ADD0A5A">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_Toc910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二、文化旅游资源对比分析</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_Toc910 \h </w:instrText>
          </w:r>
          <w:r>
            <w:rPr>
              <w:rFonts w:hint="eastAsia" w:ascii="宋体" w:hAnsi="宋体" w:eastAsia="宋体" w:cs="宋体"/>
              <w:sz w:val="24"/>
              <w:szCs w:val="24"/>
            </w:rPr>
            <w:fldChar w:fldCharType="separate"/>
          </w:r>
          <w:r>
            <w:rPr>
              <w:rFonts w:hint="eastAsia" w:ascii="宋体" w:hAnsi="宋体" w:eastAsia="宋体" w:cs="宋体"/>
              <w:sz w:val="24"/>
              <w:szCs w:val="24"/>
            </w:rPr>
            <w:t>- 165 -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373ABD11">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_Toc9880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三、民俗旅游资源对比分析</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_Toc9880 \h </w:instrText>
          </w:r>
          <w:r>
            <w:rPr>
              <w:rFonts w:hint="eastAsia" w:ascii="宋体" w:hAnsi="宋体" w:eastAsia="宋体" w:cs="宋体"/>
              <w:sz w:val="24"/>
              <w:szCs w:val="24"/>
            </w:rPr>
            <w:fldChar w:fldCharType="separate"/>
          </w:r>
          <w:r>
            <w:rPr>
              <w:rFonts w:hint="eastAsia" w:ascii="宋体" w:hAnsi="宋体" w:eastAsia="宋体" w:cs="宋体"/>
              <w:sz w:val="24"/>
              <w:szCs w:val="24"/>
            </w:rPr>
            <w:t>- 167 -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65A0954E">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_Toc1247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第三节 旅游资源分区评价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_Toc1247 \h </w:instrText>
          </w:r>
          <w:r>
            <w:rPr>
              <w:rFonts w:hint="eastAsia" w:ascii="宋体" w:hAnsi="宋体" w:eastAsia="宋体" w:cs="宋体"/>
              <w:sz w:val="24"/>
              <w:szCs w:val="24"/>
            </w:rPr>
            <w:fldChar w:fldCharType="separate"/>
          </w:r>
          <w:r>
            <w:rPr>
              <w:rFonts w:hint="eastAsia" w:ascii="宋体" w:hAnsi="宋体" w:eastAsia="宋体" w:cs="宋体"/>
              <w:sz w:val="24"/>
              <w:szCs w:val="24"/>
            </w:rPr>
            <w:t>- 170 -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2E1C0F6E">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_Toc18568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一、焦作北部沿南太行旅游带评价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_Toc18568 \h </w:instrText>
          </w:r>
          <w:r>
            <w:rPr>
              <w:rFonts w:hint="eastAsia" w:ascii="宋体" w:hAnsi="宋体" w:eastAsia="宋体" w:cs="宋体"/>
              <w:sz w:val="24"/>
              <w:szCs w:val="24"/>
            </w:rPr>
            <w:fldChar w:fldCharType="separate"/>
          </w:r>
          <w:r>
            <w:rPr>
              <w:rFonts w:hint="eastAsia" w:ascii="宋体" w:hAnsi="宋体" w:eastAsia="宋体" w:cs="宋体"/>
              <w:sz w:val="24"/>
              <w:szCs w:val="24"/>
            </w:rPr>
            <w:t>- 170 -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55B92613">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_Toc1023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二、焦作南部沿黄河旅游带评价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_Toc1023 \h </w:instrText>
          </w:r>
          <w:r>
            <w:rPr>
              <w:rFonts w:hint="eastAsia" w:ascii="宋体" w:hAnsi="宋体" w:eastAsia="宋体" w:cs="宋体"/>
              <w:sz w:val="24"/>
              <w:szCs w:val="24"/>
            </w:rPr>
            <w:fldChar w:fldCharType="separate"/>
          </w:r>
          <w:r>
            <w:rPr>
              <w:rFonts w:hint="eastAsia" w:ascii="宋体" w:hAnsi="宋体" w:eastAsia="宋体" w:cs="宋体"/>
              <w:sz w:val="24"/>
              <w:szCs w:val="24"/>
            </w:rPr>
            <w:t>- 183 -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4A11AAD0">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_Toc6262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三、焦作中部城市联合体旅游</w:t>
          </w:r>
          <w:r>
            <w:rPr>
              <w:rFonts w:hint="eastAsia" w:ascii="宋体" w:hAnsi="宋体" w:eastAsia="宋体" w:cs="宋体"/>
              <w:bCs/>
              <w:sz w:val="24"/>
              <w:szCs w:val="24"/>
              <w:lang w:val="en-US" w:eastAsia="zh-CN"/>
            </w:rPr>
            <w:t>带</w:t>
          </w:r>
          <w:r>
            <w:rPr>
              <w:rFonts w:hint="eastAsia" w:ascii="宋体" w:hAnsi="宋体" w:eastAsia="宋体" w:cs="宋体"/>
              <w:bCs/>
              <w:sz w:val="24"/>
              <w:szCs w:val="24"/>
              <w:lang w:eastAsia="zh-CN"/>
            </w:rPr>
            <w:t>评价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_Toc6262 \h </w:instrText>
          </w:r>
          <w:r>
            <w:rPr>
              <w:rFonts w:hint="eastAsia" w:ascii="宋体" w:hAnsi="宋体" w:eastAsia="宋体" w:cs="宋体"/>
              <w:sz w:val="24"/>
              <w:szCs w:val="24"/>
            </w:rPr>
            <w:fldChar w:fldCharType="separate"/>
          </w:r>
          <w:r>
            <w:rPr>
              <w:rFonts w:hint="eastAsia" w:ascii="宋体" w:hAnsi="宋体" w:eastAsia="宋体" w:cs="宋体"/>
              <w:sz w:val="24"/>
              <w:szCs w:val="24"/>
            </w:rPr>
            <w:t>- 196 -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4A67E85">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_Toc14312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第四节 游资源开发条件及评价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_Toc14312 \h </w:instrText>
          </w:r>
          <w:r>
            <w:rPr>
              <w:rFonts w:hint="eastAsia" w:ascii="宋体" w:hAnsi="宋体" w:eastAsia="宋体" w:cs="宋体"/>
              <w:sz w:val="24"/>
              <w:szCs w:val="24"/>
            </w:rPr>
            <w:fldChar w:fldCharType="separate"/>
          </w:r>
          <w:r>
            <w:rPr>
              <w:rFonts w:hint="eastAsia" w:ascii="宋体" w:hAnsi="宋体" w:eastAsia="宋体" w:cs="宋体"/>
              <w:sz w:val="24"/>
              <w:szCs w:val="24"/>
            </w:rPr>
            <w:t>- 206 -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2195135">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_Toc28349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一、焦作北部沿南太行旅游带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_Toc28349 \h </w:instrText>
          </w:r>
          <w:r>
            <w:rPr>
              <w:rFonts w:hint="eastAsia" w:ascii="宋体" w:hAnsi="宋体" w:eastAsia="宋体" w:cs="宋体"/>
              <w:sz w:val="24"/>
              <w:szCs w:val="24"/>
            </w:rPr>
            <w:fldChar w:fldCharType="separate"/>
          </w:r>
          <w:r>
            <w:rPr>
              <w:rFonts w:hint="eastAsia" w:ascii="宋体" w:hAnsi="宋体" w:eastAsia="宋体" w:cs="宋体"/>
              <w:sz w:val="24"/>
              <w:szCs w:val="24"/>
            </w:rPr>
            <w:t>- 206 -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5DF1E44E">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_Toc18351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二、焦作南部沿黄河旅游带评价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_Toc18351 \h </w:instrText>
          </w:r>
          <w:r>
            <w:rPr>
              <w:rFonts w:hint="eastAsia" w:ascii="宋体" w:hAnsi="宋体" w:eastAsia="宋体" w:cs="宋体"/>
              <w:sz w:val="24"/>
              <w:szCs w:val="24"/>
            </w:rPr>
            <w:fldChar w:fldCharType="separate"/>
          </w:r>
          <w:r>
            <w:rPr>
              <w:rFonts w:hint="eastAsia" w:ascii="宋体" w:hAnsi="宋体" w:eastAsia="宋体" w:cs="宋体"/>
              <w:sz w:val="24"/>
              <w:szCs w:val="24"/>
            </w:rPr>
            <w:t>- 211 -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48CC26F6">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_Toc19894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三、焦作中部城市联合体旅游评价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_Toc19894 \h </w:instrText>
          </w:r>
          <w:r>
            <w:rPr>
              <w:rFonts w:hint="eastAsia" w:ascii="宋体" w:hAnsi="宋体" w:eastAsia="宋体" w:cs="宋体"/>
              <w:sz w:val="24"/>
              <w:szCs w:val="24"/>
            </w:rPr>
            <w:fldChar w:fldCharType="separate"/>
          </w:r>
          <w:r>
            <w:rPr>
              <w:rFonts w:hint="eastAsia" w:ascii="宋体" w:hAnsi="宋体" w:eastAsia="宋体" w:cs="宋体"/>
              <w:sz w:val="24"/>
              <w:szCs w:val="24"/>
            </w:rPr>
            <w:t>- 217 -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669B006F">
          <w:pPr>
            <w:pStyle w:val="12"/>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_Toc11639 </w:instrText>
          </w:r>
          <w:r>
            <w:rPr>
              <w:rFonts w:hint="eastAsia" w:ascii="宋体" w:hAnsi="宋体" w:eastAsia="宋体" w:cs="宋体"/>
              <w:bCs/>
              <w:sz w:val="24"/>
              <w:szCs w:val="24"/>
            </w:rPr>
            <w:fldChar w:fldCharType="separate"/>
          </w:r>
          <w:r>
            <w:rPr>
              <w:rFonts w:hint="eastAsia" w:ascii="宋体" w:hAnsi="宋体" w:eastAsia="宋体" w:cs="宋体"/>
              <w:bCs/>
              <w:sz w:val="24"/>
              <w:szCs w:val="24"/>
            </w:rPr>
            <w:t>第</w:t>
          </w:r>
          <w:r>
            <w:rPr>
              <w:rFonts w:hint="eastAsia" w:ascii="宋体" w:hAnsi="宋体" w:eastAsia="宋体" w:cs="宋体"/>
              <w:bCs/>
              <w:sz w:val="24"/>
              <w:szCs w:val="24"/>
              <w:lang w:eastAsia="zh-CN"/>
            </w:rPr>
            <w:t>六</w:t>
          </w:r>
          <w:r>
            <w:rPr>
              <w:rFonts w:hint="eastAsia" w:ascii="宋体" w:hAnsi="宋体" w:eastAsia="宋体" w:cs="宋体"/>
              <w:bCs/>
              <w:sz w:val="24"/>
              <w:szCs w:val="24"/>
            </w:rPr>
            <w:t>章</w:t>
          </w:r>
          <w:r>
            <w:rPr>
              <w:rFonts w:hint="eastAsia" w:ascii="宋体" w:hAnsi="宋体" w:eastAsia="宋体" w:cs="宋体"/>
              <w:bCs/>
              <w:sz w:val="24"/>
              <w:szCs w:val="24"/>
              <w:lang w:val="en-US" w:eastAsia="zh-CN"/>
            </w:rPr>
            <w:t xml:space="preserve"> 旅游资源保护与开发建议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_Toc11639 \h </w:instrText>
          </w:r>
          <w:r>
            <w:rPr>
              <w:rFonts w:hint="eastAsia" w:ascii="宋体" w:hAnsi="宋体" w:eastAsia="宋体" w:cs="宋体"/>
              <w:sz w:val="24"/>
              <w:szCs w:val="24"/>
            </w:rPr>
            <w:fldChar w:fldCharType="separate"/>
          </w:r>
          <w:r>
            <w:rPr>
              <w:rFonts w:hint="eastAsia" w:ascii="宋体" w:hAnsi="宋体" w:eastAsia="宋体" w:cs="宋体"/>
              <w:sz w:val="24"/>
              <w:szCs w:val="24"/>
            </w:rPr>
            <w:t>- 223 -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5858B15A">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_Toc2918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第一节 旅游资源的保护与开发现状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_Toc2918 \h </w:instrText>
          </w:r>
          <w:r>
            <w:rPr>
              <w:rFonts w:hint="eastAsia" w:ascii="宋体" w:hAnsi="宋体" w:eastAsia="宋体" w:cs="宋体"/>
              <w:sz w:val="24"/>
              <w:szCs w:val="24"/>
            </w:rPr>
            <w:fldChar w:fldCharType="separate"/>
          </w:r>
          <w:r>
            <w:rPr>
              <w:rFonts w:hint="eastAsia" w:ascii="宋体" w:hAnsi="宋体" w:eastAsia="宋体" w:cs="宋体"/>
              <w:sz w:val="24"/>
              <w:szCs w:val="24"/>
            </w:rPr>
            <w:t>- 223 -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6F35CABE">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_Toc16885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一、资源保护现状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_Toc16885 \h </w:instrText>
          </w:r>
          <w:r>
            <w:rPr>
              <w:rFonts w:hint="eastAsia" w:ascii="宋体" w:hAnsi="宋体" w:eastAsia="宋体" w:cs="宋体"/>
              <w:sz w:val="24"/>
              <w:szCs w:val="24"/>
            </w:rPr>
            <w:fldChar w:fldCharType="separate"/>
          </w:r>
          <w:r>
            <w:rPr>
              <w:rFonts w:hint="eastAsia" w:ascii="宋体" w:hAnsi="宋体" w:eastAsia="宋体" w:cs="宋体"/>
              <w:sz w:val="24"/>
              <w:szCs w:val="24"/>
            </w:rPr>
            <w:t>- 223 -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707BEAD4">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_Toc5474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二、保护措施实施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_Toc5474 \h </w:instrText>
          </w:r>
          <w:r>
            <w:rPr>
              <w:rFonts w:hint="eastAsia" w:ascii="宋体" w:hAnsi="宋体" w:eastAsia="宋体" w:cs="宋体"/>
              <w:sz w:val="24"/>
              <w:szCs w:val="24"/>
            </w:rPr>
            <w:fldChar w:fldCharType="separate"/>
          </w:r>
          <w:r>
            <w:rPr>
              <w:rFonts w:hint="eastAsia" w:ascii="宋体" w:hAnsi="宋体" w:eastAsia="宋体" w:cs="宋体"/>
              <w:sz w:val="24"/>
              <w:szCs w:val="24"/>
            </w:rPr>
            <w:t>- 224 -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457AC596">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_Toc15675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三、保护意识提升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_Toc15675 \h </w:instrText>
          </w:r>
          <w:r>
            <w:rPr>
              <w:rFonts w:hint="eastAsia" w:ascii="宋体" w:hAnsi="宋体" w:eastAsia="宋体" w:cs="宋体"/>
              <w:sz w:val="24"/>
              <w:szCs w:val="24"/>
            </w:rPr>
            <w:fldChar w:fldCharType="separate"/>
          </w:r>
          <w:r>
            <w:rPr>
              <w:rFonts w:hint="eastAsia" w:ascii="宋体" w:hAnsi="宋体" w:eastAsia="宋体" w:cs="宋体"/>
              <w:sz w:val="24"/>
              <w:szCs w:val="24"/>
            </w:rPr>
            <w:t>- 226 -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16F958E8">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_Toc2309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四、资源开发现状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_Toc2309 \h </w:instrText>
          </w:r>
          <w:r>
            <w:rPr>
              <w:rFonts w:hint="eastAsia" w:ascii="宋体" w:hAnsi="宋体" w:eastAsia="宋体" w:cs="宋体"/>
              <w:sz w:val="24"/>
              <w:szCs w:val="24"/>
            </w:rPr>
            <w:fldChar w:fldCharType="separate"/>
          </w:r>
          <w:r>
            <w:rPr>
              <w:rFonts w:hint="eastAsia" w:ascii="宋体" w:hAnsi="宋体" w:eastAsia="宋体" w:cs="宋体"/>
              <w:sz w:val="24"/>
              <w:szCs w:val="24"/>
            </w:rPr>
            <w:t>- 227 -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1E5DB16D">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_Toc7833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五</w:t>
          </w:r>
          <w:r>
            <w:rPr>
              <w:rFonts w:hint="eastAsia" w:ascii="宋体" w:hAnsi="宋体" w:eastAsia="宋体" w:cs="宋体"/>
              <w:bCs/>
              <w:sz w:val="24"/>
              <w:szCs w:val="24"/>
              <w:lang w:eastAsia="zh-CN"/>
            </w:rPr>
            <w:t>、保护与开发的平衡现状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_Toc7833 \h </w:instrText>
          </w:r>
          <w:r>
            <w:rPr>
              <w:rFonts w:hint="eastAsia" w:ascii="宋体" w:hAnsi="宋体" w:eastAsia="宋体" w:cs="宋体"/>
              <w:sz w:val="24"/>
              <w:szCs w:val="24"/>
            </w:rPr>
            <w:fldChar w:fldCharType="separate"/>
          </w:r>
          <w:r>
            <w:rPr>
              <w:rFonts w:hint="eastAsia" w:ascii="宋体" w:hAnsi="宋体" w:eastAsia="宋体" w:cs="宋体"/>
              <w:sz w:val="24"/>
              <w:szCs w:val="24"/>
            </w:rPr>
            <w:t>- 232 -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276271D5">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_Toc27185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第二节 存在问题</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_Toc27185 \h </w:instrText>
          </w:r>
          <w:r>
            <w:rPr>
              <w:rFonts w:hint="eastAsia" w:ascii="宋体" w:hAnsi="宋体" w:eastAsia="宋体" w:cs="宋体"/>
              <w:sz w:val="24"/>
              <w:szCs w:val="24"/>
            </w:rPr>
            <w:fldChar w:fldCharType="separate"/>
          </w:r>
          <w:r>
            <w:rPr>
              <w:rFonts w:hint="eastAsia" w:ascii="宋体" w:hAnsi="宋体" w:eastAsia="宋体" w:cs="宋体"/>
              <w:sz w:val="24"/>
              <w:szCs w:val="24"/>
            </w:rPr>
            <w:t>- 235 -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7C9005F5">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_Toc15581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一、资源开发利用不充分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_Toc15581 \h </w:instrText>
          </w:r>
          <w:r>
            <w:rPr>
              <w:rFonts w:hint="eastAsia" w:ascii="宋体" w:hAnsi="宋体" w:eastAsia="宋体" w:cs="宋体"/>
              <w:sz w:val="24"/>
              <w:szCs w:val="24"/>
            </w:rPr>
            <w:fldChar w:fldCharType="separate"/>
          </w:r>
          <w:r>
            <w:rPr>
              <w:rFonts w:hint="eastAsia" w:ascii="宋体" w:hAnsi="宋体" w:eastAsia="宋体" w:cs="宋体"/>
              <w:sz w:val="24"/>
              <w:szCs w:val="24"/>
            </w:rPr>
            <w:t>- 235 -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6BD2AE7F">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_Toc21804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二</w:t>
          </w:r>
          <w:r>
            <w:rPr>
              <w:rFonts w:hint="eastAsia" w:ascii="宋体" w:hAnsi="宋体" w:eastAsia="宋体" w:cs="宋体"/>
              <w:bCs/>
              <w:sz w:val="24"/>
              <w:szCs w:val="24"/>
              <w:lang w:eastAsia="zh-CN"/>
            </w:rPr>
            <w:t>、整体规划缺乏系统性</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_Toc21804 \h </w:instrText>
          </w:r>
          <w:r>
            <w:rPr>
              <w:rFonts w:hint="eastAsia" w:ascii="宋体" w:hAnsi="宋体" w:eastAsia="宋体" w:cs="宋体"/>
              <w:sz w:val="24"/>
              <w:szCs w:val="24"/>
            </w:rPr>
            <w:fldChar w:fldCharType="separate"/>
          </w:r>
          <w:r>
            <w:rPr>
              <w:rFonts w:hint="eastAsia" w:ascii="宋体" w:hAnsi="宋体" w:eastAsia="宋体" w:cs="宋体"/>
              <w:sz w:val="24"/>
              <w:szCs w:val="24"/>
            </w:rPr>
            <w:t>- 236 -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69E79E3">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_Toc2360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三</w:t>
          </w:r>
          <w:r>
            <w:rPr>
              <w:rFonts w:hint="eastAsia" w:ascii="宋体" w:hAnsi="宋体" w:eastAsia="宋体" w:cs="宋体"/>
              <w:bCs/>
              <w:sz w:val="24"/>
              <w:szCs w:val="24"/>
              <w:lang w:eastAsia="zh-CN"/>
            </w:rPr>
            <w:t>、文旅融合深度</w:t>
          </w:r>
          <w:r>
            <w:rPr>
              <w:rFonts w:hint="eastAsia" w:ascii="宋体" w:hAnsi="宋体" w:eastAsia="宋体" w:cs="宋体"/>
              <w:bCs/>
              <w:sz w:val="24"/>
              <w:szCs w:val="24"/>
              <w:lang w:val="en-US" w:eastAsia="zh-CN"/>
            </w:rPr>
            <w:t>不足</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_Toc2360 \h </w:instrText>
          </w:r>
          <w:r>
            <w:rPr>
              <w:rFonts w:hint="eastAsia" w:ascii="宋体" w:hAnsi="宋体" w:eastAsia="宋体" w:cs="宋体"/>
              <w:sz w:val="24"/>
              <w:szCs w:val="24"/>
            </w:rPr>
            <w:fldChar w:fldCharType="separate"/>
          </w:r>
          <w:r>
            <w:rPr>
              <w:rFonts w:hint="eastAsia" w:ascii="宋体" w:hAnsi="宋体" w:eastAsia="宋体" w:cs="宋体"/>
              <w:sz w:val="24"/>
              <w:szCs w:val="24"/>
            </w:rPr>
            <w:t>- 238 -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61677D64">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_Toc11355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四</w:t>
          </w:r>
          <w:r>
            <w:rPr>
              <w:rFonts w:hint="eastAsia" w:ascii="宋体" w:hAnsi="宋体" w:eastAsia="宋体" w:cs="宋体"/>
              <w:bCs/>
              <w:sz w:val="24"/>
              <w:szCs w:val="24"/>
              <w:lang w:eastAsia="zh-CN"/>
            </w:rPr>
            <w:t>、旅游产业链条较短</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_Toc11355 \h </w:instrText>
          </w:r>
          <w:r>
            <w:rPr>
              <w:rFonts w:hint="eastAsia" w:ascii="宋体" w:hAnsi="宋体" w:eastAsia="宋体" w:cs="宋体"/>
              <w:sz w:val="24"/>
              <w:szCs w:val="24"/>
            </w:rPr>
            <w:fldChar w:fldCharType="separate"/>
          </w:r>
          <w:r>
            <w:rPr>
              <w:rFonts w:hint="eastAsia" w:ascii="宋体" w:hAnsi="宋体" w:eastAsia="宋体" w:cs="宋体"/>
              <w:sz w:val="24"/>
              <w:szCs w:val="24"/>
            </w:rPr>
            <w:t>- 240 -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AAF61C0">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_Toc8841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五</w:t>
          </w:r>
          <w:r>
            <w:rPr>
              <w:rFonts w:hint="eastAsia" w:ascii="宋体" w:hAnsi="宋体" w:eastAsia="宋体" w:cs="宋体"/>
              <w:bCs/>
              <w:sz w:val="24"/>
              <w:szCs w:val="24"/>
              <w:lang w:eastAsia="zh-CN"/>
            </w:rPr>
            <w:t>、旅游服务质量有待提升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_Toc8841 \h </w:instrText>
          </w:r>
          <w:r>
            <w:rPr>
              <w:rFonts w:hint="eastAsia" w:ascii="宋体" w:hAnsi="宋体" w:eastAsia="宋体" w:cs="宋体"/>
              <w:sz w:val="24"/>
              <w:szCs w:val="24"/>
            </w:rPr>
            <w:fldChar w:fldCharType="separate"/>
          </w:r>
          <w:r>
            <w:rPr>
              <w:rFonts w:hint="eastAsia" w:ascii="宋体" w:hAnsi="宋体" w:eastAsia="宋体" w:cs="宋体"/>
              <w:sz w:val="24"/>
              <w:szCs w:val="24"/>
            </w:rPr>
            <w:t>- 242 -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2C9DB036">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_Toc2285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六、营销宣传策略有待优化</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_Toc2285 \h </w:instrText>
          </w:r>
          <w:r>
            <w:rPr>
              <w:rFonts w:hint="eastAsia" w:ascii="宋体" w:hAnsi="宋体" w:eastAsia="宋体" w:cs="宋体"/>
              <w:sz w:val="24"/>
              <w:szCs w:val="24"/>
            </w:rPr>
            <w:fldChar w:fldCharType="separate"/>
          </w:r>
          <w:r>
            <w:rPr>
              <w:rFonts w:hint="eastAsia" w:ascii="宋体" w:hAnsi="宋体" w:eastAsia="宋体" w:cs="宋体"/>
              <w:sz w:val="24"/>
              <w:szCs w:val="24"/>
            </w:rPr>
            <w:t>- 244 -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5EACC89C">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_Toc1002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第三节 保护工作建议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_Toc1002 \h </w:instrText>
          </w:r>
          <w:r>
            <w:rPr>
              <w:rFonts w:hint="eastAsia" w:ascii="宋体" w:hAnsi="宋体" w:eastAsia="宋体" w:cs="宋体"/>
              <w:sz w:val="24"/>
              <w:szCs w:val="24"/>
            </w:rPr>
            <w:fldChar w:fldCharType="separate"/>
          </w:r>
          <w:r>
            <w:rPr>
              <w:rFonts w:hint="eastAsia" w:ascii="宋体" w:hAnsi="宋体" w:eastAsia="宋体" w:cs="宋体"/>
              <w:sz w:val="24"/>
              <w:szCs w:val="24"/>
            </w:rPr>
            <w:t>- 245 -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4BEEA1B">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_Toc11691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一</w:t>
          </w:r>
          <w:r>
            <w:rPr>
              <w:rFonts w:hint="eastAsia" w:ascii="宋体" w:hAnsi="宋体" w:eastAsia="宋体" w:cs="宋体"/>
              <w:bCs/>
              <w:sz w:val="24"/>
              <w:szCs w:val="24"/>
              <w:lang w:val="en-US" w:eastAsia="zh-CN"/>
            </w:rPr>
            <w:t>、强化旅游资源保护意识与法规建设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_Toc11691 \h </w:instrText>
          </w:r>
          <w:r>
            <w:rPr>
              <w:rFonts w:hint="eastAsia" w:ascii="宋体" w:hAnsi="宋体" w:eastAsia="宋体" w:cs="宋体"/>
              <w:sz w:val="24"/>
              <w:szCs w:val="24"/>
            </w:rPr>
            <w:fldChar w:fldCharType="separate"/>
          </w:r>
          <w:r>
            <w:rPr>
              <w:rFonts w:hint="eastAsia" w:ascii="宋体" w:hAnsi="宋体" w:eastAsia="宋体" w:cs="宋体"/>
              <w:sz w:val="24"/>
              <w:szCs w:val="24"/>
            </w:rPr>
            <w:t>- 245 -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46E6156F">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_Toc12459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二、加强旅游资源监测与评估</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_Toc12459 \h </w:instrText>
          </w:r>
          <w:r>
            <w:rPr>
              <w:rFonts w:hint="eastAsia" w:ascii="宋体" w:hAnsi="宋体" w:eastAsia="宋体" w:cs="宋体"/>
              <w:sz w:val="24"/>
              <w:szCs w:val="24"/>
            </w:rPr>
            <w:fldChar w:fldCharType="separate"/>
          </w:r>
          <w:r>
            <w:rPr>
              <w:rFonts w:hint="eastAsia" w:ascii="宋体" w:hAnsi="宋体" w:eastAsia="宋体" w:cs="宋体"/>
              <w:sz w:val="24"/>
              <w:szCs w:val="24"/>
            </w:rPr>
            <w:t>- 247 -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109F5759">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_Toc30097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三、推进生态修复与环境保护</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_Toc30097 \h </w:instrText>
          </w:r>
          <w:r>
            <w:rPr>
              <w:rFonts w:hint="eastAsia" w:ascii="宋体" w:hAnsi="宋体" w:eastAsia="宋体" w:cs="宋体"/>
              <w:sz w:val="24"/>
              <w:szCs w:val="24"/>
            </w:rPr>
            <w:fldChar w:fldCharType="separate"/>
          </w:r>
          <w:r>
            <w:rPr>
              <w:rFonts w:hint="eastAsia" w:ascii="宋体" w:hAnsi="宋体" w:eastAsia="宋体" w:cs="宋体"/>
              <w:sz w:val="24"/>
              <w:szCs w:val="24"/>
            </w:rPr>
            <w:t>- 249 -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0CAB303">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_Toc4385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四、注重文化遗产保护与传承</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_Toc4385 \h </w:instrText>
          </w:r>
          <w:r>
            <w:rPr>
              <w:rFonts w:hint="eastAsia" w:ascii="宋体" w:hAnsi="宋体" w:eastAsia="宋体" w:cs="宋体"/>
              <w:sz w:val="24"/>
              <w:szCs w:val="24"/>
            </w:rPr>
            <w:fldChar w:fldCharType="separate"/>
          </w:r>
          <w:r>
            <w:rPr>
              <w:rFonts w:hint="eastAsia" w:ascii="宋体" w:hAnsi="宋体" w:eastAsia="宋体" w:cs="宋体"/>
              <w:sz w:val="24"/>
              <w:szCs w:val="24"/>
            </w:rPr>
            <w:t>- 251 -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33CAA915">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_Toc17366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五、建立跨部门合作与协调机制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_Toc17366 \h </w:instrText>
          </w:r>
          <w:r>
            <w:rPr>
              <w:rFonts w:hint="eastAsia" w:ascii="宋体" w:hAnsi="宋体" w:eastAsia="宋体" w:cs="宋体"/>
              <w:sz w:val="24"/>
              <w:szCs w:val="24"/>
            </w:rPr>
            <w:fldChar w:fldCharType="separate"/>
          </w:r>
          <w:r>
            <w:rPr>
              <w:rFonts w:hint="eastAsia" w:ascii="宋体" w:hAnsi="宋体" w:eastAsia="宋体" w:cs="宋体"/>
              <w:sz w:val="24"/>
              <w:szCs w:val="24"/>
            </w:rPr>
            <w:t>- 253 -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377CC8C1">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_Toc3830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六、鼓励社区参与</w:t>
          </w:r>
          <w:r>
            <w:rPr>
              <w:rFonts w:hint="eastAsia" w:ascii="宋体" w:hAnsi="宋体" w:eastAsia="宋体" w:cs="宋体"/>
              <w:bCs/>
              <w:sz w:val="24"/>
              <w:szCs w:val="24"/>
              <w:lang w:val="en-US" w:eastAsia="zh-CN"/>
            </w:rPr>
            <w:t>和</w:t>
          </w:r>
          <w:r>
            <w:rPr>
              <w:rFonts w:hint="eastAsia" w:ascii="宋体" w:hAnsi="宋体" w:eastAsia="宋体" w:cs="宋体"/>
              <w:bCs/>
              <w:sz w:val="24"/>
              <w:szCs w:val="24"/>
              <w:lang w:eastAsia="zh-CN"/>
            </w:rPr>
            <w:t>利益共享</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_Toc3830 \h </w:instrText>
          </w:r>
          <w:r>
            <w:rPr>
              <w:rFonts w:hint="eastAsia" w:ascii="宋体" w:hAnsi="宋体" w:eastAsia="宋体" w:cs="宋体"/>
              <w:sz w:val="24"/>
              <w:szCs w:val="24"/>
            </w:rPr>
            <w:fldChar w:fldCharType="separate"/>
          </w:r>
          <w:r>
            <w:rPr>
              <w:rFonts w:hint="eastAsia" w:ascii="宋体" w:hAnsi="宋体" w:eastAsia="宋体" w:cs="宋体"/>
              <w:sz w:val="24"/>
              <w:szCs w:val="24"/>
            </w:rPr>
            <w:t>- 255 -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229A579A">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_Toc27020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第五节 开发建议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_Toc27020 \h </w:instrText>
          </w:r>
          <w:r>
            <w:rPr>
              <w:rFonts w:hint="eastAsia" w:ascii="宋体" w:hAnsi="宋体" w:eastAsia="宋体" w:cs="宋体"/>
              <w:sz w:val="24"/>
              <w:szCs w:val="24"/>
            </w:rPr>
            <w:fldChar w:fldCharType="separate"/>
          </w:r>
          <w:r>
            <w:rPr>
              <w:rFonts w:hint="eastAsia" w:ascii="宋体" w:hAnsi="宋体" w:eastAsia="宋体" w:cs="宋体"/>
              <w:sz w:val="24"/>
              <w:szCs w:val="24"/>
            </w:rPr>
            <w:t>- 256 -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286896D3">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_Toc13525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一、树立新的旅游资源利用观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_Toc13525 \h </w:instrText>
          </w:r>
          <w:r>
            <w:rPr>
              <w:rFonts w:hint="eastAsia" w:ascii="宋体" w:hAnsi="宋体" w:eastAsia="宋体" w:cs="宋体"/>
              <w:sz w:val="24"/>
              <w:szCs w:val="24"/>
            </w:rPr>
            <w:fldChar w:fldCharType="separate"/>
          </w:r>
          <w:r>
            <w:rPr>
              <w:rFonts w:hint="eastAsia" w:ascii="宋体" w:hAnsi="宋体" w:eastAsia="宋体" w:cs="宋体"/>
              <w:sz w:val="24"/>
              <w:szCs w:val="24"/>
            </w:rPr>
            <w:t>- 256 -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96F830E">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_Toc21771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zh-CN" w:eastAsia="zh-Hans"/>
            </w:rPr>
            <w:t>二、</w:t>
          </w:r>
          <w:r>
            <w:rPr>
              <w:rFonts w:hint="eastAsia" w:ascii="宋体" w:hAnsi="宋体" w:eastAsia="宋体" w:cs="宋体"/>
              <w:bCs/>
              <w:sz w:val="24"/>
              <w:szCs w:val="24"/>
              <w:lang w:val="en-US" w:eastAsia="zh-Hans"/>
            </w:rPr>
            <w:t>重塑</w:t>
          </w:r>
          <w:r>
            <w:rPr>
              <w:rFonts w:hint="eastAsia" w:ascii="宋体" w:hAnsi="宋体" w:eastAsia="宋体" w:cs="宋体"/>
              <w:bCs/>
              <w:sz w:val="24"/>
              <w:szCs w:val="24"/>
              <w:lang w:val="zh-CN" w:eastAsia="zh-Hans"/>
            </w:rPr>
            <w:t>新的</w:t>
          </w:r>
          <w:r>
            <w:rPr>
              <w:rFonts w:hint="eastAsia" w:ascii="宋体" w:hAnsi="宋体" w:eastAsia="宋体" w:cs="宋体"/>
              <w:bCs/>
              <w:sz w:val="24"/>
              <w:szCs w:val="24"/>
              <w:lang w:val="en-US" w:eastAsia="zh-Hans"/>
            </w:rPr>
            <w:t>资源整合格局</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_Toc21771 \h </w:instrText>
          </w:r>
          <w:r>
            <w:rPr>
              <w:rFonts w:hint="eastAsia" w:ascii="宋体" w:hAnsi="宋体" w:eastAsia="宋体" w:cs="宋体"/>
              <w:sz w:val="24"/>
              <w:szCs w:val="24"/>
            </w:rPr>
            <w:fldChar w:fldCharType="separate"/>
          </w:r>
          <w:r>
            <w:rPr>
              <w:rFonts w:hint="eastAsia" w:ascii="宋体" w:hAnsi="宋体" w:eastAsia="宋体" w:cs="宋体"/>
              <w:sz w:val="24"/>
              <w:szCs w:val="24"/>
            </w:rPr>
            <w:t>- 258 -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7BA71AE0">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_Toc29867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四、</w:t>
          </w:r>
          <w:r>
            <w:rPr>
              <w:rFonts w:hint="eastAsia" w:ascii="宋体" w:hAnsi="宋体" w:eastAsia="宋体" w:cs="宋体"/>
              <w:bCs/>
              <w:sz w:val="24"/>
              <w:szCs w:val="24"/>
              <w:lang w:val="zh-CN" w:eastAsia="zh-Hans"/>
            </w:rPr>
            <w:t>拓宽新的资源</w:t>
          </w:r>
          <w:r>
            <w:rPr>
              <w:rFonts w:hint="eastAsia" w:ascii="宋体" w:hAnsi="宋体" w:eastAsia="宋体" w:cs="宋体"/>
              <w:bCs/>
              <w:sz w:val="24"/>
              <w:szCs w:val="24"/>
              <w:lang w:val="en-US" w:eastAsia="zh-CN"/>
            </w:rPr>
            <w:t>活化</w:t>
          </w:r>
          <w:r>
            <w:rPr>
              <w:rFonts w:hint="eastAsia" w:ascii="宋体" w:hAnsi="宋体" w:eastAsia="宋体" w:cs="宋体"/>
              <w:bCs/>
              <w:sz w:val="24"/>
              <w:szCs w:val="24"/>
              <w:lang w:val="zh-CN" w:eastAsia="zh-Hans"/>
            </w:rPr>
            <w:t>路径</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_Toc29867 \h </w:instrText>
          </w:r>
          <w:r>
            <w:rPr>
              <w:rFonts w:hint="eastAsia" w:ascii="宋体" w:hAnsi="宋体" w:eastAsia="宋体" w:cs="宋体"/>
              <w:sz w:val="24"/>
              <w:szCs w:val="24"/>
            </w:rPr>
            <w:fldChar w:fldCharType="separate"/>
          </w:r>
          <w:r>
            <w:rPr>
              <w:rFonts w:hint="eastAsia" w:ascii="宋体" w:hAnsi="宋体" w:eastAsia="宋体" w:cs="宋体"/>
              <w:sz w:val="24"/>
              <w:szCs w:val="24"/>
            </w:rPr>
            <w:t>- 259 -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6B8AB94">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_Toc16817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eastAsia="zh-CN"/>
            </w:rPr>
            <w:t xml:space="preserve">四、 </w:t>
          </w:r>
          <w:r>
            <w:rPr>
              <w:rFonts w:hint="eastAsia" w:ascii="宋体" w:hAnsi="宋体" w:eastAsia="宋体" w:cs="宋体"/>
              <w:bCs/>
              <w:sz w:val="24"/>
              <w:szCs w:val="24"/>
              <w:lang w:val="en-US" w:eastAsia="zh-CN"/>
            </w:rPr>
            <w:t>构建新的</w:t>
          </w:r>
          <w:r>
            <w:rPr>
              <w:rFonts w:hint="eastAsia" w:ascii="宋体" w:hAnsi="宋体" w:eastAsia="宋体" w:cs="宋体"/>
              <w:bCs/>
              <w:sz w:val="24"/>
              <w:szCs w:val="24"/>
              <w:lang w:eastAsia="zh-CN"/>
            </w:rPr>
            <w:t>旅游产品体系</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_Toc16817 \h </w:instrText>
          </w:r>
          <w:r>
            <w:rPr>
              <w:rFonts w:hint="eastAsia" w:ascii="宋体" w:hAnsi="宋体" w:eastAsia="宋体" w:cs="宋体"/>
              <w:sz w:val="24"/>
              <w:szCs w:val="24"/>
            </w:rPr>
            <w:fldChar w:fldCharType="separate"/>
          </w:r>
          <w:r>
            <w:rPr>
              <w:rFonts w:hint="eastAsia" w:ascii="宋体" w:hAnsi="宋体" w:eastAsia="宋体" w:cs="宋体"/>
              <w:sz w:val="24"/>
              <w:szCs w:val="24"/>
            </w:rPr>
            <w:t>- 263 -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56F3C686">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_Toc4318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五</w:t>
          </w:r>
          <w:r>
            <w:rPr>
              <w:rFonts w:hint="eastAsia" w:ascii="宋体" w:hAnsi="宋体" w:eastAsia="宋体" w:cs="宋体"/>
              <w:bCs/>
              <w:sz w:val="24"/>
              <w:szCs w:val="24"/>
              <w:lang w:eastAsia="zh-CN"/>
            </w:rPr>
            <w:t>、提升旅游服务质量与设施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_Toc4318 \h </w:instrText>
          </w:r>
          <w:r>
            <w:rPr>
              <w:rFonts w:hint="eastAsia" w:ascii="宋体" w:hAnsi="宋体" w:eastAsia="宋体" w:cs="宋体"/>
              <w:sz w:val="24"/>
              <w:szCs w:val="24"/>
            </w:rPr>
            <w:fldChar w:fldCharType="separate"/>
          </w:r>
          <w:r>
            <w:rPr>
              <w:rFonts w:hint="eastAsia" w:ascii="宋体" w:hAnsi="宋体" w:eastAsia="宋体" w:cs="宋体"/>
              <w:sz w:val="24"/>
              <w:szCs w:val="24"/>
            </w:rPr>
            <w:t>- 267 -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39D5EC58">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_Toc4811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六</w:t>
          </w:r>
          <w:r>
            <w:rPr>
              <w:rFonts w:hint="eastAsia" w:ascii="宋体" w:hAnsi="宋体" w:eastAsia="宋体" w:cs="宋体"/>
              <w:bCs/>
              <w:sz w:val="24"/>
              <w:szCs w:val="24"/>
              <w:lang w:eastAsia="zh-CN"/>
            </w:rPr>
            <w:t>、加强市场营销与品牌推广</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_Toc4811 \h </w:instrText>
          </w:r>
          <w:r>
            <w:rPr>
              <w:rFonts w:hint="eastAsia" w:ascii="宋体" w:hAnsi="宋体" w:eastAsia="宋体" w:cs="宋体"/>
              <w:sz w:val="24"/>
              <w:szCs w:val="24"/>
            </w:rPr>
            <w:fldChar w:fldCharType="separate"/>
          </w:r>
          <w:r>
            <w:rPr>
              <w:rFonts w:hint="eastAsia" w:ascii="宋体" w:hAnsi="宋体" w:eastAsia="宋体" w:cs="宋体"/>
              <w:sz w:val="24"/>
              <w:szCs w:val="24"/>
            </w:rPr>
            <w:t>- 269 -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1E264037">
          <w:pPr>
            <w:pStyle w:val="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_Toc18456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七</w:t>
          </w:r>
          <w:r>
            <w:rPr>
              <w:rFonts w:hint="eastAsia" w:ascii="宋体" w:hAnsi="宋体" w:eastAsia="宋体" w:cs="宋体"/>
              <w:bCs/>
              <w:sz w:val="24"/>
              <w:szCs w:val="24"/>
              <w:lang w:eastAsia="zh-CN"/>
            </w:rPr>
            <w:t>、完善政策支持与保障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_Toc18456 \h </w:instrText>
          </w:r>
          <w:r>
            <w:rPr>
              <w:rFonts w:hint="eastAsia" w:ascii="宋体" w:hAnsi="宋体" w:eastAsia="宋体" w:cs="宋体"/>
              <w:sz w:val="24"/>
              <w:szCs w:val="24"/>
            </w:rPr>
            <w:fldChar w:fldCharType="separate"/>
          </w:r>
          <w:r>
            <w:rPr>
              <w:rFonts w:hint="eastAsia" w:ascii="宋体" w:hAnsi="宋体" w:eastAsia="宋体" w:cs="宋体"/>
              <w:sz w:val="24"/>
              <w:szCs w:val="24"/>
            </w:rPr>
            <w:t>- 272 -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D8EFDD3">
          <w:pPr>
            <w:pStyle w:val="12"/>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_Toc6819 </w:instrText>
          </w:r>
          <w:r>
            <w:rPr>
              <w:rFonts w:hint="eastAsia" w:ascii="宋体" w:hAnsi="宋体" w:eastAsia="宋体" w:cs="宋体"/>
              <w:bCs/>
              <w:sz w:val="24"/>
              <w:szCs w:val="24"/>
            </w:rPr>
            <w:fldChar w:fldCharType="separate"/>
          </w:r>
          <w:r>
            <w:rPr>
              <w:rFonts w:hint="eastAsia" w:ascii="宋体" w:hAnsi="宋体" w:eastAsia="宋体" w:cs="宋体"/>
              <w:bCs w:val="0"/>
              <w:kern w:val="2"/>
              <w:sz w:val="24"/>
              <w:szCs w:val="24"/>
              <w:lang w:val="en-US" w:eastAsia="zh-CN" w:bidi="ar-SA"/>
            </w:rPr>
            <w:t>附表1 焦作市分区资源普查数量和等级表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_Toc6819 \h </w:instrText>
          </w:r>
          <w:r>
            <w:rPr>
              <w:rFonts w:hint="eastAsia" w:ascii="宋体" w:hAnsi="宋体" w:eastAsia="宋体" w:cs="宋体"/>
              <w:sz w:val="24"/>
              <w:szCs w:val="24"/>
            </w:rPr>
            <w:fldChar w:fldCharType="separate"/>
          </w:r>
          <w:r>
            <w:rPr>
              <w:rFonts w:hint="eastAsia" w:ascii="宋体" w:hAnsi="宋体" w:eastAsia="宋体" w:cs="宋体"/>
              <w:sz w:val="24"/>
              <w:szCs w:val="24"/>
            </w:rPr>
            <w:t>- 275 -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54383EE1">
          <w:pPr>
            <w:pStyle w:val="12"/>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_Toc8353 </w:instrText>
          </w:r>
          <w:r>
            <w:rPr>
              <w:rFonts w:hint="eastAsia" w:ascii="宋体" w:hAnsi="宋体" w:eastAsia="宋体" w:cs="宋体"/>
              <w:bCs/>
              <w:sz w:val="24"/>
              <w:szCs w:val="24"/>
            </w:rPr>
            <w:fldChar w:fldCharType="separate"/>
          </w:r>
          <w:r>
            <w:rPr>
              <w:rFonts w:hint="eastAsia" w:ascii="宋体" w:hAnsi="宋体" w:eastAsia="宋体" w:cs="宋体"/>
              <w:bCs w:val="0"/>
              <w:kern w:val="2"/>
              <w:sz w:val="24"/>
              <w:szCs w:val="24"/>
              <w:lang w:val="en-US" w:eastAsia="zh-CN" w:bidi="ar-SA"/>
            </w:rPr>
            <w:t>附表2 焦作市五级（特品级）旅游资源汇总表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_Toc8353 \h </w:instrText>
          </w:r>
          <w:r>
            <w:rPr>
              <w:rFonts w:hint="eastAsia" w:ascii="宋体" w:hAnsi="宋体" w:eastAsia="宋体" w:cs="宋体"/>
              <w:sz w:val="24"/>
              <w:szCs w:val="24"/>
            </w:rPr>
            <w:fldChar w:fldCharType="separate"/>
          </w:r>
          <w:r>
            <w:rPr>
              <w:rFonts w:hint="eastAsia" w:ascii="宋体" w:hAnsi="宋体" w:eastAsia="宋体" w:cs="宋体"/>
              <w:sz w:val="24"/>
              <w:szCs w:val="24"/>
            </w:rPr>
            <w:t>- 276 -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77551B43">
          <w:pPr>
            <w:pStyle w:val="12"/>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_Toc22267 </w:instrText>
          </w:r>
          <w:r>
            <w:rPr>
              <w:rFonts w:hint="eastAsia" w:ascii="宋体" w:hAnsi="宋体" w:eastAsia="宋体" w:cs="宋体"/>
              <w:bCs/>
              <w:sz w:val="24"/>
              <w:szCs w:val="24"/>
            </w:rPr>
            <w:fldChar w:fldCharType="separate"/>
          </w:r>
          <w:r>
            <w:rPr>
              <w:rFonts w:hint="eastAsia" w:ascii="宋体" w:hAnsi="宋体" w:eastAsia="宋体" w:cs="宋体"/>
              <w:bCs w:val="0"/>
              <w:kern w:val="2"/>
              <w:sz w:val="24"/>
              <w:szCs w:val="24"/>
              <w:lang w:val="en-US" w:eastAsia="zh-CN" w:bidi="ar-SA"/>
            </w:rPr>
            <w:t>附表3 焦作市四级旅游资源汇总表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_Toc22267 \h </w:instrText>
          </w:r>
          <w:r>
            <w:rPr>
              <w:rFonts w:hint="eastAsia" w:ascii="宋体" w:hAnsi="宋体" w:eastAsia="宋体" w:cs="宋体"/>
              <w:sz w:val="24"/>
              <w:szCs w:val="24"/>
            </w:rPr>
            <w:fldChar w:fldCharType="separate"/>
          </w:r>
          <w:r>
            <w:rPr>
              <w:rFonts w:hint="eastAsia" w:ascii="宋体" w:hAnsi="宋体" w:eastAsia="宋体" w:cs="宋体"/>
              <w:sz w:val="24"/>
              <w:szCs w:val="24"/>
            </w:rPr>
            <w:t>- 283 -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3FC75D6">
          <w:pPr>
            <w:pStyle w:val="12"/>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_Toc22367 </w:instrText>
          </w:r>
          <w:r>
            <w:rPr>
              <w:rFonts w:hint="eastAsia" w:ascii="宋体" w:hAnsi="宋体" w:eastAsia="宋体" w:cs="宋体"/>
              <w:bCs/>
              <w:sz w:val="24"/>
              <w:szCs w:val="24"/>
            </w:rPr>
            <w:fldChar w:fldCharType="separate"/>
          </w:r>
          <w:r>
            <w:rPr>
              <w:rFonts w:hint="eastAsia" w:ascii="宋体" w:hAnsi="宋体" w:eastAsia="宋体" w:cs="宋体"/>
              <w:bCs w:val="0"/>
              <w:kern w:val="2"/>
              <w:sz w:val="24"/>
              <w:szCs w:val="24"/>
              <w:lang w:val="en-US" w:eastAsia="zh-CN" w:bidi="ar-SA"/>
            </w:rPr>
            <w:t>附图1：焦作市区位交通图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_Toc22367 \h </w:instrText>
          </w:r>
          <w:r>
            <w:rPr>
              <w:rFonts w:hint="eastAsia" w:ascii="宋体" w:hAnsi="宋体" w:eastAsia="宋体" w:cs="宋体"/>
              <w:sz w:val="24"/>
              <w:szCs w:val="24"/>
            </w:rPr>
            <w:fldChar w:fldCharType="separate"/>
          </w:r>
          <w:r>
            <w:rPr>
              <w:rFonts w:hint="eastAsia" w:ascii="宋体" w:hAnsi="宋体" w:eastAsia="宋体" w:cs="宋体"/>
              <w:sz w:val="24"/>
              <w:szCs w:val="24"/>
            </w:rPr>
            <w:t>- 300 -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694C2EBB">
          <w:pPr>
            <w:pStyle w:val="12"/>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_Toc13964 </w:instrText>
          </w:r>
          <w:r>
            <w:rPr>
              <w:rFonts w:hint="eastAsia" w:ascii="宋体" w:hAnsi="宋体" w:eastAsia="宋体" w:cs="宋体"/>
              <w:bCs/>
              <w:sz w:val="24"/>
              <w:szCs w:val="24"/>
            </w:rPr>
            <w:fldChar w:fldCharType="separate"/>
          </w:r>
          <w:r>
            <w:rPr>
              <w:rFonts w:hint="eastAsia" w:ascii="宋体" w:hAnsi="宋体" w:eastAsia="宋体" w:cs="宋体"/>
              <w:bCs w:val="0"/>
              <w:kern w:val="2"/>
              <w:sz w:val="24"/>
              <w:szCs w:val="24"/>
              <w:lang w:val="en-US" w:eastAsia="zh-CN" w:bidi="ar-SA"/>
            </w:rPr>
            <w:t>附图2：焦作市遥感影像图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_Toc13964 \h </w:instrText>
          </w:r>
          <w:r>
            <w:rPr>
              <w:rFonts w:hint="eastAsia" w:ascii="宋体" w:hAnsi="宋体" w:eastAsia="宋体" w:cs="宋体"/>
              <w:sz w:val="24"/>
              <w:szCs w:val="24"/>
            </w:rPr>
            <w:fldChar w:fldCharType="separate"/>
          </w:r>
          <w:r>
            <w:rPr>
              <w:rFonts w:hint="eastAsia" w:ascii="宋体" w:hAnsi="宋体" w:eastAsia="宋体" w:cs="宋体"/>
              <w:sz w:val="24"/>
              <w:szCs w:val="24"/>
            </w:rPr>
            <w:t>- 301 -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1536082C">
          <w:pPr>
            <w:pStyle w:val="12"/>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_Toc22510 </w:instrText>
          </w:r>
          <w:r>
            <w:rPr>
              <w:rFonts w:hint="eastAsia" w:ascii="宋体" w:hAnsi="宋体" w:eastAsia="宋体" w:cs="宋体"/>
              <w:bCs/>
              <w:sz w:val="24"/>
              <w:szCs w:val="24"/>
            </w:rPr>
            <w:fldChar w:fldCharType="separate"/>
          </w:r>
          <w:r>
            <w:rPr>
              <w:rFonts w:hint="eastAsia" w:ascii="宋体" w:hAnsi="宋体" w:eastAsia="宋体" w:cs="宋体"/>
              <w:bCs w:val="0"/>
              <w:kern w:val="2"/>
              <w:sz w:val="24"/>
              <w:szCs w:val="24"/>
              <w:lang w:val="en-US" w:eastAsia="zh-CN" w:bidi="ar-SA"/>
            </w:rPr>
            <w:t>附图3：焦作市旅游资源类型总图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_Toc22510 \h </w:instrText>
          </w:r>
          <w:r>
            <w:rPr>
              <w:rFonts w:hint="eastAsia" w:ascii="宋体" w:hAnsi="宋体" w:eastAsia="宋体" w:cs="宋体"/>
              <w:sz w:val="24"/>
              <w:szCs w:val="24"/>
            </w:rPr>
            <w:fldChar w:fldCharType="separate"/>
          </w:r>
          <w:r>
            <w:rPr>
              <w:rFonts w:hint="eastAsia" w:ascii="宋体" w:hAnsi="宋体" w:eastAsia="宋体" w:cs="宋体"/>
              <w:sz w:val="24"/>
              <w:szCs w:val="24"/>
            </w:rPr>
            <w:t>- 302 -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5A57CDE7">
          <w:pPr>
            <w:pStyle w:val="12"/>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_Toc22328 </w:instrText>
          </w:r>
          <w:r>
            <w:rPr>
              <w:rFonts w:hint="eastAsia" w:ascii="宋体" w:hAnsi="宋体" w:eastAsia="宋体" w:cs="宋体"/>
              <w:bCs/>
              <w:sz w:val="24"/>
              <w:szCs w:val="24"/>
            </w:rPr>
            <w:fldChar w:fldCharType="separate"/>
          </w:r>
          <w:r>
            <w:rPr>
              <w:rFonts w:hint="eastAsia" w:ascii="宋体" w:hAnsi="宋体" w:eastAsia="宋体" w:cs="宋体"/>
              <w:bCs w:val="0"/>
              <w:kern w:val="2"/>
              <w:sz w:val="24"/>
              <w:szCs w:val="24"/>
              <w:lang w:val="en-US" w:eastAsia="zh-CN" w:bidi="ar-SA"/>
            </w:rPr>
            <w:t>附图4：焦作市旅游资源等级分布图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_Toc22328 \h </w:instrText>
          </w:r>
          <w:r>
            <w:rPr>
              <w:rFonts w:hint="eastAsia" w:ascii="宋体" w:hAnsi="宋体" w:eastAsia="宋体" w:cs="宋体"/>
              <w:sz w:val="24"/>
              <w:szCs w:val="24"/>
            </w:rPr>
            <w:fldChar w:fldCharType="separate"/>
          </w:r>
          <w:r>
            <w:rPr>
              <w:rFonts w:hint="eastAsia" w:ascii="宋体" w:hAnsi="宋体" w:eastAsia="宋体" w:cs="宋体"/>
              <w:sz w:val="24"/>
              <w:szCs w:val="24"/>
            </w:rPr>
            <w:t>- 303 -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665D59B4">
          <w:pPr>
            <w:pStyle w:val="12"/>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_Toc3704 </w:instrText>
          </w:r>
          <w:r>
            <w:rPr>
              <w:rFonts w:hint="eastAsia" w:ascii="宋体" w:hAnsi="宋体" w:eastAsia="宋体" w:cs="宋体"/>
              <w:bCs/>
              <w:sz w:val="24"/>
              <w:szCs w:val="24"/>
            </w:rPr>
            <w:fldChar w:fldCharType="separate"/>
          </w:r>
          <w:r>
            <w:rPr>
              <w:rFonts w:hint="eastAsia" w:ascii="宋体" w:hAnsi="宋体" w:eastAsia="宋体" w:cs="宋体"/>
              <w:bCs w:val="0"/>
              <w:kern w:val="2"/>
              <w:sz w:val="24"/>
              <w:szCs w:val="24"/>
              <w:lang w:val="en-US" w:eastAsia="zh-CN" w:bidi="ar-SA"/>
            </w:rPr>
            <w:t>附图5：焦作市旅游资源分布图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_Toc3704 \h </w:instrText>
          </w:r>
          <w:r>
            <w:rPr>
              <w:rFonts w:hint="eastAsia" w:ascii="宋体" w:hAnsi="宋体" w:eastAsia="宋体" w:cs="宋体"/>
              <w:sz w:val="24"/>
              <w:szCs w:val="24"/>
            </w:rPr>
            <w:fldChar w:fldCharType="separate"/>
          </w:r>
          <w:r>
            <w:rPr>
              <w:rFonts w:hint="eastAsia" w:ascii="宋体" w:hAnsi="宋体" w:eastAsia="宋体" w:cs="宋体"/>
              <w:sz w:val="24"/>
              <w:szCs w:val="24"/>
            </w:rPr>
            <w:t>- 304 -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153CB2B7">
          <w:pPr>
            <w:pStyle w:val="12"/>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_Toc27409 </w:instrText>
          </w:r>
          <w:r>
            <w:rPr>
              <w:rFonts w:hint="eastAsia" w:ascii="宋体" w:hAnsi="宋体" w:eastAsia="宋体" w:cs="宋体"/>
              <w:bCs/>
              <w:sz w:val="24"/>
              <w:szCs w:val="24"/>
            </w:rPr>
            <w:fldChar w:fldCharType="separate"/>
          </w:r>
          <w:r>
            <w:rPr>
              <w:rFonts w:hint="eastAsia" w:ascii="宋体" w:hAnsi="宋体" w:eastAsia="宋体" w:cs="宋体"/>
              <w:bCs w:val="0"/>
              <w:kern w:val="2"/>
              <w:sz w:val="24"/>
              <w:szCs w:val="24"/>
              <w:lang w:val="en-US" w:eastAsia="zh-CN" w:bidi="ar-SA"/>
            </w:rPr>
            <w:t>附图6：焦作市旅游资源核密度图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_Toc27409 \h </w:instrText>
          </w:r>
          <w:r>
            <w:rPr>
              <w:rFonts w:hint="eastAsia" w:ascii="宋体" w:hAnsi="宋体" w:eastAsia="宋体" w:cs="宋体"/>
              <w:sz w:val="24"/>
              <w:szCs w:val="24"/>
            </w:rPr>
            <w:fldChar w:fldCharType="separate"/>
          </w:r>
          <w:r>
            <w:rPr>
              <w:rFonts w:hint="eastAsia" w:ascii="宋体" w:hAnsi="宋体" w:eastAsia="宋体" w:cs="宋体"/>
              <w:sz w:val="24"/>
              <w:szCs w:val="24"/>
            </w:rPr>
            <w:t>- 305 -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6F434689">
          <w:pPr>
            <w:pStyle w:val="12"/>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_Toc10537 </w:instrText>
          </w:r>
          <w:r>
            <w:rPr>
              <w:rFonts w:hint="eastAsia" w:ascii="宋体" w:hAnsi="宋体" w:eastAsia="宋体" w:cs="宋体"/>
              <w:bCs/>
              <w:sz w:val="24"/>
              <w:szCs w:val="24"/>
            </w:rPr>
            <w:fldChar w:fldCharType="separate"/>
          </w:r>
          <w:r>
            <w:rPr>
              <w:rFonts w:hint="eastAsia" w:ascii="宋体" w:hAnsi="宋体" w:eastAsia="宋体" w:cs="宋体"/>
              <w:bCs w:val="0"/>
              <w:kern w:val="2"/>
              <w:sz w:val="24"/>
              <w:szCs w:val="24"/>
              <w:lang w:val="en-US" w:eastAsia="zh-CN" w:bidi="ar-SA"/>
            </w:rPr>
            <w:t>附图7：焦作市优良级旅游资源分布图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_Toc10537 \h </w:instrText>
          </w:r>
          <w:r>
            <w:rPr>
              <w:rFonts w:hint="eastAsia" w:ascii="宋体" w:hAnsi="宋体" w:eastAsia="宋体" w:cs="宋体"/>
              <w:sz w:val="24"/>
              <w:szCs w:val="24"/>
            </w:rPr>
            <w:fldChar w:fldCharType="separate"/>
          </w:r>
          <w:r>
            <w:rPr>
              <w:rFonts w:hint="eastAsia" w:ascii="宋体" w:hAnsi="宋体" w:eastAsia="宋体" w:cs="宋体"/>
              <w:sz w:val="24"/>
              <w:szCs w:val="24"/>
            </w:rPr>
            <w:t>- 306 -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68A3AF7C">
          <w:pPr>
            <w:pStyle w:val="12"/>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_Toc8810 </w:instrText>
          </w:r>
          <w:r>
            <w:rPr>
              <w:rFonts w:hint="eastAsia" w:ascii="宋体" w:hAnsi="宋体" w:eastAsia="宋体" w:cs="宋体"/>
              <w:bCs/>
              <w:sz w:val="24"/>
              <w:szCs w:val="24"/>
            </w:rPr>
            <w:fldChar w:fldCharType="separate"/>
          </w:r>
          <w:r>
            <w:rPr>
              <w:rFonts w:hint="eastAsia" w:ascii="宋体" w:hAnsi="宋体" w:eastAsia="宋体" w:cs="宋体"/>
              <w:bCs w:val="0"/>
              <w:kern w:val="2"/>
              <w:sz w:val="24"/>
              <w:szCs w:val="24"/>
              <w:lang w:val="en-US" w:eastAsia="zh-CN" w:bidi="ar-SA"/>
            </w:rPr>
            <w:t>附图8：焦作市五级旅游资源分布图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_Toc8810 \h </w:instrText>
          </w:r>
          <w:r>
            <w:rPr>
              <w:rFonts w:hint="eastAsia" w:ascii="宋体" w:hAnsi="宋体" w:eastAsia="宋体" w:cs="宋体"/>
              <w:sz w:val="24"/>
              <w:szCs w:val="24"/>
            </w:rPr>
            <w:fldChar w:fldCharType="separate"/>
          </w:r>
          <w:r>
            <w:rPr>
              <w:rFonts w:hint="eastAsia" w:ascii="宋体" w:hAnsi="宋体" w:eastAsia="宋体" w:cs="宋体"/>
              <w:sz w:val="24"/>
              <w:szCs w:val="24"/>
            </w:rPr>
            <w:t>- 307 -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95AA240">
          <w:pPr>
            <w:pStyle w:val="12"/>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_Toc20089 </w:instrText>
          </w:r>
          <w:r>
            <w:rPr>
              <w:rFonts w:hint="eastAsia" w:ascii="宋体" w:hAnsi="宋体" w:eastAsia="宋体" w:cs="宋体"/>
              <w:bCs/>
              <w:sz w:val="24"/>
              <w:szCs w:val="24"/>
            </w:rPr>
            <w:fldChar w:fldCharType="separate"/>
          </w:r>
          <w:r>
            <w:rPr>
              <w:rFonts w:hint="eastAsia" w:ascii="宋体" w:hAnsi="宋体" w:eastAsia="宋体" w:cs="宋体"/>
              <w:bCs w:val="0"/>
              <w:kern w:val="2"/>
              <w:sz w:val="24"/>
              <w:szCs w:val="24"/>
              <w:lang w:val="en-US" w:eastAsia="zh-CN" w:bidi="ar-SA"/>
            </w:rPr>
            <w:t>附图9：焦作市红色资源访问点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_Toc20089 \h </w:instrText>
          </w:r>
          <w:r>
            <w:rPr>
              <w:rFonts w:hint="eastAsia" w:ascii="宋体" w:hAnsi="宋体" w:eastAsia="宋体" w:cs="宋体"/>
              <w:sz w:val="24"/>
              <w:szCs w:val="24"/>
            </w:rPr>
            <w:fldChar w:fldCharType="separate"/>
          </w:r>
          <w:r>
            <w:rPr>
              <w:rFonts w:hint="eastAsia" w:ascii="宋体" w:hAnsi="宋体" w:eastAsia="宋体" w:cs="宋体"/>
              <w:sz w:val="24"/>
              <w:szCs w:val="24"/>
            </w:rPr>
            <w:t>- 308 -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5CCE3CE1">
          <w:pPr>
            <w:pStyle w:val="12"/>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_Toc11141 </w:instrText>
          </w:r>
          <w:r>
            <w:rPr>
              <w:rFonts w:hint="eastAsia" w:ascii="宋体" w:hAnsi="宋体" w:eastAsia="宋体" w:cs="宋体"/>
              <w:bCs/>
              <w:sz w:val="24"/>
              <w:szCs w:val="24"/>
            </w:rPr>
            <w:fldChar w:fldCharType="separate"/>
          </w:r>
          <w:r>
            <w:rPr>
              <w:rFonts w:hint="eastAsia" w:ascii="宋体" w:hAnsi="宋体" w:eastAsia="宋体" w:cs="宋体"/>
              <w:bCs w:val="0"/>
              <w:kern w:val="2"/>
              <w:sz w:val="24"/>
              <w:szCs w:val="24"/>
              <w:lang w:val="en-US" w:eastAsia="zh-CN" w:bidi="ar-SA"/>
            </w:rPr>
            <w:t>附图10：焦作市旅游资源富集区分布图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_Toc11141 \h </w:instrText>
          </w:r>
          <w:r>
            <w:rPr>
              <w:rFonts w:hint="eastAsia" w:ascii="宋体" w:hAnsi="宋体" w:eastAsia="宋体" w:cs="宋体"/>
              <w:sz w:val="24"/>
              <w:szCs w:val="24"/>
            </w:rPr>
            <w:fldChar w:fldCharType="separate"/>
          </w:r>
          <w:r>
            <w:rPr>
              <w:rFonts w:hint="eastAsia" w:ascii="宋体" w:hAnsi="宋体" w:eastAsia="宋体" w:cs="宋体"/>
              <w:sz w:val="24"/>
              <w:szCs w:val="24"/>
            </w:rPr>
            <w:t>- 309 -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4F4EA6D">
          <w:pPr>
            <w:pStyle w:val="12"/>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Cs/>
              <w:color w:val="auto"/>
              <w:sz w:val="24"/>
              <w:szCs w:val="24"/>
            </w:rPr>
            <w:fldChar w:fldCharType="begin"/>
          </w:r>
          <w:r>
            <w:rPr>
              <w:rFonts w:hint="eastAsia" w:ascii="宋体" w:hAnsi="宋体" w:eastAsia="宋体" w:cs="宋体"/>
              <w:bCs/>
              <w:sz w:val="24"/>
              <w:szCs w:val="24"/>
            </w:rPr>
            <w:instrText xml:space="preserve"> HYPERLINK \l _Toc13992 </w:instrText>
          </w:r>
          <w:r>
            <w:rPr>
              <w:rFonts w:hint="eastAsia" w:ascii="宋体" w:hAnsi="宋体" w:eastAsia="宋体" w:cs="宋体"/>
              <w:bCs/>
              <w:sz w:val="24"/>
              <w:szCs w:val="24"/>
            </w:rPr>
            <w:fldChar w:fldCharType="separate"/>
          </w:r>
          <w:r>
            <w:rPr>
              <w:rFonts w:hint="eastAsia" w:ascii="宋体" w:hAnsi="宋体" w:eastAsia="宋体" w:cs="宋体"/>
              <w:bCs w:val="0"/>
              <w:kern w:val="2"/>
              <w:sz w:val="24"/>
              <w:szCs w:val="24"/>
              <w:lang w:val="en-US" w:eastAsia="zh-CN" w:bidi="ar-SA"/>
            </w:rPr>
            <w:t>附图11：焦作市旅游资源普查开发利用规划图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_Toc13992 \h </w:instrText>
          </w:r>
          <w:r>
            <w:rPr>
              <w:rFonts w:hint="eastAsia" w:ascii="宋体" w:hAnsi="宋体" w:eastAsia="宋体" w:cs="宋体"/>
              <w:sz w:val="24"/>
              <w:szCs w:val="24"/>
            </w:rPr>
            <w:fldChar w:fldCharType="separate"/>
          </w:r>
          <w:r>
            <w:rPr>
              <w:rFonts w:hint="eastAsia" w:ascii="宋体" w:hAnsi="宋体" w:eastAsia="宋体" w:cs="宋体"/>
              <w:sz w:val="24"/>
              <w:szCs w:val="24"/>
            </w:rPr>
            <w:t>- 310 -</w:t>
          </w:r>
          <w:r>
            <w:rPr>
              <w:rFonts w:hint="eastAsia" w:ascii="宋体" w:hAnsi="宋体" w:eastAsia="宋体" w:cs="宋体"/>
              <w:sz w:val="24"/>
              <w:szCs w:val="24"/>
            </w:rPr>
            <w:fldChar w:fldCharType="end"/>
          </w:r>
          <w:r>
            <w:rPr>
              <w:rFonts w:hint="eastAsia" w:ascii="宋体" w:hAnsi="宋体" w:eastAsia="宋体" w:cs="宋体"/>
              <w:bCs/>
              <w:color w:val="auto"/>
              <w:sz w:val="24"/>
              <w:szCs w:val="24"/>
            </w:rPr>
            <w:fldChar w:fldCharType="end"/>
          </w:r>
        </w:p>
        <w:p w14:paraId="02F26BA5">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宋体" w:hAnsi="宋体" w:eastAsia="宋体" w:cs="宋体"/>
              <w:bCs/>
              <w:color w:val="auto"/>
              <w:kern w:val="2"/>
              <w:sz w:val="24"/>
              <w:szCs w:val="24"/>
              <w:lang w:val="en-US" w:eastAsia="zh-CN" w:bidi="ar-SA"/>
            </w:rPr>
          </w:pPr>
          <w:r>
            <w:rPr>
              <w:rFonts w:hint="eastAsia" w:ascii="宋体" w:hAnsi="宋体" w:eastAsia="宋体" w:cs="宋体"/>
              <w:bCs/>
              <w:color w:val="auto"/>
              <w:sz w:val="24"/>
              <w:szCs w:val="24"/>
            </w:rPr>
            <w:fldChar w:fldCharType="end"/>
          </w:r>
        </w:p>
      </w:sdtContent>
    </w:sdt>
    <w:p w14:paraId="5BD059D9">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Theme="minorEastAsia" w:hAnsiTheme="minorEastAsia" w:eastAsiaTheme="minorEastAsia" w:cstheme="minorEastAsia"/>
          <w:bCs/>
          <w:color w:val="auto"/>
          <w:kern w:val="2"/>
          <w:sz w:val="24"/>
          <w:szCs w:val="24"/>
          <w:lang w:val="en-US" w:eastAsia="zh-CN" w:bidi="ar-SA"/>
        </w:rPr>
      </w:pPr>
    </w:p>
    <w:p w14:paraId="1F852EAC">
      <w:pPr>
        <w:tabs>
          <w:tab w:val="left" w:pos="2774"/>
        </w:tabs>
        <w:bidi w:val="0"/>
        <w:jc w:val="left"/>
        <w:rPr>
          <w:rFonts w:hint="eastAsia" w:ascii="Calibri" w:hAnsi="Calibri" w:eastAsia="宋体" w:cs="Times New Roman"/>
          <w:color w:val="auto"/>
          <w:kern w:val="2"/>
          <w:sz w:val="21"/>
          <w:szCs w:val="24"/>
          <w:lang w:val="en-US" w:eastAsia="zh-CN" w:bidi="ar-SA"/>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upperRoman" w:start="1"/>
          <w:cols w:space="425" w:num="1"/>
          <w:docGrid w:type="lines" w:linePitch="312" w:charSpace="0"/>
        </w:sectPr>
      </w:pPr>
      <w:r>
        <w:rPr>
          <w:rFonts w:hint="eastAsia" w:cs="Times New Roman"/>
          <w:color w:val="auto"/>
          <w:kern w:val="2"/>
          <w:sz w:val="21"/>
          <w:szCs w:val="24"/>
          <w:lang w:val="en-US" w:eastAsia="zh-CN" w:bidi="ar-SA"/>
        </w:rPr>
        <w:tab/>
      </w:r>
      <w:bookmarkStart w:id="167" w:name="_GoBack"/>
      <w:bookmarkEnd w:id="167"/>
    </w:p>
    <w:p w14:paraId="37EBF442">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rPr>
      </w:pPr>
      <w:bookmarkStart w:id="0" w:name="_Toc13912"/>
      <w:r>
        <w:rPr>
          <w:rFonts w:hint="eastAsia" w:ascii="宋体" w:hAnsi="宋体" w:eastAsia="宋体" w:cs="宋体"/>
          <w:b/>
          <w:bCs/>
          <w:color w:val="auto"/>
          <w:sz w:val="32"/>
          <w:szCs w:val="32"/>
        </w:rPr>
        <w:t>第一章</w:t>
      </w:r>
      <w:r>
        <w:rPr>
          <w:rFonts w:hint="eastAsia" w:ascii="宋体" w:hAnsi="宋体" w:cs="宋体"/>
          <w:b/>
          <w:bCs/>
          <w:color w:val="auto"/>
          <w:sz w:val="32"/>
          <w:szCs w:val="32"/>
          <w:lang w:val="en-US" w:eastAsia="zh-CN"/>
        </w:rPr>
        <w:t xml:space="preserve"> </w:t>
      </w:r>
      <w:r>
        <w:rPr>
          <w:rFonts w:hint="eastAsia" w:ascii="宋体" w:hAnsi="宋体" w:eastAsia="宋体" w:cs="宋体"/>
          <w:b/>
          <w:bCs/>
          <w:color w:val="auto"/>
          <w:sz w:val="32"/>
          <w:szCs w:val="32"/>
        </w:rPr>
        <w:t>普查工作概况</w:t>
      </w:r>
      <w:bookmarkEnd w:id="0"/>
    </w:p>
    <w:p w14:paraId="64EC17C0">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宋体" w:hAnsi="宋体" w:eastAsia="宋体" w:cs="宋体"/>
          <w:color w:val="auto"/>
          <w:sz w:val="30"/>
          <w:szCs w:val="30"/>
        </w:rPr>
      </w:pPr>
      <w:bookmarkStart w:id="1" w:name="_Toc24182"/>
      <w:r>
        <w:rPr>
          <w:rFonts w:hint="eastAsia" w:ascii="宋体" w:hAnsi="宋体" w:eastAsia="宋体" w:cs="宋体"/>
          <w:b/>
          <w:bCs/>
          <w:color w:val="auto"/>
          <w:sz w:val="30"/>
          <w:szCs w:val="30"/>
        </w:rPr>
        <w:t>第一节</w:t>
      </w:r>
      <w:r>
        <w:rPr>
          <w:rFonts w:hint="eastAsia" w:ascii="宋体" w:hAnsi="宋体" w:cs="宋体"/>
          <w:b/>
          <w:bCs/>
          <w:color w:val="auto"/>
          <w:sz w:val="30"/>
          <w:szCs w:val="30"/>
          <w:lang w:val="en-US" w:eastAsia="zh-CN"/>
        </w:rPr>
        <w:t xml:space="preserve"> </w:t>
      </w:r>
      <w:r>
        <w:rPr>
          <w:rFonts w:hint="eastAsia" w:ascii="宋体" w:hAnsi="宋体" w:eastAsia="宋体" w:cs="宋体"/>
          <w:b/>
          <w:bCs/>
          <w:color w:val="auto"/>
          <w:sz w:val="30"/>
          <w:szCs w:val="30"/>
        </w:rPr>
        <w:t>目标任务</w:t>
      </w:r>
      <w:bookmarkEnd w:id="1"/>
    </w:p>
    <w:p w14:paraId="4F28353C">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rPr>
      </w:pPr>
      <w:bookmarkStart w:id="2" w:name="_Toc7675"/>
      <w:r>
        <w:rPr>
          <w:rFonts w:hint="eastAsia" w:ascii="宋体" w:hAnsi="宋体" w:eastAsia="宋体" w:cs="宋体"/>
          <w:b/>
          <w:bCs/>
          <w:color w:val="auto"/>
          <w:sz w:val="28"/>
          <w:szCs w:val="28"/>
        </w:rPr>
        <w:t>一、</w:t>
      </w:r>
      <w:r>
        <w:rPr>
          <w:rFonts w:hint="eastAsia" w:ascii="宋体" w:hAnsi="宋体" w:cs="宋体"/>
          <w:b/>
          <w:bCs/>
          <w:color w:val="auto"/>
          <w:sz w:val="28"/>
          <w:szCs w:val="28"/>
          <w:lang w:eastAsia="zh-CN"/>
        </w:rPr>
        <w:t>普查对象</w:t>
      </w:r>
      <w:bookmarkEnd w:id="2"/>
    </w:p>
    <w:p w14:paraId="48188871">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旅游资源普查对象为</w:t>
      </w:r>
      <w:r>
        <w:rPr>
          <w:rFonts w:hint="eastAsia" w:ascii="宋体" w:hAnsi="宋体" w:cs="宋体"/>
          <w:color w:val="auto"/>
          <w:sz w:val="24"/>
          <w:szCs w:val="24"/>
          <w:lang w:eastAsia="zh-CN"/>
        </w:rPr>
        <w:t>焦作市</w:t>
      </w:r>
      <w:r>
        <w:rPr>
          <w:rFonts w:hint="eastAsia" w:ascii="宋体" w:hAnsi="宋体" w:eastAsia="宋体" w:cs="宋体"/>
          <w:color w:val="auto"/>
          <w:sz w:val="24"/>
          <w:szCs w:val="24"/>
        </w:rPr>
        <w:t>范围内对旅游者产生吸引力，可以为旅游业开发利用，并可产生经济效益、社会效益和环境效益的各种事物和现象。在国家标准《旅游资源分类、调查与评价》（GB/T18972—2017）基础上，结合</w:t>
      </w:r>
      <w:r>
        <w:rPr>
          <w:rFonts w:hint="eastAsia" w:ascii="宋体" w:hAnsi="宋体" w:cs="宋体"/>
          <w:color w:val="auto"/>
          <w:sz w:val="24"/>
          <w:szCs w:val="24"/>
          <w:lang w:eastAsia="zh-CN"/>
        </w:rPr>
        <w:t>焦作市</w:t>
      </w:r>
      <w:r>
        <w:rPr>
          <w:rFonts w:hint="eastAsia" w:ascii="宋体" w:hAnsi="宋体" w:eastAsia="宋体" w:cs="宋体"/>
          <w:color w:val="auto"/>
          <w:sz w:val="24"/>
          <w:szCs w:val="24"/>
        </w:rPr>
        <w:t>实际，依据《河南省旅游资源分类、调查与评价（试行）》</w:t>
      </w:r>
      <w:r>
        <w:rPr>
          <w:rFonts w:hint="eastAsia" w:ascii="宋体" w:hAnsi="宋体" w:cs="宋体"/>
          <w:color w:val="auto"/>
          <w:sz w:val="24"/>
          <w:szCs w:val="24"/>
          <w:lang w:eastAsia="zh-CN"/>
        </w:rPr>
        <w:t>，</w:t>
      </w:r>
      <w:r>
        <w:rPr>
          <w:rFonts w:hint="eastAsia" w:ascii="宋体" w:hAnsi="宋体" w:eastAsia="宋体" w:cs="宋体"/>
          <w:color w:val="auto"/>
          <w:sz w:val="24"/>
          <w:szCs w:val="24"/>
        </w:rPr>
        <w:t xml:space="preserve">主要对地文景观、水域景观、生物景观、天象与气候景观、建筑与设施、历史遗迹、旅游购品、人文活动等八大类资源开展普查。 </w:t>
      </w:r>
    </w:p>
    <w:p w14:paraId="76A938DF">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rPr>
      </w:pPr>
      <w:bookmarkStart w:id="3" w:name="_Toc26304"/>
      <w:r>
        <w:rPr>
          <w:rFonts w:hint="eastAsia" w:ascii="宋体" w:hAnsi="宋体" w:eastAsia="宋体" w:cs="宋体"/>
          <w:b/>
          <w:bCs/>
          <w:color w:val="auto"/>
          <w:sz w:val="28"/>
          <w:szCs w:val="28"/>
          <w:lang w:eastAsia="zh-CN"/>
        </w:rPr>
        <w:t>二</w:t>
      </w:r>
      <w:r>
        <w:rPr>
          <w:rFonts w:hint="eastAsia" w:ascii="宋体" w:hAnsi="宋体" w:eastAsia="宋体" w:cs="宋体"/>
          <w:b/>
          <w:bCs/>
          <w:color w:val="auto"/>
          <w:sz w:val="28"/>
          <w:szCs w:val="28"/>
        </w:rPr>
        <w:t>、</w:t>
      </w:r>
      <w:r>
        <w:rPr>
          <w:rFonts w:hint="eastAsia" w:ascii="宋体" w:hAnsi="宋体" w:eastAsia="宋体" w:cs="宋体"/>
          <w:b/>
          <w:bCs/>
          <w:color w:val="auto"/>
          <w:sz w:val="28"/>
          <w:szCs w:val="28"/>
          <w:lang w:eastAsia="zh-CN"/>
        </w:rPr>
        <w:t>普查范围</w:t>
      </w:r>
      <w:bookmarkEnd w:id="3"/>
    </w:p>
    <w:p w14:paraId="20315AA7">
      <w:pPr>
        <w:spacing w:line="360" w:lineRule="auto"/>
        <w:ind w:firstLine="480" w:firstLineChars="200"/>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普查范围为焦作市全境，包含解放区、中站区、马村区、山阳区、</w:t>
      </w:r>
      <w:r>
        <w:rPr>
          <w:rFonts w:hint="eastAsia" w:ascii="宋体" w:hAnsi="宋体" w:cs="宋体"/>
          <w:color w:val="auto"/>
          <w:sz w:val="24"/>
          <w:szCs w:val="24"/>
          <w:lang w:val="en-US" w:eastAsia="zh-CN"/>
        </w:rPr>
        <w:t>高新区、</w:t>
      </w:r>
      <w:r>
        <w:rPr>
          <w:rFonts w:hint="eastAsia" w:ascii="宋体" w:hAnsi="宋体" w:eastAsia="宋体" w:cs="宋体"/>
          <w:color w:val="auto"/>
          <w:sz w:val="24"/>
          <w:szCs w:val="24"/>
        </w:rPr>
        <w:t>修武县、博爱县、武陟县、温县</w:t>
      </w:r>
      <w:r>
        <w:rPr>
          <w:rFonts w:hint="eastAsia" w:ascii="宋体" w:hAnsi="宋体" w:eastAsia="宋体" w:cs="宋体"/>
          <w:color w:val="auto"/>
          <w:sz w:val="24"/>
          <w:szCs w:val="24"/>
          <w:lang w:eastAsia="zh-CN"/>
        </w:rPr>
        <w:t>、沁阳市、孟州市。</w:t>
      </w:r>
    </w:p>
    <w:p w14:paraId="6FECE951">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rPr>
      </w:pPr>
      <w:bookmarkStart w:id="4" w:name="_Toc10664"/>
      <w:r>
        <w:rPr>
          <w:rFonts w:hint="eastAsia" w:ascii="宋体" w:hAnsi="宋体" w:eastAsia="宋体" w:cs="宋体"/>
          <w:b/>
          <w:bCs/>
          <w:color w:val="auto"/>
          <w:sz w:val="28"/>
          <w:szCs w:val="28"/>
          <w:lang w:eastAsia="zh-CN"/>
        </w:rPr>
        <w:t>三</w:t>
      </w:r>
      <w:r>
        <w:rPr>
          <w:rFonts w:hint="eastAsia" w:ascii="宋体" w:hAnsi="宋体" w:eastAsia="宋体" w:cs="宋体"/>
          <w:b/>
          <w:bCs/>
          <w:color w:val="auto"/>
          <w:sz w:val="28"/>
          <w:szCs w:val="28"/>
        </w:rPr>
        <w:t>、</w:t>
      </w:r>
      <w:r>
        <w:rPr>
          <w:rFonts w:hint="eastAsia" w:ascii="宋体" w:hAnsi="宋体" w:eastAsia="宋体" w:cs="宋体"/>
          <w:b/>
          <w:bCs/>
          <w:color w:val="auto"/>
          <w:sz w:val="28"/>
          <w:szCs w:val="28"/>
          <w:lang w:eastAsia="zh-CN"/>
        </w:rPr>
        <w:t>任务目标</w:t>
      </w:r>
      <w:bookmarkEnd w:id="4"/>
    </w:p>
    <w:p w14:paraId="23A704CC">
      <w:pPr>
        <w:spacing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通过普查，全面摸清</w:t>
      </w:r>
      <w:r>
        <w:rPr>
          <w:rFonts w:hint="eastAsia" w:ascii="宋体" w:hAnsi="宋体" w:cs="宋体"/>
          <w:color w:val="auto"/>
          <w:sz w:val="24"/>
          <w:szCs w:val="24"/>
          <w:lang w:val="en-US" w:eastAsia="zh-CN"/>
        </w:rPr>
        <w:t>焦作市</w:t>
      </w:r>
      <w:r>
        <w:rPr>
          <w:rFonts w:hint="eastAsia" w:ascii="宋体" w:hAnsi="宋体" w:eastAsia="宋体" w:cs="宋体"/>
          <w:color w:val="auto"/>
          <w:sz w:val="24"/>
          <w:szCs w:val="24"/>
          <w:lang w:val="en-US" w:eastAsia="zh-CN"/>
        </w:rPr>
        <w:t>旅游资源家底，全面评估</w:t>
      </w:r>
      <w:r>
        <w:rPr>
          <w:rFonts w:hint="eastAsia" w:ascii="宋体" w:hAnsi="宋体" w:cs="宋体"/>
          <w:color w:val="auto"/>
          <w:sz w:val="24"/>
          <w:szCs w:val="24"/>
          <w:lang w:val="en-US" w:eastAsia="zh-CN"/>
        </w:rPr>
        <w:t>焦作市</w:t>
      </w:r>
      <w:r>
        <w:rPr>
          <w:rFonts w:hint="eastAsia" w:ascii="宋体" w:hAnsi="宋体" w:eastAsia="宋体" w:cs="宋体"/>
          <w:color w:val="auto"/>
          <w:sz w:val="24"/>
          <w:szCs w:val="24"/>
          <w:lang w:val="en-US" w:eastAsia="zh-CN"/>
        </w:rPr>
        <w:t>旅游资源开发现状、潜力，全面梳理</w:t>
      </w:r>
      <w:r>
        <w:rPr>
          <w:rFonts w:hint="eastAsia" w:ascii="宋体" w:hAnsi="宋体" w:cs="宋体"/>
          <w:color w:val="auto"/>
          <w:sz w:val="24"/>
          <w:szCs w:val="24"/>
          <w:lang w:val="en-US" w:eastAsia="zh-CN"/>
        </w:rPr>
        <w:t>焦作市</w:t>
      </w:r>
      <w:r>
        <w:rPr>
          <w:rFonts w:hint="eastAsia" w:ascii="宋体" w:hAnsi="宋体" w:eastAsia="宋体" w:cs="宋体"/>
          <w:color w:val="auto"/>
          <w:sz w:val="24"/>
          <w:szCs w:val="24"/>
          <w:lang w:val="en-US" w:eastAsia="zh-CN"/>
        </w:rPr>
        <w:t>旅游发展重点方向和区域，为旅游业高质量发展提供决策依据，重点做好以下“五个一”工作：</w:t>
      </w:r>
    </w:p>
    <w:p w14:paraId="70DA9BDC">
      <w:pPr>
        <w:spacing w:line="360" w:lineRule="auto"/>
        <w:ind w:firstLine="482" w:firstLineChars="200"/>
        <w:rPr>
          <w:rFonts w:hint="eastAsia" w:ascii="宋体" w:hAnsi="宋体" w:eastAsia="宋体" w:cs="宋体"/>
          <w:color w:val="auto"/>
          <w:sz w:val="24"/>
          <w:szCs w:val="24"/>
          <w:lang w:val="en-US" w:eastAsia="zh-CN"/>
        </w:rPr>
      </w:pPr>
      <w:bookmarkStart w:id="5" w:name="_Toc107"/>
      <w:r>
        <w:rPr>
          <w:rFonts w:hint="eastAsia" w:ascii="宋体" w:hAnsi="宋体" w:eastAsia="宋体" w:cs="宋体"/>
          <w:b/>
          <w:bCs/>
          <w:color w:val="auto"/>
          <w:sz w:val="24"/>
          <w:szCs w:val="24"/>
        </w:rPr>
        <w:t>（一）</w:t>
      </w:r>
      <w:r>
        <w:rPr>
          <w:rFonts w:hint="eastAsia" w:ascii="宋体" w:hAnsi="宋体" w:eastAsia="宋体" w:cs="宋体"/>
          <w:b/>
          <w:bCs/>
          <w:color w:val="auto"/>
          <w:sz w:val="24"/>
          <w:szCs w:val="24"/>
          <w:lang w:val="en-US" w:eastAsia="zh-CN"/>
        </w:rPr>
        <w:t>组建一个工作体系</w:t>
      </w:r>
      <w:bookmarkEnd w:id="5"/>
    </w:p>
    <w:p w14:paraId="17F9B90F">
      <w:pPr>
        <w:spacing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旅游资源普查是一项专业性强、涵盖面广、时间跨度长的系统性工作。</w:t>
      </w:r>
      <w:r>
        <w:rPr>
          <w:rFonts w:hint="eastAsia" w:ascii="宋体" w:hAnsi="宋体" w:cs="宋体"/>
          <w:color w:val="auto"/>
          <w:sz w:val="24"/>
          <w:szCs w:val="24"/>
          <w:lang w:val="en-US" w:eastAsia="zh-CN"/>
        </w:rPr>
        <w:t>焦作市文化广电和旅游局</w:t>
      </w:r>
      <w:r>
        <w:rPr>
          <w:rFonts w:hint="eastAsia" w:ascii="宋体" w:hAnsi="宋体" w:eastAsia="宋体" w:cs="宋体"/>
          <w:color w:val="auto"/>
          <w:sz w:val="24"/>
          <w:szCs w:val="24"/>
          <w:lang w:val="en-US" w:eastAsia="zh-CN"/>
        </w:rPr>
        <w:t>组建多部门联动的工作机构，建立多跨协同的工作机制，制定工作方案、技术方案，成立普查队伍，保障工作资金，全面构建务实高效的工作体系。</w:t>
      </w:r>
    </w:p>
    <w:p w14:paraId="64B01321">
      <w:pPr>
        <w:spacing w:line="360" w:lineRule="auto"/>
        <w:ind w:firstLine="482" w:firstLineChars="200"/>
        <w:rPr>
          <w:rFonts w:hint="eastAsia" w:ascii="宋体" w:hAnsi="宋体" w:eastAsia="宋体" w:cs="宋体"/>
          <w:b/>
          <w:bCs/>
          <w:color w:val="auto"/>
          <w:sz w:val="24"/>
          <w:szCs w:val="24"/>
          <w:lang w:val="en-US" w:eastAsia="zh-CN"/>
        </w:rPr>
      </w:pPr>
      <w:bookmarkStart w:id="6" w:name="_Toc19080"/>
      <w:r>
        <w:rPr>
          <w:rFonts w:hint="eastAsia" w:ascii="宋体" w:hAnsi="宋体" w:eastAsia="宋体" w:cs="宋体"/>
          <w:b/>
          <w:bCs/>
          <w:color w:val="auto"/>
          <w:sz w:val="24"/>
          <w:szCs w:val="24"/>
          <w:lang w:val="en-US" w:eastAsia="zh-CN"/>
        </w:rPr>
        <w:t>（二）开展一系列宣传发动</w:t>
      </w:r>
      <w:bookmarkEnd w:id="6"/>
    </w:p>
    <w:p w14:paraId="2C17473E">
      <w:pPr>
        <w:spacing w:line="360" w:lineRule="auto"/>
        <w:ind w:firstLine="480" w:firstLineChars="200"/>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焦作市文化广电和旅游局通过</w:t>
      </w:r>
      <w:r>
        <w:rPr>
          <w:rFonts w:hint="eastAsia" w:ascii="宋体" w:hAnsi="宋体" w:eastAsia="宋体" w:cs="宋体"/>
          <w:color w:val="auto"/>
          <w:sz w:val="24"/>
          <w:szCs w:val="24"/>
          <w:lang w:val="en-US" w:eastAsia="zh-CN"/>
        </w:rPr>
        <w:t>召开动员会，全面部署旅游资源普查工作；组织</w:t>
      </w:r>
      <w:r>
        <w:rPr>
          <w:rFonts w:hint="eastAsia" w:ascii="宋体" w:hAnsi="宋体" w:cs="宋体"/>
          <w:color w:val="auto"/>
          <w:sz w:val="24"/>
          <w:szCs w:val="24"/>
          <w:lang w:val="en-US" w:eastAsia="zh-CN"/>
        </w:rPr>
        <w:t>多</w:t>
      </w:r>
      <w:r>
        <w:rPr>
          <w:rFonts w:hint="eastAsia" w:ascii="宋体" w:hAnsi="宋体" w:eastAsia="宋体" w:cs="宋体"/>
          <w:color w:val="auto"/>
          <w:sz w:val="24"/>
          <w:szCs w:val="24"/>
          <w:lang w:val="en-US" w:eastAsia="zh-CN"/>
        </w:rPr>
        <w:t>次培训会，将《河南省旅游资源分类、调查与评价》《河南省旅游资源普查操作手册》及河南省旅游资源管理与应用平台作为培训重点，确保相关人员培训率100%；开展一系列宣传工作，通过多途径、多形式的宣传造势，提高全员知晓率、参与率。</w:t>
      </w:r>
    </w:p>
    <w:p w14:paraId="0FF8449E">
      <w:pPr>
        <w:spacing w:line="360" w:lineRule="auto"/>
        <w:ind w:firstLine="482" w:firstLineChars="200"/>
        <w:rPr>
          <w:rFonts w:hint="eastAsia" w:ascii="宋体" w:hAnsi="宋体" w:eastAsia="宋体" w:cs="宋体"/>
          <w:color w:val="auto"/>
          <w:sz w:val="24"/>
          <w:szCs w:val="24"/>
          <w:lang w:val="en-US" w:eastAsia="zh-CN"/>
        </w:rPr>
      </w:pPr>
      <w:bookmarkStart w:id="7" w:name="_Toc8949"/>
      <w:r>
        <w:rPr>
          <w:rFonts w:hint="eastAsia" w:ascii="宋体" w:hAnsi="宋体" w:eastAsia="宋体" w:cs="宋体"/>
          <w:b/>
          <w:bCs/>
          <w:color w:val="auto"/>
          <w:sz w:val="24"/>
          <w:szCs w:val="24"/>
          <w:lang w:val="en-US" w:eastAsia="zh-CN"/>
        </w:rPr>
        <w:t>（三）组织一次全面摸底</w:t>
      </w:r>
      <w:bookmarkEnd w:id="7"/>
    </w:p>
    <w:p w14:paraId="0C2323A2">
      <w:pPr>
        <w:widowControl w:val="0"/>
        <w:spacing w:line="360" w:lineRule="auto"/>
        <w:ind w:firstLine="480" w:firstLineChars="200"/>
        <w:jc w:val="both"/>
        <w:rPr>
          <w:rFonts w:hint="eastAsia" w:ascii="宋体" w:hAnsi="宋体" w:eastAsia="宋体" w:cs="宋体"/>
          <w:color w:val="auto"/>
          <w:sz w:val="24"/>
          <w:szCs w:val="24"/>
          <w:lang w:val="en-US" w:eastAsia="zh-CN"/>
        </w:rPr>
      </w:pPr>
      <w:r>
        <w:rPr>
          <w:rFonts w:ascii="宋体" w:hAnsi="宋体" w:eastAsia="宋体" w:cs="宋体"/>
          <w:color w:val="auto"/>
          <w:kern w:val="2"/>
          <w:sz w:val="24"/>
          <w:szCs w:val="24"/>
          <w:lang w:bidi="ar-SA"/>
        </w:rPr>
        <w:t>本次进行的普查工作对于</w:t>
      </w:r>
      <w:r>
        <w:rPr>
          <w:rFonts w:hint="eastAsia" w:ascii="宋体" w:hAnsi="宋体" w:cs="宋体"/>
          <w:color w:val="auto"/>
          <w:kern w:val="2"/>
          <w:sz w:val="24"/>
          <w:szCs w:val="24"/>
          <w:lang w:eastAsia="zh-CN" w:bidi="ar-SA"/>
        </w:rPr>
        <w:t>焦作市</w:t>
      </w:r>
      <w:r>
        <w:rPr>
          <w:rFonts w:ascii="宋体" w:hAnsi="宋体" w:eastAsia="宋体" w:cs="宋体"/>
          <w:color w:val="auto"/>
          <w:kern w:val="2"/>
          <w:sz w:val="24"/>
          <w:szCs w:val="24"/>
          <w:lang w:bidi="ar-SA"/>
        </w:rPr>
        <w:t>推动旅游行业的高质量发展具有至关重要的全局性意义</w:t>
      </w: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焦作市文化广电和旅游局</w:t>
      </w:r>
      <w:r>
        <w:rPr>
          <w:rFonts w:hint="eastAsia" w:ascii="宋体" w:hAnsi="宋体" w:eastAsia="宋体" w:cs="宋体"/>
          <w:color w:val="auto"/>
          <w:sz w:val="24"/>
          <w:szCs w:val="24"/>
          <w:lang w:val="en-US" w:eastAsia="zh-CN"/>
        </w:rPr>
        <w:t>为区域内所有旅游资源开展一次全面“体检”，普查范围覆盖全域，普查对象涉及</w:t>
      </w:r>
      <w:r>
        <w:rPr>
          <w:rFonts w:hint="eastAsia" w:ascii="宋体" w:hAnsi="宋体" w:eastAsia="宋体" w:cs="宋体"/>
          <w:color w:val="auto"/>
          <w:sz w:val="24"/>
          <w:szCs w:val="24"/>
        </w:rPr>
        <w:t>地文景观、水域景观、生物景观、天象与气候景观、建筑与设施、历史遗迹、旅游购品、人文活动</w:t>
      </w:r>
      <w:r>
        <w:rPr>
          <w:rFonts w:hint="eastAsia" w:ascii="宋体" w:hAnsi="宋体" w:eastAsia="宋体" w:cs="宋体"/>
          <w:color w:val="auto"/>
          <w:sz w:val="24"/>
          <w:szCs w:val="24"/>
          <w:lang w:val="en-US" w:eastAsia="zh-CN"/>
        </w:rPr>
        <w:t>所有资源分类，调查内容涵盖所有必要的信息与数据。普查过程中，充分运用信息化手段，为所有旅游资源赋予数字化“身份”。</w:t>
      </w:r>
    </w:p>
    <w:p w14:paraId="3D5D1547">
      <w:pPr>
        <w:spacing w:line="360" w:lineRule="auto"/>
        <w:ind w:firstLine="482" w:firstLineChars="200"/>
        <w:rPr>
          <w:rFonts w:hint="eastAsia" w:ascii="宋体" w:hAnsi="宋体" w:eastAsia="宋体" w:cs="宋体"/>
          <w:b/>
          <w:bCs/>
          <w:color w:val="auto"/>
          <w:sz w:val="24"/>
          <w:szCs w:val="24"/>
          <w:lang w:val="en-US" w:eastAsia="zh-CN"/>
        </w:rPr>
      </w:pPr>
      <w:bookmarkStart w:id="8" w:name="_Toc17427"/>
      <w:r>
        <w:rPr>
          <w:rFonts w:hint="eastAsia" w:ascii="宋体" w:hAnsi="宋体" w:eastAsia="宋体" w:cs="宋体"/>
          <w:b/>
          <w:bCs/>
          <w:color w:val="auto"/>
          <w:sz w:val="24"/>
          <w:szCs w:val="24"/>
          <w:lang w:val="en-US" w:eastAsia="zh-CN"/>
        </w:rPr>
        <w:t>（四）形成一套普查成果</w:t>
      </w:r>
      <w:bookmarkEnd w:id="8"/>
    </w:p>
    <w:p w14:paraId="765E6FD8">
      <w:pPr>
        <w:spacing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根据《河南省旅游资源分类、调查与评价》《河南省旅游资源普查工作技术规程》，</w:t>
      </w:r>
      <w:r>
        <w:rPr>
          <w:rFonts w:hint="eastAsia" w:ascii="宋体" w:hAnsi="宋体" w:cs="宋体"/>
          <w:color w:val="auto"/>
          <w:sz w:val="24"/>
          <w:szCs w:val="24"/>
          <w:lang w:val="en-US" w:eastAsia="zh-CN"/>
        </w:rPr>
        <w:t>焦作市旅游资源普查</w:t>
      </w:r>
      <w:r>
        <w:rPr>
          <w:rFonts w:hint="eastAsia" w:ascii="宋体" w:hAnsi="宋体" w:eastAsia="宋体" w:cs="宋体"/>
          <w:color w:val="auto"/>
          <w:sz w:val="24"/>
          <w:szCs w:val="24"/>
          <w:lang w:val="en-US" w:eastAsia="zh-CN"/>
        </w:rPr>
        <w:t>将形成一个工作总结、一个普查报告、一套图集、一批调查区（小区）实际资料表、一批基础图表影像资料、一个专家人才库等“六个一”主要普查成果，并按照数字化改革要求，在河南省旅游资源管理与应用平台上集成展示。</w:t>
      </w:r>
    </w:p>
    <w:p w14:paraId="7832FF92">
      <w:pPr>
        <w:spacing w:line="360" w:lineRule="auto"/>
        <w:ind w:firstLine="482" w:firstLineChars="200"/>
        <w:rPr>
          <w:rFonts w:hint="eastAsia" w:ascii="宋体" w:hAnsi="宋体" w:eastAsia="宋体" w:cs="宋体"/>
          <w:color w:val="auto"/>
          <w:sz w:val="24"/>
          <w:szCs w:val="24"/>
          <w:lang w:val="en-US" w:eastAsia="zh-CN"/>
        </w:rPr>
      </w:pPr>
      <w:bookmarkStart w:id="9" w:name="_Toc13690"/>
      <w:r>
        <w:rPr>
          <w:rFonts w:hint="eastAsia" w:ascii="宋体" w:hAnsi="宋体" w:eastAsia="宋体" w:cs="宋体"/>
          <w:b/>
          <w:bCs/>
          <w:color w:val="auto"/>
          <w:sz w:val="24"/>
          <w:szCs w:val="24"/>
          <w:lang w:val="en-US" w:eastAsia="zh-CN"/>
        </w:rPr>
        <w:t>（五）谋划一批成果转化</w:t>
      </w:r>
      <w:bookmarkEnd w:id="9"/>
    </w:p>
    <w:p w14:paraId="04962F16">
      <w:pPr>
        <w:spacing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焦作市文化</w:t>
      </w:r>
      <w:r>
        <w:rPr>
          <w:rFonts w:hint="eastAsia" w:ascii="宋体" w:hAnsi="宋体" w:cs="宋体"/>
          <w:color w:val="auto"/>
          <w:sz w:val="24"/>
          <w:szCs w:val="24"/>
          <w:lang w:val="en-US" w:eastAsia="zh-CN"/>
        </w:rPr>
        <w:t>广电</w:t>
      </w:r>
      <w:r>
        <w:rPr>
          <w:rFonts w:hint="eastAsia" w:ascii="宋体" w:hAnsi="宋体" w:eastAsia="宋体" w:cs="宋体"/>
          <w:color w:val="auto"/>
          <w:sz w:val="24"/>
          <w:szCs w:val="24"/>
          <w:lang w:val="en-US" w:eastAsia="zh-CN"/>
        </w:rPr>
        <w:t>和旅游局认真研究旅游资源普查各项成果，全面准确评估区域发展潜力，聚焦高等级资源，加大谋划力度，提出焦作市旅游资源保护与开发项目清单，实现焦作市旅游资源普查成果转化落地。</w:t>
      </w:r>
    </w:p>
    <w:p w14:paraId="2C6F4729">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宋体" w:hAnsi="宋体" w:eastAsia="宋体" w:cs="宋体"/>
          <w:b/>
          <w:bCs/>
          <w:color w:val="auto"/>
          <w:sz w:val="30"/>
          <w:szCs w:val="30"/>
          <w:lang w:eastAsia="zh-CN"/>
        </w:rPr>
      </w:pPr>
      <w:bookmarkStart w:id="10" w:name="_Toc12218"/>
      <w:r>
        <w:rPr>
          <w:rFonts w:hint="eastAsia" w:ascii="宋体" w:hAnsi="宋体" w:eastAsia="宋体" w:cs="宋体"/>
          <w:b/>
          <w:bCs/>
          <w:color w:val="auto"/>
          <w:sz w:val="30"/>
          <w:szCs w:val="30"/>
        </w:rPr>
        <w:t>第</w:t>
      </w:r>
      <w:r>
        <w:rPr>
          <w:rFonts w:hint="eastAsia" w:ascii="宋体" w:hAnsi="宋体" w:eastAsia="宋体" w:cs="宋体"/>
          <w:b/>
          <w:bCs/>
          <w:color w:val="auto"/>
          <w:sz w:val="30"/>
          <w:szCs w:val="30"/>
          <w:lang w:eastAsia="zh-CN"/>
        </w:rPr>
        <w:t>二</w:t>
      </w:r>
      <w:r>
        <w:rPr>
          <w:rFonts w:hint="eastAsia" w:ascii="宋体" w:hAnsi="宋体" w:eastAsia="宋体" w:cs="宋体"/>
          <w:b/>
          <w:bCs/>
          <w:color w:val="auto"/>
          <w:sz w:val="30"/>
          <w:szCs w:val="30"/>
        </w:rPr>
        <w:t>节</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lang w:eastAsia="zh-CN"/>
        </w:rPr>
        <w:t>基本原则</w:t>
      </w:r>
      <w:bookmarkEnd w:id="10"/>
    </w:p>
    <w:p w14:paraId="4CA70D04">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rPr>
      </w:pPr>
      <w:bookmarkStart w:id="11" w:name="_Toc2751"/>
      <w:bookmarkStart w:id="12" w:name="_Toc32210"/>
      <w:r>
        <w:rPr>
          <w:rFonts w:hint="eastAsia" w:ascii="宋体" w:hAnsi="宋体" w:eastAsia="宋体" w:cs="宋体"/>
          <w:b/>
          <w:bCs/>
          <w:color w:val="auto"/>
          <w:sz w:val="28"/>
          <w:szCs w:val="28"/>
          <w:lang w:eastAsia="zh-CN"/>
        </w:rPr>
        <w:t>一、</w:t>
      </w:r>
      <w:r>
        <w:rPr>
          <w:rFonts w:hint="eastAsia" w:ascii="宋体" w:hAnsi="宋体" w:eastAsia="宋体" w:cs="宋体"/>
          <w:b/>
          <w:bCs/>
          <w:color w:val="auto"/>
          <w:sz w:val="28"/>
          <w:szCs w:val="28"/>
        </w:rPr>
        <w:t>普适性原则</w:t>
      </w:r>
      <w:bookmarkEnd w:id="11"/>
      <w:bookmarkEnd w:id="12"/>
    </w:p>
    <w:p w14:paraId="2B2C3C09">
      <w:pPr>
        <w:spacing w:line="360" w:lineRule="auto"/>
        <w:ind w:firstLine="480" w:firstLineChars="200"/>
        <w:rPr>
          <w:rFonts w:hint="eastAsia" w:ascii="宋体" w:hAnsi="宋体" w:eastAsia="宋体" w:cs="宋体"/>
          <w:color w:val="auto"/>
          <w:sz w:val="24"/>
          <w:szCs w:val="24"/>
          <w:lang w:val="en-US" w:eastAsia="zh-CN"/>
        </w:rPr>
      </w:pPr>
      <w:bookmarkStart w:id="13" w:name="_Toc15047"/>
      <w:r>
        <w:rPr>
          <w:rFonts w:hint="eastAsia" w:ascii="宋体" w:hAnsi="宋体" w:eastAsia="宋体" w:cs="宋体"/>
          <w:color w:val="auto"/>
          <w:sz w:val="24"/>
          <w:szCs w:val="24"/>
          <w:lang w:val="en-US" w:eastAsia="zh-CN"/>
        </w:rPr>
        <w:t>在充分调研与梳理旅游资源普查工作规律和特点的基础上，结合行业经验和专业知识，系统地总结出了普查工作的一般性程序。这些程序涵盖了从前期准备到实地调查，再到数据整理与分析的各个环节。同时，明确了普查工作的主要任务，包括资源分类、数量统计、质量评估等。此外，还预设了普查工作的成果形式，如普查报告、资源分布图等，并制定了科学的技术要求，以确保普查数据的准确性和可靠性。</w:t>
      </w:r>
    </w:p>
    <w:p w14:paraId="76BAD0EE">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14" w:name="_Toc19601"/>
      <w:r>
        <w:rPr>
          <w:rFonts w:hint="eastAsia" w:ascii="宋体" w:hAnsi="宋体" w:eastAsia="宋体" w:cs="宋体"/>
          <w:b/>
          <w:bCs/>
          <w:color w:val="auto"/>
          <w:sz w:val="28"/>
          <w:szCs w:val="28"/>
          <w:lang w:eastAsia="zh-CN"/>
        </w:rPr>
        <w:t>二、可操作性原则</w:t>
      </w:r>
      <w:bookmarkEnd w:id="13"/>
      <w:bookmarkEnd w:id="14"/>
    </w:p>
    <w:p w14:paraId="2DF7512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auto"/>
          <w:lang w:eastAsia="zh-CN"/>
        </w:rPr>
      </w:pPr>
      <w:r>
        <w:rPr>
          <w:rFonts w:ascii="宋体" w:hAnsi="宋体" w:eastAsia="宋体" w:cs="宋体"/>
          <w:bCs/>
          <w:color w:val="auto"/>
          <w:kern w:val="2"/>
          <w:sz w:val="24"/>
          <w:szCs w:val="24"/>
          <w:lang w:bidi="ar-SA"/>
        </w:rPr>
        <w:t>在普查工作的整体规划中，以普查人员能够轻松理解和便捷操作为基本前提，确保流程化成为贯穿整个普查过程的主线。这一设计思路旨在实现各程序工作主体的明确界定，确保每个角色都能清晰地知晓自己的职责范围；同时，工作内容也被表述得清晰无误，避免了因理解偏差而导致的操作失误。此外，技术要求被详尽具体地列出，为普查人员提供了明确的操作指南；最终，工作成果的规范统一，不仅提升了普查数据的质量，也为后续的数据分析和决策提供了坚实的基础。</w:t>
      </w:r>
    </w:p>
    <w:p w14:paraId="78FCC9B2">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15" w:name="_Toc15296"/>
      <w:bookmarkStart w:id="16" w:name="_Toc26481"/>
      <w:r>
        <w:rPr>
          <w:rFonts w:hint="eastAsia" w:ascii="宋体" w:hAnsi="宋体" w:eastAsia="宋体" w:cs="宋体"/>
          <w:b/>
          <w:bCs/>
          <w:color w:val="auto"/>
          <w:sz w:val="28"/>
          <w:szCs w:val="28"/>
          <w:lang w:eastAsia="zh-CN"/>
        </w:rPr>
        <w:t>三、信息化原则</w:t>
      </w:r>
      <w:bookmarkEnd w:id="15"/>
      <w:bookmarkEnd w:id="16"/>
    </w:p>
    <w:p w14:paraId="322712B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auto"/>
          <w:lang w:eastAsia="zh-CN"/>
        </w:rPr>
      </w:pPr>
      <w:r>
        <w:rPr>
          <w:rFonts w:ascii="宋体" w:hAnsi="宋体" w:eastAsia="宋体" w:cs="宋体"/>
          <w:bCs/>
          <w:color w:val="auto"/>
          <w:kern w:val="2"/>
          <w:sz w:val="24"/>
          <w:szCs w:val="24"/>
          <w:lang w:bidi="ar-SA"/>
        </w:rPr>
        <w:t>利用现代信息技术，创新普查工作方式和成果展示形式，能够大幅提升普查工作的效率。通过引入先进的信息技术手段，可以自动化处理大量数据，减少人工操作的繁琐和错误。这种创新不仅提高了普查工作的时效性，还为旅游资源的动态化管理提供了有力支持。随着普查成果的数字化存储和快速检索，其应用范围得以显著扩大，为旅游规划、市场分析以及政策制定等领域提供了更加详实和准确的数据支持。</w:t>
      </w:r>
    </w:p>
    <w:p w14:paraId="7AF3F494">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17" w:name="_Toc30547"/>
      <w:bookmarkStart w:id="18" w:name="_Toc10989"/>
      <w:r>
        <w:rPr>
          <w:rFonts w:hint="eastAsia" w:ascii="宋体" w:hAnsi="宋体" w:eastAsia="宋体" w:cs="宋体"/>
          <w:b/>
          <w:bCs/>
          <w:color w:val="auto"/>
          <w:sz w:val="28"/>
          <w:szCs w:val="28"/>
          <w:lang w:eastAsia="zh-CN"/>
        </w:rPr>
        <w:t>四、传承性原则</w:t>
      </w:r>
      <w:bookmarkEnd w:id="17"/>
      <w:bookmarkEnd w:id="18"/>
    </w:p>
    <w:p w14:paraId="34BCEA2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auto"/>
          <w:lang w:eastAsia="zh-CN"/>
        </w:rPr>
      </w:pPr>
      <w:r>
        <w:rPr>
          <w:rFonts w:ascii="宋体" w:hAnsi="宋体" w:eastAsia="宋体" w:cs="宋体"/>
          <w:bCs/>
          <w:color w:val="auto"/>
          <w:kern w:val="2"/>
          <w:sz w:val="24"/>
          <w:szCs w:val="24"/>
          <w:lang w:bidi="ar-SA"/>
        </w:rPr>
        <w:t>根据当前旅游发展形势的变化，为了更好地适应市场需求和提升旅游体验，在原有旅游资源普查工作所积累的数据和信息基础上，依据新视角和新理念，对原有的普查成果进行深入细致的梳理、必要的补充以及全面的完善。这一举措旨在进一步提升旅游资源的品质和利用效率，为游客提供更加优质、丰富的旅游产品和服务。</w:t>
      </w:r>
      <w:r>
        <w:rPr>
          <w:rFonts w:hint="eastAsia" w:ascii="宋体" w:hAnsi="宋体" w:eastAsia="宋体" w:cs="宋体"/>
          <w:bCs/>
          <w:color w:val="auto"/>
          <w:kern w:val="2"/>
          <w:sz w:val="24"/>
          <w:szCs w:val="24"/>
          <w:lang w:eastAsia="zh-CN" w:bidi="ar-SA"/>
        </w:rPr>
        <w:t>同时，通过传承性原则的实施，还能够保护和弘扬地方特色文化，使普查工作不仅停留在数据收集的层面，而是真正融入地方发展，成为推动地方旅游业持续繁荣的重要力量。在传承中创新，在创新中发展，形成良性循环，为焦作市旅游资源的长期可持续发展奠定坚实基础。</w:t>
      </w:r>
    </w:p>
    <w:p w14:paraId="01F41A8B">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19" w:name="_Toc79436394"/>
      <w:bookmarkEnd w:id="19"/>
      <w:bookmarkStart w:id="20" w:name="_Toc79436393"/>
      <w:bookmarkEnd w:id="20"/>
      <w:bookmarkStart w:id="21" w:name="_Toc29714"/>
      <w:bookmarkStart w:id="22" w:name="_Toc26576"/>
      <w:r>
        <w:rPr>
          <w:rFonts w:hint="eastAsia" w:ascii="宋体" w:hAnsi="宋体" w:eastAsia="宋体" w:cs="宋体"/>
          <w:b/>
          <w:bCs/>
          <w:color w:val="auto"/>
          <w:sz w:val="28"/>
          <w:szCs w:val="28"/>
          <w:lang w:eastAsia="zh-CN"/>
        </w:rPr>
        <w:t>五、创新性原则</w:t>
      </w:r>
      <w:bookmarkEnd w:id="21"/>
      <w:bookmarkEnd w:id="22"/>
    </w:p>
    <w:p w14:paraId="25B65087">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rPr>
        <w:t>将创新发展理念贯穿于</w:t>
      </w:r>
      <w:r>
        <w:rPr>
          <w:rFonts w:hint="eastAsia" w:ascii="宋体" w:hAnsi="宋体" w:eastAsia="宋体" w:cs="宋体"/>
          <w:bCs/>
          <w:color w:val="auto"/>
          <w:sz w:val="24"/>
          <w:szCs w:val="24"/>
          <w:lang w:eastAsia="zh-CN"/>
        </w:rPr>
        <w:t>旅游</w:t>
      </w:r>
      <w:r>
        <w:rPr>
          <w:rFonts w:hint="eastAsia" w:ascii="宋体" w:hAnsi="宋体" w:eastAsia="宋体" w:cs="宋体"/>
          <w:bCs/>
          <w:color w:val="auto"/>
          <w:sz w:val="24"/>
          <w:szCs w:val="24"/>
        </w:rPr>
        <w:t>资源分类、调查、评价与开发利用全过程</w:t>
      </w:r>
      <w:r>
        <w:rPr>
          <w:rFonts w:hint="eastAsia" w:ascii="宋体" w:hAnsi="宋体" w:eastAsia="宋体" w:cs="宋体"/>
          <w:bCs/>
          <w:color w:val="auto"/>
          <w:sz w:val="24"/>
          <w:szCs w:val="24"/>
          <w:lang w:eastAsia="zh-CN"/>
        </w:rPr>
        <w:t>。</w:t>
      </w:r>
      <w:r>
        <w:rPr>
          <w:rFonts w:hint="eastAsia" w:ascii="宋体" w:hAnsi="宋体" w:eastAsia="宋体" w:cs="宋体"/>
          <w:bCs/>
          <w:color w:val="auto"/>
          <w:sz w:val="24"/>
          <w:szCs w:val="24"/>
        </w:rPr>
        <w:t>以开发利用为导向，</w:t>
      </w:r>
      <w:r>
        <w:rPr>
          <w:rFonts w:hint="eastAsia" w:ascii="宋体" w:hAnsi="宋体" w:eastAsia="宋体" w:cs="宋体"/>
          <w:bCs/>
          <w:color w:val="auto"/>
          <w:sz w:val="24"/>
          <w:szCs w:val="24"/>
          <w:lang w:eastAsia="zh-CN"/>
        </w:rPr>
        <w:t>指导河南省未来旅游产业发展实践</w:t>
      </w:r>
      <w:r>
        <w:rPr>
          <w:rFonts w:hint="eastAsia" w:ascii="宋体" w:hAnsi="宋体" w:eastAsia="宋体" w:cs="宋体"/>
          <w:bCs/>
          <w:color w:val="auto"/>
          <w:sz w:val="24"/>
          <w:szCs w:val="24"/>
        </w:rPr>
        <w:t>。</w:t>
      </w:r>
      <w:r>
        <w:rPr>
          <w:rFonts w:hint="eastAsia" w:ascii="宋体" w:hAnsi="宋体" w:eastAsia="宋体" w:cs="宋体"/>
          <w:bCs/>
          <w:color w:val="auto"/>
          <w:sz w:val="24"/>
          <w:szCs w:val="24"/>
          <w:lang w:eastAsia="zh-CN"/>
        </w:rPr>
        <w:t>在具体操作中，鼓励采用先进的技术手段和方法，如大数据分析、人工智能辅助等，对旅游资源进行深入挖掘和科学评估。通过这些创新手段，可以更精准地把握旅游市场的动态趋势，预测游客需求的变化，从而为旅游产业转型升级提供有力支撑。同时，创新性原则还强调在旅游资源开发过程中注重创意和差异化，避免同质化竞争，打造具有独特魅力和吸引力的旅游产品，提升焦作市旅游的整体竞争力。</w:t>
      </w:r>
    </w:p>
    <w:p w14:paraId="06F35B74">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宋体" w:hAnsi="宋体" w:eastAsia="宋体" w:cs="宋体"/>
          <w:b/>
          <w:bCs/>
          <w:color w:val="auto"/>
          <w:sz w:val="30"/>
          <w:szCs w:val="30"/>
          <w:lang w:eastAsia="zh-CN"/>
        </w:rPr>
      </w:pPr>
      <w:bookmarkStart w:id="23" w:name="_Toc4111"/>
      <w:r>
        <w:rPr>
          <w:rFonts w:hint="eastAsia" w:ascii="宋体" w:hAnsi="宋体" w:eastAsia="宋体" w:cs="宋体"/>
          <w:b/>
          <w:bCs/>
          <w:color w:val="auto"/>
          <w:sz w:val="30"/>
          <w:szCs w:val="30"/>
        </w:rPr>
        <w:t>第</w:t>
      </w:r>
      <w:r>
        <w:rPr>
          <w:rFonts w:hint="eastAsia" w:ascii="宋体" w:hAnsi="宋体" w:eastAsia="宋体" w:cs="宋体"/>
          <w:b/>
          <w:bCs/>
          <w:color w:val="auto"/>
          <w:sz w:val="30"/>
          <w:szCs w:val="30"/>
          <w:lang w:eastAsia="zh-CN"/>
        </w:rPr>
        <w:t>三</w:t>
      </w:r>
      <w:r>
        <w:rPr>
          <w:rFonts w:hint="eastAsia" w:ascii="宋体" w:hAnsi="宋体" w:eastAsia="宋体" w:cs="宋体"/>
          <w:b/>
          <w:bCs/>
          <w:color w:val="auto"/>
          <w:sz w:val="30"/>
          <w:szCs w:val="30"/>
        </w:rPr>
        <w:t>节</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lang w:eastAsia="zh-CN"/>
        </w:rPr>
        <w:t>技术规范</w:t>
      </w:r>
      <w:bookmarkEnd w:id="23"/>
    </w:p>
    <w:p w14:paraId="379E552D">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val="en-US" w:eastAsia="zh-CN"/>
        </w:rPr>
      </w:pPr>
      <w:bookmarkStart w:id="24" w:name="_Toc23503"/>
      <w:r>
        <w:rPr>
          <w:rFonts w:hint="eastAsia" w:ascii="宋体" w:hAnsi="宋体" w:eastAsia="宋体" w:cs="宋体"/>
          <w:b/>
          <w:bCs/>
          <w:color w:val="auto"/>
          <w:sz w:val="28"/>
          <w:szCs w:val="28"/>
          <w:lang w:eastAsia="zh-CN"/>
        </w:rPr>
        <w:t>一、技术标准</w:t>
      </w:r>
      <w:bookmarkEnd w:id="24"/>
    </w:p>
    <w:p w14:paraId="105292D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bCs/>
          <w:color w:val="auto"/>
          <w:kern w:val="2"/>
          <w:sz w:val="24"/>
          <w:szCs w:val="24"/>
          <w:lang w:val="en-US" w:eastAsia="zh-CN" w:bidi="ar-SA"/>
        </w:rPr>
      </w:pPr>
      <w:r>
        <w:rPr>
          <w:rFonts w:hint="default" w:ascii="宋体" w:hAnsi="宋体" w:eastAsia="宋体" w:cs="宋体"/>
          <w:bCs/>
          <w:color w:val="auto"/>
          <w:kern w:val="2"/>
          <w:sz w:val="24"/>
          <w:szCs w:val="24"/>
          <w:lang w:val="en-US" w:eastAsia="zh-CN" w:bidi="ar-SA"/>
        </w:rPr>
        <w:t>下列文件中的条款通过本标准的引用而成为本标准的条款。凡是注明日期的 引用文件，仅注明日期的版本适用于本标准。凡是不注明日期的引用文件，其最 新版本</w:t>
      </w:r>
      <w:r>
        <w:rPr>
          <w:rFonts w:hint="eastAsia" w:ascii="宋体" w:hAnsi="宋体" w:cs="宋体"/>
          <w:bCs/>
          <w:color w:val="auto"/>
          <w:kern w:val="2"/>
          <w:sz w:val="24"/>
          <w:szCs w:val="24"/>
          <w:lang w:val="en-US" w:eastAsia="zh-CN" w:bidi="ar-SA"/>
        </w:rPr>
        <w:t>（</w:t>
      </w:r>
      <w:r>
        <w:rPr>
          <w:rFonts w:hint="default" w:ascii="宋体" w:hAnsi="宋体" w:eastAsia="宋体" w:cs="宋体"/>
          <w:bCs/>
          <w:color w:val="auto"/>
          <w:kern w:val="2"/>
          <w:sz w:val="24"/>
          <w:szCs w:val="24"/>
          <w:lang w:val="en-US" w:eastAsia="zh-CN" w:bidi="ar-SA"/>
        </w:rPr>
        <w:t>包括所有的修改单</w:t>
      </w:r>
      <w:r>
        <w:rPr>
          <w:rFonts w:hint="eastAsia" w:ascii="宋体" w:hAnsi="宋体" w:cs="宋体"/>
          <w:bCs/>
          <w:color w:val="auto"/>
          <w:kern w:val="2"/>
          <w:sz w:val="24"/>
          <w:szCs w:val="24"/>
          <w:lang w:val="en-US" w:eastAsia="zh-CN" w:bidi="ar-SA"/>
        </w:rPr>
        <w:t>）</w:t>
      </w:r>
      <w:r>
        <w:rPr>
          <w:rFonts w:hint="default" w:ascii="宋体" w:hAnsi="宋体" w:eastAsia="宋体" w:cs="宋体"/>
          <w:bCs/>
          <w:color w:val="auto"/>
          <w:kern w:val="2"/>
          <w:sz w:val="24"/>
          <w:szCs w:val="24"/>
          <w:lang w:val="en-US" w:eastAsia="zh-CN" w:bidi="ar-SA"/>
        </w:rPr>
        <w:t>适用于本标准。</w:t>
      </w:r>
    </w:p>
    <w:p w14:paraId="33899A1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bCs/>
          <w:color w:val="auto"/>
          <w:kern w:val="2"/>
          <w:sz w:val="24"/>
          <w:szCs w:val="24"/>
          <w:lang w:val="en-US" w:eastAsia="zh-CN" w:bidi="ar-SA"/>
        </w:rPr>
      </w:pPr>
      <w:r>
        <w:rPr>
          <w:rFonts w:hint="default" w:ascii="宋体" w:hAnsi="宋体" w:eastAsia="宋体" w:cs="宋体"/>
          <w:bCs/>
          <w:color w:val="auto"/>
          <w:kern w:val="2"/>
          <w:sz w:val="24"/>
          <w:szCs w:val="24"/>
          <w:lang w:val="en-US" w:eastAsia="zh-CN" w:bidi="ar-SA"/>
        </w:rPr>
        <w:t xml:space="preserve">GB/T </w:t>
      </w:r>
      <w:r>
        <w:rPr>
          <w:rFonts w:hint="eastAsia" w:ascii="宋体" w:hAnsi="宋体" w:eastAsia="宋体" w:cs="宋体"/>
          <w:bCs/>
          <w:color w:val="auto"/>
          <w:kern w:val="2"/>
          <w:sz w:val="24"/>
          <w:szCs w:val="24"/>
          <w:lang w:val="en-US" w:eastAsia="zh-CN" w:bidi="ar-SA"/>
        </w:rPr>
        <w:t xml:space="preserve"> </w:t>
      </w:r>
      <w:r>
        <w:rPr>
          <w:rFonts w:hint="default" w:ascii="宋体" w:hAnsi="宋体" w:eastAsia="宋体" w:cs="宋体"/>
          <w:bCs/>
          <w:color w:val="auto"/>
          <w:kern w:val="2"/>
          <w:sz w:val="24"/>
          <w:szCs w:val="24"/>
          <w:lang w:val="en-US" w:eastAsia="zh-CN" w:bidi="ar-SA"/>
        </w:rPr>
        <w:t xml:space="preserve">2260       </w:t>
      </w:r>
      <w:r>
        <w:rPr>
          <w:rFonts w:hint="eastAsia" w:ascii="宋体" w:hAnsi="宋体" w:eastAsia="宋体" w:cs="宋体"/>
          <w:bCs/>
          <w:color w:val="auto"/>
          <w:kern w:val="2"/>
          <w:sz w:val="24"/>
          <w:szCs w:val="24"/>
          <w:lang w:val="en-US" w:eastAsia="zh-CN" w:bidi="ar-SA"/>
        </w:rPr>
        <w:t xml:space="preserve"> </w:t>
      </w:r>
      <w:r>
        <w:rPr>
          <w:rFonts w:hint="default" w:ascii="宋体" w:hAnsi="宋体" w:eastAsia="宋体" w:cs="宋体"/>
          <w:bCs/>
          <w:color w:val="auto"/>
          <w:kern w:val="2"/>
          <w:sz w:val="24"/>
          <w:szCs w:val="24"/>
          <w:lang w:val="en-US" w:eastAsia="zh-CN" w:bidi="ar-SA"/>
        </w:rPr>
        <w:t xml:space="preserve">中华人民共和国行政区代码 </w:t>
      </w:r>
    </w:p>
    <w:p w14:paraId="469396D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bCs/>
          <w:color w:val="auto"/>
          <w:kern w:val="2"/>
          <w:sz w:val="24"/>
          <w:szCs w:val="24"/>
          <w:lang w:val="en-US" w:eastAsia="zh-CN" w:bidi="ar-SA"/>
        </w:rPr>
      </w:pPr>
      <w:r>
        <w:rPr>
          <w:rFonts w:hint="default" w:ascii="宋体" w:hAnsi="宋体" w:eastAsia="宋体" w:cs="宋体"/>
          <w:bCs/>
          <w:color w:val="auto"/>
          <w:kern w:val="2"/>
          <w:sz w:val="24"/>
          <w:szCs w:val="24"/>
          <w:lang w:val="en-US" w:eastAsia="zh-CN" w:bidi="ar-SA"/>
        </w:rPr>
        <w:t xml:space="preserve">GB/T  18972-2017 </w:t>
      </w:r>
      <w:r>
        <w:rPr>
          <w:rFonts w:hint="eastAsia" w:ascii="宋体" w:hAnsi="宋体" w:eastAsia="宋体" w:cs="宋体"/>
          <w:bCs/>
          <w:color w:val="auto"/>
          <w:kern w:val="2"/>
          <w:sz w:val="24"/>
          <w:szCs w:val="24"/>
          <w:lang w:val="en-US" w:eastAsia="zh-CN" w:bidi="ar-SA"/>
        </w:rPr>
        <w:t xml:space="preserve"> </w:t>
      </w:r>
      <w:r>
        <w:rPr>
          <w:rFonts w:hint="default" w:ascii="宋体" w:hAnsi="宋体" w:eastAsia="宋体" w:cs="宋体"/>
          <w:bCs/>
          <w:color w:val="auto"/>
          <w:kern w:val="2"/>
          <w:sz w:val="24"/>
          <w:szCs w:val="24"/>
          <w:lang w:val="en-US" w:eastAsia="zh-CN" w:bidi="ar-SA"/>
        </w:rPr>
        <w:t xml:space="preserve">旅游资源分类、调查与评价 </w:t>
      </w:r>
    </w:p>
    <w:p w14:paraId="3728E5B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bCs/>
          <w:color w:val="auto"/>
          <w:kern w:val="2"/>
          <w:sz w:val="24"/>
          <w:szCs w:val="24"/>
          <w:lang w:val="en-US" w:eastAsia="zh-CN" w:bidi="ar-SA"/>
        </w:rPr>
      </w:pPr>
      <w:r>
        <w:rPr>
          <w:rFonts w:hint="default" w:ascii="宋体" w:hAnsi="宋体" w:eastAsia="宋体" w:cs="宋体"/>
          <w:bCs/>
          <w:color w:val="auto"/>
          <w:kern w:val="2"/>
          <w:sz w:val="24"/>
          <w:szCs w:val="24"/>
          <w:lang w:val="en-US" w:eastAsia="zh-CN" w:bidi="ar-SA"/>
        </w:rPr>
        <w:t xml:space="preserve">GB/T  18971-2003 </w:t>
      </w:r>
      <w:r>
        <w:rPr>
          <w:rFonts w:hint="eastAsia" w:ascii="宋体" w:hAnsi="宋体" w:eastAsia="宋体" w:cs="宋体"/>
          <w:bCs/>
          <w:color w:val="auto"/>
          <w:kern w:val="2"/>
          <w:sz w:val="24"/>
          <w:szCs w:val="24"/>
          <w:lang w:val="en-US" w:eastAsia="zh-CN" w:bidi="ar-SA"/>
        </w:rPr>
        <w:t xml:space="preserve"> </w:t>
      </w:r>
      <w:r>
        <w:rPr>
          <w:rFonts w:hint="default" w:ascii="宋体" w:hAnsi="宋体" w:eastAsia="宋体" w:cs="宋体"/>
          <w:bCs/>
          <w:color w:val="auto"/>
          <w:kern w:val="2"/>
          <w:sz w:val="24"/>
          <w:szCs w:val="24"/>
          <w:lang w:val="en-US" w:eastAsia="zh-CN" w:bidi="ar-SA"/>
        </w:rPr>
        <w:t>旅游规划通则</w:t>
      </w:r>
    </w:p>
    <w:p w14:paraId="59CEA8E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bCs/>
          <w:color w:val="auto"/>
          <w:kern w:val="2"/>
          <w:sz w:val="24"/>
          <w:szCs w:val="24"/>
          <w:lang w:val="en-US" w:eastAsia="zh-CN" w:bidi="ar-SA"/>
        </w:rPr>
      </w:pPr>
      <w:r>
        <w:rPr>
          <w:rFonts w:hint="default" w:ascii="宋体" w:hAnsi="宋体" w:eastAsia="宋体" w:cs="宋体"/>
          <w:bCs/>
          <w:color w:val="auto"/>
          <w:kern w:val="2"/>
          <w:sz w:val="24"/>
          <w:szCs w:val="24"/>
          <w:lang w:val="en-US" w:eastAsia="zh-CN" w:bidi="ar-SA"/>
        </w:rPr>
        <w:t xml:space="preserve">GB/T  18521-2001 </w:t>
      </w:r>
      <w:r>
        <w:rPr>
          <w:rFonts w:hint="eastAsia" w:ascii="宋体" w:hAnsi="宋体" w:eastAsia="宋体" w:cs="宋体"/>
          <w:bCs/>
          <w:color w:val="auto"/>
          <w:kern w:val="2"/>
          <w:sz w:val="24"/>
          <w:szCs w:val="24"/>
          <w:lang w:val="en-US" w:eastAsia="zh-CN" w:bidi="ar-SA"/>
        </w:rPr>
        <w:t xml:space="preserve"> </w:t>
      </w:r>
      <w:r>
        <w:rPr>
          <w:rFonts w:hint="default" w:ascii="宋体" w:hAnsi="宋体" w:eastAsia="宋体" w:cs="宋体"/>
          <w:bCs/>
          <w:color w:val="auto"/>
          <w:kern w:val="2"/>
          <w:sz w:val="24"/>
          <w:szCs w:val="24"/>
          <w:lang w:val="en-US" w:eastAsia="zh-CN" w:bidi="ar-SA"/>
        </w:rPr>
        <w:t>地名分类与类别代码编制规则</w:t>
      </w:r>
    </w:p>
    <w:p w14:paraId="67926B5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bCs/>
          <w:color w:val="auto"/>
          <w:kern w:val="2"/>
          <w:sz w:val="24"/>
          <w:szCs w:val="24"/>
          <w:lang w:val="en-US" w:eastAsia="zh-CN" w:bidi="ar-SA"/>
        </w:rPr>
      </w:pPr>
      <w:r>
        <w:rPr>
          <w:rFonts w:hint="default" w:ascii="宋体" w:hAnsi="宋体" w:eastAsia="宋体" w:cs="宋体"/>
          <w:bCs/>
          <w:color w:val="auto"/>
          <w:kern w:val="2"/>
          <w:sz w:val="24"/>
          <w:szCs w:val="24"/>
          <w:lang w:val="en-US" w:eastAsia="zh-CN" w:bidi="ar-SA"/>
        </w:rPr>
        <w:t xml:space="preserve">GB/T  18317-2009  专题地图信息分类与代码 </w:t>
      </w:r>
    </w:p>
    <w:p w14:paraId="4F148C4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bCs/>
          <w:color w:val="auto"/>
          <w:kern w:val="2"/>
          <w:sz w:val="24"/>
          <w:szCs w:val="24"/>
          <w:lang w:val="en-US" w:eastAsia="zh-CN" w:bidi="ar-SA"/>
        </w:rPr>
      </w:pPr>
      <w:r>
        <w:rPr>
          <w:rFonts w:hint="default" w:ascii="宋体" w:hAnsi="宋体" w:eastAsia="宋体" w:cs="宋体"/>
          <w:bCs/>
          <w:color w:val="auto"/>
          <w:kern w:val="2"/>
          <w:sz w:val="24"/>
          <w:szCs w:val="24"/>
          <w:lang w:val="en-US" w:eastAsia="zh-CN" w:bidi="ar-SA"/>
        </w:rPr>
        <w:t xml:space="preserve">GB/T  14157-1993 </w:t>
      </w:r>
      <w:r>
        <w:rPr>
          <w:rFonts w:hint="eastAsia" w:ascii="宋体" w:hAnsi="宋体" w:eastAsia="宋体" w:cs="宋体"/>
          <w:bCs/>
          <w:color w:val="auto"/>
          <w:kern w:val="2"/>
          <w:sz w:val="24"/>
          <w:szCs w:val="24"/>
          <w:lang w:val="en-US" w:eastAsia="zh-CN" w:bidi="ar-SA"/>
        </w:rPr>
        <w:t xml:space="preserve"> </w:t>
      </w:r>
      <w:r>
        <w:rPr>
          <w:rFonts w:hint="default" w:ascii="宋体" w:hAnsi="宋体" w:eastAsia="宋体" w:cs="宋体"/>
          <w:bCs/>
          <w:color w:val="auto"/>
          <w:kern w:val="2"/>
          <w:sz w:val="24"/>
          <w:szCs w:val="24"/>
          <w:lang w:val="en-US" w:eastAsia="zh-CN" w:bidi="ar-SA"/>
        </w:rPr>
        <w:t>水文地质术语</w:t>
      </w:r>
    </w:p>
    <w:p w14:paraId="64A27C5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bCs/>
          <w:color w:val="auto"/>
          <w:kern w:val="2"/>
          <w:sz w:val="24"/>
          <w:szCs w:val="24"/>
          <w:lang w:val="en-US" w:eastAsia="zh-CN" w:bidi="ar-SA"/>
        </w:rPr>
      </w:pPr>
      <w:r>
        <w:rPr>
          <w:rFonts w:hint="default" w:ascii="宋体" w:hAnsi="宋体" w:eastAsia="宋体" w:cs="宋体"/>
          <w:bCs/>
          <w:color w:val="auto"/>
          <w:kern w:val="2"/>
          <w:sz w:val="24"/>
          <w:szCs w:val="24"/>
          <w:lang w:val="en-US" w:eastAsia="zh-CN" w:bidi="ar-SA"/>
        </w:rPr>
        <w:t xml:space="preserve">GB/T  21010-2017 </w:t>
      </w:r>
      <w:r>
        <w:rPr>
          <w:rFonts w:hint="eastAsia" w:ascii="宋体" w:hAnsi="宋体" w:eastAsia="宋体" w:cs="宋体"/>
          <w:bCs/>
          <w:color w:val="auto"/>
          <w:kern w:val="2"/>
          <w:sz w:val="24"/>
          <w:szCs w:val="24"/>
          <w:lang w:val="en-US" w:eastAsia="zh-CN" w:bidi="ar-SA"/>
        </w:rPr>
        <w:t xml:space="preserve"> </w:t>
      </w:r>
      <w:r>
        <w:rPr>
          <w:rFonts w:hint="default" w:ascii="宋体" w:hAnsi="宋体" w:eastAsia="宋体" w:cs="宋体"/>
          <w:bCs/>
          <w:color w:val="auto"/>
          <w:kern w:val="2"/>
          <w:sz w:val="24"/>
          <w:szCs w:val="24"/>
          <w:lang w:val="en-US" w:eastAsia="zh-CN" w:bidi="ar-SA"/>
        </w:rPr>
        <w:t>土地利用现状分类</w:t>
      </w:r>
    </w:p>
    <w:p w14:paraId="50F420F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bCs/>
          <w:color w:val="auto"/>
          <w:kern w:val="2"/>
          <w:sz w:val="24"/>
          <w:szCs w:val="24"/>
          <w:lang w:val="en-US" w:eastAsia="zh-CN" w:bidi="ar-SA"/>
        </w:rPr>
      </w:pPr>
      <w:r>
        <w:rPr>
          <w:rFonts w:hint="default" w:ascii="宋体" w:hAnsi="宋体" w:eastAsia="宋体" w:cs="宋体"/>
          <w:bCs/>
          <w:color w:val="auto"/>
          <w:kern w:val="2"/>
          <w:sz w:val="24"/>
          <w:szCs w:val="24"/>
          <w:lang w:val="en-US" w:eastAsia="zh-CN" w:bidi="ar-SA"/>
        </w:rPr>
        <w:t xml:space="preserve">GB/T  26424-2010 </w:t>
      </w:r>
      <w:r>
        <w:rPr>
          <w:rFonts w:hint="eastAsia" w:ascii="宋体" w:hAnsi="宋体" w:eastAsia="宋体" w:cs="宋体"/>
          <w:bCs/>
          <w:color w:val="auto"/>
          <w:kern w:val="2"/>
          <w:sz w:val="24"/>
          <w:szCs w:val="24"/>
          <w:lang w:val="en-US" w:eastAsia="zh-CN" w:bidi="ar-SA"/>
        </w:rPr>
        <w:t xml:space="preserve"> </w:t>
      </w:r>
      <w:r>
        <w:rPr>
          <w:rFonts w:hint="default" w:ascii="宋体" w:hAnsi="宋体" w:eastAsia="宋体" w:cs="宋体"/>
          <w:bCs/>
          <w:color w:val="auto"/>
          <w:kern w:val="2"/>
          <w:sz w:val="24"/>
          <w:szCs w:val="24"/>
          <w:lang w:val="en-US" w:eastAsia="zh-CN" w:bidi="ar-SA"/>
        </w:rPr>
        <w:t xml:space="preserve">森林资源规划设计调查技术规程 </w:t>
      </w:r>
    </w:p>
    <w:p w14:paraId="2B26206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bCs/>
          <w:color w:val="auto"/>
          <w:kern w:val="2"/>
          <w:sz w:val="24"/>
          <w:szCs w:val="24"/>
          <w:lang w:val="en-US" w:eastAsia="zh-CN" w:bidi="ar-SA"/>
        </w:rPr>
      </w:pPr>
      <w:r>
        <w:rPr>
          <w:rFonts w:hint="default" w:ascii="宋体" w:hAnsi="宋体" w:eastAsia="宋体" w:cs="宋体"/>
          <w:bCs/>
          <w:color w:val="auto"/>
          <w:kern w:val="2"/>
          <w:sz w:val="24"/>
          <w:szCs w:val="24"/>
          <w:lang w:val="en-US" w:eastAsia="zh-CN" w:bidi="ar-SA"/>
        </w:rPr>
        <w:t>DZ/T  0303-2017   地质遗迹调查规范</w:t>
      </w:r>
    </w:p>
    <w:p w14:paraId="0364ABC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bCs/>
          <w:color w:val="auto"/>
          <w:kern w:val="2"/>
          <w:sz w:val="24"/>
          <w:szCs w:val="24"/>
          <w:lang w:val="en-US" w:eastAsia="zh-CN" w:bidi="ar-SA"/>
        </w:rPr>
      </w:pPr>
      <w:r>
        <w:rPr>
          <w:rFonts w:hint="default" w:ascii="宋体" w:hAnsi="宋体" w:eastAsia="宋体" w:cs="宋体"/>
          <w:bCs/>
          <w:color w:val="auto"/>
          <w:kern w:val="2"/>
          <w:sz w:val="24"/>
          <w:szCs w:val="24"/>
          <w:lang w:val="en-US" w:eastAsia="zh-CN" w:bidi="ar-SA"/>
        </w:rPr>
        <w:t>LY/T  2738-2016   古树名木调查技术规范</w:t>
      </w:r>
    </w:p>
    <w:p w14:paraId="4639027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bCs/>
          <w:color w:val="auto"/>
          <w:kern w:val="2"/>
          <w:sz w:val="24"/>
          <w:szCs w:val="24"/>
          <w:lang w:val="en-US" w:eastAsia="zh-CN" w:bidi="ar-SA"/>
        </w:rPr>
      </w:pPr>
      <w:r>
        <w:rPr>
          <w:rFonts w:hint="default" w:ascii="宋体" w:hAnsi="宋体" w:eastAsia="宋体" w:cs="宋体"/>
          <w:bCs/>
          <w:color w:val="auto"/>
          <w:kern w:val="2"/>
          <w:sz w:val="24"/>
          <w:szCs w:val="24"/>
          <w:lang w:val="en-US" w:eastAsia="zh-CN" w:bidi="ar-SA"/>
        </w:rPr>
        <w:t xml:space="preserve">T/CMSA  0001-2016 </w:t>
      </w:r>
      <w:r>
        <w:rPr>
          <w:rFonts w:hint="eastAsia" w:ascii="宋体" w:hAnsi="宋体" w:eastAsia="宋体" w:cs="宋体"/>
          <w:bCs/>
          <w:color w:val="auto"/>
          <w:kern w:val="2"/>
          <w:sz w:val="24"/>
          <w:szCs w:val="24"/>
          <w:lang w:val="en-US" w:eastAsia="zh-CN" w:bidi="ar-SA"/>
        </w:rPr>
        <w:t xml:space="preserve"> </w:t>
      </w:r>
      <w:r>
        <w:rPr>
          <w:rFonts w:hint="default" w:ascii="宋体" w:hAnsi="宋体" w:eastAsia="宋体" w:cs="宋体"/>
          <w:bCs/>
          <w:color w:val="auto"/>
          <w:kern w:val="2"/>
          <w:sz w:val="24"/>
          <w:szCs w:val="24"/>
          <w:lang w:val="en-US" w:eastAsia="zh-CN" w:bidi="ar-SA"/>
        </w:rPr>
        <w:t>气象旅游资源分类与编码</w:t>
      </w:r>
    </w:p>
    <w:p w14:paraId="2AD62B5A">
      <w:pPr>
        <w:keepNext w:val="0"/>
        <w:keepLines w:val="0"/>
        <w:pageBreakBefore w:val="0"/>
        <w:widowControl w:val="0"/>
        <w:kinsoku/>
        <w:wordWrap/>
        <w:overflowPunct/>
        <w:topLinePunct w:val="0"/>
        <w:autoSpaceDE/>
        <w:autoSpaceDN/>
        <w:bidi w:val="0"/>
        <w:adjustRightInd/>
        <w:snapToGrid/>
        <w:textAlignment w:val="auto"/>
        <w:outlineLvl w:val="2"/>
        <w:rPr>
          <w:rFonts w:hint="default" w:ascii="宋体" w:hAnsi="宋体" w:eastAsia="宋体" w:cs="宋体"/>
          <w:b/>
          <w:bCs/>
          <w:color w:val="auto"/>
          <w:sz w:val="28"/>
          <w:szCs w:val="28"/>
          <w:lang w:val="en-US" w:eastAsia="zh-CN"/>
        </w:rPr>
      </w:pPr>
      <w:bookmarkStart w:id="25" w:name="_Toc18314"/>
      <w:r>
        <w:rPr>
          <w:rFonts w:hint="eastAsia" w:ascii="宋体" w:hAnsi="宋体" w:eastAsia="宋体" w:cs="宋体"/>
          <w:b/>
          <w:bCs/>
          <w:color w:val="auto"/>
          <w:sz w:val="28"/>
          <w:szCs w:val="28"/>
          <w:lang w:eastAsia="zh-CN"/>
        </w:rPr>
        <w:t>二、</w:t>
      </w:r>
      <w:r>
        <w:rPr>
          <w:rFonts w:hint="eastAsia" w:ascii="宋体" w:hAnsi="宋体" w:eastAsia="宋体" w:cs="宋体"/>
          <w:b/>
          <w:bCs/>
          <w:color w:val="auto"/>
          <w:sz w:val="28"/>
          <w:szCs w:val="28"/>
        </w:rPr>
        <w:t>政策法规依据</w:t>
      </w:r>
      <w:bookmarkEnd w:id="25"/>
    </w:p>
    <w:p w14:paraId="3C46768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eastAsia="宋体" w:cs="Times New Roman"/>
          <w:bCs/>
          <w:color w:val="auto"/>
          <w:kern w:val="2"/>
          <w:sz w:val="24"/>
          <w:szCs w:val="24"/>
          <w:lang w:val="en-US" w:eastAsia="zh-CN" w:bidi="ar-SA"/>
        </w:rPr>
        <w:t>《旅游资源分类、调查与评价》</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GB/T18972-2017</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w:t>
      </w:r>
    </w:p>
    <w:p w14:paraId="08259C0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eastAsia="宋体" w:cs="Times New Roman"/>
          <w:bCs/>
          <w:color w:val="auto"/>
          <w:kern w:val="2"/>
          <w:sz w:val="24"/>
          <w:szCs w:val="24"/>
          <w:lang w:val="en-US" w:eastAsia="zh-CN" w:bidi="ar-SA"/>
        </w:rPr>
        <w:t>《河南省</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十四五</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文化旅游融合发展规划》（豫政</w:t>
      </w:r>
      <w:r>
        <w:rPr>
          <w:rFonts w:hint="eastAsia" w:ascii="Times New Roman" w:hAnsi="Times New Roman" w:eastAsia="宋体"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2021</w:t>
      </w:r>
      <w:r>
        <w:rPr>
          <w:rFonts w:hint="eastAsia" w:ascii="Times New Roman" w:hAnsi="Times New Roman" w:eastAsia="宋体"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39 号</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w:t>
      </w:r>
    </w:p>
    <w:p w14:paraId="2706B84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eastAsia="宋体" w:cs="Times New Roman"/>
          <w:bCs/>
          <w:color w:val="auto"/>
          <w:kern w:val="2"/>
          <w:sz w:val="24"/>
          <w:szCs w:val="24"/>
          <w:lang w:val="en-US" w:eastAsia="zh-CN" w:bidi="ar-SA"/>
        </w:rPr>
        <w:t>《河南省旅游资源普查技术规程》；</w:t>
      </w:r>
    </w:p>
    <w:p w14:paraId="7284AA1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4.</w:t>
      </w:r>
      <w:r>
        <w:rPr>
          <w:rFonts w:hint="default" w:ascii="Times New Roman" w:hAnsi="Times New Roman" w:eastAsia="宋体" w:cs="Times New Roman"/>
          <w:bCs/>
          <w:color w:val="auto"/>
          <w:kern w:val="2"/>
          <w:sz w:val="24"/>
          <w:szCs w:val="24"/>
          <w:lang w:val="en-US" w:eastAsia="zh-CN" w:bidi="ar-SA"/>
        </w:rPr>
        <w:t>《河南省旅游资源分类、调查与评价</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试行)》；</w:t>
      </w:r>
    </w:p>
    <w:p w14:paraId="6157011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5.</w:t>
      </w:r>
      <w:r>
        <w:rPr>
          <w:rFonts w:hint="default" w:ascii="Times New Roman" w:hAnsi="Times New Roman" w:eastAsia="宋体" w:cs="Times New Roman"/>
          <w:bCs/>
          <w:color w:val="auto"/>
          <w:kern w:val="2"/>
          <w:sz w:val="24"/>
          <w:szCs w:val="24"/>
          <w:lang w:val="en-US" w:eastAsia="zh-CN" w:bidi="ar-SA"/>
        </w:rPr>
        <w:t>《河南省旅游资源普查工作操作手册》；</w:t>
      </w:r>
    </w:p>
    <w:p w14:paraId="3EAA803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6.</w:t>
      </w:r>
      <w:r>
        <w:rPr>
          <w:rFonts w:hint="default" w:ascii="Times New Roman" w:hAnsi="Times New Roman" w:eastAsia="宋体" w:cs="Times New Roman"/>
          <w:bCs/>
          <w:color w:val="auto"/>
          <w:kern w:val="2"/>
          <w:sz w:val="24"/>
          <w:szCs w:val="24"/>
          <w:lang w:val="en-US" w:eastAsia="zh-CN" w:bidi="ar-SA"/>
        </w:rPr>
        <w:t>《文化和旅游部办公厅关于开展旅游资源普查工作的通知》</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办资源发</w:t>
      </w:r>
      <w:r>
        <w:rPr>
          <w:rFonts w:hint="eastAsia" w:ascii="Times New Roman" w:hAnsi="Times New Roman" w:cs="Times New Roman"/>
          <w:bCs/>
          <w:color w:val="auto"/>
          <w:kern w:val="2"/>
          <w:sz w:val="24"/>
          <w:szCs w:val="24"/>
          <w:lang w:val="en-US" w:eastAsia="zh-CN" w:bidi="ar-SA"/>
        </w:rPr>
        <w:t>〔2022〕94号）</w:t>
      </w:r>
      <w:r>
        <w:rPr>
          <w:rFonts w:hint="default" w:ascii="Times New Roman" w:hAnsi="Times New Roman" w:eastAsia="宋体" w:cs="Times New Roman"/>
          <w:bCs/>
          <w:color w:val="auto"/>
          <w:kern w:val="2"/>
          <w:sz w:val="24"/>
          <w:szCs w:val="24"/>
          <w:lang w:val="en-US" w:eastAsia="zh-CN" w:bidi="ar-SA"/>
        </w:rPr>
        <w:t>；</w:t>
      </w:r>
    </w:p>
    <w:p w14:paraId="215B20C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7.</w:t>
      </w:r>
      <w:r>
        <w:rPr>
          <w:rFonts w:hint="default" w:ascii="Times New Roman" w:hAnsi="Times New Roman" w:eastAsia="宋体" w:cs="Times New Roman"/>
          <w:bCs/>
          <w:color w:val="auto"/>
          <w:kern w:val="2"/>
          <w:sz w:val="24"/>
          <w:szCs w:val="24"/>
          <w:lang w:val="en-US" w:eastAsia="zh-CN" w:bidi="ar-SA"/>
        </w:rPr>
        <w:t>《河南省文化旅游强省工作领导小组关于印发</w:t>
      </w:r>
      <w:r>
        <w:rPr>
          <w:rFonts w:hint="eastAsia" w:ascii="Times New Roman" w:hAnsi="Times New Roman" w:cs="Times New Roman"/>
          <w:bCs/>
          <w:color w:val="auto"/>
          <w:kern w:val="2"/>
          <w:sz w:val="24"/>
          <w:szCs w:val="24"/>
          <w:lang w:val="en-US" w:eastAsia="zh-CN" w:bidi="ar-SA"/>
        </w:rPr>
        <w:t>&lt;</w:t>
      </w:r>
      <w:r>
        <w:rPr>
          <w:rFonts w:hint="default" w:ascii="Times New Roman" w:hAnsi="Times New Roman" w:eastAsia="宋体" w:cs="Times New Roman"/>
          <w:bCs/>
          <w:color w:val="auto"/>
          <w:kern w:val="2"/>
          <w:sz w:val="24"/>
          <w:szCs w:val="24"/>
          <w:lang w:val="en-US" w:eastAsia="zh-CN" w:bidi="ar-SA"/>
        </w:rPr>
        <w:t>河南省旅游资源普查工作方案</w:t>
      </w:r>
      <w:r>
        <w:rPr>
          <w:rFonts w:hint="eastAsia" w:ascii="Times New Roman" w:hAnsi="Times New Roman" w:cs="Times New Roman"/>
          <w:bCs/>
          <w:color w:val="auto"/>
          <w:kern w:val="2"/>
          <w:sz w:val="24"/>
          <w:szCs w:val="24"/>
          <w:lang w:val="en-US" w:eastAsia="zh-CN" w:bidi="ar-SA"/>
        </w:rPr>
        <w:t>&gt;</w:t>
      </w:r>
      <w:r>
        <w:rPr>
          <w:rFonts w:hint="default" w:ascii="Times New Roman" w:hAnsi="Times New Roman" w:eastAsia="宋体" w:cs="Times New Roman"/>
          <w:bCs/>
          <w:color w:val="auto"/>
          <w:kern w:val="2"/>
          <w:sz w:val="24"/>
          <w:szCs w:val="24"/>
          <w:lang w:val="en-US" w:eastAsia="zh-CN" w:bidi="ar-SA"/>
        </w:rPr>
        <w:t>的通知》（豫文旅强省【2023】6 号）；</w:t>
      </w:r>
    </w:p>
    <w:p w14:paraId="186C742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8.</w:t>
      </w:r>
      <w:r>
        <w:rPr>
          <w:rFonts w:hint="default" w:ascii="Times New Roman" w:hAnsi="Times New Roman" w:eastAsia="宋体" w:cs="Times New Roman"/>
          <w:bCs/>
          <w:color w:val="auto"/>
          <w:kern w:val="2"/>
          <w:sz w:val="24"/>
          <w:szCs w:val="24"/>
          <w:lang w:val="en-US" w:eastAsia="zh-CN" w:bidi="ar-SA"/>
        </w:rPr>
        <w:t>2023 河南省文旅文创发展大会精神；</w:t>
      </w:r>
    </w:p>
    <w:p w14:paraId="443489CE">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9.</w:t>
      </w:r>
      <w:r>
        <w:rPr>
          <w:rFonts w:hint="default" w:ascii="Times New Roman" w:hAnsi="Times New Roman" w:eastAsia="宋体" w:cs="Times New Roman"/>
          <w:bCs/>
          <w:color w:val="auto"/>
          <w:kern w:val="2"/>
          <w:sz w:val="24"/>
          <w:szCs w:val="24"/>
          <w:lang w:val="en-US" w:eastAsia="zh-CN" w:bidi="ar-SA"/>
        </w:rPr>
        <w:t>《</w:t>
      </w:r>
      <w:r>
        <w:rPr>
          <w:rFonts w:hint="eastAsia" w:ascii="Times New Roman" w:hAnsi="Times New Roman" w:cs="Times New Roman"/>
          <w:bCs/>
          <w:color w:val="auto"/>
          <w:kern w:val="2"/>
          <w:sz w:val="24"/>
          <w:szCs w:val="24"/>
          <w:lang w:val="en-US" w:eastAsia="zh-CN" w:bidi="ar-SA"/>
        </w:rPr>
        <w:t>焦作</w:t>
      </w:r>
      <w:r>
        <w:rPr>
          <w:rFonts w:hint="default" w:ascii="Times New Roman" w:hAnsi="Times New Roman" w:eastAsia="宋体" w:cs="Times New Roman"/>
          <w:bCs/>
          <w:color w:val="auto"/>
          <w:kern w:val="2"/>
          <w:sz w:val="24"/>
          <w:szCs w:val="24"/>
          <w:lang w:val="en-US" w:eastAsia="zh-CN" w:bidi="ar-SA"/>
        </w:rPr>
        <w:t>市旅游资源普查工作方案》。</w:t>
      </w:r>
    </w:p>
    <w:p w14:paraId="582DB125">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宋体" w:hAnsi="宋体" w:eastAsia="宋体" w:cs="宋体"/>
          <w:b/>
          <w:bCs/>
          <w:color w:val="auto"/>
          <w:sz w:val="30"/>
          <w:szCs w:val="30"/>
          <w:lang w:eastAsia="zh-CN"/>
        </w:rPr>
      </w:pPr>
      <w:bookmarkStart w:id="26" w:name="_Toc535"/>
      <w:r>
        <w:rPr>
          <w:rFonts w:hint="eastAsia" w:ascii="宋体" w:hAnsi="宋体" w:eastAsia="宋体" w:cs="宋体"/>
          <w:b/>
          <w:bCs/>
          <w:color w:val="auto"/>
          <w:sz w:val="30"/>
          <w:szCs w:val="30"/>
        </w:rPr>
        <w:t>第</w:t>
      </w:r>
      <w:r>
        <w:rPr>
          <w:rFonts w:hint="eastAsia" w:ascii="宋体" w:hAnsi="宋体" w:eastAsia="宋体" w:cs="宋体"/>
          <w:b/>
          <w:bCs/>
          <w:color w:val="auto"/>
          <w:sz w:val="30"/>
          <w:szCs w:val="30"/>
          <w:lang w:eastAsia="zh-CN"/>
        </w:rPr>
        <w:t>四</w:t>
      </w:r>
      <w:r>
        <w:rPr>
          <w:rFonts w:hint="eastAsia" w:ascii="宋体" w:hAnsi="宋体" w:eastAsia="宋体" w:cs="宋体"/>
          <w:b/>
          <w:bCs/>
          <w:color w:val="auto"/>
          <w:sz w:val="30"/>
          <w:szCs w:val="30"/>
        </w:rPr>
        <w:t>节</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lang w:eastAsia="zh-CN"/>
        </w:rPr>
        <w:t>工作路径</w:t>
      </w:r>
      <w:bookmarkEnd w:id="26"/>
    </w:p>
    <w:p w14:paraId="00E59031">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27" w:name="_Toc22819"/>
      <w:r>
        <w:rPr>
          <w:rFonts w:hint="eastAsia" w:ascii="宋体" w:hAnsi="宋体" w:eastAsia="宋体" w:cs="宋体"/>
          <w:b/>
          <w:bCs/>
          <w:color w:val="auto"/>
          <w:sz w:val="28"/>
          <w:szCs w:val="28"/>
          <w:lang w:eastAsia="zh-CN"/>
        </w:rPr>
        <w:t>一、焦作市普查机构及职责</w:t>
      </w:r>
      <w:bookmarkEnd w:id="27"/>
    </w:p>
    <w:p w14:paraId="7D6C0243">
      <w:pPr>
        <w:spacing w:line="360" w:lineRule="auto"/>
        <w:ind w:firstLine="482" w:firstLineChars="200"/>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rPr>
        <w:t>（一）焦作</w:t>
      </w:r>
      <w:r>
        <w:rPr>
          <w:rFonts w:hint="eastAsia" w:ascii="宋体" w:hAnsi="宋体" w:eastAsia="宋体" w:cs="宋体"/>
          <w:b/>
          <w:bCs/>
          <w:color w:val="auto"/>
          <w:sz w:val="24"/>
          <w:szCs w:val="24"/>
        </w:rPr>
        <w:t>市普查办</w:t>
      </w:r>
    </w:p>
    <w:p w14:paraId="6F6CC00A">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在</w:t>
      </w:r>
      <w:r>
        <w:rPr>
          <w:rFonts w:hint="eastAsia" w:ascii="宋体" w:hAnsi="宋体" w:cs="宋体"/>
          <w:bCs/>
          <w:color w:val="auto"/>
          <w:sz w:val="24"/>
          <w:szCs w:val="24"/>
          <w:lang w:val="en-US" w:eastAsia="zh-CN"/>
        </w:rPr>
        <w:t>焦作</w:t>
      </w:r>
      <w:r>
        <w:rPr>
          <w:rFonts w:hint="eastAsia" w:ascii="宋体" w:hAnsi="宋体" w:eastAsia="宋体" w:cs="宋体"/>
          <w:bCs/>
          <w:color w:val="auto"/>
          <w:sz w:val="24"/>
          <w:szCs w:val="24"/>
        </w:rPr>
        <w:t>市文化</w:t>
      </w:r>
      <w:r>
        <w:rPr>
          <w:rFonts w:hint="eastAsia" w:ascii="宋体" w:hAnsi="宋体" w:cs="宋体"/>
          <w:bCs/>
          <w:color w:val="auto"/>
          <w:sz w:val="24"/>
          <w:szCs w:val="24"/>
          <w:lang w:val="en-US" w:eastAsia="zh-CN"/>
        </w:rPr>
        <w:t>广电</w:t>
      </w:r>
      <w:r>
        <w:rPr>
          <w:rFonts w:hint="eastAsia" w:ascii="宋体" w:hAnsi="宋体" w:eastAsia="宋体" w:cs="宋体"/>
          <w:bCs/>
          <w:color w:val="auto"/>
          <w:sz w:val="24"/>
          <w:szCs w:val="24"/>
        </w:rPr>
        <w:t>和旅游局设立市级文化和旅游资源普查办公室，由市文化</w:t>
      </w:r>
      <w:r>
        <w:rPr>
          <w:rFonts w:hint="eastAsia" w:ascii="宋体" w:hAnsi="宋体" w:cs="宋体"/>
          <w:bCs/>
          <w:color w:val="auto"/>
          <w:sz w:val="24"/>
          <w:szCs w:val="24"/>
          <w:lang w:val="en-US" w:eastAsia="zh-CN"/>
        </w:rPr>
        <w:t>广电</w:t>
      </w:r>
      <w:r>
        <w:rPr>
          <w:rFonts w:hint="eastAsia" w:ascii="宋体" w:hAnsi="宋体" w:eastAsia="宋体" w:cs="宋体"/>
          <w:bCs/>
          <w:color w:val="auto"/>
          <w:sz w:val="24"/>
          <w:szCs w:val="24"/>
        </w:rPr>
        <w:t>和旅游局局长担任主任。负责全市文化和旅游资源普查工作的组织实施，组建市级专家委 员会，统领技术单位，协调市直有关部门，合力推进全市文化和旅游资源普查的</w:t>
      </w:r>
    </w:p>
    <w:p w14:paraId="5C23041E">
      <w:pPr>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各项工作。主要职责：</w:t>
      </w:r>
    </w:p>
    <w:p w14:paraId="7B410A7E">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1.</w:t>
      </w:r>
      <w:r>
        <w:rPr>
          <w:rFonts w:hint="eastAsia" w:ascii="宋体" w:hAnsi="宋体" w:eastAsia="宋体" w:cs="宋体"/>
          <w:bCs/>
          <w:color w:val="auto"/>
          <w:sz w:val="24"/>
          <w:szCs w:val="24"/>
        </w:rPr>
        <w:t>负责全市普查工作的统筹协调和组织实施；</w:t>
      </w:r>
    </w:p>
    <w:p w14:paraId="4DAE4E06">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2.</w:t>
      </w:r>
      <w:r>
        <w:rPr>
          <w:rFonts w:hint="eastAsia" w:ascii="宋体" w:hAnsi="宋体" w:eastAsia="宋体" w:cs="宋体"/>
          <w:bCs/>
          <w:color w:val="auto"/>
          <w:sz w:val="24"/>
          <w:szCs w:val="24"/>
        </w:rPr>
        <w:t>依法依规确定技术单位，并督促项目任务的完成；</w:t>
      </w:r>
    </w:p>
    <w:p w14:paraId="6250BCDA">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督促指导全市普查工作，组织开展普查工作的质量检查、抽查验收和</w:t>
      </w:r>
    </w:p>
    <w:p w14:paraId="0A006E02">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成果复核；</w:t>
      </w:r>
    </w:p>
    <w:p w14:paraId="4F0AD1D8">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4.</w:t>
      </w:r>
      <w:r>
        <w:rPr>
          <w:rFonts w:hint="eastAsia" w:ascii="宋体" w:hAnsi="宋体" w:eastAsia="宋体" w:cs="宋体"/>
          <w:bCs/>
          <w:color w:val="auto"/>
          <w:sz w:val="24"/>
          <w:szCs w:val="24"/>
        </w:rPr>
        <w:t>督促指导市级普查成果的编制和评审；</w:t>
      </w:r>
    </w:p>
    <w:p w14:paraId="4C27AF44">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5.</w:t>
      </w:r>
      <w:r>
        <w:rPr>
          <w:rFonts w:hint="eastAsia" w:ascii="宋体" w:hAnsi="宋体" w:eastAsia="宋体" w:cs="宋体"/>
          <w:bCs/>
          <w:color w:val="auto"/>
          <w:sz w:val="24"/>
          <w:szCs w:val="24"/>
        </w:rPr>
        <w:t>承担本市普查宣传工作。</w:t>
      </w:r>
    </w:p>
    <w:p w14:paraId="44B34CCB">
      <w:pPr>
        <w:spacing w:line="360" w:lineRule="auto"/>
        <w:ind w:firstLine="482" w:firstLineChars="200"/>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（二）焦作市级专家委员会</w:t>
      </w:r>
    </w:p>
    <w:p w14:paraId="320D0ADB">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按照八大类旅游资源类别，遴选市内专家，成立专家组</w:t>
      </w:r>
      <w:r>
        <w:rPr>
          <w:rFonts w:hint="eastAsia" w:ascii="宋体" w:hAnsi="宋体" w:eastAsia="宋体" w:cs="宋体"/>
          <w:bCs/>
          <w:color w:val="auto"/>
          <w:sz w:val="24"/>
          <w:szCs w:val="24"/>
          <w:lang w:eastAsia="zh-CN"/>
        </w:rPr>
        <w:t>。</w:t>
      </w:r>
      <w:r>
        <w:rPr>
          <w:rFonts w:hint="eastAsia" w:ascii="宋体" w:hAnsi="宋体" w:eastAsia="宋体" w:cs="宋体"/>
          <w:bCs/>
          <w:color w:val="auto"/>
          <w:sz w:val="24"/>
          <w:szCs w:val="24"/>
        </w:rPr>
        <w:t>主要职责：</w:t>
      </w:r>
    </w:p>
    <w:p w14:paraId="7279BC0F">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1.</w:t>
      </w:r>
      <w:r>
        <w:rPr>
          <w:rFonts w:hint="eastAsia" w:ascii="宋体" w:hAnsi="宋体" w:eastAsia="宋体" w:cs="宋体"/>
          <w:bCs/>
          <w:color w:val="auto"/>
          <w:sz w:val="24"/>
          <w:szCs w:val="24"/>
        </w:rPr>
        <w:t>承担全市旅游资源普查的决策咨询；</w:t>
      </w:r>
    </w:p>
    <w:p w14:paraId="46D2BC63">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2.</w:t>
      </w:r>
      <w:r>
        <w:rPr>
          <w:rFonts w:hint="eastAsia" w:ascii="宋体" w:hAnsi="宋体" w:eastAsia="宋体" w:cs="宋体"/>
          <w:bCs/>
          <w:color w:val="auto"/>
          <w:sz w:val="24"/>
          <w:szCs w:val="24"/>
        </w:rPr>
        <w:t>各类普查成果的评审工作；</w:t>
      </w:r>
    </w:p>
    <w:p w14:paraId="73270B93">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负责全市普查工作疑难问题的研究解答。</w:t>
      </w:r>
    </w:p>
    <w:p w14:paraId="17923F27">
      <w:pPr>
        <w:spacing w:line="360" w:lineRule="auto"/>
        <w:ind w:firstLine="482" w:firstLineChars="200"/>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（三）焦作市级技术单位</w:t>
      </w:r>
    </w:p>
    <w:p w14:paraId="2F8F1DE4">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依法依规按程序确定市级技术单位。主要职责：</w:t>
      </w:r>
    </w:p>
    <w:p w14:paraId="1DCC65B4">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1.</w:t>
      </w:r>
      <w:r>
        <w:rPr>
          <w:rFonts w:hint="eastAsia" w:ascii="宋体" w:hAnsi="宋体" w:eastAsia="宋体" w:cs="宋体"/>
          <w:bCs/>
          <w:color w:val="auto"/>
          <w:sz w:val="24"/>
          <w:szCs w:val="24"/>
        </w:rPr>
        <w:t>负责全市实地普查工作的组织协调，指导资源普查工作；</w:t>
      </w:r>
    </w:p>
    <w:p w14:paraId="681BF590">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2.</w:t>
      </w:r>
      <w:r>
        <w:rPr>
          <w:rFonts w:hint="eastAsia" w:ascii="宋体" w:hAnsi="宋体" w:eastAsia="宋体" w:cs="宋体"/>
          <w:bCs/>
          <w:color w:val="auto"/>
          <w:sz w:val="24"/>
          <w:szCs w:val="24"/>
        </w:rPr>
        <w:t>督促普查工作进度，预审普查表，把控普查质量，审核县（市、区）旅游资源预目录；</w:t>
      </w:r>
    </w:p>
    <w:p w14:paraId="7D300E99">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审核全市普查成果数据；</w:t>
      </w:r>
    </w:p>
    <w:p w14:paraId="4BC7F045">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4.</w:t>
      </w:r>
      <w:r>
        <w:rPr>
          <w:rFonts w:hint="eastAsia" w:ascii="宋体" w:hAnsi="宋体" w:eastAsia="宋体" w:cs="宋体"/>
          <w:bCs/>
          <w:color w:val="auto"/>
          <w:sz w:val="24"/>
          <w:szCs w:val="24"/>
        </w:rPr>
        <w:t>汇总旅游资源数据，编制市级普查成果等；</w:t>
      </w:r>
    </w:p>
    <w:p w14:paraId="23278CCA">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5.</w:t>
      </w:r>
      <w:r>
        <w:rPr>
          <w:rFonts w:hint="eastAsia" w:ascii="宋体" w:hAnsi="宋体" w:eastAsia="宋体" w:cs="宋体"/>
          <w:bCs/>
          <w:color w:val="auto"/>
          <w:sz w:val="24"/>
          <w:szCs w:val="24"/>
        </w:rPr>
        <w:t>开展县级成果审核验收，组织市级专家委员会对全市资源普查成果进</w:t>
      </w:r>
      <w:bookmarkStart w:id="28" w:name="bookmark23"/>
      <w:bookmarkEnd w:id="28"/>
      <w:bookmarkStart w:id="29" w:name="bookmark51"/>
      <w:bookmarkEnd w:id="29"/>
      <w:r>
        <w:rPr>
          <w:rFonts w:hint="eastAsia" w:ascii="宋体" w:hAnsi="宋体" w:eastAsia="宋体" w:cs="宋体"/>
          <w:bCs/>
          <w:color w:val="auto"/>
          <w:sz w:val="24"/>
          <w:szCs w:val="24"/>
        </w:rPr>
        <w:t>行验收，对评价为三、四、五级的旅游资源进行复核。</w:t>
      </w:r>
    </w:p>
    <w:p w14:paraId="1C0A02BE">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30" w:name="_Toc23"/>
      <w:r>
        <w:rPr>
          <w:rFonts w:hint="eastAsia" w:ascii="宋体" w:hAnsi="宋体" w:eastAsia="宋体" w:cs="宋体"/>
          <w:b/>
          <w:bCs/>
          <w:color w:val="auto"/>
          <w:sz w:val="28"/>
          <w:szCs w:val="28"/>
          <w:lang w:eastAsia="zh-CN"/>
        </w:rPr>
        <w:t>二、工作路径</w:t>
      </w:r>
      <w:bookmarkEnd w:id="30"/>
    </w:p>
    <w:p w14:paraId="478B4EF2">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市级技术单位负责审核县级提交的成果资料，对县级成果质量负监督责任， 同时把控本级成果质量。同时积极配合市普查办和市级专家委员会的检查与验收，对发现的问题及时处理解决。</w:t>
      </w:r>
    </w:p>
    <w:p w14:paraId="7210B20A">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项目成员岗前培训率 100% ，包括参加省普查办组织的业务培训，及其他形式的相关培训。</w:t>
      </w:r>
    </w:p>
    <w:p w14:paraId="631A5819">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项目实施前，组织技术人员学习标准和工作手册，熟悉有关技术规范、文化和旅游资源调查、旅游资源评价等有关理论方法，提高技术人员业务水平。</w:t>
      </w:r>
    </w:p>
    <w:p w14:paraId="5EA851E3">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定期召开县级成果质量研讨会，并对存在的问题提出处理办法，明确下阶段的工作安排。</w:t>
      </w:r>
    </w:p>
    <w:p w14:paraId="2062AF5E">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严格按照技术标准要求编制市级成果报告及相应图册。做到内容真实、文 字通顺、主题突出、层次分明、图文并茂、图册美观、图例齐全、各章节观点</w:t>
      </w:r>
      <w:r>
        <w:rPr>
          <w:rFonts w:hint="eastAsia" w:ascii="宋体" w:hAnsi="宋体" w:eastAsia="宋体" w:cs="宋体"/>
          <w:bCs/>
          <w:color w:val="auto"/>
          <w:sz w:val="24"/>
          <w:szCs w:val="24"/>
          <w:lang w:eastAsia="zh-CN"/>
        </w:rPr>
        <w:t>统</w:t>
      </w:r>
      <w:r>
        <w:rPr>
          <w:rFonts w:hint="eastAsia" w:ascii="宋体" w:hAnsi="宋体" w:eastAsia="宋体" w:cs="宋体"/>
          <w:bCs/>
          <w:color w:val="auto"/>
          <w:sz w:val="24"/>
          <w:szCs w:val="24"/>
        </w:rPr>
        <w:t>一，力争使项目普查成果达到一个较高的水平。</w:t>
      </w:r>
    </w:p>
    <w:p w14:paraId="6D3D4959">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市级旅游资源普查工作流程如图</w:t>
      </w:r>
      <w:r>
        <w:rPr>
          <w:rFonts w:hint="eastAsia" w:ascii="宋体" w:hAnsi="宋体" w:eastAsia="宋体" w:cs="宋体"/>
          <w:bCs/>
          <w:color w:val="auto"/>
          <w:sz w:val="24"/>
          <w:szCs w:val="24"/>
          <w:lang w:val="en-US" w:eastAsia="zh-CN"/>
        </w:rPr>
        <w:t>1-1</w:t>
      </w:r>
      <w:r>
        <w:rPr>
          <w:rFonts w:hint="eastAsia" w:ascii="宋体" w:hAnsi="宋体" w:eastAsia="宋体" w:cs="宋体"/>
          <w:bCs/>
          <w:color w:val="auto"/>
          <w:sz w:val="24"/>
          <w:szCs w:val="24"/>
          <w:lang w:eastAsia="zh-CN"/>
        </w:rPr>
        <w:t>所示。</w:t>
      </w:r>
    </w:p>
    <w:p w14:paraId="7304C5F9">
      <w:pPr>
        <w:spacing w:line="2674" w:lineRule="exact"/>
        <w:ind w:firstLine="273"/>
        <w:rPr>
          <w:color w:val="auto"/>
        </w:rPr>
      </w:pPr>
      <w:r>
        <w:rPr>
          <w:color w:val="auto"/>
          <w:position w:val="-53"/>
        </w:rPr>
        <w:drawing>
          <wp:inline distT="0" distB="0" distL="0" distR="0">
            <wp:extent cx="4929505" cy="1697990"/>
            <wp:effectExtent l="0" t="0" r="4445" b="1651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7"/>
                    <a:stretch>
                      <a:fillRect/>
                    </a:stretch>
                  </pic:blipFill>
                  <pic:spPr>
                    <a:xfrm>
                      <a:off x="0" y="0"/>
                      <a:ext cx="4929823" cy="1698018"/>
                    </a:xfrm>
                    <a:prstGeom prst="rect">
                      <a:avLst/>
                    </a:prstGeom>
                  </pic:spPr>
                </pic:pic>
              </a:graphicData>
            </a:graphic>
          </wp:inline>
        </w:drawing>
      </w:r>
    </w:p>
    <w:p w14:paraId="634ECEFE">
      <w:pPr>
        <w:spacing w:before="65" w:line="228" w:lineRule="auto"/>
        <w:ind w:left="2797"/>
        <w:rPr>
          <w:rFonts w:ascii="宋体" w:hAnsi="宋体" w:eastAsia="宋体" w:cs="宋体"/>
          <w:color w:val="auto"/>
          <w:sz w:val="21"/>
          <w:szCs w:val="21"/>
        </w:rPr>
      </w:pPr>
      <w:r>
        <w:rPr>
          <w:rFonts w:ascii="宋体" w:hAnsi="宋体" w:eastAsia="宋体" w:cs="宋体"/>
          <w:color w:val="auto"/>
          <w:spacing w:val="7"/>
          <w:sz w:val="21"/>
          <w:szCs w:val="21"/>
          <w14:textOutline w14:w="3795" w14:cap="flat" w14:cmpd="sng">
            <w14:solidFill>
              <w14:srgbClr w14:val="000000"/>
            </w14:solidFill>
            <w14:prstDash w14:val="solid"/>
            <w14:miter w14:val="0"/>
          </w14:textOutline>
        </w:rPr>
        <w:t>图</w:t>
      </w:r>
      <w:r>
        <w:rPr>
          <w:rFonts w:ascii="宋体" w:hAnsi="宋体" w:eastAsia="宋体" w:cs="宋体"/>
          <w:color w:val="auto"/>
          <w:spacing w:val="-35"/>
          <w:sz w:val="21"/>
          <w:szCs w:val="21"/>
        </w:rPr>
        <w:t xml:space="preserve"> </w:t>
      </w:r>
      <w:r>
        <w:rPr>
          <w:rFonts w:hint="eastAsia" w:ascii="宋体" w:hAnsi="宋体" w:cs="宋体"/>
          <w:color w:val="auto"/>
          <w:spacing w:val="7"/>
          <w:sz w:val="21"/>
          <w:szCs w:val="21"/>
          <w:lang w:val="en-US" w:eastAsia="zh-CN"/>
          <w14:textOutline w14:w="3795" w14:cap="flat" w14:cmpd="sng">
            <w14:solidFill>
              <w14:srgbClr w14:val="000000"/>
            </w14:solidFill>
            <w14:prstDash w14:val="solid"/>
            <w14:miter w14:val="0"/>
          </w14:textOutline>
        </w:rPr>
        <w:t>1</w:t>
      </w:r>
      <w:r>
        <w:rPr>
          <w:rFonts w:ascii="宋体" w:hAnsi="宋体" w:eastAsia="宋体" w:cs="宋体"/>
          <w:color w:val="auto"/>
          <w:spacing w:val="7"/>
          <w:sz w:val="21"/>
          <w:szCs w:val="21"/>
          <w14:textOutline w14:w="3795" w14:cap="flat" w14:cmpd="sng">
            <w14:solidFill>
              <w14:srgbClr w14:val="000000"/>
            </w14:solidFill>
            <w14:prstDash w14:val="solid"/>
            <w14:miter w14:val="0"/>
          </w14:textOutline>
        </w:rPr>
        <w:t>-1</w:t>
      </w:r>
      <w:r>
        <w:rPr>
          <w:rFonts w:ascii="宋体" w:hAnsi="宋体" w:eastAsia="宋体" w:cs="宋体"/>
          <w:color w:val="auto"/>
          <w:spacing w:val="7"/>
          <w:sz w:val="21"/>
          <w:szCs w:val="21"/>
        </w:rPr>
        <w:t xml:space="preserve"> </w:t>
      </w:r>
      <w:r>
        <w:rPr>
          <w:rFonts w:hint="eastAsia" w:ascii="宋体" w:hAnsi="宋体" w:cs="宋体"/>
          <w:color w:val="auto"/>
          <w:spacing w:val="7"/>
          <w:sz w:val="21"/>
          <w:szCs w:val="21"/>
          <w:lang w:eastAsia="zh-CN"/>
          <w14:textOutline w14:w="3795" w14:cap="flat" w14:cmpd="sng">
            <w14:solidFill>
              <w14:srgbClr w14:val="000000"/>
            </w14:solidFill>
            <w14:prstDash w14:val="solid"/>
            <w14:miter w14:val="0"/>
          </w14:textOutline>
        </w:rPr>
        <w:t>市级旅游资源普查</w:t>
      </w:r>
      <w:r>
        <w:rPr>
          <w:rFonts w:ascii="宋体" w:hAnsi="宋体" w:eastAsia="宋体" w:cs="宋体"/>
          <w:color w:val="auto"/>
          <w:spacing w:val="7"/>
          <w:sz w:val="21"/>
          <w:szCs w:val="21"/>
          <w14:textOutline w14:w="3795" w14:cap="flat" w14:cmpd="sng">
            <w14:solidFill>
              <w14:srgbClr w14:val="000000"/>
            </w14:solidFill>
            <w14:prstDash w14:val="solid"/>
            <w14:miter w14:val="0"/>
          </w14:textOutline>
        </w:rPr>
        <w:t>工作组织流程图</w:t>
      </w:r>
    </w:p>
    <w:p w14:paraId="532D3A40">
      <w:pPr>
        <w:spacing w:line="360" w:lineRule="auto"/>
        <w:jc w:val="center"/>
        <w:rPr>
          <w:rFonts w:hint="eastAsia" w:ascii="宋体" w:hAnsi="宋体" w:eastAsia="宋体" w:cs="宋体"/>
          <w:color w:val="auto"/>
          <w:sz w:val="30"/>
          <w:szCs w:val="30"/>
          <w:lang w:eastAsia="zh-CN"/>
        </w:rPr>
      </w:pPr>
      <w:r>
        <w:rPr>
          <w:rFonts w:hint="eastAsia" w:ascii="宋体" w:hAnsi="宋体" w:eastAsia="宋体" w:cs="宋体"/>
          <w:b/>
          <w:bCs/>
          <w:color w:val="auto"/>
          <w:sz w:val="30"/>
          <w:szCs w:val="30"/>
        </w:rPr>
        <w:t>第</w:t>
      </w:r>
      <w:r>
        <w:rPr>
          <w:rFonts w:hint="eastAsia" w:ascii="宋体" w:hAnsi="宋体" w:cs="宋体"/>
          <w:b/>
          <w:bCs/>
          <w:color w:val="auto"/>
          <w:sz w:val="30"/>
          <w:szCs w:val="30"/>
          <w:lang w:eastAsia="zh-CN"/>
        </w:rPr>
        <w:t>五</w:t>
      </w:r>
      <w:r>
        <w:rPr>
          <w:rFonts w:hint="eastAsia" w:ascii="宋体" w:hAnsi="宋体" w:eastAsia="宋体" w:cs="宋体"/>
          <w:b/>
          <w:bCs/>
          <w:color w:val="auto"/>
          <w:sz w:val="30"/>
          <w:szCs w:val="30"/>
        </w:rPr>
        <w:t>节</w:t>
      </w:r>
      <w:r>
        <w:rPr>
          <w:rFonts w:hint="eastAsia" w:ascii="宋体" w:hAnsi="宋体" w:cs="宋体"/>
          <w:b/>
          <w:bCs/>
          <w:color w:val="auto"/>
          <w:sz w:val="30"/>
          <w:szCs w:val="30"/>
          <w:lang w:val="en-US" w:eastAsia="zh-CN"/>
        </w:rPr>
        <w:t xml:space="preserve"> </w:t>
      </w:r>
      <w:r>
        <w:rPr>
          <w:rFonts w:hint="eastAsia" w:ascii="宋体" w:hAnsi="宋体" w:cs="宋体"/>
          <w:b/>
          <w:bCs/>
          <w:color w:val="auto"/>
          <w:sz w:val="30"/>
          <w:szCs w:val="30"/>
          <w:lang w:eastAsia="zh-CN"/>
        </w:rPr>
        <w:t>工作成果</w:t>
      </w:r>
    </w:p>
    <w:p w14:paraId="1BC53796">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lang w:val="en-US" w:eastAsia="zh-CN"/>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r>
        <w:rPr>
          <w:rFonts w:hint="eastAsia" w:ascii="宋体" w:hAnsi="宋体" w:eastAsia="宋体" w:cs="宋体"/>
          <w:bCs/>
          <w:color w:val="auto"/>
          <w:sz w:val="24"/>
          <w:szCs w:val="24"/>
          <w:lang w:val="en-US" w:eastAsia="zh-CN"/>
        </w:rPr>
        <w:t>汇总市辖区、县普查成果资料，编制形成《焦作市旅游资源普查报告（含附图及资源名录）》，内容包括普查区旅游资源赋存环境、旅游资源开发历史与利用现状、旅游资源类型分析、旅游资源等级分析、旅游资源空间特征分析、旅游资源富集区分析、旅游资源保护与开发建议和附件《旅游资源普查图集》《旅游资源单体名录表》等。报告全面、客观和准确反映普查区旅游资源情况，旅游资源保护与开发建议应具有实际指导性。</w:t>
      </w:r>
    </w:p>
    <w:p w14:paraId="10469BA2">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rPr>
      </w:pPr>
      <w:bookmarkStart w:id="31" w:name="_Toc1633"/>
      <w:r>
        <w:rPr>
          <w:rFonts w:hint="eastAsia" w:ascii="宋体" w:hAnsi="宋体" w:eastAsia="宋体" w:cs="宋体"/>
          <w:b/>
          <w:bCs/>
          <w:color w:val="auto"/>
          <w:sz w:val="32"/>
          <w:szCs w:val="32"/>
        </w:rPr>
        <w:t>第</w:t>
      </w:r>
      <w:r>
        <w:rPr>
          <w:rFonts w:hint="eastAsia" w:ascii="宋体" w:hAnsi="宋体" w:eastAsia="宋体" w:cs="宋体"/>
          <w:b/>
          <w:bCs/>
          <w:color w:val="auto"/>
          <w:sz w:val="32"/>
          <w:szCs w:val="32"/>
          <w:lang w:eastAsia="zh-CN"/>
        </w:rPr>
        <w:t>二</w:t>
      </w:r>
      <w:r>
        <w:rPr>
          <w:rFonts w:hint="eastAsia" w:ascii="宋体" w:hAnsi="宋体" w:eastAsia="宋体" w:cs="宋体"/>
          <w:b/>
          <w:bCs/>
          <w:color w:val="auto"/>
          <w:sz w:val="32"/>
          <w:szCs w:val="32"/>
        </w:rPr>
        <w:t>章</w:t>
      </w:r>
      <w:r>
        <w:rPr>
          <w:rFonts w:hint="eastAsia" w:ascii="宋体" w:hAnsi="宋体" w:eastAsia="宋体" w:cs="宋体"/>
          <w:b/>
          <w:bCs/>
          <w:color w:val="auto"/>
          <w:sz w:val="32"/>
          <w:szCs w:val="32"/>
          <w:lang w:val="en-US" w:eastAsia="zh-CN"/>
        </w:rPr>
        <w:t xml:space="preserve"> 焦作市基本情况</w:t>
      </w:r>
      <w:bookmarkEnd w:id="31"/>
    </w:p>
    <w:p w14:paraId="5DF5EBBE">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宋体" w:hAnsi="宋体" w:eastAsia="宋体" w:cs="宋体"/>
          <w:b/>
          <w:bCs/>
          <w:color w:val="auto"/>
          <w:sz w:val="30"/>
          <w:szCs w:val="30"/>
          <w:lang w:eastAsia="zh-CN"/>
        </w:rPr>
      </w:pPr>
      <w:bookmarkStart w:id="32" w:name="_Toc17347"/>
      <w:r>
        <w:rPr>
          <w:rFonts w:hint="eastAsia" w:ascii="宋体" w:hAnsi="宋体" w:eastAsia="宋体" w:cs="宋体"/>
          <w:b/>
          <w:bCs/>
          <w:color w:val="auto"/>
          <w:sz w:val="30"/>
          <w:szCs w:val="30"/>
        </w:rPr>
        <w:t>第</w:t>
      </w:r>
      <w:r>
        <w:rPr>
          <w:rFonts w:hint="eastAsia" w:ascii="宋体" w:hAnsi="宋体" w:eastAsia="宋体" w:cs="宋体"/>
          <w:b/>
          <w:bCs/>
          <w:color w:val="auto"/>
          <w:sz w:val="30"/>
          <w:szCs w:val="30"/>
          <w:lang w:eastAsia="zh-CN"/>
        </w:rPr>
        <w:t>一</w:t>
      </w:r>
      <w:r>
        <w:rPr>
          <w:rFonts w:hint="eastAsia" w:ascii="宋体" w:hAnsi="宋体" w:eastAsia="宋体" w:cs="宋体"/>
          <w:b/>
          <w:bCs/>
          <w:color w:val="auto"/>
          <w:sz w:val="30"/>
          <w:szCs w:val="30"/>
        </w:rPr>
        <w:t>节</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lang w:eastAsia="zh-CN"/>
        </w:rPr>
        <w:t>地理位置及区位交通</w:t>
      </w:r>
      <w:bookmarkEnd w:id="32"/>
    </w:p>
    <w:p w14:paraId="38D922A3">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33" w:name="_Toc5576"/>
      <w:r>
        <w:rPr>
          <w:rFonts w:hint="eastAsia" w:ascii="宋体" w:hAnsi="宋体" w:eastAsia="宋体" w:cs="宋体"/>
          <w:b/>
          <w:bCs/>
          <w:color w:val="auto"/>
          <w:sz w:val="28"/>
          <w:szCs w:val="28"/>
          <w:lang w:eastAsia="zh-CN"/>
        </w:rPr>
        <w:t>一、地理位置</w:t>
      </w:r>
      <w:bookmarkEnd w:id="33"/>
    </w:p>
    <w:p w14:paraId="0EC0152D">
      <w:pPr>
        <w:spacing w:line="360" w:lineRule="auto"/>
        <w:ind w:firstLine="482" w:firstLineChars="200"/>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（一）自然地理位置</w:t>
      </w:r>
    </w:p>
    <w:p w14:paraId="5253F6B2">
      <w:pPr>
        <w:spacing w:line="360" w:lineRule="auto"/>
        <w:ind w:firstLine="480" w:firstLineChars="200"/>
        <w:rPr>
          <w:rFonts w:hint="eastAsia" w:ascii="宋体" w:hAnsi="宋体" w:eastAsia="宋体" w:cs="宋体"/>
          <w:bCs/>
          <w:color w:val="auto"/>
          <w:sz w:val="24"/>
          <w:szCs w:val="24"/>
          <w:lang w:eastAsia="zh-CN"/>
        </w:rPr>
      </w:pPr>
      <w:r>
        <w:rPr>
          <w:rFonts w:hint="eastAsia" w:ascii="宋体" w:hAnsi="宋体" w:cs="宋体"/>
          <w:bCs/>
          <w:color w:val="auto"/>
          <w:sz w:val="24"/>
          <w:szCs w:val="24"/>
          <w:lang w:val="en-US" w:eastAsia="zh-CN"/>
        </w:rPr>
        <w:t>1、</w:t>
      </w:r>
      <w:r>
        <w:rPr>
          <w:rFonts w:hint="eastAsia" w:ascii="宋体" w:hAnsi="宋体" w:eastAsia="宋体" w:cs="宋体"/>
          <w:bCs/>
          <w:color w:val="auto"/>
          <w:sz w:val="24"/>
          <w:szCs w:val="24"/>
          <w:lang w:eastAsia="zh-CN"/>
        </w:rPr>
        <w:t>纬度与气候带</w:t>
      </w:r>
    </w:p>
    <w:p w14:paraId="2571DCFA">
      <w:pPr>
        <w:pStyle w:val="8"/>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kern w:val="2"/>
          <w:sz w:val="24"/>
          <w:szCs w:val="24"/>
          <w:lang w:val="en-US" w:eastAsia="zh-CN" w:bidi="ar-SA"/>
        </w:rPr>
        <w:t>焦作市位于北纬34°56′至35°29′之间，处于暖温带大陆性季风气候区。四季分明，春旱多风，夏热多雨，秋高气爽，冬寒少雪。由于地势倾斜和太行山屏障的作用，焦作市的气温高于新乡、郑州等地。年平均气温为15.2℃，山区则比平原低2-3℃。极端最高气温可达43.6℃，极端最低气温为-22.4℃。年均降雨量为549.2毫米，无霜期为231天，年日照时数为2017.6小时。</w:t>
      </w:r>
    </w:p>
    <w:p w14:paraId="57375A07">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kern w:val="2"/>
          <w:sz w:val="24"/>
          <w:szCs w:val="24"/>
          <w:lang w:val="en-US" w:eastAsia="zh-CN" w:bidi="ar-SA"/>
        </w:rPr>
        <w:t>焦作市的气候条件对于农业生产具有重要影响。春季气温回升快，有利于农作物的播种和生长；夏季高温多雨，为农作物提供了充足的热量和水分；</w:t>
      </w:r>
      <w:r>
        <w:rPr>
          <w:rFonts w:hint="default" w:ascii="Times New Roman" w:hAnsi="Times New Roman" w:eastAsia="宋体" w:cs="Times New Roman"/>
          <w:bCs/>
          <w:color w:val="auto"/>
          <w:sz w:val="24"/>
          <w:szCs w:val="24"/>
          <w:lang w:val="en-US" w:eastAsia="zh-CN"/>
        </w:rPr>
        <w:t>秋季气温适中，有利于农作物的成熟和收获；冬季虽然寒冷干燥，但适度的低温有助于农作物的休眠和养分积累。这种气候条件使得焦作市成为河南省重要的农业生产基地之一，主要农作物有小麦、玉米、棉花、大豆等。</w:t>
      </w:r>
    </w:p>
    <w:p w14:paraId="509D3BE3">
      <w:pPr>
        <w:spacing w:line="360" w:lineRule="auto"/>
        <w:ind w:firstLine="480" w:firstLineChars="200"/>
        <w:rPr>
          <w:rFonts w:hint="default" w:ascii="宋体" w:hAnsi="宋体" w:eastAsia="宋体" w:cs="宋体"/>
          <w:bCs/>
          <w:color w:val="auto"/>
          <w:sz w:val="24"/>
          <w:szCs w:val="24"/>
          <w:lang w:val="en-US" w:eastAsia="zh-CN"/>
        </w:rPr>
      </w:pPr>
      <w:r>
        <w:rPr>
          <w:rFonts w:hint="eastAsia" w:ascii="宋体" w:hAnsi="宋体" w:cs="宋体"/>
          <w:bCs/>
          <w:color w:val="auto"/>
          <w:sz w:val="24"/>
          <w:szCs w:val="24"/>
          <w:lang w:val="en-US" w:eastAsia="zh-CN"/>
        </w:rPr>
        <w:t>2、</w:t>
      </w:r>
      <w:r>
        <w:rPr>
          <w:rFonts w:hint="eastAsia" w:ascii="宋体" w:hAnsi="宋体" w:eastAsia="宋体" w:cs="宋体"/>
          <w:bCs/>
          <w:color w:val="auto"/>
          <w:sz w:val="24"/>
          <w:szCs w:val="24"/>
        </w:rPr>
        <w:t>地形地貌</w:t>
      </w:r>
    </w:p>
    <w:p w14:paraId="15D0BE81">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val="en-US" w:eastAsia="zh-CN"/>
        </w:rPr>
        <w:t>焦作市的地形地貌复杂多样，由低山、丘陵、坡岗、平原四个部分组成。海拔在85-940米之间，地势高度由西北向东南递减。这种地形地貌特征对于焦作市的自然环境和人类活动产生了深远的影响。</w:t>
      </w:r>
    </w:p>
    <w:p w14:paraId="3B931864">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val="en-US" w:eastAsia="zh-CN"/>
        </w:rPr>
        <w:t>低山丘陵区：焦作市北部以太行山为依托，形成了低山丘陵区。这一区域地势起伏较大，</w:t>
      </w:r>
      <w:r>
        <w:rPr>
          <w:rFonts w:hint="eastAsia" w:ascii="Times New Roman" w:hAnsi="Times New Roman" w:cs="Times New Roman"/>
          <w:bCs/>
          <w:color w:val="auto"/>
          <w:sz w:val="24"/>
          <w:szCs w:val="24"/>
          <w:lang w:val="en-US" w:eastAsia="zh-CN"/>
        </w:rPr>
        <w:t>重峦叠嶂</w:t>
      </w:r>
      <w:r>
        <w:rPr>
          <w:rFonts w:hint="eastAsia" w:ascii="Times New Roman" w:hAnsi="Times New Roman" w:eastAsia="宋体" w:cs="Times New Roman"/>
          <w:bCs/>
          <w:color w:val="auto"/>
          <w:sz w:val="24"/>
          <w:szCs w:val="24"/>
          <w:lang w:val="en-US" w:eastAsia="zh-CN"/>
        </w:rPr>
        <w:t>，沟壑纵横。低山丘陵区的土壤肥沃，植被茂盛，为林业和畜牧业的发展提供了有利条件。同时，这一区域也是焦作市重要的旅游资源之一，拥有众多自然景观和人文景观，如云台山、神农山等。</w:t>
      </w:r>
    </w:p>
    <w:p w14:paraId="2140F297">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val="en-US" w:eastAsia="zh-CN"/>
        </w:rPr>
        <w:t>坡岗区：在焦作市的低山丘陵和平原之间，分布着广阔的坡岗区。这一区域地势相对平缓，土壤肥沃，适宜于农作物的生长。坡岗区的农业资源丰富，是焦作市重要的农业生产区之一。此外，坡岗区还具有良好的生态环境和景观价值，是城市居民休闲度假的好去处。</w:t>
      </w:r>
    </w:p>
    <w:p w14:paraId="1D747AD7">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val="en-US" w:eastAsia="zh-CN"/>
        </w:rPr>
        <w:t>平原区：焦作市的平原区主要分布在南部和东南部地区。这一区域地势平坦开阔，土壤肥沃，水资源丰富，是焦作市重要的农业生产区和人口聚居区。平原区的农业以种植业为主，主要农作物有小麦、玉米、棉花等。同时，平原区也是焦作市工业和城市发展的重要区域，拥有众多工业园区和城市建设用地。</w:t>
      </w:r>
    </w:p>
    <w:p w14:paraId="19F9A31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val="en-US" w:eastAsia="zh-CN"/>
        </w:rPr>
        <w:t>焦作市的地形地貌特征不仅为农业生产提供了有利条件，还为城市建设和旅游业的发展提供了丰富的资源。低山丘陵区的自然景观和人文景观为旅游业的发展提供了丰富的资源；坡岗区的农业资源和生态环境为城市居民提供了休闲度假的好去处；平原区的农业生产和城市建设为焦作市的经济发展提供了坚实的基础。</w:t>
      </w:r>
    </w:p>
    <w:p w14:paraId="5FE183E8">
      <w:pPr>
        <w:pStyle w:val="7"/>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eastAsia="宋体" w:cs="Times New Roman"/>
          <w:bCs/>
          <w:color w:val="auto"/>
          <w:sz w:val="24"/>
          <w:szCs w:val="24"/>
          <w:lang w:val="en-US" w:eastAsia="zh-CN"/>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eastAsia="宋体" w:cs="Times New Roman"/>
          <w:bCs/>
          <w:color w:val="auto"/>
          <w:kern w:val="2"/>
          <w:sz w:val="24"/>
          <w:szCs w:val="24"/>
          <w:lang w:val="en-US" w:eastAsia="zh-CN" w:bidi="ar-SA"/>
        </w:rPr>
        <w:t>地理位置的优越性</w:t>
      </w:r>
    </w:p>
    <w:p w14:paraId="15BDA39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z w:val="24"/>
          <w:szCs w:val="24"/>
          <w:lang w:val="en-US" w:eastAsia="zh-CN"/>
        </w:rPr>
      </w:pPr>
      <w:r>
        <w:rPr>
          <w:rFonts w:hint="eastAsia" w:ascii="Times New Roman" w:hAnsi="Times New Roman" w:cs="Times New Roman"/>
          <w:bCs/>
          <w:color w:val="auto"/>
          <w:sz w:val="24"/>
          <w:szCs w:val="24"/>
          <w:lang w:val="en-US" w:eastAsia="zh-CN"/>
        </w:rPr>
        <w:t>（1）</w:t>
      </w:r>
      <w:r>
        <w:rPr>
          <w:rFonts w:hint="default" w:ascii="Times New Roman" w:hAnsi="Times New Roman" w:eastAsia="宋体" w:cs="Times New Roman"/>
          <w:bCs/>
          <w:color w:val="auto"/>
          <w:sz w:val="24"/>
          <w:szCs w:val="24"/>
          <w:lang w:val="en-US" w:eastAsia="zh-CN"/>
        </w:rPr>
        <w:t>交通便捷：焦作市位于河南省西北部，北依太行山，南临黄河，地处黄河中下游北畔。这一地理位置使得焦作市成为焦太线-焦柳线上重要的城市之一，交通便捷，四通八达。焦作市拥有完善的公路、铁路和水路交通网络，为人员和物资的流动提供了便利条件。同时，焦作市还紧邻郑州市，受郑州辐射带动作用强，有利于加强与周边地区的经济联系和合作。</w:t>
      </w:r>
    </w:p>
    <w:p w14:paraId="4180451F">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z w:val="24"/>
          <w:szCs w:val="24"/>
          <w:lang w:val="en-US" w:eastAsia="zh-CN"/>
        </w:rPr>
      </w:pPr>
      <w:r>
        <w:rPr>
          <w:rFonts w:hint="eastAsia" w:ascii="Times New Roman" w:hAnsi="Times New Roman" w:cs="Times New Roman"/>
          <w:bCs/>
          <w:color w:val="auto"/>
          <w:sz w:val="24"/>
          <w:szCs w:val="24"/>
          <w:lang w:val="en-US" w:eastAsia="zh-CN"/>
        </w:rPr>
        <w:t>（2）</w:t>
      </w:r>
      <w:r>
        <w:rPr>
          <w:rFonts w:hint="default" w:ascii="Times New Roman" w:hAnsi="Times New Roman" w:eastAsia="宋体" w:cs="Times New Roman"/>
          <w:bCs/>
          <w:color w:val="auto"/>
          <w:sz w:val="24"/>
          <w:szCs w:val="24"/>
          <w:lang w:val="en-US" w:eastAsia="zh-CN"/>
        </w:rPr>
        <w:t>资源丰富：焦作市拥有丰富的自然资源，包括矿产资源、水资源和旅游资源等。矿产资源方面，焦作市是河南省重要的煤炭、铝土矿和石灰石产地之一。水资源方面，焦作市拥有充裕的地表水资源和地下水资源，为农业生产和城市建设提供了有力的保障。旅游资源方面，焦作市拥有众多自然景观和人文景观，如云台山、神农山、太极拳发源地陈家沟等，为旅游业的发展提供了丰富的资源。</w:t>
      </w:r>
    </w:p>
    <w:p w14:paraId="18CD20E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color w:val="auto"/>
          <w:lang w:val="en-US" w:eastAsia="zh-CN"/>
        </w:rPr>
      </w:pPr>
      <w:r>
        <w:rPr>
          <w:rFonts w:hint="eastAsia" w:ascii="Times New Roman" w:hAnsi="Times New Roman" w:cs="Times New Roman"/>
          <w:bCs/>
          <w:color w:val="auto"/>
          <w:sz w:val="24"/>
          <w:szCs w:val="24"/>
          <w:lang w:val="en-US" w:eastAsia="zh-CN"/>
        </w:rPr>
        <w:t>（3）</w:t>
      </w:r>
      <w:r>
        <w:rPr>
          <w:rFonts w:hint="default" w:ascii="Times New Roman" w:hAnsi="Times New Roman" w:eastAsia="宋体" w:cs="Times New Roman"/>
          <w:bCs/>
          <w:color w:val="auto"/>
          <w:sz w:val="24"/>
          <w:szCs w:val="24"/>
          <w:lang w:val="en-US" w:eastAsia="zh-CN"/>
        </w:rPr>
        <w:t>产业基础雄厚：</w:t>
      </w:r>
      <w:r>
        <w:rPr>
          <w:rFonts w:ascii="Times New Roman" w:hAnsi="Times New Roman" w:eastAsia="宋体" w:cs="Times New Roman"/>
          <w:bCs/>
          <w:color w:val="auto"/>
          <w:kern w:val="2"/>
          <w:sz w:val="24"/>
          <w:szCs w:val="24"/>
          <w:lang w:bidi="ar-SA"/>
        </w:rPr>
        <w:t>焦作市具备坚实的工业基础，构建了以煤炭、化工、机械制造、食品加工等为核心的产业体系。这些产业在河南省乃至全国范围内均享有较高的知名度和竞争力。与此同时，焦作市亦致力于推动产业结构的调整与优化升级，积极发展高新技术产业和战略性新兴产业，为经济的持续发展注入了新的活力。</w:t>
      </w:r>
    </w:p>
    <w:p w14:paraId="2979272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color w:val="auto"/>
          <w:lang w:val="en-US" w:eastAsia="zh-CN"/>
        </w:rPr>
      </w:pPr>
      <w:r>
        <w:rPr>
          <w:rFonts w:hint="eastAsia" w:ascii="Times New Roman" w:hAnsi="Times New Roman" w:cs="Times New Roman"/>
          <w:bCs/>
          <w:color w:val="auto"/>
          <w:sz w:val="24"/>
          <w:szCs w:val="24"/>
          <w:lang w:val="en-US" w:eastAsia="zh-CN"/>
        </w:rPr>
        <w:t>（4）</w:t>
      </w:r>
      <w:r>
        <w:rPr>
          <w:rFonts w:hint="default" w:ascii="Times New Roman" w:hAnsi="Times New Roman" w:eastAsia="宋体" w:cs="Times New Roman"/>
          <w:bCs/>
          <w:color w:val="auto"/>
          <w:sz w:val="24"/>
          <w:szCs w:val="24"/>
          <w:lang w:val="en-US" w:eastAsia="zh-CN"/>
        </w:rPr>
        <w:t>城市环境优美：</w:t>
      </w:r>
      <w:r>
        <w:rPr>
          <w:rFonts w:ascii="Times New Roman" w:hAnsi="Times New Roman" w:eastAsia="宋体" w:cs="Times New Roman"/>
          <w:bCs/>
          <w:color w:val="auto"/>
          <w:kern w:val="2"/>
          <w:sz w:val="24"/>
          <w:szCs w:val="24"/>
          <w:lang w:bidi="ar-SA"/>
        </w:rPr>
        <w:t>焦作市致力于城市环境的建设和生态保护，拥有秀丽的城市景观和优良的生态环境。该市的绿化覆盖率显著，空气质量优良的天数众多，为市民提供了适宜居住的生活环境。同时，焦作市亦积极推进生态文明建设，强化环境保护与治理工作，为城市的可持续发展奠定了坚实的基础。</w:t>
      </w:r>
    </w:p>
    <w:p w14:paraId="14E81EDA">
      <w:pPr>
        <w:spacing w:line="360" w:lineRule="auto"/>
        <w:ind w:firstLine="482" w:firstLineChars="200"/>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（二）经济地理位置</w:t>
      </w:r>
    </w:p>
    <w:p w14:paraId="3C84DDCC">
      <w:pPr>
        <w:pStyle w:val="7"/>
        <w:ind w:firstLine="480"/>
        <w:rPr>
          <w:rFonts w:hint="eastAsia" w:ascii="Times New Roman" w:hAnsi="Times New Roman" w:eastAsia="宋体" w:cs="Times New Roman"/>
          <w:bCs/>
          <w:color w:val="auto"/>
          <w:sz w:val="24"/>
          <w:szCs w:val="24"/>
          <w:lang w:val="en-US" w:eastAsia="zh-CN"/>
        </w:rPr>
      </w:pPr>
      <w:r>
        <w:rPr>
          <w:rFonts w:hint="eastAsia" w:ascii="Times New Roman" w:hAnsi="Times New Roman" w:cs="Times New Roman"/>
          <w:bCs/>
          <w:color w:val="auto"/>
          <w:sz w:val="24"/>
          <w:szCs w:val="24"/>
          <w:lang w:val="en-US" w:eastAsia="zh-CN"/>
        </w:rPr>
        <w:t>1、</w:t>
      </w:r>
      <w:r>
        <w:rPr>
          <w:rFonts w:hint="eastAsia" w:ascii="Times New Roman" w:hAnsi="Times New Roman" w:eastAsia="宋体" w:cs="Times New Roman"/>
          <w:bCs/>
          <w:color w:val="auto"/>
          <w:sz w:val="24"/>
          <w:szCs w:val="24"/>
          <w:lang w:val="en-US" w:eastAsia="zh-CN"/>
        </w:rPr>
        <w:t>四通八达的交通枢纽</w:t>
      </w:r>
    </w:p>
    <w:p w14:paraId="1255DF5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sz w:val="24"/>
          <w:szCs w:val="24"/>
          <w:lang w:val="en-US" w:eastAsia="zh-CN"/>
        </w:rPr>
      </w:pPr>
      <w:r>
        <w:rPr>
          <w:rFonts w:hint="default" w:ascii="Times New Roman" w:hAnsi="Times New Roman" w:eastAsia="宋体" w:cs="Times New Roman"/>
          <w:bCs/>
          <w:color w:val="auto"/>
          <w:sz w:val="24"/>
          <w:szCs w:val="24"/>
          <w:lang w:val="en-US" w:eastAsia="zh-CN"/>
        </w:rPr>
        <w:t>焦作市地处中原腹地，是中国南北、东西交通的重要节点。其交通网络四通八达，不仅拥有便捷的公路、铁路交通，还具备航空和水运的潜力。在公路方面，焦作市连接了多条国家级和省级高速公路，如焦唐高速、荷宝高速、晋新高速</w:t>
      </w:r>
      <w:r>
        <w:rPr>
          <w:rFonts w:hint="eastAsia" w:ascii="Times New Roman" w:hAnsi="Times New Roman" w:eastAsia="宋体" w:cs="Times New Roman"/>
          <w:bCs/>
          <w:color w:val="auto"/>
          <w:sz w:val="24"/>
          <w:szCs w:val="24"/>
          <w:lang w:val="en-US" w:eastAsia="zh-CN"/>
        </w:rPr>
        <w:t>、沿太行山高速、沿黄高速</w:t>
      </w:r>
      <w:r>
        <w:rPr>
          <w:rFonts w:hint="default" w:ascii="Times New Roman" w:hAnsi="Times New Roman" w:eastAsia="宋体" w:cs="Times New Roman"/>
          <w:bCs/>
          <w:color w:val="auto"/>
          <w:sz w:val="24"/>
          <w:szCs w:val="24"/>
          <w:lang w:val="en-US" w:eastAsia="zh-CN"/>
        </w:rPr>
        <w:t>等，使得焦作与周边城市的联系更加紧密。铁路方面，焦作市是焦柳铁路、新月铁路、太焦铁路的交汇点，这些铁路线不仅连接了焦作与全国各大城市，还为其提供了通往海外市场的重要通道。此外，焦作市还积极推进航空和水运建设。郑州新郑国际机场距离焦作市仅一个多小时车程，为焦作提供了便捷的航空运输服务。同时，焦作市依托黄河和沁河等水系，具备发展水运的潜力，未来有望形成公、铁、水、空立体交通网络。</w:t>
      </w:r>
    </w:p>
    <w:p w14:paraId="3952D5EF">
      <w:pPr>
        <w:pStyle w:val="7"/>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val="en-US" w:eastAsia="zh-CN"/>
        </w:rPr>
        <w:t xml:space="preserve">    </w:t>
      </w:r>
      <w:r>
        <w:rPr>
          <w:rFonts w:hint="eastAsia" w:ascii="Times New Roman" w:hAnsi="Times New Roman" w:cs="Times New Roman"/>
          <w:bCs/>
          <w:color w:val="auto"/>
          <w:sz w:val="24"/>
          <w:szCs w:val="24"/>
          <w:lang w:val="en-US" w:eastAsia="zh-CN"/>
        </w:rPr>
        <w:t>2、</w:t>
      </w:r>
      <w:r>
        <w:rPr>
          <w:rFonts w:hint="eastAsia" w:ascii="Times New Roman" w:hAnsi="Times New Roman" w:eastAsia="宋体" w:cs="Times New Roman"/>
          <w:bCs/>
          <w:color w:val="auto"/>
          <w:sz w:val="24"/>
          <w:szCs w:val="24"/>
          <w:lang w:val="en-US" w:eastAsia="zh-CN"/>
        </w:rPr>
        <w:t>融入中原城市群</w:t>
      </w:r>
    </w:p>
    <w:p w14:paraId="5A96CC0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color w:val="auto"/>
          <w:lang w:val="en-US" w:eastAsia="zh-CN"/>
        </w:rPr>
      </w:pPr>
      <w:r>
        <w:rPr>
          <w:rFonts w:ascii="Times New Roman" w:hAnsi="Times New Roman" w:eastAsia="宋体" w:cs="Times New Roman"/>
          <w:bCs/>
          <w:color w:val="auto"/>
          <w:kern w:val="2"/>
          <w:sz w:val="24"/>
          <w:szCs w:val="24"/>
          <w:lang w:bidi="ar-SA"/>
        </w:rPr>
        <w:t>焦作市坐落于中原城市群的核心区域，与邻近的郑州、洛阳、新乡等重要城市紧密相连，形成了一个互动频繁的区域网络。这样的地理位置优势，使得焦作市有机会深度参与到中原城市群的区域合作之中，从而能够充分利用并分享到区域发展的诸多好处。焦作市通过加强与其他城市的联系，不仅能够优化自身的资源配置，还能显著提升其产业的竞争力。举例来说，焦作市可以与郑州等城市在多个领域展开深度合作，包括但不限于产业协同、科技创新</w:t>
      </w:r>
      <w:r>
        <w:rPr>
          <w:rFonts w:hint="eastAsia" w:ascii="Times New Roman" w:hAnsi="Times New Roman" w:cs="Times New Roman"/>
          <w:bCs/>
          <w:color w:val="auto"/>
          <w:kern w:val="2"/>
          <w:sz w:val="24"/>
          <w:szCs w:val="24"/>
          <w:lang w:eastAsia="zh-CN" w:bidi="ar-SA"/>
        </w:rPr>
        <w:t>，</w:t>
      </w:r>
      <w:r>
        <w:rPr>
          <w:rFonts w:ascii="Times New Roman" w:hAnsi="Times New Roman" w:eastAsia="宋体" w:cs="Times New Roman"/>
          <w:bCs/>
          <w:color w:val="auto"/>
          <w:kern w:val="2"/>
          <w:sz w:val="24"/>
          <w:szCs w:val="24"/>
          <w:lang w:bidi="ar-SA"/>
        </w:rPr>
        <w:t>以及文化旅游等。通过这样的合作，焦作市能够实现与合作伙伴之间的优势互补，共同追求共赢的发展局面。此外，焦作市还可以借助中原城市群的辐射效应，吸引更多的资金、人才和技术资源的流入，从而为推动经济高质量发展注入新的活力。</w:t>
      </w:r>
    </w:p>
    <w:p w14:paraId="2BA08623">
      <w:pPr>
        <w:pStyle w:val="7"/>
        <w:rPr>
          <w:rFonts w:hint="default"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val="en-US" w:eastAsia="zh-CN"/>
        </w:rPr>
        <w:t xml:space="preserve">    </w:t>
      </w:r>
      <w:r>
        <w:rPr>
          <w:rFonts w:hint="eastAsia" w:ascii="Times New Roman" w:hAnsi="Times New Roman" w:cs="Times New Roman"/>
          <w:bCs/>
          <w:color w:val="auto"/>
          <w:sz w:val="24"/>
          <w:szCs w:val="24"/>
          <w:lang w:val="en-US" w:eastAsia="zh-CN"/>
        </w:rPr>
        <w:t>3、</w:t>
      </w:r>
      <w:r>
        <w:rPr>
          <w:rFonts w:hint="eastAsia" w:ascii="Times New Roman" w:hAnsi="Times New Roman" w:eastAsia="宋体" w:cs="Times New Roman"/>
          <w:bCs/>
          <w:color w:val="auto"/>
          <w:sz w:val="24"/>
          <w:szCs w:val="24"/>
          <w:lang w:val="en-US" w:eastAsia="zh-CN"/>
        </w:rPr>
        <w:t>多元化的产业结构</w:t>
      </w:r>
    </w:p>
    <w:p w14:paraId="12CB292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bidi="ar-SA"/>
        </w:rPr>
      </w:pPr>
      <w:r>
        <w:rPr>
          <w:rFonts w:hint="default" w:ascii="Times New Roman" w:hAnsi="Times New Roman" w:eastAsia="宋体" w:cs="Times New Roman"/>
          <w:bCs/>
          <w:color w:val="auto"/>
          <w:kern w:val="2"/>
          <w:sz w:val="24"/>
          <w:szCs w:val="24"/>
          <w:lang w:bidi="ar-SA"/>
        </w:rPr>
        <w:t>焦作市的产业结构多元化，涵盖了化工、机械制造、能源、食品加工、文化旅游等多个领域。这些产业在焦作市的经济发展中发挥着重要作用。化工产业方面，焦作市利用煤炭、铝土矿等资源，发展了以化工新材料和精细化学品为主的化工产业。机械制造产业方面，焦作市形成了以汽车零部件、矿山机械等为主的机械制造产业集群。能源产业方面，焦作市依托丰富的煤炭资源，发展了以煤炭开采和加工为主的能源产业。食品加工产业方面，焦作市依托丰富的农业资源，发展了以小麦、玉米、肉制品等为主的食品加工产业。文化旅游产业方面，焦作市拥有丰富的自然景观和人文景观，为文化旅游产业的发展提供了广阔的空间。</w:t>
      </w:r>
    </w:p>
    <w:p w14:paraId="4E68608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4、</w:t>
      </w:r>
      <w:r>
        <w:rPr>
          <w:rFonts w:hint="default" w:ascii="Times New Roman" w:hAnsi="Times New Roman" w:eastAsia="宋体" w:cs="Times New Roman"/>
          <w:bCs/>
          <w:color w:val="auto"/>
          <w:kern w:val="2"/>
          <w:sz w:val="24"/>
          <w:szCs w:val="24"/>
          <w:lang w:val="en-US" w:eastAsia="zh-CN" w:bidi="ar-SA"/>
        </w:rPr>
        <w:t>广阔的消费市场和发展空间</w:t>
      </w:r>
    </w:p>
    <w:p w14:paraId="1C7AC7D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bidi="ar-SA"/>
        </w:rPr>
      </w:pPr>
      <w:r>
        <w:rPr>
          <w:rFonts w:hint="default" w:ascii="Times New Roman" w:hAnsi="Times New Roman" w:eastAsia="宋体" w:cs="Times New Roman"/>
          <w:bCs/>
          <w:color w:val="auto"/>
          <w:kern w:val="2"/>
          <w:sz w:val="24"/>
          <w:szCs w:val="24"/>
          <w:lang w:bidi="ar-SA"/>
        </w:rPr>
        <w:t>焦作市位于中原城市群的核心区域，拥有广阔的消费市场和发展空间。随着中原城市群的快速发展和人口规模的不断扩大，焦作市的市场潜力将进一步释放</w:t>
      </w:r>
      <w:r>
        <w:rPr>
          <w:rFonts w:hint="eastAsia" w:ascii="Times New Roman" w:hAnsi="Times New Roman" w:eastAsia="宋体" w:cs="Times New Roman"/>
          <w:bCs/>
          <w:color w:val="auto"/>
          <w:kern w:val="2"/>
          <w:sz w:val="24"/>
          <w:szCs w:val="24"/>
          <w:lang w:eastAsia="zh-CN" w:bidi="ar-SA"/>
        </w:rPr>
        <w:t>。</w:t>
      </w:r>
      <w:r>
        <w:rPr>
          <w:rFonts w:hint="default" w:ascii="Times New Roman" w:hAnsi="Times New Roman" w:eastAsia="宋体" w:cs="Times New Roman"/>
          <w:bCs/>
          <w:color w:val="auto"/>
          <w:kern w:val="2"/>
          <w:sz w:val="24"/>
          <w:szCs w:val="24"/>
          <w:lang w:bidi="ar-SA"/>
        </w:rPr>
        <w:t>一方面，焦作市可以依托中原城市群的辐射带动作用，吸引更多的消费者和投资者</w:t>
      </w:r>
      <w:r>
        <w:rPr>
          <w:rFonts w:hint="eastAsia" w:ascii="Times New Roman" w:hAnsi="Times New Roman" w:eastAsia="宋体" w:cs="Times New Roman"/>
          <w:bCs/>
          <w:color w:val="auto"/>
          <w:kern w:val="2"/>
          <w:sz w:val="24"/>
          <w:szCs w:val="24"/>
          <w:lang w:eastAsia="zh-CN" w:bidi="ar-SA"/>
        </w:rPr>
        <w:t>；</w:t>
      </w:r>
      <w:r>
        <w:rPr>
          <w:rFonts w:hint="default" w:ascii="Times New Roman" w:hAnsi="Times New Roman" w:eastAsia="宋体" w:cs="Times New Roman"/>
          <w:bCs/>
          <w:color w:val="auto"/>
          <w:kern w:val="2"/>
          <w:sz w:val="24"/>
          <w:szCs w:val="24"/>
          <w:lang w:bidi="ar-SA"/>
        </w:rPr>
        <w:t>另一方面，焦作市还可以加强与周边城市的合作，共同开拓更广阔的市场空间。同时，焦作市还可以利用自身的资源禀赋和产业基础，发展具有特色的产业和产品，提升市场竞争力。</w:t>
      </w:r>
    </w:p>
    <w:p w14:paraId="2E5B6164">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34" w:name="_Toc20586"/>
      <w:r>
        <w:rPr>
          <w:rFonts w:hint="eastAsia" w:ascii="宋体" w:hAnsi="宋体" w:eastAsia="宋体" w:cs="宋体"/>
          <w:b/>
          <w:bCs/>
          <w:color w:val="auto"/>
          <w:sz w:val="28"/>
          <w:szCs w:val="28"/>
          <w:lang w:eastAsia="zh-CN"/>
        </w:rPr>
        <w:t>二、区位交通</w:t>
      </w:r>
      <w:bookmarkEnd w:id="34"/>
    </w:p>
    <w:p w14:paraId="10F3E2A1">
      <w:pPr>
        <w:spacing w:line="360" w:lineRule="auto"/>
        <w:ind w:firstLine="482" w:firstLineChars="200"/>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（一）交通设施与网络</w:t>
      </w:r>
    </w:p>
    <w:p w14:paraId="76E5D11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bidi="ar-SA"/>
        </w:rPr>
      </w:pPr>
      <w:r>
        <w:rPr>
          <w:rFonts w:hint="default" w:ascii="Times New Roman" w:hAnsi="Times New Roman" w:eastAsia="宋体" w:cs="Times New Roman"/>
          <w:bCs/>
          <w:color w:val="auto"/>
          <w:kern w:val="2"/>
          <w:sz w:val="24"/>
          <w:szCs w:val="24"/>
          <w:lang w:bidi="ar-SA"/>
        </w:rPr>
        <w:t>焦作市的交通设施与网络已经构建起一个立体、便捷、高效的现代交通体系。从公路交通、铁路交通、水路交通到航空交通，焦作市都具备了较为完善的交通设施和服务水平。这些交通设施不仅提升了焦作市的交通便捷性，也加强了其与全国其他地区的联系，为城市的经济发展和社会进步提供了有力的支撑。未来，随着焦作市交通设施的不断升级和完善，其交通网络将更加便捷、高效，为城市的持续发展注入新的活力。</w:t>
      </w:r>
    </w:p>
    <w:p w14:paraId="6902842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eastAsia="宋体" w:cs="Times New Roman"/>
          <w:bCs/>
          <w:color w:val="auto"/>
          <w:kern w:val="2"/>
          <w:sz w:val="24"/>
          <w:szCs w:val="24"/>
          <w:lang w:bidi="ar-SA"/>
        </w:rPr>
        <w:t>公路交通</w:t>
      </w:r>
    </w:p>
    <w:p w14:paraId="4E8E862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color w:val="auto"/>
          <w:kern w:val="2"/>
          <w:sz w:val="24"/>
          <w:szCs w:val="24"/>
          <w:lang w:eastAsia="zh-CN" w:bidi="ar-SA"/>
        </w:rPr>
      </w:pPr>
      <w:r>
        <w:rPr>
          <w:rFonts w:hint="default" w:ascii="Times New Roman" w:hAnsi="Times New Roman" w:eastAsia="宋体" w:cs="Times New Roman"/>
          <w:bCs/>
          <w:color w:val="auto"/>
          <w:kern w:val="2"/>
          <w:sz w:val="24"/>
          <w:szCs w:val="24"/>
          <w:lang w:bidi="ar-SA"/>
        </w:rPr>
        <w:t>公路交通是焦作市交通网络的重要组成部分。焦作市拥有完善的公路网络，包括高速公路、国道、省道和县乡道路等。其中，高速公路是连接焦作与周边城市的主要通道，如</w:t>
      </w:r>
      <w:r>
        <w:rPr>
          <w:rFonts w:hint="eastAsia" w:ascii="Times New Roman" w:hAnsi="Times New Roman" w:eastAsia="宋体" w:cs="Times New Roman"/>
          <w:bCs/>
          <w:color w:val="auto"/>
          <w:kern w:val="2"/>
          <w:sz w:val="24"/>
          <w:szCs w:val="24"/>
          <w:lang w:eastAsia="zh-CN" w:bidi="ar-SA"/>
        </w:rPr>
        <w:t>焦唐高速、荷宝</w:t>
      </w:r>
      <w:r>
        <w:rPr>
          <w:rFonts w:hint="default" w:ascii="Times New Roman" w:hAnsi="Times New Roman" w:eastAsia="宋体" w:cs="Times New Roman"/>
          <w:bCs/>
          <w:color w:val="auto"/>
          <w:kern w:val="2"/>
          <w:sz w:val="24"/>
          <w:szCs w:val="24"/>
          <w:lang w:bidi="ar-SA"/>
        </w:rPr>
        <w:t>高速、</w:t>
      </w:r>
      <w:r>
        <w:rPr>
          <w:rFonts w:hint="eastAsia" w:ascii="Times New Roman" w:hAnsi="Times New Roman" w:eastAsia="宋体" w:cs="Times New Roman"/>
          <w:bCs/>
          <w:color w:val="auto"/>
          <w:kern w:val="2"/>
          <w:sz w:val="24"/>
          <w:szCs w:val="24"/>
          <w:lang w:eastAsia="zh-CN" w:bidi="ar-SA"/>
        </w:rPr>
        <w:t>晋新</w:t>
      </w:r>
      <w:r>
        <w:rPr>
          <w:rFonts w:hint="default" w:ascii="Times New Roman" w:hAnsi="Times New Roman" w:eastAsia="宋体" w:cs="Times New Roman"/>
          <w:bCs/>
          <w:color w:val="auto"/>
          <w:kern w:val="2"/>
          <w:sz w:val="24"/>
          <w:szCs w:val="24"/>
          <w:lang w:bidi="ar-SA"/>
        </w:rPr>
        <w:t>高速</w:t>
      </w:r>
      <w:r>
        <w:rPr>
          <w:rFonts w:hint="eastAsia" w:ascii="Times New Roman" w:hAnsi="Times New Roman" w:eastAsia="宋体" w:cs="Times New Roman"/>
          <w:bCs/>
          <w:color w:val="auto"/>
          <w:kern w:val="2"/>
          <w:sz w:val="24"/>
          <w:szCs w:val="24"/>
          <w:lang w:eastAsia="zh-CN" w:bidi="ar-SA"/>
        </w:rPr>
        <w:t>、沿太行山高速、沿黄高速</w:t>
      </w:r>
      <w:r>
        <w:rPr>
          <w:rFonts w:hint="default" w:ascii="Times New Roman" w:hAnsi="Times New Roman" w:eastAsia="宋体" w:cs="Times New Roman"/>
          <w:bCs/>
          <w:color w:val="auto"/>
          <w:kern w:val="2"/>
          <w:sz w:val="24"/>
          <w:szCs w:val="24"/>
          <w:lang w:bidi="ar-SA"/>
        </w:rPr>
        <w:t>等，这些高速公路不仅提升了焦作市的交通便捷性，也加强了其与全国其他地区的联系</w:t>
      </w:r>
      <w:r>
        <w:rPr>
          <w:rFonts w:hint="eastAsia" w:ascii="Times New Roman" w:hAnsi="Times New Roman" w:eastAsia="宋体" w:cs="Times New Roman"/>
          <w:bCs/>
          <w:color w:val="auto"/>
          <w:kern w:val="2"/>
          <w:sz w:val="24"/>
          <w:szCs w:val="24"/>
          <w:lang w:eastAsia="zh-CN" w:bidi="ar-SA"/>
        </w:rPr>
        <w:t>。</w:t>
      </w:r>
      <w:r>
        <w:rPr>
          <w:rFonts w:hint="default" w:ascii="Times New Roman" w:hAnsi="Times New Roman" w:eastAsia="宋体" w:cs="Times New Roman"/>
          <w:bCs/>
          <w:color w:val="auto"/>
          <w:kern w:val="2"/>
          <w:sz w:val="24"/>
          <w:szCs w:val="24"/>
          <w:lang w:bidi="ar-SA"/>
        </w:rPr>
        <w:t>此外，焦作市还不断推进农村公路的建设和改造，实现了</w:t>
      </w:r>
      <w:r>
        <w:rPr>
          <w:rFonts w:hint="eastAsia" w:ascii="Times New Roman" w:hAnsi="Times New Roman" w:eastAsia="宋体" w:cs="Times New Roman"/>
          <w:bCs/>
          <w:color w:val="auto"/>
          <w:kern w:val="2"/>
          <w:sz w:val="24"/>
          <w:szCs w:val="24"/>
          <w:lang w:eastAsia="zh-CN" w:bidi="ar-SA"/>
        </w:rPr>
        <w:t>“</w:t>
      </w:r>
      <w:r>
        <w:rPr>
          <w:rFonts w:hint="default" w:ascii="Times New Roman" w:hAnsi="Times New Roman" w:eastAsia="宋体" w:cs="Times New Roman"/>
          <w:bCs/>
          <w:color w:val="auto"/>
          <w:kern w:val="2"/>
          <w:sz w:val="24"/>
          <w:szCs w:val="24"/>
          <w:lang w:bidi="ar-SA"/>
        </w:rPr>
        <w:t>村村通公路</w:t>
      </w:r>
      <w:r>
        <w:rPr>
          <w:rFonts w:hint="eastAsia" w:ascii="Times New Roman" w:hAnsi="Times New Roman" w:eastAsia="宋体" w:cs="Times New Roman"/>
          <w:bCs/>
          <w:color w:val="auto"/>
          <w:kern w:val="2"/>
          <w:sz w:val="24"/>
          <w:szCs w:val="24"/>
          <w:lang w:eastAsia="zh-CN" w:bidi="ar-SA"/>
        </w:rPr>
        <w:t>”</w:t>
      </w:r>
      <w:r>
        <w:rPr>
          <w:rFonts w:hint="default" w:ascii="Times New Roman" w:hAnsi="Times New Roman" w:eastAsia="宋体" w:cs="Times New Roman"/>
          <w:bCs/>
          <w:color w:val="auto"/>
          <w:kern w:val="2"/>
          <w:sz w:val="24"/>
          <w:szCs w:val="24"/>
          <w:lang w:bidi="ar-SA"/>
        </w:rPr>
        <w:t>的目标，极大地改善了农村居民的出行条件。同时，城市内部的公路交通也日益完善，道路宽敞、交通标志清晰，为市民的出行提供了极大的便利。</w:t>
      </w:r>
      <w:r>
        <w:rPr>
          <w:rFonts w:hint="eastAsia" w:ascii="Times New Roman" w:hAnsi="Times New Roman" w:eastAsia="宋体" w:cs="Times New Roman"/>
          <w:bCs/>
          <w:color w:val="auto"/>
          <w:kern w:val="2"/>
          <w:sz w:val="24"/>
          <w:szCs w:val="24"/>
          <w:lang w:eastAsia="zh-CN" w:bidi="ar-SA"/>
        </w:rPr>
        <w:t>焦作市的公路交通不仅在硬件设施上取得了显著成就，还在管理和服务上不断提升。近年来，焦作市加大了对公路交通的投入，不仅进行了大规模的公路建设，还加强了对公路的维护和保养，确保了公路的安全和畅通。同时，焦作市还积极推进智慧交通建设，利用现代信息技术提升公路交通的管理和服务水平。例如，通过智能交通系统，可以实时监测公路交通状况，及时发布交通信息，为市民的出行提供更为便捷的服务。这些措施不仅提升了焦作市公路交通的便捷性和安全性，也为其经济的持续发展和社会的全面进步奠定了坚实的基础。</w:t>
      </w:r>
    </w:p>
    <w:p w14:paraId="7AB9D70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color w:val="auto"/>
          <w:kern w:val="2"/>
          <w:sz w:val="24"/>
          <w:szCs w:val="24"/>
          <w:lang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eastAsia="宋体" w:cs="Times New Roman"/>
          <w:bCs/>
          <w:color w:val="auto"/>
          <w:kern w:val="2"/>
          <w:sz w:val="24"/>
          <w:szCs w:val="24"/>
          <w:lang w:eastAsia="zh-CN" w:bidi="ar-SA"/>
        </w:rPr>
        <w:t>铁路交通</w:t>
      </w:r>
    </w:p>
    <w:p w14:paraId="7867903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eastAsia="zh-CN" w:bidi="ar-SA"/>
        </w:rPr>
      </w:pPr>
      <w:r>
        <w:rPr>
          <w:rFonts w:hint="default" w:ascii="Times New Roman" w:hAnsi="Times New Roman" w:eastAsia="宋体" w:cs="Times New Roman"/>
          <w:bCs/>
          <w:color w:val="auto"/>
          <w:kern w:val="2"/>
          <w:sz w:val="24"/>
          <w:szCs w:val="24"/>
          <w:lang w:eastAsia="zh-CN" w:bidi="ar-SA"/>
        </w:rPr>
        <w:t>铁路交通在焦作市的交通体系中占据着重要地位。焦作市是焦柳铁路、新月铁路、太焦铁路等多条铁路线的交汇点，这些铁路线不仅连接了焦作与全国各大城市，还为其提供了通往海外市场的重要通道。近年来，焦作市铁路交通设施得到了不断升级和完善。郑焦城际铁路的开通运营，使得焦作与省会郑州之间的交通更加便捷，融入了郑州半小时经济圈。这不仅加强了焦作与郑州的联系，也提升了焦作在中原城市群中的地位。</w:t>
      </w:r>
      <w:r>
        <w:rPr>
          <w:rFonts w:hint="eastAsia" w:ascii="Times New Roman" w:hAnsi="Times New Roman" w:eastAsia="宋体" w:cs="Times New Roman"/>
          <w:bCs/>
          <w:color w:val="auto"/>
          <w:kern w:val="2"/>
          <w:sz w:val="24"/>
          <w:szCs w:val="24"/>
          <w:lang w:eastAsia="zh-CN" w:bidi="ar-SA"/>
        </w:rPr>
        <w:t>此外，焦作市还积极推进铁路物流园区的建设，通过优化铁路货运网络，提高了物流效率，降低了运输成本。铁路交通的便捷性和高效性，为焦作市的经济发展提供了强有力的支撑，也使得焦作成为连接内陆与沿海地区的重要枢纽。未来，随着铁路交通的进一步升级和完善，焦作市的交通体系将更加多元化，为城市的繁荣和发展注入新的动力。</w:t>
      </w:r>
    </w:p>
    <w:p w14:paraId="2C65BA6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color w:val="auto"/>
          <w:kern w:val="2"/>
          <w:sz w:val="24"/>
          <w:szCs w:val="24"/>
          <w:lang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eastAsia="宋体" w:cs="Times New Roman"/>
          <w:bCs/>
          <w:color w:val="auto"/>
          <w:kern w:val="2"/>
          <w:sz w:val="24"/>
          <w:szCs w:val="24"/>
          <w:lang w:eastAsia="zh-CN" w:bidi="ar-SA"/>
        </w:rPr>
        <w:t>航空交通</w:t>
      </w:r>
    </w:p>
    <w:p w14:paraId="38938AB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bidi="ar-SA"/>
        </w:rPr>
      </w:pPr>
      <w:r>
        <w:rPr>
          <w:rFonts w:hint="default" w:ascii="Times New Roman" w:hAnsi="Times New Roman" w:eastAsia="宋体" w:cs="Times New Roman"/>
          <w:bCs/>
          <w:color w:val="auto"/>
          <w:kern w:val="2"/>
          <w:sz w:val="24"/>
          <w:szCs w:val="24"/>
          <w:lang w:bidi="ar-SA"/>
        </w:rPr>
        <w:t>虽然焦作市目前尚未拥有属于自己的民用机场，但这并未阻碍其航空交通的便捷性。依托省会城市郑州的新郑国际机场的强大辐射与带动作用，焦作市的航空交通网络依旧四通八达，为市民及游客的出行提供了极大的便利。郑州新郑国际机场，这座现代化的大型航空枢纽，距离焦作市仅一个多小时的车程，通过便捷的公路交通网络紧密相连，使得焦作市民能够轻松享受到国际国内的航班服务。展望未来，随着中原城市群的蓬勃发展和区域合作的不断深化，焦作市与周边城市的航空交通联系有望进一步加强。通过加强与郑州等周边城市机场的紧密合作，实现航班资源的共享和航线的优化，焦作市的航空交通网络将更加完善。这不仅将进一步提升焦作市的航空交通便捷性，还将为城市的经济发展和社会进步提供更为坚实的支撑。届时，焦作市将以更加开放的姿态，迎接来自世界各地的朋友，共同书写城市发展的新篇章。</w:t>
      </w:r>
    </w:p>
    <w:p w14:paraId="3C7236BF">
      <w:pPr>
        <w:spacing w:line="360" w:lineRule="auto"/>
        <w:ind w:firstLine="482" w:firstLineChars="200"/>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（二）交通通达性与便利性</w:t>
      </w:r>
    </w:p>
    <w:p w14:paraId="29F022E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eastAsia" w:ascii="Times New Roman" w:hAnsi="Times New Roman" w:eastAsia="宋体" w:cs="Times New Roman"/>
          <w:bCs/>
          <w:color w:val="auto"/>
          <w:kern w:val="2"/>
          <w:sz w:val="24"/>
          <w:szCs w:val="24"/>
          <w:lang w:val="en-US" w:eastAsia="zh-CN" w:bidi="ar-SA"/>
        </w:rPr>
        <w:t>通达时间</w:t>
      </w:r>
    </w:p>
    <w:p w14:paraId="4445DE5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bidi="ar-SA"/>
        </w:rPr>
      </w:pPr>
      <w:r>
        <w:rPr>
          <w:rFonts w:hint="default" w:ascii="Times New Roman" w:hAnsi="Times New Roman" w:eastAsia="宋体" w:cs="Times New Roman"/>
          <w:bCs/>
          <w:color w:val="auto"/>
          <w:kern w:val="2"/>
          <w:sz w:val="24"/>
          <w:szCs w:val="24"/>
          <w:lang w:bidi="ar-SA"/>
        </w:rPr>
        <w:t>焦作市扼豫晋两省咽喉要冲，区位优势独特明显，交通便利，具有承东启西、沟南通北的枢纽地位。焦作市的高速公路网四通八达，可以迅速连接郑州</w:t>
      </w:r>
      <w:r>
        <w:rPr>
          <w:rFonts w:hint="eastAsia" w:ascii="Times New Roman" w:hAnsi="Times New Roman" w:eastAsia="宋体" w:cs="Times New Roman"/>
          <w:bCs/>
          <w:color w:val="auto"/>
          <w:kern w:val="2"/>
          <w:sz w:val="24"/>
          <w:szCs w:val="24"/>
          <w:lang w:eastAsia="zh-CN" w:bidi="ar-SA"/>
        </w:rPr>
        <w:t>、洛阳、新乡、晋城</w:t>
      </w:r>
      <w:r>
        <w:rPr>
          <w:rFonts w:hint="default" w:ascii="Times New Roman" w:hAnsi="Times New Roman" w:eastAsia="宋体" w:cs="Times New Roman"/>
          <w:bCs/>
          <w:color w:val="auto"/>
          <w:kern w:val="2"/>
          <w:sz w:val="24"/>
          <w:szCs w:val="24"/>
          <w:lang w:bidi="ar-SA"/>
        </w:rPr>
        <w:t>等周边城市</w:t>
      </w:r>
      <w:r>
        <w:rPr>
          <w:rFonts w:hint="eastAsia" w:ascii="Times New Roman" w:hAnsi="Times New Roman" w:eastAsia="宋体" w:cs="Times New Roman"/>
          <w:bCs/>
          <w:color w:val="auto"/>
          <w:kern w:val="2"/>
          <w:sz w:val="24"/>
          <w:szCs w:val="24"/>
          <w:lang w:eastAsia="zh-CN" w:bidi="ar-SA"/>
        </w:rPr>
        <w:t>，通行时间不超过</w:t>
      </w:r>
      <w:r>
        <w:rPr>
          <w:rFonts w:hint="eastAsia" w:ascii="Times New Roman" w:hAnsi="Times New Roman" w:eastAsia="宋体" w:cs="Times New Roman"/>
          <w:bCs/>
          <w:color w:val="auto"/>
          <w:kern w:val="2"/>
          <w:sz w:val="24"/>
          <w:szCs w:val="24"/>
          <w:lang w:val="en-US" w:eastAsia="zh-CN" w:bidi="ar-SA"/>
        </w:rPr>
        <w:t>2小时</w:t>
      </w:r>
      <w:r>
        <w:rPr>
          <w:rFonts w:hint="default" w:ascii="Times New Roman" w:hAnsi="Times New Roman" w:eastAsia="宋体" w:cs="Times New Roman"/>
          <w:bCs/>
          <w:color w:val="auto"/>
          <w:kern w:val="2"/>
          <w:sz w:val="24"/>
          <w:szCs w:val="24"/>
          <w:lang w:bidi="ar-SA"/>
        </w:rPr>
        <w:t>。郑焦城际铁路是连接河南省郑州市与焦作市的城际铁路，是中原城市群城际铁路的组成部分。该线路自郑州南阳寨站引出，向北沿既有京广铁路西侧并行，经郑州、新乡两市，至焦作市与新月线接轨，引入焦作站。郑焦城际铁路已开通运营多年，并实现了公交化运营，为焦作与郑州之间的通勤和出游提供了极大便利。目前，焦作往返郑州方向的列车每天有多对，其中焦作至南阳寨的郑焦城际列车在不同时间段有不同的开行对数。</w:t>
      </w:r>
      <w:r>
        <w:rPr>
          <w:rFonts w:hint="eastAsia" w:ascii="Times New Roman" w:hAnsi="Times New Roman" w:eastAsia="宋体" w:cs="Times New Roman"/>
          <w:bCs/>
          <w:color w:val="auto"/>
          <w:kern w:val="2"/>
          <w:sz w:val="24"/>
          <w:szCs w:val="24"/>
          <w:lang w:eastAsia="zh-CN" w:bidi="ar-SA"/>
        </w:rPr>
        <w:t>已开工建设的</w:t>
      </w:r>
      <w:r>
        <w:rPr>
          <w:rFonts w:hint="default" w:ascii="Times New Roman" w:hAnsi="Times New Roman" w:eastAsia="宋体" w:cs="Times New Roman"/>
          <w:bCs/>
          <w:color w:val="auto"/>
          <w:kern w:val="2"/>
          <w:sz w:val="24"/>
          <w:szCs w:val="24"/>
          <w:lang w:bidi="ar-SA"/>
        </w:rPr>
        <w:t>焦洛平高铁是连接焦作、洛阳、平顶山等地的高速铁路项目，也是呼南高铁的重要组成部分。该项目自沁阳常平线路所起，经博爱县、沁阳市、济源市、孟州市、洛阳市至平顶山市，接入郑万高铁平顶山西站。郑州都市圈市域铁路S3线是一条连接郑州与焦作等周边城市的市域铁路项目。该项目自郑州起，过黄河至新乡，经武陟至焦作。目前，郑州都市圈市域铁路S3线焦作段</w:t>
      </w:r>
      <w:r>
        <w:rPr>
          <w:rFonts w:hint="eastAsia" w:ascii="Times New Roman" w:hAnsi="Times New Roman" w:cs="Times New Roman"/>
          <w:bCs/>
          <w:color w:val="auto"/>
          <w:kern w:val="2"/>
          <w:sz w:val="24"/>
          <w:szCs w:val="24"/>
          <w:lang w:val="en-US" w:eastAsia="zh-CN" w:bidi="ar-SA"/>
        </w:rPr>
        <w:t>已纳入正在编制的《焦作市城市综合交通体系规划》</w:t>
      </w:r>
      <w:r>
        <w:rPr>
          <w:rFonts w:hint="default" w:ascii="Times New Roman" w:hAnsi="Times New Roman" w:eastAsia="宋体" w:cs="Times New Roman"/>
          <w:bCs/>
          <w:color w:val="auto"/>
          <w:kern w:val="2"/>
          <w:sz w:val="24"/>
          <w:szCs w:val="24"/>
          <w:lang w:bidi="ar-SA"/>
        </w:rPr>
        <w:t>，未来有望为焦作市与郑州都市圈之间的交通联系提供更加便捷的通道。</w:t>
      </w:r>
    </w:p>
    <w:p w14:paraId="1598FDDC">
      <w:pPr>
        <w:pStyle w:val="7"/>
        <w:ind w:firstLine="480" w:firstLineChars="200"/>
        <w:rPr>
          <w:rFonts w:hint="eastAsia" w:ascii="Times New Roman" w:hAnsi="Times New Roman" w:eastAsia="宋体" w:cs="Times New Roman"/>
          <w:bCs/>
          <w:color w:val="auto"/>
          <w:kern w:val="2"/>
          <w:sz w:val="24"/>
          <w:szCs w:val="24"/>
          <w:lang w:eastAsia="zh-CN" w:bidi="ar-SA"/>
        </w:rPr>
      </w:pPr>
      <w:r>
        <w:rPr>
          <w:rFonts w:hint="eastAsia" w:ascii="Times New Roman" w:hAnsi="Times New Roman" w:cs="Times New Roman"/>
          <w:bCs/>
          <w:color w:val="auto"/>
          <w:kern w:val="2"/>
          <w:sz w:val="24"/>
          <w:szCs w:val="24"/>
          <w:lang w:val="en-US" w:eastAsia="zh-CN" w:bidi="ar-SA"/>
        </w:rPr>
        <w:t>2、</w:t>
      </w:r>
      <w:r>
        <w:rPr>
          <w:rFonts w:hint="eastAsia" w:ascii="Times New Roman" w:hAnsi="Times New Roman" w:eastAsia="宋体" w:cs="Times New Roman"/>
          <w:bCs/>
          <w:color w:val="auto"/>
          <w:kern w:val="2"/>
          <w:sz w:val="24"/>
          <w:szCs w:val="24"/>
          <w:lang w:eastAsia="zh-CN" w:bidi="ar-SA"/>
        </w:rPr>
        <w:t>交通便利性</w:t>
      </w:r>
    </w:p>
    <w:p w14:paraId="5E1D86D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auto"/>
          <w:lang w:eastAsia="zh-CN"/>
        </w:rPr>
      </w:pPr>
      <w:r>
        <w:rPr>
          <w:rFonts w:ascii="Times New Roman" w:hAnsi="Times New Roman" w:eastAsia="宋体" w:cs="Times New Roman"/>
          <w:bCs/>
          <w:color w:val="auto"/>
          <w:kern w:val="2"/>
          <w:sz w:val="24"/>
          <w:szCs w:val="24"/>
          <w:lang w:bidi="ar-SA"/>
        </w:rPr>
        <w:t>在公路网络建设方面，焦作市已经构筑了一个由高速公路作为坚实骨架、干线公路作为稳固支撑、农村公路作为细致脉络的多层次、立体化公路网络体系。这个体系不仅显著增加了市民</w:t>
      </w:r>
      <w:r>
        <w:rPr>
          <w:rFonts w:hint="eastAsia" w:ascii="Times New Roman" w:hAnsi="Times New Roman" w:cs="Times New Roman"/>
          <w:bCs/>
          <w:color w:val="auto"/>
          <w:kern w:val="2"/>
          <w:sz w:val="24"/>
          <w:szCs w:val="24"/>
          <w:lang w:eastAsia="zh-CN" w:bidi="ar-SA"/>
        </w:rPr>
        <w:t>和游客</w:t>
      </w:r>
      <w:r>
        <w:rPr>
          <w:rFonts w:ascii="Times New Roman" w:hAnsi="Times New Roman" w:eastAsia="宋体" w:cs="Times New Roman"/>
          <w:bCs/>
          <w:color w:val="auto"/>
          <w:kern w:val="2"/>
          <w:sz w:val="24"/>
          <w:szCs w:val="24"/>
          <w:lang w:bidi="ar-SA"/>
        </w:rPr>
        <w:t>的出行选择，而且在实际上缩短了城市内外、城乡之间的时空距离。</w:t>
      </w:r>
      <w:r>
        <w:rPr>
          <w:rFonts w:hint="eastAsia" w:ascii="Times New Roman" w:hAnsi="Times New Roman" w:eastAsia="宋体" w:cs="Times New Roman"/>
          <w:bCs/>
          <w:color w:val="auto"/>
          <w:kern w:val="2"/>
          <w:sz w:val="24"/>
          <w:szCs w:val="24"/>
          <w:lang w:bidi="ar-SA"/>
        </w:rPr>
        <w:t>晋新高速、菏宝高速等高速公路</w:t>
      </w:r>
      <w:r>
        <w:rPr>
          <w:rFonts w:hint="eastAsia" w:ascii="Times New Roman" w:hAnsi="Times New Roman" w:cs="Times New Roman"/>
          <w:bCs/>
          <w:color w:val="auto"/>
          <w:kern w:val="2"/>
          <w:sz w:val="24"/>
          <w:szCs w:val="24"/>
          <w:lang w:eastAsia="zh-CN" w:bidi="ar-SA"/>
        </w:rPr>
        <w:t>，</w:t>
      </w:r>
      <w:r>
        <w:rPr>
          <w:rFonts w:ascii="Times New Roman" w:hAnsi="Times New Roman" w:eastAsia="宋体" w:cs="Times New Roman"/>
          <w:bCs/>
          <w:color w:val="auto"/>
          <w:kern w:val="2"/>
          <w:sz w:val="24"/>
          <w:szCs w:val="24"/>
          <w:lang w:bidi="ar-SA"/>
        </w:rPr>
        <w:t>它们宛如城市的主动脉，连接焦作与周边各大城市，确保了交通往来的快速与便捷</w:t>
      </w:r>
      <w:r>
        <w:rPr>
          <w:rFonts w:hint="eastAsia" w:ascii="Times New Roman" w:hAnsi="Times New Roman" w:cs="Times New Roman"/>
          <w:bCs/>
          <w:color w:val="auto"/>
          <w:kern w:val="2"/>
          <w:sz w:val="24"/>
          <w:szCs w:val="24"/>
          <w:lang w:eastAsia="zh-CN" w:bidi="ar-SA"/>
        </w:rPr>
        <w:t>；</w:t>
      </w:r>
      <w:r>
        <w:rPr>
          <w:rFonts w:ascii="Times New Roman" w:hAnsi="Times New Roman" w:eastAsia="宋体" w:cs="Times New Roman"/>
          <w:bCs/>
          <w:color w:val="auto"/>
          <w:kern w:val="2"/>
          <w:sz w:val="24"/>
          <w:szCs w:val="24"/>
          <w:lang w:bidi="ar-SA"/>
        </w:rPr>
        <w:t>干线公路则扮演着城市次干道的角色，负责疏导区域内的主要交通流量</w:t>
      </w:r>
      <w:r>
        <w:rPr>
          <w:rFonts w:hint="eastAsia" w:ascii="Times New Roman" w:hAnsi="Times New Roman" w:cs="Times New Roman"/>
          <w:bCs/>
          <w:color w:val="auto"/>
          <w:kern w:val="2"/>
          <w:sz w:val="24"/>
          <w:szCs w:val="24"/>
          <w:lang w:eastAsia="zh-CN" w:bidi="ar-SA"/>
        </w:rPr>
        <w:t>；</w:t>
      </w:r>
      <w:r>
        <w:rPr>
          <w:rFonts w:ascii="Times New Roman" w:hAnsi="Times New Roman" w:eastAsia="宋体" w:cs="Times New Roman"/>
          <w:bCs/>
          <w:color w:val="auto"/>
          <w:kern w:val="2"/>
          <w:sz w:val="24"/>
          <w:szCs w:val="24"/>
          <w:lang w:bidi="ar-SA"/>
        </w:rPr>
        <w:t>农村公路，它们则像毛细血管一样延伸至乡村深处，为农村居民提供了便捷的出行条件。</w:t>
      </w:r>
    </w:p>
    <w:p w14:paraId="00FFBA6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auto"/>
          <w:lang w:eastAsia="zh-CN"/>
        </w:rPr>
      </w:pPr>
      <w:r>
        <w:rPr>
          <w:rFonts w:ascii="Times New Roman" w:hAnsi="Times New Roman" w:eastAsia="宋体" w:cs="Times New Roman"/>
          <w:bCs/>
          <w:color w:val="auto"/>
          <w:kern w:val="2"/>
          <w:sz w:val="24"/>
          <w:szCs w:val="24"/>
          <w:lang w:bidi="ar-SA"/>
        </w:rPr>
        <w:t>在公共交通</w:t>
      </w:r>
      <w:r>
        <w:rPr>
          <w:rFonts w:hint="eastAsia" w:ascii="Times New Roman" w:hAnsi="Times New Roman" w:cs="Times New Roman"/>
          <w:bCs/>
          <w:color w:val="auto"/>
          <w:kern w:val="2"/>
          <w:sz w:val="24"/>
          <w:szCs w:val="24"/>
          <w:lang w:eastAsia="zh-CN" w:bidi="ar-SA"/>
        </w:rPr>
        <w:t>方面</w:t>
      </w:r>
      <w:r>
        <w:rPr>
          <w:rFonts w:ascii="Times New Roman" w:hAnsi="Times New Roman" w:eastAsia="宋体" w:cs="Times New Roman"/>
          <w:bCs/>
          <w:color w:val="auto"/>
          <w:kern w:val="2"/>
          <w:sz w:val="24"/>
          <w:szCs w:val="24"/>
          <w:lang w:bidi="ar-SA"/>
        </w:rPr>
        <w:t>，焦作市的公交车线路广泛覆盖，贯穿城市各个角落，班次频繁，确保市民</w:t>
      </w:r>
      <w:r>
        <w:rPr>
          <w:rFonts w:hint="eastAsia" w:ascii="Times New Roman" w:hAnsi="Times New Roman" w:cs="Times New Roman"/>
          <w:bCs/>
          <w:color w:val="auto"/>
          <w:kern w:val="2"/>
          <w:sz w:val="24"/>
          <w:szCs w:val="24"/>
          <w:lang w:eastAsia="zh-CN" w:bidi="ar-SA"/>
        </w:rPr>
        <w:t>和游客</w:t>
      </w:r>
      <w:r>
        <w:rPr>
          <w:rFonts w:ascii="Times New Roman" w:hAnsi="Times New Roman" w:eastAsia="宋体" w:cs="Times New Roman"/>
          <w:bCs/>
          <w:color w:val="auto"/>
          <w:kern w:val="2"/>
          <w:sz w:val="24"/>
          <w:szCs w:val="24"/>
          <w:lang w:bidi="ar-SA"/>
        </w:rPr>
        <w:t>无论在何时何地都能便捷地找到出行方式。车厢内部环境洁净，座椅舒适，为市民提供了上乘的出行体验。焦作市持续加强公共交通建设，不断增加公交车数量，改善公交线路布局，致力于为市民</w:t>
      </w:r>
      <w:r>
        <w:rPr>
          <w:rFonts w:hint="eastAsia" w:ascii="Times New Roman" w:hAnsi="Times New Roman" w:cs="Times New Roman"/>
          <w:bCs/>
          <w:color w:val="auto"/>
          <w:kern w:val="2"/>
          <w:sz w:val="24"/>
          <w:szCs w:val="24"/>
          <w:lang w:eastAsia="zh-CN" w:bidi="ar-SA"/>
        </w:rPr>
        <w:t>和游客</w:t>
      </w:r>
      <w:r>
        <w:rPr>
          <w:rFonts w:ascii="Times New Roman" w:hAnsi="Times New Roman" w:eastAsia="宋体" w:cs="Times New Roman"/>
          <w:bCs/>
          <w:color w:val="auto"/>
          <w:kern w:val="2"/>
          <w:sz w:val="24"/>
          <w:szCs w:val="24"/>
          <w:lang w:bidi="ar-SA"/>
        </w:rPr>
        <w:t>提供更加便捷和高效的公共交通服务。</w:t>
      </w:r>
    </w:p>
    <w:p w14:paraId="68E0AFE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bidi="ar-SA"/>
        </w:rPr>
      </w:pPr>
      <w:r>
        <w:rPr>
          <w:rFonts w:hint="default" w:ascii="Times New Roman" w:hAnsi="Times New Roman" w:eastAsia="宋体" w:cs="Times New Roman"/>
          <w:bCs/>
          <w:color w:val="auto"/>
          <w:kern w:val="2"/>
          <w:sz w:val="24"/>
          <w:szCs w:val="24"/>
          <w:lang w:bidi="ar-SA"/>
        </w:rPr>
        <w:t>在综合交通枢纽建设方面，焦作市更是展现出前瞻性的战略眼光。通过加强公路、铁路、航空等多种交通方式的衔接与配合，焦作市正致力于打造一个集多种交通方式于一体的综合交通枢纽体系。这一体系的建成，将实现各种交通方式之间的无缝换乘和高效衔接，进一步提升焦作市的交通便利性，为市民</w:t>
      </w:r>
      <w:r>
        <w:rPr>
          <w:rFonts w:hint="eastAsia" w:ascii="Times New Roman" w:hAnsi="Times New Roman" w:eastAsia="宋体" w:cs="Times New Roman"/>
          <w:bCs/>
          <w:color w:val="auto"/>
          <w:kern w:val="2"/>
          <w:sz w:val="24"/>
          <w:szCs w:val="24"/>
          <w:lang w:eastAsia="zh-CN" w:bidi="ar-SA"/>
        </w:rPr>
        <w:t>和游客</w:t>
      </w:r>
      <w:r>
        <w:rPr>
          <w:rFonts w:hint="default" w:ascii="Times New Roman" w:hAnsi="Times New Roman" w:eastAsia="宋体" w:cs="Times New Roman"/>
          <w:bCs/>
          <w:color w:val="auto"/>
          <w:kern w:val="2"/>
          <w:sz w:val="24"/>
          <w:szCs w:val="24"/>
          <w:lang w:bidi="ar-SA"/>
        </w:rPr>
        <w:t>出行提供更加便捷、高效的服务。</w:t>
      </w:r>
    </w:p>
    <w:p w14:paraId="261BC12D">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宋体" w:hAnsi="宋体" w:eastAsia="宋体" w:cs="宋体"/>
          <w:b/>
          <w:bCs/>
          <w:color w:val="auto"/>
          <w:sz w:val="30"/>
          <w:szCs w:val="30"/>
          <w:lang w:eastAsia="zh-CN"/>
        </w:rPr>
      </w:pPr>
      <w:bookmarkStart w:id="35" w:name="_Toc24800"/>
      <w:r>
        <w:rPr>
          <w:rFonts w:hint="eastAsia" w:ascii="宋体" w:hAnsi="宋体" w:eastAsia="宋体" w:cs="宋体"/>
          <w:b/>
          <w:bCs/>
          <w:color w:val="auto"/>
          <w:sz w:val="30"/>
          <w:szCs w:val="30"/>
        </w:rPr>
        <w:t>第</w:t>
      </w:r>
      <w:r>
        <w:rPr>
          <w:rFonts w:hint="eastAsia" w:ascii="宋体" w:hAnsi="宋体" w:eastAsia="宋体" w:cs="宋体"/>
          <w:b/>
          <w:bCs/>
          <w:color w:val="auto"/>
          <w:sz w:val="30"/>
          <w:szCs w:val="30"/>
          <w:lang w:eastAsia="zh-CN"/>
        </w:rPr>
        <w:t>二</w:t>
      </w:r>
      <w:r>
        <w:rPr>
          <w:rFonts w:hint="eastAsia" w:ascii="宋体" w:hAnsi="宋体" w:eastAsia="宋体" w:cs="宋体"/>
          <w:b/>
          <w:bCs/>
          <w:color w:val="auto"/>
          <w:sz w:val="30"/>
          <w:szCs w:val="30"/>
        </w:rPr>
        <w:t>节</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lang w:eastAsia="zh-CN"/>
        </w:rPr>
        <w:t>自然地理环境</w:t>
      </w:r>
      <w:bookmarkEnd w:id="35"/>
    </w:p>
    <w:p w14:paraId="652F1B8F">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36" w:name="_Toc14112"/>
      <w:r>
        <w:rPr>
          <w:rFonts w:hint="eastAsia" w:ascii="宋体" w:hAnsi="宋体" w:eastAsia="宋体" w:cs="宋体"/>
          <w:b/>
          <w:bCs/>
          <w:color w:val="auto"/>
          <w:sz w:val="28"/>
          <w:szCs w:val="28"/>
          <w:lang w:eastAsia="zh-CN"/>
        </w:rPr>
        <w:t>一、地形特征与地质构造</w:t>
      </w:r>
      <w:bookmarkEnd w:id="36"/>
    </w:p>
    <w:p w14:paraId="39B54EF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eastAsia="zh-CN" w:bidi="ar-SA"/>
        </w:rPr>
      </w:pPr>
      <w:r>
        <w:rPr>
          <w:rFonts w:hint="default" w:ascii="Times New Roman" w:hAnsi="Times New Roman" w:eastAsia="宋体" w:cs="Times New Roman"/>
          <w:bCs/>
          <w:color w:val="auto"/>
          <w:kern w:val="2"/>
          <w:sz w:val="24"/>
          <w:szCs w:val="24"/>
          <w:lang w:eastAsia="zh-CN" w:bidi="ar-SA"/>
        </w:rPr>
        <w:t>焦作市位于河南省西北部（北纬35°00′-35°02′，东经113°04′-113°26′），处于太行山脉与黄河冲积平原的过渡地带。其地理格局呈现典型的</w:t>
      </w:r>
      <w:r>
        <w:rPr>
          <w:rFonts w:hint="eastAsia" w:ascii="Times New Roman" w:hAnsi="Times New Roman" w:eastAsia="宋体" w:cs="Times New Roman"/>
          <w:bCs/>
          <w:color w:val="auto"/>
          <w:kern w:val="2"/>
          <w:sz w:val="24"/>
          <w:szCs w:val="24"/>
          <w:lang w:eastAsia="zh-CN" w:bidi="ar-SA"/>
        </w:rPr>
        <w:t>“</w:t>
      </w:r>
      <w:r>
        <w:rPr>
          <w:rFonts w:hint="default" w:ascii="Times New Roman" w:hAnsi="Times New Roman" w:eastAsia="宋体" w:cs="Times New Roman"/>
          <w:bCs/>
          <w:color w:val="auto"/>
          <w:kern w:val="2"/>
          <w:sz w:val="24"/>
          <w:szCs w:val="24"/>
          <w:lang w:eastAsia="zh-CN" w:bidi="ar-SA"/>
        </w:rPr>
        <w:t>北山南川</w:t>
      </w:r>
      <w:r>
        <w:rPr>
          <w:rFonts w:hint="eastAsia" w:ascii="Times New Roman" w:hAnsi="Times New Roman" w:eastAsia="宋体" w:cs="Times New Roman"/>
          <w:bCs/>
          <w:color w:val="auto"/>
          <w:kern w:val="2"/>
          <w:sz w:val="24"/>
          <w:szCs w:val="24"/>
          <w:lang w:eastAsia="zh-CN" w:bidi="ar-SA"/>
        </w:rPr>
        <w:t>”</w:t>
      </w:r>
      <w:r>
        <w:rPr>
          <w:rFonts w:hint="default" w:ascii="Times New Roman" w:hAnsi="Times New Roman" w:eastAsia="宋体" w:cs="Times New Roman"/>
          <w:bCs/>
          <w:color w:val="auto"/>
          <w:kern w:val="2"/>
          <w:sz w:val="24"/>
          <w:szCs w:val="24"/>
          <w:lang w:eastAsia="zh-CN" w:bidi="ar-SA"/>
        </w:rPr>
        <w:t>特征</w:t>
      </w:r>
      <w:r>
        <w:rPr>
          <w:rFonts w:hint="eastAsia" w:ascii="Times New Roman" w:hAnsi="Times New Roman" w:eastAsia="宋体" w:cs="Times New Roman"/>
          <w:bCs/>
          <w:color w:val="auto"/>
          <w:kern w:val="2"/>
          <w:sz w:val="24"/>
          <w:szCs w:val="24"/>
          <w:lang w:eastAsia="zh-CN" w:bidi="ar-SA"/>
        </w:rPr>
        <w:t>。</w:t>
      </w:r>
    </w:p>
    <w:p w14:paraId="3F5E86D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eastAsia="zh-CN" w:bidi="ar-SA"/>
        </w:rPr>
      </w:pPr>
      <w:r>
        <w:rPr>
          <w:rFonts w:hint="default" w:ascii="Times New Roman" w:hAnsi="Times New Roman" w:eastAsia="宋体" w:cs="Times New Roman"/>
          <w:bCs/>
          <w:color w:val="auto"/>
          <w:kern w:val="2"/>
          <w:sz w:val="24"/>
          <w:szCs w:val="24"/>
          <w:lang w:eastAsia="zh-CN" w:bidi="ar-SA"/>
        </w:rPr>
        <w:t>北部山地：以太行山南麓为主体，山体主要由古生代寒武纪、奥陶纪石灰岩构成，海拔多在500-1000米之间。岩溶地貌发育，形成峡谷、溶洞等景观（如云台山红石峡）。南部平原：属黄河冲积平原组成部分，地势自西北向东南倾斜，海拔80-120米。地表覆盖第四纪冲积物，土层深厚肥沃。过渡地带：中部丘陵岗地区域存在黄土台地，受流水侵蚀形成冲沟地貌。太行山前断裂带通过该区域，地质活动相对稳定。这种阶梯式地形使焦作成为连接晋豫两省的天然走廊，太行八陉之一的</w:t>
      </w:r>
      <w:r>
        <w:rPr>
          <w:rFonts w:hint="eastAsia" w:ascii="Times New Roman" w:hAnsi="Times New Roman" w:eastAsia="宋体" w:cs="Times New Roman"/>
          <w:bCs/>
          <w:color w:val="auto"/>
          <w:kern w:val="2"/>
          <w:sz w:val="24"/>
          <w:szCs w:val="24"/>
          <w:lang w:eastAsia="zh-CN" w:bidi="ar-SA"/>
        </w:rPr>
        <w:t>“</w:t>
      </w:r>
      <w:r>
        <w:rPr>
          <w:rFonts w:hint="default" w:ascii="Times New Roman" w:hAnsi="Times New Roman" w:eastAsia="宋体" w:cs="Times New Roman"/>
          <w:bCs/>
          <w:color w:val="auto"/>
          <w:kern w:val="2"/>
          <w:sz w:val="24"/>
          <w:szCs w:val="24"/>
          <w:lang w:eastAsia="zh-CN" w:bidi="ar-SA"/>
        </w:rPr>
        <w:t>太行陉</w:t>
      </w:r>
      <w:r>
        <w:rPr>
          <w:rFonts w:hint="eastAsia" w:ascii="Times New Roman" w:hAnsi="Times New Roman" w:eastAsia="宋体" w:cs="Times New Roman"/>
          <w:bCs/>
          <w:color w:val="auto"/>
          <w:kern w:val="2"/>
          <w:sz w:val="24"/>
          <w:szCs w:val="24"/>
          <w:lang w:eastAsia="zh-CN" w:bidi="ar-SA"/>
        </w:rPr>
        <w:t>”</w:t>
      </w:r>
      <w:r>
        <w:rPr>
          <w:rFonts w:hint="default" w:ascii="Times New Roman" w:hAnsi="Times New Roman" w:eastAsia="宋体" w:cs="Times New Roman"/>
          <w:bCs/>
          <w:color w:val="auto"/>
          <w:kern w:val="2"/>
          <w:sz w:val="24"/>
          <w:szCs w:val="24"/>
          <w:lang w:eastAsia="zh-CN" w:bidi="ar-SA"/>
        </w:rPr>
        <w:t>贯穿境内，历史上即是中原与山西高原的重要通道。</w:t>
      </w:r>
    </w:p>
    <w:p w14:paraId="27E50DB1">
      <w:pPr>
        <w:keepNext w:val="0"/>
        <w:keepLines w:val="0"/>
        <w:pageBreakBefore w:val="0"/>
        <w:widowControl w:val="0"/>
        <w:kinsoku/>
        <w:wordWrap/>
        <w:overflowPunct/>
        <w:topLinePunct w:val="0"/>
        <w:autoSpaceDE/>
        <w:autoSpaceDN/>
        <w:bidi w:val="0"/>
        <w:adjustRightInd/>
        <w:snapToGrid/>
        <w:textAlignment w:val="auto"/>
        <w:outlineLvl w:val="2"/>
        <w:rPr>
          <w:rFonts w:hint="default" w:ascii="宋体" w:hAnsi="宋体" w:eastAsia="宋体" w:cs="宋体"/>
          <w:b/>
          <w:bCs/>
          <w:color w:val="auto"/>
          <w:sz w:val="28"/>
          <w:szCs w:val="28"/>
          <w:lang w:eastAsia="zh-CN"/>
        </w:rPr>
      </w:pPr>
      <w:bookmarkStart w:id="37" w:name="_Toc878"/>
      <w:r>
        <w:rPr>
          <w:rFonts w:hint="default" w:ascii="宋体" w:hAnsi="宋体" w:eastAsia="宋体" w:cs="宋体"/>
          <w:b/>
          <w:bCs/>
          <w:color w:val="auto"/>
          <w:sz w:val="28"/>
          <w:szCs w:val="28"/>
          <w:lang w:eastAsia="zh-CN"/>
        </w:rPr>
        <w:t>二、气候特征与气象规律</w:t>
      </w:r>
      <w:bookmarkEnd w:id="37"/>
    </w:p>
    <w:p w14:paraId="1E524622">
      <w:pPr>
        <w:pStyle w:val="8"/>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auto"/>
          <w:kern w:val="2"/>
          <w:sz w:val="24"/>
          <w:szCs w:val="24"/>
          <w:lang w:val="en-US" w:eastAsia="zh-CN" w:bidi="ar-SA"/>
        </w:rPr>
        <w:t>焦作市地处中纬度，属于暖温带大陆性季风气候区内。年平均气温15.2℃，极端最高气温为43.6℃（出现在1966年6月22日、武陟），极端最低气温为-22.4℃（出现在1990年2月1日、武陟），最冷月1月平均气温0.7℃，最热月7月平均气温27.7℃。平均年降水量549.2毫米，一半以上的降水出现在夏季（6-8月），约占全年降水量的58%。一日最大降水量为271.8毫米（修武），出现在1994年7月12日。受季风环流和太行山影响，盛行风向与周边地市有着显著不同，冬半年以西西南风为主导风向，夏半年以东到东北风为主导风向。灾害性天气主要有干旱、雨涝、雷电、大风、寒潮、干热风等，近年受气候变化影响，极端天气事件频率有所增加。</w:t>
      </w:r>
    </w:p>
    <w:p w14:paraId="2CAFB775">
      <w:pPr>
        <w:keepNext w:val="0"/>
        <w:keepLines w:val="0"/>
        <w:pageBreakBefore w:val="0"/>
        <w:widowControl w:val="0"/>
        <w:kinsoku/>
        <w:wordWrap/>
        <w:overflowPunct/>
        <w:topLinePunct w:val="0"/>
        <w:autoSpaceDE/>
        <w:autoSpaceDN/>
        <w:bidi w:val="0"/>
        <w:adjustRightInd/>
        <w:snapToGrid/>
        <w:textAlignment w:val="auto"/>
        <w:outlineLvl w:val="2"/>
        <w:rPr>
          <w:rFonts w:hint="default" w:ascii="宋体" w:hAnsi="宋体" w:eastAsia="宋体" w:cs="宋体"/>
          <w:b/>
          <w:bCs/>
          <w:color w:val="auto"/>
          <w:sz w:val="28"/>
          <w:szCs w:val="28"/>
          <w:lang w:val="en-US" w:eastAsia="zh-CN"/>
        </w:rPr>
      </w:pPr>
      <w:bookmarkStart w:id="38" w:name="_Toc16266"/>
      <w:r>
        <w:rPr>
          <w:rFonts w:hint="default" w:ascii="宋体" w:hAnsi="宋体" w:eastAsia="宋体" w:cs="宋体"/>
          <w:b/>
          <w:bCs/>
          <w:color w:val="auto"/>
          <w:sz w:val="28"/>
          <w:szCs w:val="28"/>
          <w:lang w:val="en-US" w:eastAsia="zh-CN"/>
        </w:rPr>
        <w:t>三、水文系统与水资源</w:t>
      </w:r>
      <w:bookmarkEnd w:id="38"/>
    </w:p>
    <w:p w14:paraId="42B636B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区域水文系统具有显著的山地-平原二元结构</w:t>
      </w:r>
      <w:r>
        <w:rPr>
          <w:rFonts w:hint="eastAsia" w:ascii="Times New Roman" w:hAnsi="Times New Roman" w:eastAsia="宋体"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地表水系：北部山区发育众多季节性河流，最大河流丹河属黄河水系，年均径流量2.3亿m³。南界黄河干流形成天然河道，境内河段长约98km。地下水资源：山前倾斜平原蕴含丰富孔隙水，单井出水量可达50m³/h。岩溶山区发育裂隙岩溶水，泉水流量季节变化显著。水资源特征：人均水资源量380m³，低于全省平均水平。受煤矿开采影响，部分地区出现地下水漏斗现象。近年通过南水北调工程补充供水，水资源紧张状况有所缓解。</w:t>
      </w:r>
    </w:p>
    <w:p w14:paraId="32221D17">
      <w:pPr>
        <w:keepNext w:val="0"/>
        <w:keepLines w:val="0"/>
        <w:pageBreakBefore w:val="0"/>
        <w:widowControl w:val="0"/>
        <w:kinsoku/>
        <w:wordWrap/>
        <w:overflowPunct/>
        <w:topLinePunct w:val="0"/>
        <w:autoSpaceDE/>
        <w:autoSpaceDN/>
        <w:bidi w:val="0"/>
        <w:adjustRightInd/>
        <w:snapToGrid/>
        <w:textAlignment w:val="auto"/>
        <w:outlineLvl w:val="2"/>
        <w:rPr>
          <w:rFonts w:hint="default" w:ascii="宋体" w:hAnsi="宋体" w:eastAsia="宋体" w:cs="宋体"/>
          <w:b/>
          <w:bCs/>
          <w:color w:val="auto"/>
          <w:sz w:val="28"/>
          <w:szCs w:val="28"/>
          <w:lang w:val="en-US" w:eastAsia="zh-CN"/>
        </w:rPr>
      </w:pPr>
      <w:bookmarkStart w:id="39" w:name="_Toc15760"/>
      <w:r>
        <w:rPr>
          <w:rFonts w:hint="default" w:ascii="宋体" w:hAnsi="宋体" w:eastAsia="宋体" w:cs="宋体"/>
          <w:b/>
          <w:bCs/>
          <w:color w:val="auto"/>
          <w:sz w:val="28"/>
          <w:szCs w:val="28"/>
          <w:lang w:val="en-US" w:eastAsia="zh-CN"/>
        </w:rPr>
        <w:t>四、土壤类型与植被分布</w:t>
      </w:r>
      <w:bookmarkEnd w:id="39"/>
    </w:p>
    <w:p w14:paraId="19A96F1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受地形和成土母质影响，土壤呈现垂直地带性</w:t>
      </w:r>
      <w:r>
        <w:rPr>
          <w:rFonts w:hint="eastAsia" w:ascii="Times New Roman" w:hAnsi="Times New Roman" w:eastAsia="宋体"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山地棕壤：海拔700m以上山区，有机质含量3%-5%，发育天然次生林。褐土：丘陵地带主要土类，pH值7.5-8.0，适种小麦、玉米。潮土：平原区优势土类，面积占比65%，耕作层深厚，保水保肥性强。砂姜黑土：局部分布于低洼地带，存在障碍层次。植被覆盖率达32%，北部山区保存有栓皮栎、油松等原生林，平原区以人工林网和农作物为主。特有植物包括太行菊、太行花等孑遗物种。</w:t>
      </w:r>
    </w:p>
    <w:p w14:paraId="34CB7360">
      <w:pPr>
        <w:keepNext w:val="0"/>
        <w:keepLines w:val="0"/>
        <w:pageBreakBefore w:val="0"/>
        <w:widowControl w:val="0"/>
        <w:kinsoku/>
        <w:wordWrap/>
        <w:overflowPunct/>
        <w:topLinePunct w:val="0"/>
        <w:autoSpaceDE/>
        <w:autoSpaceDN/>
        <w:bidi w:val="0"/>
        <w:adjustRightInd/>
        <w:snapToGrid/>
        <w:textAlignment w:val="auto"/>
        <w:outlineLvl w:val="2"/>
        <w:rPr>
          <w:rFonts w:hint="default" w:ascii="宋体" w:hAnsi="宋体" w:eastAsia="宋体" w:cs="宋体"/>
          <w:b/>
          <w:bCs/>
          <w:color w:val="auto"/>
          <w:sz w:val="28"/>
          <w:szCs w:val="28"/>
          <w:lang w:val="en-US" w:eastAsia="zh-CN"/>
        </w:rPr>
      </w:pPr>
      <w:bookmarkStart w:id="40" w:name="_Toc11290"/>
      <w:r>
        <w:rPr>
          <w:rFonts w:hint="default" w:ascii="宋体" w:hAnsi="宋体" w:eastAsia="宋体" w:cs="宋体"/>
          <w:b/>
          <w:bCs/>
          <w:color w:val="auto"/>
          <w:sz w:val="28"/>
          <w:szCs w:val="28"/>
          <w:lang w:val="en-US" w:eastAsia="zh-CN"/>
        </w:rPr>
        <w:t>五、自然资源禀赋</w:t>
      </w:r>
      <w:bookmarkEnd w:id="40"/>
    </w:p>
    <w:p w14:paraId="209FE6D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color w:val="auto"/>
          <w:lang w:val="en-US" w:eastAsia="zh-CN"/>
        </w:rPr>
      </w:pPr>
      <w:r>
        <w:rPr>
          <w:rFonts w:ascii="Times New Roman" w:hAnsi="Times New Roman" w:eastAsia="宋体" w:cs="Times New Roman"/>
          <w:bCs/>
          <w:color w:val="auto"/>
          <w:kern w:val="2"/>
          <w:sz w:val="24"/>
          <w:szCs w:val="24"/>
          <w:lang w:bidi="ar-SA"/>
        </w:rPr>
        <w:t>矿产资源方面，</w:t>
      </w:r>
      <w:r>
        <w:rPr>
          <w:rFonts w:hint="eastAsia" w:ascii="Times New Roman" w:hAnsi="Times New Roman" w:eastAsia="宋体" w:cs="Times New Roman"/>
          <w:bCs/>
          <w:color w:val="auto"/>
          <w:kern w:val="2"/>
          <w:sz w:val="24"/>
          <w:szCs w:val="24"/>
          <w:lang w:eastAsia="zh-CN" w:bidi="ar-SA"/>
        </w:rPr>
        <w:t>焦作市</w:t>
      </w:r>
      <w:r>
        <w:rPr>
          <w:rFonts w:ascii="Times New Roman" w:hAnsi="Times New Roman" w:eastAsia="宋体" w:cs="Times New Roman"/>
          <w:bCs/>
          <w:color w:val="auto"/>
          <w:kern w:val="2"/>
          <w:sz w:val="24"/>
          <w:szCs w:val="24"/>
          <w:lang w:bidi="ar-SA"/>
        </w:rPr>
        <w:t>拥有大量的石灰岩资源，储量高达80亿吨，同时铝土矿和</w:t>
      </w:r>
      <w:r>
        <w:rPr>
          <w:rFonts w:hint="eastAsia" w:ascii="Times New Roman" w:hAnsi="Times New Roman" w:cs="Times New Roman"/>
          <w:bCs/>
          <w:color w:val="auto"/>
          <w:kern w:val="2"/>
          <w:sz w:val="24"/>
          <w:szCs w:val="24"/>
          <w:lang w:eastAsia="zh-CN" w:bidi="ar-SA"/>
        </w:rPr>
        <w:t>耐火黏土</w:t>
      </w:r>
      <w:r>
        <w:rPr>
          <w:rFonts w:ascii="Times New Roman" w:hAnsi="Times New Roman" w:eastAsia="宋体" w:cs="Times New Roman"/>
          <w:bCs/>
          <w:color w:val="auto"/>
          <w:kern w:val="2"/>
          <w:sz w:val="24"/>
          <w:szCs w:val="24"/>
          <w:lang w:bidi="ar-SA"/>
        </w:rPr>
        <w:t>等矿产资源也相当丰富。除此之外，</w:t>
      </w:r>
      <w:r>
        <w:rPr>
          <w:rFonts w:hint="eastAsia" w:ascii="Times New Roman" w:hAnsi="Times New Roman" w:cs="Times New Roman"/>
          <w:bCs/>
          <w:color w:val="auto"/>
          <w:kern w:val="2"/>
          <w:sz w:val="24"/>
          <w:szCs w:val="24"/>
          <w:lang w:eastAsia="zh-CN" w:bidi="ar-SA"/>
        </w:rPr>
        <w:t>焦作市</w:t>
      </w:r>
      <w:r>
        <w:rPr>
          <w:rFonts w:ascii="Times New Roman" w:hAnsi="Times New Roman" w:eastAsia="宋体" w:cs="Times New Roman"/>
          <w:bCs/>
          <w:color w:val="auto"/>
          <w:kern w:val="2"/>
          <w:sz w:val="24"/>
          <w:szCs w:val="24"/>
          <w:lang w:bidi="ar-SA"/>
        </w:rPr>
        <w:t>已探明的煤炭储量达到了32.4亿吨，主要以无烟煤为主，这种煤炭在宋朝时期被称为</w:t>
      </w:r>
      <w:r>
        <w:rPr>
          <w:rFonts w:hint="eastAsia" w:ascii="Times New Roman" w:hAnsi="Times New Roman" w:cs="Times New Roman"/>
          <w:bCs/>
          <w:color w:val="auto"/>
          <w:kern w:val="2"/>
          <w:sz w:val="24"/>
          <w:szCs w:val="24"/>
          <w:lang w:eastAsia="zh-CN" w:bidi="ar-SA"/>
        </w:rPr>
        <w:t>“</w:t>
      </w:r>
      <w:r>
        <w:rPr>
          <w:rFonts w:ascii="Times New Roman" w:hAnsi="Times New Roman" w:eastAsia="宋体" w:cs="Times New Roman"/>
          <w:bCs/>
          <w:color w:val="auto"/>
          <w:kern w:val="2"/>
          <w:sz w:val="24"/>
          <w:szCs w:val="24"/>
          <w:lang w:bidi="ar-SA"/>
        </w:rPr>
        <w:t>香煤饼</w:t>
      </w:r>
      <w:r>
        <w:rPr>
          <w:rFonts w:hint="eastAsia" w:ascii="Times New Roman" w:hAnsi="Times New Roman" w:cs="Times New Roman"/>
          <w:bCs/>
          <w:color w:val="auto"/>
          <w:kern w:val="2"/>
          <w:sz w:val="24"/>
          <w:szCs w:val="24"/>
          <w:lang w:eastAsia="zh-CN" w:bidi="ar-SA"/>
        </w:rPr>
        <w:t>”</w:t>
      </w:r>
      <w:r>
        <w:rPr>
          <w:rFonts w:ascii="Times New Roman" w:hAnsi="Times New Roman" w:eastAsia="宋体" w:cs="Times New Roman"/>
          <w:bCs/>
          <w:color w:val="auto"/>
          <w:kern w:val="2"/>
          <w:sz w:val="24"/>
          <w:szCs w:val="24"/>
          <w:lang w:bidi="ar-SA"/>
        </w:rPr>
        <w:t>的原料</w:t>
      </w:r>
      <w:r>
        <w:rPr>
          <w:rFonts w:hint="eastAsia" w:ascii="Times New Roman" w:hAnsi="Times New Roman" w:cs="Times New Roman"/>
          <w:bCs/>
          <w:color w:val="auto"/>
          <w:kern w:val="2"/>
          <w:sz w:val="24"/>
          <w:szCs w:val="24"/>
          <w:lang w:eastAsia="zh-CN" w:bidi="ar-SA"/>
        </w:rPr>
        <w:t>，但近些年煤炭保有储量大幅下降，剩余资源分布零散，开采难度增大，经济效益降低。</w:t>
      </w:r>
      <w:r>
        <w:rPr>
          <w:rFonts w:ascii="Times New Roman" w:hAnsi="Times New Roman" w:eastAsia="宋体" w:cs="Times New Roman"/>
          <w:bCs/>
          <w:color w:val="auto"/>
          <w:kern w:val="2"/>
          <w:sz w:val="24"/>
          <w:szCs w:val="24"/>
          <w:lang w:bidi="ar-SA"/>
        </w:rPr>
        <w:t>在地热资源方面，沿着太行山前的断裂带分布着丰富的温泉资源，这些温泉的出口水温介于42至45摄氏度之间，富含偏硅酸、锶等对人体有益的微量元素。生物资源方面，该地区现存的陆生脊椎动物种类超过200种，其中太行猕猴是国家二级保护动物。此外，药用植物资源也极为丰富，达到了1000余种，其中四大怀药（地黄、牛膝、山药、菊花）更是地理标志产品，享誉中外。在景观资源方面，云台山世界地质公园展示了从元古宙到新生代的地层剖面，而青龙峡则保存了完整的峡谷地貌系统，是自然景观的瑰宝。</w:t>
      </w:r>
    </w:p>
    <w:p w14:paraId="1D0AE9BA">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宋体" w:hAnsi="宋体" w:eastAsia="宋体" w:cs="宋体"/>
          <w:b/>
          <w:bCs/>
          <w:color w:val="auto"/>
          <w:sz w:val="30"/>
          <w:szCs w:val="30"/>
          <w:lang w:eastAsia="zh-CN"/>
        </w:rPr>
      </w:pPr>
      <w:bookmarkStart w:id="41" w:name="_Toc26523"/>
      <w:r>
        <w:rPr>
          <w:rFonts w:hint="eastAsia" w:ascii="宋体" w:hAnsi="宋体" w:eastAsia="宋体" w:cs="宋体"/>
          <w:b/>
          <w:bCs/>
          <w:color w:val="auto"/>
          <w:sz w:val="30"/>
          <w:szCs w:val="30"/>
        </w:rPr>
        <w:t>第</w:t>
      </w:r>
      <w:r>
        <w:rPr>
          <w:rFonts w:hint="eastAsia" w:ascii="宋体" w:hAnsi="宋体" w:eastAsia="宋体" w:cs="宋体"/>
          <w:b/>
          <w:bCs/>
          <w:color w:val="auto"/>
          <w:sz w:val="30"/>
          <w:szCs w:val="30"/>
          <w:lang w:eastAsia="zh-CN"/>
        </w:rPr>
        <w:t>三</w:t>
      </w:r>
      <w:r>
        <w:rPr>
          <w:rFonts w:hint="eastAsia" w:ascii="宋体" w:hAnsi="宋体" w:eastAsia="宋体" w:cs="宋体"/>
          <w:b/>
          <w:bCs/>
          <w:color w:val="auto"/>
          <w:sz w:val="30"/>
          <w:szCs w:val="30"/>
        </w:rPr>
        <w:t>节</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lang w:eastAsia="zh-CN"/>
        </w:rPr>
        <w:t>历史文化发展</w:t>
      </w:r>
      <w:bookmarkEnd w:id="41"/>
    </w:p>
    <w:p w14:paraId="57F9B526">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42" w:name="_Toc7405"/>
      <w:r>
        <w:rPr>
          <w:rFonts w:hint="eastAsia" w:ascii="宋体" w:hAnsi="宋体" w:eastAsia="宋体" w:cs="宋体"/>
          <w:b/>
          <w:bCs/>
          <w:color w:val="auto"/>
          <w:sz w:val="28"/>
          <w:szCs w:val="28"/>
          <w:lang w:eastAsia="zh-CN"/>
        </w:rPr>
        <w:t>一、历史沿革</w:t>
      </w:r>
      <w:bookmarkEnd w:id="42"/>
    </w:p>
    <w:p w14:paraId="03ECA5A3">
      <w:pPr>
        <w:spacing w:line="360" w:lineRule="auto"/>
        <w:ind w:firstLine="482" w:firstLineChars="200"/>
        <w:rPr>
          <w:rFonts w:hint="eastAsia" w:ascii="宋体" w:hAnsi="宋体" w:cs="宋体"/>
          <w:b/>
          <w:bCs/>
          <w:color w:val="auto"/>
          <w:sz w:val="24"/>
          <w:szCs w:val="24"/>
          <w:lang w:eastAsia="zh-CN"/>
        </w:rPr>
      </w:pPr>
      <w:r>
        <w:rPr>
          <w:rFonts w:hint="eastAsia" w:ascii="宋体" w:hAnsi="宋体" w:eastAsia="宋体" w:cs="宋体"/>
          <w:b/>
          <w:bCs/>
          <w:color w:val="auto"/>
          <w:sz w:val="24"/>
          <w:szCs w:val="24"/>
          <w:lang w:eastAsia="zh-CN"/>
        </w:rPr>
        <w:t>（一）</w:t>
      </w:r>
      <w:r>
        <w:rPr>
          <w:rFonts w:hint="eastAsia" w:ascii="宋体" w:hAnsi="宋体" w:cs="宋体"/>
          <w:b/>
          <w:bCs/>
          <w:color w:val="auto"/>
          <w:sz w:val="24"/>
          <w:szCs w:val="24"/>
          <w:lang w:eastAsia="zh-CN"/>
        </w:rPr>
        <w:t>起源与早期发展</w:t>
      </w:r>
    </w:p>
    <w:p w14:paraId="49E8BD9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焦作市位于中国河南省西北部，其历史可以追溯到远古时期。据考古发现，早在距今约8000年前的新石器时代，焦作地区就有人类活动的痕迹，形成了早期的聚落。这些聚落逐渐发展壮大，成为古代文明的重要组成部分。焦作市的起源与煤炭资源的开发密切相关。在古代，焦作地区因其丰富的煤炭资源而逐渐受到重视。随着煤炭的开采和利用，焦作逐渐从一个默默无闻的小村落发展成为具有一定规模的工商业城镇。明清时期，焦作地区的煤炭开采达到了一个高峰，吸引了大量人口聚集，商业贸易也日益繁荣。在早期发展过程中，焦作不仅是一个重要的煤炭产地，还是一个农业发达的地区。农业与煤炭产业的结合，为焦作的经济和社会发展奠定了坚实的基础。同时，焦作地区也逐渐形成了独特的民俗文化和地方特色，如怀川文化等，这些文化元素至今仍在影响着焦作的社会风貌。</w:t>
      </w:r>
    </w:p>
    <w:p w14:paraId="2B0D010B">
      <w:pPr>
        <w:spacing w:line="360" w:lineRule="auto"/>
        <w:ind w:firstLine="482" w:firstLineChars="200"/>
        <w:rPr>
          <w:rFonts w:hint="eastAsia" w:ascii="宋体" w:hAnsi="宋体" w:cs="宋体"/>
          <w:b/>
          <w:bCs/>
          <w:color w:val="auto"/>
          <w:sz w:val="24"/>
          <w:szCs w:val="24"/>
          <w:lang w:eastAsia="zh-CN"/>
        </w:rPr>
      </w:pP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二</w:t>
      </w: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行政区划变迁</w:t>
      </w:r>
    </w:p>
    <w:p w14:paraId="54A97B8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焦作市的行政区划变迁经历了多个历史阶段。最早可以追溯到古代的郡县制时期，焦作地区曾隶属于不同的郡县管辖。随着历史的演进，行政区划也经历了多次调整。在近现代，焦作市的行政区划变迁尤为频繁。民国时期，焦作地区曾隶属于不同的行政区，如怀庆府、沁阳县等。新中国成立后，焦作地区先后隶属于平原省新乡专区、河南省新乡专区等。1956年，焦作矿区被撤销，设立焦作市，成为河南省直辖市。此后，焦作市的行政区划又经历了多次调整，如增设区、县，调整市界等。这些调整不仅反映了焦作市经济社会的发展变化，也体现了国家对地方治理的不断优化和完善。至今，焦作市下辖多个区和县，每个行政区划都有其独特的历史背景和发展轨迹，共同构成了焦作市丰富多彩的行政区划体系。</w:t>
      </w:r>
    </w:p>
    <w:p w14:paraId="07A906CE">
      <w:pPr>
        <w:spacing w:line="360" w:lineRule="auto"/>
        <w:ind w:firstLine="482" w:firstLineChars="200"/>
        <w:rPr>
          <w:rFonts w:hint="eastAsia" w:ascii="宋体" w:hAnsi="宋体" w:cs="宋体"/>
          <w:b/>
          <w:bCs/>
          <w:color w:val="auto"/>
          <w:sz w:val="24"/>
          <w:szCs w:val="24"/>
          <w:lang w:eastAsia="zh-CN"/>
        </w:rPr>
      </w:pP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三</w:t>
      </w: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重要历史事件</w:t>
      </w:r>
    </w:p>
    <w:p w14:paraId="7457DDD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焦作市的历史上发生过许多重要事件，这些事件不仅深刻影响了焦作市的发展轨迹，也在中国历史上留下了浓墨重彩的一笔。其中，抗日战争时期焦作地区的斗争尤为激烈。焦作地处中原腹地，是日军侵华的重要战略目标之一。在抗日战争期间，焦作人民在中国共产党的领导下，积极投身抗日救亡运动，与日军进行了殊死搏斗。他们组织抗日武装，开展游击战争，破坏敌人的交通线，为抗日战争的胜利作出了巨大贡献。除了抗日战争外，焦作市还经历了许多其他重要历史事件。如解放战争时期，焦作人民积极配合人民解放军进行解放斗争；新中国成立后，焦作市在经济建设、社会改革等方面也取得了显著成就。特别是在煤炭产业方面，焦作市曾是中国重要的煤炭生产基地之一，为国家经济发展作出了重要贡献。这些重要历史事件不仅见证了焦作市人民的英勇奋斗和无私奉献精神，也彰显了焦作市在中国历史上的重要地位和作用。</w:t>
      </w:r>
    </w:p>
    <w:p w14:paraId="09797773">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43" w:name="_Toc3554"/>
      <w:r>
        <w:rPr>
          <w:rFonts w:hint="eastAsia" w:ascii="宋体" w:hAnsi="宋体" w:eastAsia="宋体" w:cs="宋体"/>
          <w:b/>
          <w:bCs/>
          <w:color w:val="auto"/>
          <w:sz w:val="28"/>
          <w:szCs w:val="28"/>
          <w:lang w:eastAsia="zh-CN"/>
        </w:rPr>
        <w:t>二、文化遗产</w:t>
      </w:r>
      <w:bookmarkEnd w:id="43"/>
    </w:p>
    <w:p w14:paraId="4D8AD90F">
      <w:pPr>
        <w:spacing w:line="360" w:lineRule="auto"/>
        <w:ind w:firstLine="480" w:firstLineChars="200"/>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焦作市，作为河南省的一颗璀璨明珠，不仅以其丰富的自然资源闻名遐迩，更因深厚的文化底蕴而备受瞩目。</w:t>
      </w:r>
    </w:p>
    <w:p w14:paraId="0F0BF6E4">
      <w:pPr>
        <w:spacing w:line="360" w:lineRule="auto"/>
        <w:ind w:firstLine="482" w:firstLineChars="200"/>
        <w:rPr>
          <w:rFonts w:hint="eastAsia" w:ascii="宋体" w:hAnsi="宋体" w:cs="宋体"/>
          <w:b/>
          <w:bCs/>
          <w:color w:val="auto"/>
          <w:sz w:val="24"/>
          <w:szCs w:val="24"/>
          <w:lang w:eastAsia="zh-CN"/>
        </w:rPr>
      </w:pPr>
      <w:r>
        <w:rPr>
          <w:rFonts w:hint="eastAsia" w:ascii="宋体" w:hAnsi="宋体" w:eastAsia="宋体" w:cs="宋体"/>
          <w:b/>
          <w:bCs/>
          <w:color w:val="auto"/>
          <w:sz w:val="24"/>
          <w:szCs w:val="24"/>
          <w:lang w:eastAsia="zh-CN"/>
        </w:rPr>
        <w:t>（一）</w:t>
      </w:r>
      <w:r>
        <w:rPr>
          <w:rFonts w:hint="eastAsia" w:ascii="宋体" w:hAnsi="宋体" w:cs="宋体"/>
          <w:b/>
          <w:bCs/>
          <w:color w:val="auto"/>
          <w:sz w:val="24"/>
          <w:szCs w:val="24"/>
          <w:lang w:eastAsia="zh-CN"/>
        </w:rPr>
        <w:t>物质文化遗产</w:t>
      </w:r>
    </w:p>
    <w:p w14:paraId="6B7A746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物质文化遗产方面，焦作市拥有众多珍贵的历史遗迹和文物，它们见证了这座城市从古至今的辉煌历程。首先不得不提的是焦作市的古建筑群。其中，以嘉应观最为著名，这是一座始建于清代的皇家庙宇，不仅是清朝皇帝为祭祀黄河河神、封赏治河功臣而建的庙宇，更是集皇家宫殿与庙宇建筑风格于一体的瑰宝。嘉应观的建筑风格独特，布局严谨，主体建筑坐北朝南，中轴线对称布局，从南至北依次建有山门、御碑亭、中大殿和后大殿等建筑，每一座建筑都承载着深厚的历史文化内涵。此外，焦作市还拥有众多明清时期的民居建筑，如焦作老街区的传统院落，它们以砖木结构为主，雕刻精美，体现了古代匠人的高超技艺和审美观念。除了古建筑群，焦作市的古遗址也同样引人注目。例如，府城遗址，这是一处新石器时代至东周时期的古代文化遗址，遗址内出土了大量珍贵文物，包括陶器、石器、骨器等，为研究古代社会生活、文化提供了宝贵的实物资料。此外，焦作市还拥有多处古代墓葬群，如汉代古墓群，这些墓葬不仅保存了大量的随葬品，还揭示了当时的社会结构和丧葬习俗。焦作市的文物藏品同样丰富多彩，包括青铜器、陶瓷器、书画、玉器等。其中，以汉代铜器最为珍贵，这些铜器不仅工艺精湛，造型独特，还蕴含着丰富的历史文化信息，是研究汉代社会、文化、艺术的重要实物资料。</w:t>
      </w:r>
    </w:p>
    <w:p w14:paraId="714665A0">
      <w:pPr>
        <w:spacing w:line="360" w:lineRule="auto"/>
        <w:ind w:firstLine="482" w:firstLineChars="200"/>
        <w:rPr>
          <w:rFonts w:hint="eastAsia" w:ascii="宋体" w:hAnsi="宋体" w:cs="宋体"/>
          <w:b/>
          <w:bCs/>
          <w:color w:val="auto"/>
          <w:sz w:val="24"/>
          <w:szCs w:val="24"/>
          <w:lang w:eastAsia="zh-CN"/>
        </w:rPr>
      </w:pP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二</w:t>
      </w: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非物质文化遗产</w:t>
      </w:r>
    </w:p>
    <w:p w14:paraId="4674605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非物质文化遗产方面，焦作市同样拥有众多珍贵的文化遗产。这些非物质文化遗产不仅体现了焦作市人民的智慧和创造力，还承载着这座城市独特的文化记忆。焦作市的传统手工艺尤为突出。其中，以绞胎瓷最为著名，这是一种独特的陶瓷工艺，通过将不同颜色的泥土交织在一起，形成独特的纹理和色彩，再经过烧制而成。绞胎瓷不仅造型美观，色彩丰富，还蕴含着深厚的文化内涵，是焦作市独特的文化符号。此外，焦作市还拥有剪纸、刺绣等传统手工艺，这些手工艺以其独特的技艺和精美的作品，赢得了广泛赞誉。焦作市的民俗活动同样丰富多彩。例如，每年的元宵节，焦作市都会举行盛大的灯会活动，各种造型独特的灯笼挂满了街头巷尾，吸引了众多游客前来观赏。此外，焦作市还拥有独特的民间舞蹈和戏曲表演，如太极拳表演、怀梆戏曲等，这些表演以其独特的艺术风格和精湛的表演技巧，赢得了观众的喜爱。焦作市的口头传统和表现形式同样值得关注。例如，焦作市拥有许多民间传说和故事，这些传说和故事不仅生动有趣，还蕴含着丰富的历史文化信息。此外，焦作市还拥有独特的民间音乐和歌谣，这些音乐和歌谣以其独特的旋律和歌词，展现了焦作市人民的智慧和创造力。</w:t>
      </w:r>
    </w:p>
    <w:p w14:paraId="40BFE647">
      <w:pPr>
        <w:spacing w:line="360" w:lineRule="auto"/>
        <w:ind w:firstLine="482" w:firstLineChars="200"/>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（三）文化遗产保护</w:t>
      </w:r>
    </w:p>
    <w:p w14:paraId="320A3A5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文化遗产保护方面，焦作市采取了多项有力措施，以确保这些珍贵的文化遗产得以传承和发扬。首先，焦作市政府高度重视文化遗产保护工作，制定了相关政策和法规，为文化遗产保护提供了有力的法律保障。同时，焦作市政府还加大了对文化遗产保护的投入力度，用于修缮古建筑、保护文物、传承非物质文化遗产等。其次，焦作市加强了对文化遗产的宣传和教育力度。通过举办各种文化活动、展览和讲座等形式，向公众普及文化遗产知识，提高公众对文化遗产保护的认识和重视程度。同时，焦作市还积极开展文化遗产进校园活动，让青少年了解并传承文化遗产。最后，焦作市还加强了与其他地区的交流与合作。通过与其他地区的文化遗产保护机构建立合作关系，共同开展文化遗产保护和研究工作。此外，焦作市还积极参与</w:t>
      </w:r>
      <w:r>
        <w:rPr>
          <w:rFonts w:hint="eastAsia" w:ascii="Times New Roman" w:hAnsi="Times New Roman" w:cs="Times New Roman"/>
          <w:bCs/>
          <w:color w:val="auto"/>
          <w:kern w:val="2"/>
          <w:sz w:val="24"/>
          <w:szCs w:val="24"/>
          <w:lang w:val="en-US" w:eastAsia="zh-CN" w:bidi="ar-SA"/>
        </w:rPr>
        <w:t>世界文化遗产</w:t>
      </w:r>
      <w:r>
        <w:rPr>
          <w:rFonts w:hint="default" w:ascii="Times New Roman" w:hAnsi="Times New Roman" w:eastAsia="宋体" w:cs="Times New Roman"/>
          <w:bCs/>
          <w:color w:val="auto"/>
          <w:kern w:val="2"/>
          <w:sz w:val="24"/>
          <w:szCs w:val="24"/>
          <w:lang w:val="en-US" w:eastAsia="zh-CN" w:bidi="ar-SA"/>
        </w:rPr>
        <w:t>保护交流活动，借鉴国际先进经验和技术手段，提高文化遗产保护水平。总之，焦作市的文化遗产保护工作取得了显著成效。未来，随着社会的不断发展和进步，焦作市将继续加强文化遗产保护工作，让这些珍贵的文化遗产得以世代相传、发扬光大。</w:t>
      </w:r>
    </w:p>
    <w:p w14:paraId="1087457E">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44" w:name="_Toc28404"/>
      <w:r>
        <w:rPr>
          <w:rFonts w:hint="eastAsia" w:ascii="宋体" w:hAnsi="宋体" w:eastAsia="宋体" w:cs="宋体"/>
          <w:b/>
          <w:bCs/>
          <w:color w:val="auto"/>
          <w:sz w:val="28"/>
          <w:szCs w:val="28"/>
          <w:lang w:eastAsia="zh-CN"/>
        </w:rPr>
        <w:t>三、文学艺术</w:t>
      </w:r>
      <w:bookmarkEnd w:id="44"/>
    </w:p>
    <w:p w14:paraId="5E5F5DAD">
      <w:pPr>
        <w:spacing w:line="360" w:lineRule="auto"/>
        <w:ind w:firstLine="482" w:firstLineChars="200"/>
        <w:rPr>
          <w:rFonts w:hint="eastAsia" w:ascii="宋体" w:hAnsi="宋体" w:cs="宋体"/>
          <w:b/>
          <w:bCs/>
          <w:color w:val="auto"/>
          <w:sz w:val="24"/>
          <w:szCs w:val="24"/>
          <w:lang w:eastAsia="zh-CN"/>
        </w:rPr>
      </w:pPr>
      <w:r>
        <w:rPr>
          <w:rFonts w:hint="eastAsia" w:ascii="宋体" w:hAnsi="宋体" w:eastAsia="宋体" w:cs="宋体"/>
          <w:b/>
          <w:bCs/>
          <w:color w:val="auto"/>
          <w:sz w:val="24"/>
          <w:szCs w:val="24"/>
          <w:lang w:eastAsia="zh-CN"/>
        </w:rPr>
        <w:t>（一）</w:t>
      </w:r>
      <w:r>
        <w:rPr>
          <w:rFonts w:hint="eastAsia" w:ascii="宋体" w:hAnsi="宋体" w:cs="宋体"/>
          <w:b/>
          <w:bCs/>
          <w:color w:val="auto"/>
          <w:sz w:val="24"/>
          <w:szCs w:val="24"/>
          <w:lang w:eastAsia="zh-CN"/>
        </w:rPr>
        <w:t>文学创作</w:t>
      </w:r>
    </w:p>
    <w:p w14:paraId="53BD2FA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焦作市，这片历史悠久的土地，孕育了无数文人墨客，他们的笔下流淌着对焦作市深沉的爱与怀念。在文学创作领域，焦作市的风土人情和历史变迁被巧妙地</w:t>
      </w:r>
      <w:r>
        <w:rPr>
          <w:rFonts w:hint="eastAsia" w:ascii="Times New Roman" w:hAnsi="Times New Roman" w:cs="Times New Roman"/>
          <w:bCs/>
          <w:color w:val="auto"/>
          <w:kern w:val="2"/>
          <w:sz w:val="24"/>
          <w:szCs w:val="24"/>
          <w:lang w:val="en-US" w:eastAsia="zh-CN" w:bidi="ar-SA"/>
        </w:rPr>
        <w:t>融入</w:t>
      </w:r>
      <w:r>
        <w:rPr>
          <w:rFonts w:hint="default" w:ascii="Times New Roman" w:hAnsi="Times New Roman" w:eastAsia="宋体" w:cs="Times New Roman"/>
          <w:bCs/>
          <w:color w:val="auto"/>
          <w:kern w:val="2"/>
          <w:sz w:val="24"/>
          <w:szCs w:val="24"/>
          <w:lang w:val="en-US" w:eastAsia="zh-CN" w:bidi="ar-SA"/>
        </w:rPr>
        <w:t>了历史小说、诗歌、散文等文学作品中，</w:t>
      </w:r>
      <w:r>
        <w:rPr>
          <w:rFonts w:hint="eastAsia" w:ascii="Times New Roman" w:hAnsi="Times New Roman" w:cs="Times New Roman"/>
          <w:bCs/>
          <w:color w:val="auto"/>
          <w:kern w:val="2"/>
          <w:sz w:val="24"/>
          <w:szCs w:val="24"/>
          <w:lang w:val="en-US" w:eastAsia="zh-CN" w:bidi="ar-SA"/>
        </w:rPr>
        <w:t>成为</w:t>
      </w:r>
      <w:r>
        <w:rPr>
          <w:rFonts w:hint="default" w:ascii="Times New Roman" w:hAnsi="Times New Roman" w:eastAsia="宋体" w:cs="Times New Roman"/>
          <w:bCs/>
          <w:color w:val="auto"/>
          <w:kern w:val="2"/>
          <w:sz w:val="24"/>
          <w:szCs w:val="24"/>
          <w:lang w:val="en-US" w:eastAsia="zh-CN" w:bidi="ar-SA"/>
        </w:rPr>
        <w:t>一座城市的记忆与见证。历史小说方面，焦作市的历史变迁</w:t>
      </w:r>
      <w:r>
        <w:rPr>
          <w:rFonts w:hint="eastAsia" w:ascii="Times New Roman" w:hAnsi="Times New Roman" w:cs="Times New Roman"/>
          <w:bCs/>
          <w:color w:val="auto"/>
          <w:kern w:val="2"/>
          <w:sz w:val="24"/>
          <w:szCs w:val="24"/>
          <w:lang w:val="en-US" w:eastAsia="zh-CN" w:bidi="ar-SA"/>
        </w:rPr>
        <w:t>成为</w:t>
      </w:r>
      <w:r>
        <w:rPr>
          <w:rFonts w:hint="default" w:ascii="Times New Roman" w:hAnsi="Times New Roman" w:eastAsia="宋体" w:cs="Times New Roman"/>
          <w:bCs/>
          <w:color w:val="auto"/>
          <w:kern w:val="2"/>
          <w:sz w:val="24"/>
          <w:szCs w:val="24"/>
          <w:lang w:val="en-US" w:eastAsia="zh-CN" w:bidi="ar-SA"/>
        </w:rPr>
        <w:t>作家们笔下的重要素材。他们以细腻的笔触，描绘了焦作市从古代到现代的沧桑巨变，让读者在品味故事情节的同时，也能感受到这座城市厚重的历史底蕴。这些小说不仅讲述了历史人物和事件，更揭示了焦作市人民的坚韧与智慧，以及他们对美好生活的向往与追求。诗歌与散文中，焦作市的自然风光、民俗风情、历史遗迹等被赋予了诗意与哲思。诗人们用优美的诗句，描绘了焦作市的山水之美，展现了</w:t>
      </w:r>
      <w:r>
        <w:rPr>
          <w:rFonts w:hint="eastAsia" w:ascii="Times New Roman" w:hAnsi="Times New Roman" w:cs="Times New Roman"/>
          <w:bCs/>
          <w:color w:val="auto"/>
          <w:kern w:val="2"/>
          <w:sz w:val="24"/>
          <w:szCs w:val="24"/>
          <w:lang w:val="en-US" w:eastAsia="zh-CN" w:bidi="ar-SA"/>
        </w:rPr>
        <w:t>人与自然和谐共生</w:t>
      </w:r>
      <w:r>
        <w:rPr>
          <w:rFonts w:hint="default" w:ascii="Times New Roman" w:hAnsi="Times New Roman" w:eastAsia="宋体" w:cs="Times New Roman"/>
          <w:bCs/>
          <w:color w:val="auto"/>
          <w:kern w:val="2"/>
          <w:sz w:val="24"/>
          <w:szCs w:val="24"/>
          <w:lang w:val="en-US" w:eastAsia="zh-CN" w:bidi="ar-SA"/>
        </w:rPr>
        <w:t>。散文家们则以细腻的笔触，记录了焦作市人民的日常生活，反映了他们对家乡的深厚情感和对未来的美好憧憬。这些作品不仅是对焦作市风土人情的真实写照，更是对焦作市精神风貌的生动诠释。</w:t>
      </w:r>
    </w:p>
    <w:p w14:paraId="29EC2307">
      <w:pPr>
        <w:spacing w:line="360" w:lineRule="auto"/>
        <w:ind w:firstLine="482" w:firstLineChars="200"/>
        <w:rPr>
          <w:rFonts w:hint="eastAsia" w:ascii="宋体" w:hAnsi="宋体" w:cs="宋体"/>
          <w:b/>
          <w:bCs/>
          <w:color w:val="auto"/>
          <w:sz w:val="24"/>
          <w:szCs w:val="24"/>
          <w:lang w:eastAsia="zh-CN"/>
        </w:rPr>
      </w:pP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二</w:t>
      </w: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艺术创作</w:t>
      </w:r>
    </w:p>
    <w:p w14:paraId="37CCEEE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在艺术创作领域，焦作市的独特魅力被赋予了新的生命。绘画、音乐、舞蹈等艺术形式，以各自独特的方式，展现了焦作市的自然之美与文化之韵。绘画方面，焦作市的山水风光、古建筑、民俗风情等</w:t>
      </w:r>
      <w:r>
        <w:rPr>
          <w:rFonts w:hint="eastAsia" w:ascii="Times New Roman" w:hAnsi="Times New Roman" w:cs="Times New Roman"/>
          <w:bCs/>
          <w:color w:val="auto"/>
          <w:kern w:val="2"/>
          <w:sz w:val="24"/>
          <w:szCs w:val="24"/>
          <w:lang w:val="en-US" w:eastAsia="zh-CN" w:bidi="ar-SA"/>
        </w:rPr>
        <w:t>成为</w:t>
      </w:r>
      <w:r>
        <w:rPr>
          <w:rFonts w:hint="default" w:ascii="Times New Roman" w:hAnsi="Times New Roman" w:eastAsia="宋体" w:cs="Times New Roman"/>
          <w:bCs/>
          <w:color w:val="auto"/>
          <w:kern w:val="2"/>
          <w:sz w:val="24"/>
          <w:szCs w:val="24"/>
          <w:lang w:val="en-US" w:eastAsia="zh-CN" w:bidi="ar-SA"/>
        </w:rPr>
        <w:t>画家们笔下的重要题材。他们运用不同的绘画风格和技法，将焦作市的独特风貌呈现在画布上，让观众在欣赏画作的同时，也能感受到这座城市独特的文化氛围。音乐与舞蹈方面，焦作市的民间音乐与舞蹈艺术以其独特的韵味和风格，赢得了广泛的赞誉。这些艺术形式不仅反映了焦作市人民的热情与活力，更展现了他们对传统文化的热爱与传承。在舞台上，音乐与舞蹈交织在一起，共同演绎着焦作市的故事与传奇，让观众在享受艺术盛宴的同时，也能领略到这座城市的独特魅力。</w:t>
      </w:r>
    </w:p>
    <w:p w14:paraId="498DDB2E">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45" w:name="_Toc15320"/>
      <w:r>
        <w:rPr>
          <w:rFonts w:hint="eastAsia" w:ascii="宋体" w:hAnsi="宋体" w:eastAsia="宋体" w:cs="宋体"/>
          <w:b/>
          <w:bCs/>
          <w:color w:val="auto"/>
          <w:sz w:val="28"/>
          <w:szCs w:val="28"/>
          <w:lang w:eastAsia="zh-CN"/>
        </w:rPr>
        <w:t>四、社会经济变迁</w:t>
      </w:r>
      <w:bookmarkEnd w:id="45"/>
    </w:p>
    <w:p w14:paraId="1E36376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color w:val="auto"/>
          <w:lang w:val="en-US" w:eastAsia="zh-CN"/>
        </w:rPr>
      </w:pPr>
      <w:r>
        <w:rPr>
          <w:rFonts w:ascii="Times New Roman" w:hAnsi="Times New Roman" w:eastAsia="宋体" w:cs="Times New Roman"/>
          <w:bCs/>
          <w:color w:val="auto"/>
          <w:kern w:val="2"/>
          <w:sz w:val="24"/>
          <w:szCs w:val="24"/>
          <w:lang w:bidi="ar-SA"/>
        </w:rPr>
        <w:t>焦作市的社会经济变迁不仅反映了城市从农业社会到工业社会的转型历程，也揭示了社会结构变化对城市文化的影响。焦作市持续优化经济结构，通过发展高新技术产业和现代服务业，提升城市竞争力，同时注重社会公平与和谐，通过改善民生和加强社会保障，促进城市文化的多样性和包容性发展。焦作市的这些努力，不仅为市民创造了更加美好的生活环境，也为城市的可持续发展奠定了坚实的基础。</w:t>
      </w:r>
    </w:p>
    <w:p w14:paraId="04C9E399">
      <w:pPr>
        <w:spacing w:line="360" w:lineRule="auto"/>
        <w:ind w:firstLine="482" w:firstLineChars="200"/>
        <w:rPr>
          <w:rFonts w:hint="eastAsia" w:ascii="宋体" w:hAnsi="宋体" w:cs="宋体"/>
          <w:b/>
          <w:bCs/>
          <w:color w:val="auto"/>
          <w:sz w:val="24"/>
          <w:szCs w:val="24"/>
          <w:lang w:eastAsia="zh-CN"/>
        </w:rPr>
      </w:pPr>
      <w:r>
        <w:rPr>
          <w:rFonts w:hint="eastAsia" w:ascii="宋体" w:hAnsi="宋体" w:eastAsia="宋体" w:cs="宋体"/>
          <w:b/>
          <w:bCs/>
          <w:color w:val="auto"/>
          <w:sz w:val="24"/>
          <w:szCs w:val="24"/>
          <w:lang w:eastAsia="zh-CN"/>
        </w:rPr>
        <w:t>（一）</w:t>
      </w:r>
      <w:r>
        <w:rPr>
          <w:rFonts w:hint="eastAsia" w:ascii="宋体" w:hAnsi="宋体" w:cs="宋体"/>
          <w:b/>
          <w:bCs/>
          <w:color w:val="auto"/>
          <w:sz w:val="24"/>
          <w:szCs w:val="24"/>
          <w:lang w:eastAsia="zh-CN"/>
        </w:rPr>
        <w:t>经济发展轨迹</w:t>
      </w:r>
    </w:p>
    <w:p w14:paraId="745E710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焦作市，这座位于河南省西北部的城市，其经济发展轨迹如同一部波澜壮阔的历史长卷，记录着从古代到现代，从农业社会到工业社会的转型与变迁。在古代，焦作市以其肥沃的土地和丰富的水资源，</w:t>
      </w:r>
      <w:r>
        <w:rPr>
          <w:rFonts w:hint="eastAsia" w:ascii="Times New Roman" w:hAnsi="Times New Roman" w:cs="Times New Roman"/>
          <w:bCs/>
          <w:color w:val="auto"/>
          <w:kern w:val="2"/>
          <w:sz w:val="24"/>
          <w:szCs w:val="24"/>
          <w:lang w:val="en-US" w:eastAsia="zh-CN" w:bidi="ar-SA"/>
        </w:rPr>
        <w:t>成为</w:t>
      </w:r>
      <w:r>
        <w:rPr>
          <w:rFonts w:hint="default" w:ascii="Times New Roman" w:hAnsi="Times New Roman" w:eastAsia="宋体" w:cs="Times New Roman"/>
          <w:bCs/>
          <w:color w:val="auto"/>
          <w:kern w:val="2"/>
          <w:sz w:val="24"/>
          <w:szCs w:val="24"/>
          <w:lang w:val="en-US" w:eastAsia="zh-CN" w:bidi="ar-SA"/>
        </w:rPr>
        <w:t>农业发展的重要区域。早期的居民们在这片土地上辛勤耕耘，种植着小麦、玉米、棉花等农作物，为城市的繁荣奠定了基础。随着农业的发展，手工业也逐渐兴起，陶器、纺织、编织等手工艺品开始在当地市场上流通，为城市经济增添了新的活力。</w:t>
      </w:r>
    </w:p>
    <w:p w14:paraId="6C79AE7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进入近代，随着工业革命的浪潮席卷全球，焦作市也迎来了工业化的春天。煤炭资源的发现与开采，</w:t>
      </w:r>
      <w:r>
        <w:rPr>
          <w:rFonts w:hint="eastAsia" w:ascii="Times New Roman" w:hAnsi="Times New Roman" w:cs="Times New Roman"/>
          <w:bCs/>
          <w:color w:val="auto"/>
          <w:kern w:val="2"/>
          <w:sz w:val="24"/>
          <w:szCs w:val="24"/>
          <w:lang w:val="en-US" w:eastAsia="zh-CN" w:bidi="ar-SA"/>
        </w:rPr>
        <w:t>成为</w:t>
      </w:r>
      <w:r>
        <w:rPr>
          <w:rFonts w:hint="default" w:ascii="Times New Roman" w:hAnsi="Times New Roman" w:eastAsia="宋体" w:cs="Times New Roman"/>
          <w:bCs/>
          <w:color w:val="auto"/>
          <w:kern w:val="2"/>
          <w:sz w:val="24"/>
          <w:szCs w:val="24"/>
          <w:lang w:val="en-US" w:eastAsia="zh-CN" w:bidi="ar-SA"/>
        </w:rPr>
        <w:t>推动城市经济快速发展的关键。从最初的手工采煤到后来的机械化开采，煤炭产业迅速崛起，不仅带动了相关产业的发展，如电力、钢铁、化工等，也为城市带来了大量的就业机会和财政收入。这一时期，焦作市逐渐从一个农业小城发展成为工业重镇，其经济实力和影响力不断提升。</w:t>
      </w:r>
    </w:p>
    <w:p w14:paraId="6BE5956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随着改革开放的深入，焦作市的经济结构进一步优化升级。在保持煤炭产业稳定发展的同时，积极引进和培育新兴产业，如电子信息、装备制造、新材料</w:t>
      </w:r>
      <w:r>
        <w:rPr>
          <w:rFonts w:hint="eastAsia" w:ascii="Times New Roman" w:hAnsi="Times New Roman" w:cs="Times New Roman"/>
          <w:bCs/>
          <w:color w:val="auto"/>
          <w:kern w:val="2"/>
          <w:sz w:val="24"/>
          <w:szCs w:val="24"/>
          <w:lang w:val="en-US" w:eastAsia="zh-CN" w:bidi="ar-SA"/>
        </w:rPr>
        <w:t>、文化旅游</w:t>
      </w:r>
      <w:r>
        <w:rPr>
          <w:rFonts w:hint="default" w:ascii="Times New Roman" w:hAnsi="Times New Roman" w:eastAsia="宋体" w:cs="Times New Roman"/>
          <w:bCs/>
          <w:color w:val="auto"/>
          <w:kern w:val="2"/>
          <w:sz w:val="24"/>
          <w:szCs w:val="24"/>
          <w:lang w:val="en-US" w:eastAsia="zh-CN" w:bidi="ar-SA"/>
        </w:rPr>
        <w:t>等，形成了多元化的产业格局。商业贸易也日益繁荣，现代商业综合体、购物中心、电商平台等新型商业模式不断涌现，极大地丰富了市民的生活需求，提升了城市的商业竞争力。</w:t>
      </w:r>
    </w:p>
    <w:p w14:paraId="52BFAD92">
      <w:pPr>
        <w:spacing w:line="360" w:lineRule="auto"/>
        <w:ind w:firstLine="482" w:firstLineChars="200"/>
        <w:rPr>
          <w:rFonts w:hint="eastAsia" w:ascii="宋体" w:hAnsi="宋体" w:cs="宋体"/>
          <w:b/>
          <w:bCs/>
          <w:color w:val="auto"/>
          <w:sz w:val="24"/>
          <w:szCs w:val="24"/>
          <w:lang w:eastAsia="zh-CN"/>
        </w:rPr>
      </w:pP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二</w:t>
      </w: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社会结构变化</w:t>
      </w:r>
    </w:p>
    <w:p w14:paraId="7F407AE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伴随着经济的快速发展，焦作市的社会结构也发生了深刻的变化。在人口结构方面，随着工业化进程的加速，大量农村人口涌入城市，城市人口规模迅速扩大。这一变化不仅带来了劳动力资源的增加，也促进了城市基础设施的完善和生活水平的提高。同时，随着教育水平的普及和提高，城市居民的文化素质和技能水平也得到了显著提升。</w:t>
      </w:r>
    </w:p>
    <w:p w14:paraId="6BA1F3B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职业分布上，随着产业结构的调整和优化，传统的农业和手工业劳动力逐渐向第二、三产业转移。煤炭、电力、制造等重工业领域吸纳了大量劳动力，而服务业、金融业、信息技术等新兴行业也逐渐成为城市就业的重要渠道。这一变化不仅提高了城市的就业率和劳动力资源的利用效率，也推动了城市经济的多元化发展。</w:t>
      </w:r>
    </w:p>
    <w:p w14:paraId="27599A1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社会阶层的变化同样显著。随着经济的发展和社会的进步，城市居民的收入水平普遍提高，中产阶级群体逐渐壮大。同时，随着教育、医疗、社保等公共服务的不断完善，城市居民的生活质量和幸福感也得到了显著提升。然而，随着收入差距的扩大和社会竞争的加剧，社会阶层分化也日益明显，这对城市文化的多样性和包容性提出了新的挑战。</w:t>
      </w:r>
    </w:p>
    <w:p w14:paraId="0C7A5421">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46" w:name="_Toc8464"/>
      <w:r>
        <w:rPr>
          <w:rFonts w:hint="eastAsia" w:ascii="宋体" w:hAnsi="宋体" w:eastAsia="宋体" w:cs="宋体"/>
          <w:b/>
          <w:bCs/>
          <w:color w:val="auto"/>
          <w:sz w:val="28"/>
          <w:szCs w:val="28"/>
          <w:lang w:eastAsia="zh-CN"/>
        </w:rPr>
        <w:t>五、教育与学术交流</w:t>
      </w:r>
      <w:bookmarkEnd w:id="46"/>
    </w:p>
    <w:p w14:paraId="0E8A86B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color w:val="auto"/>
          <w:lang w:val="en-US" w:eastAsia="zh-CN"/>
        </w:rPr>
      </w:pPr>
      <w:r>
        <w:rPr>
          <w:rFonts w:ascii="Times New Roman" w:hAnsi="Times New Roman" w:eastAsia="宋体" w:cs="Times New Roman"/>
          <w:bCs/>
          <w:color w:val="auto"/>
          <w:kern w:val="2"/>
          <w:sz w:val="24"/>
          <w:szCs w:val="24"/>
          <w:lang w:bidi="ar-SA"/>
        </w:rPr>
        <w:t>焦作市在教育与学术交流方面取得了显著的成就。教育机构作为知识传播与学术创新的摇篮，为焦作市的文化繁荣和社会发展提供了有力的支撑；而学术交流活动的频繁举办，则进一步提升了焦作市的学术地位和影响力。焦作市持续深化教育改革，加强学术交流与合作，为推动地方经济社会的高质量发展贡献力量。这些努力不仅体现在教育质量的提升上，还体现在学术研究的深度和广度上。通过与国内外知名高校和研究机构的合作，焦作市的教育和学术界正逐步走向国际化，为培养更多具有国际视野的人才奠定了坚实的基础。</w:t>
      </w:r>
    </w:p>
    <w:p w14:paraId="2F6E8E16">
      <w:pPr>
        <w:spacing w:line="360" w:lineRule="auto"/>
        <w:ind w:firstLine="482" w:firstLineChars="200"/>
        <w:rPr>
          <w:rFonts w:hint="eastAsia" w:ascii="宋体" w:hAnsi="宋体" w:cs="宋体"/>
          <w:b/>
          <w:bCs/>
          <w:color w:val="auto"/>
          <w:sz w:val="24"/>
          <w:szCs w:val="24"/>
          <w:lang w:eastAsia="zh-CN"/>
        </w:rPr>
      </w:pPr>
      <w:r>
        <w:rPr>
          <w:rFonts w:hint="eastAsia" w:ascii="宋体" w:hAnsi="宋体" w:eastAsia="宋体" w:cs="宋体"/>
          <w:b/>
          <w:bCs/>
          <w:color w:val="auto"/>
          <w:sz w:val="24"/>
          <w:szCs w:val="24"/>
          <w:lang w:eastAsia="zh-CN"/>
        </w:rPr>
        <w:t>（一）</w:t>
      </w:r>
      <w:r>
        <w:rPr>
          <w:rFonts w:hint="eastAsia" w:ascii="宋体" w:hAnsi="宋体" w:cs="宋体"/>
          <w:b/>
          <w:bCs/>
          <w:color w:val="auto"/>
          <w:sz w:val="24"/>
          <w:szCs w:val="24"/>
          <w:lang w:eastAsia="zh-CN"/>
        </w:rPr>
        <w:t>教育机构</w:t>
      </w:r>
    </w:p>
    <w:p w14:paraId="335B790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焦作市，作为河南省的重要城市之一，不仅在经济和社会领域取得了显著成就，其在教育与学术交流方面同样展现出了蓬勃的生机与活力。教育机构作为知识传播与学术创新的摇篮，对焦作市的文化繁荣和社会发展起到了至关重要的作用。</w:t>
      </w:r>
    </w:p>
    <w:p w14:paraId="313D61B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焦作市拥有从基础教育到高等教育的完整教育体系。基础教育领域，焦作市注重教育资源的均衡分配，通过新建和改扩建学校，提高了教育设施的质量和覆盖面。多所重点中小学以其优质的教学质量和丰富的教育资源，</w:t>
      </w:r>
      <w:r>
        <w:rPr>
          <w:rFonts w:hint="eastAsia" w:ascii="Times New Roman" w:hAnsi="Times New Roman" w:cs="Times New Roman"/>
          <w:bCs/>
          <w:color w:val="auto"/>
          <w:kern w:val="2"/>
          <w:sz w:val="24"/>
          <w:szCs w:val="24"/>
          <w:lang w:val="en-US" w:eastAsia="zh-CN" w:bidi="ar-SA"/>
        </w:rPr>
        <w:t>成为</w:t>
      </w:r>
      <w:r>
        <w:rPr>
          <w:rFonts w:hint="default" w:ascii="Times New Roman" w:hAnsi="Times New Roman" w:eastAsia="宋体" w:cs="Times New Roman"/>
          <w:bCs/>
          <w:color w:val="auto"/>
          <w:kern w:val="2"/>
          <w:sz w:val="24"/>
          <w:szCs w:val="24"/>
          <w:lang w:val="en-US" w:eastAsia="zh-CN" w:bidi="ar-SA"/>
        </w:rPr>
        <w:t>家长们竞相追逐的目标。这些学校不仅注重学生的知识积累，更强调综合素质的培养，通过丰富多彩的课外活动和社会实践，让学生们在实践中学习，在学习中成长。</w:t>
      </w:r>
    </w:p>
    <w:p w14:paraId="2F3247C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高等教育方面，焦作市拥有河南理工大学等多所高等院校，它们在学术创新、人才培养方面发挥了重要作用。河南理工大学作为焦作市高等教育的代表，不仅在煤炭、安全、地质等领域拥有深厚的学术积淀，还在材料科学、环境科学、信息技术等新兴领域取得了显著成果。学校注重产学研结合，与企业合作开展科研项目，推动</w:t>
      </w:r>
      <w:r>
        <w:rPr>
          <w:rFonts w:hint="eastAsia" w:ascii="Times New Roman" w:hAnsi="Times New Roman" w:cs="Times New Roman"/>
          <w:bCs/>
          <w:color w:val="auto"/>
          <w:kern w:val="2"/>
          <w:sz w:val="24"/>
          <w:szCs w:val="24"/>
          <w:lang w:val="en-US" w:eastAsia="zh-CN" w:bidi="ar-SA"/>
        </w:rPr>
        <w:t>科技成果转化</w:t>
      </w:r>
      <w:r>
        <w:rPr>
          <w:rFonts w:hint="default" w:ascii="Times New Roman" w:hAnsi="Times New Roman" w:eastAsia="宋体" w:cs="Times New Roman"/>
          <w:bCs/>
          <w:color w:val="auto"/>
          <w:kern w:val="2"/>
          <w:sz w:val="24"/>
          <w:szCs w:val="24"/>
          <w:lang w:val="en-US" w:eastAsia="zh-CN" w:bidi="ar-SA"/>
        </w:rPr>
        <w:t>与应用，为地方经济发展提供了有力支撑。此外，学校还积极拓展国际合作，与国外知名高校建立合作关系，开展联合培养、学术交流等活动，提升了学校的国际影响力。</w:t>
      </w:r>
    </w:p>
    <w:p w14:paraId="2E6DEC6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除了高等教育，焦作市还拥有一批专业性强、特色鲜明的职业院校和培训机构。这些机构根据市场需求，开设了与产业发展紧密相关的专业课程，为社会培养了大量技能型人才。通过校企合作、工学结合等模式，这些机构不仅提高了学生的就业竞争力，也为地方产业升级提供了人才保障。</w:t>
      </w:r>
    </w:p>
    <w:p w14:paraId="47D7802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教育普及方面，焦作市政府高度重视教育事业的发展，通过加大教育投入、优化教育资源配置等措施，确保了每个孩子都能享受到公平而有质量的教育。同时，焦作市还积极推动教育信息化进程，利用现代信息技术手段，提高教学效率和质量，让优质教育资源惠及更多学生。</w:t>
      </w:r>
    </w:p>
    <w:p w14:paraId="494AA740">
      <w:pPr>
        <w:spacing w:line="360" w:lineRule="auto"/>
        <w:ind w:firstLine="482" w:firstLineChars="200"/>
        <w:rPr>
          <w:rFonts w:hint="eastAsia" w:ascii="宋体" w:hAnsi="宋体" w:cs="宋体"/>
          <w:b/>
          <w:bCs/>
          <w:color w:val="auto"/>
          <w:sz w:val="24"/>
          <w:szCs w:val="24"/>
          <w:lang w:eastAsia="zh-CN"/>
        </w:rPr>
      </w:pP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二</w:t>
      </w: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学术交流</w:t>
      </w:r>
    </w:p>
    <w:p w14:paraId="1181A3D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焦作市在学术交流方面同样表现出色，其作为学术交流中心的角色日益凸显。学术会议、学者访问、国际合作等学术交流活动频繁举办，不仅促进了学术成果的共享与传播，也提升了焦作市的学术地位和影响力。</w:t>
      </w:r>
    </w:p>
    <w:p w14:paraId="0661D16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学术会议是学术交流的重要平台。焦作市定期举办各类学术会议，涵盖自然科学、社会科学、人文科学等多个领域。这些会议不仅邀请了国内外知名学者进行主题演讲，还组织了分组讨论、论文交流等环节，为学者们提供了深入交流、思想碰撞的机会。通过这些会议，焦作市不仅展示了自身的学术研究成果，也吸收了来自世界各地的学术智慧，推动了学术研究的深入发展。</w:t>
      </w:r>
    </w:p>
    <w:p w14:paraId="53B5E2C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学者访问是学术交流的重要途径。焦作市积极邀请国内外知名学者来访，通过讲座、研讨会等形式，分享他们的学术成果和研究经验。同时，焦作市的学者也积极参与国内外学术交流活动，通过访问、讲学等方式，传播自己的学术观点和研究方法。这种双向交流不仅拓宽了学者们的学术视野，也促进了学术研究的国际化进程。</w:t>
      </w:r>
    </w:p>
    <w:p w14:paraId="75664CA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国际合作是焦作市学术交流的重要组成部分。焦作市的高等院校和研究机构积极与国外知名高校和研究机构建立合作关系，开展联合培养、学术研究、文化交流等活动。这些国际合作项目不仅提高了焦作市学术研究的国际水平，也为地方经济发展带来了新的机遇。通过与国际接轨，焦作市不仅吸引了更多海外优秀人才来焦工作和学习，也推动了地方</w:t>
      </w:r>
      <w:r>
        <w:rPr>
          <w:rFonts w:hint="eastAsia" w:ascii="Times New Roman" w:hAnsi="Times New Roman" w:cs="Times New Roman"/>
          <w:bCs/>
          <w:color w:val="auto"/>
          <w:kern w:val="2"/>
          <w:sz w:val="24"/>
          <w:szCs w:val="24"/>
          <w:lang w:val="en-US" w:eastAsia="zh-CN" w:bidi="ar-SA"/>
        </w:rPr>
        <w:t>产业转型升级</w:t>
      </w:r>
      <w:r>
        <w:rPr>
          <w:rFonts w:hint="default" w:ascii="Times New Roman" w:hAnsi="Times New Roman" w:eastAsia="宋体" w:cs="Times New Roman"/>
          <w:bCs/>
          <w:color w:val="auto"/>
          <w:kern w:val="2"/>
          <w:sz w:val="24"/>
          <w:szCs w:val="24"/>
          <w:lang w:val="en-US" w:eastAsia="zh-CN" w:bidi="ar-SA"/>
        </w:rPr>
        <w:t>和创新发展。</w:t>
      </w:r>
    </w:p>
    <w:p w14:paraId="40809048">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47" w:name="_Toc31020"/>
      <w:r>
        <w:rPr>
          <w:rFonts w:hint="eastAsia" w:ascii="宋体" w:hAnsi="宋体" w:eastAsia="宋体" w:cs="宋体"/>
          <w:b/>
          <w:bCs/>
          <w:color w:val="auto"/>
          <w:sz w:val="28"/>
          <w:szCs w:val="28"/>
          <w:lang w:eastAsia="zh-CN"/>
        </w:rPr>
        <w:t>六、现代文化融合与创新</w:t>
      </w:r>
      <w:bookmarkEnd w:id="47"/>
    </w:p>
    <w:p w14:paraId="3A401DD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color w:val="auto"/>
          <w:lang w:val="en-US" w:eastAsia="zh-CN"/>
        </w:rPr>
      </w:pPr>
      <w:r>
        <w:rPr>
          <w:rFonts w:ascii="Times New Roman" w:hAnsi="Times New Roman" w:eastAsia="宋体" w:cs="Times New Roman"/>
          <w:bCs/>
          <w:color w:val="auto"/>
          <w:kern w:val="2"/>
          <w:sz w:val="24"/>
          <w:szCs w:val="24"/>
          <w:lang w:bidi="ar-SA"/>
        </w:rPr>
        <w:t>焦作市在文化多样性和文化创新方面取得了显著的成就。这座城市通过积极接纳和融合来自不同地域和民族的文化元素，逐渐形成了自己独特的文化景观。在传统文化的基础上，焦作市不断进行文化创新，为传统文化注入了新的活力和生命力。焦作市持续</w:t>
      </w:r>
      <w:r>
        <w:rPr>
          <w:rFonts w:hint="eastAsia" w:ascii="Times New Roman" w:hAnsi="Times New Roman" w:eastAsia="宋体" w:cs="Times New Roman"/>
          <w:bCs/>
          <w:color w:val="auto"/>
          <w:kern w:val="2"/>
          <w:sz w:val="24"/>
          <w:szCs w:val="24"/>
          <w:lang w:eastAsia="zh-CN" w:bidi="ar-SA"/>
        </w:rPr>
        <w:t>推进</w:t>
      </w:r>
      <w:r>
        <w:rPr>
          <w:rFonts w:hint="eastAsia" w:ascii="Times New Roman" w:hAnsi="Times New Roman" w:eastAsia="宋体" w:cs="Times New Roman"/>
          <w:bCs/>
          <w:color w:val="auto"/>
          <w:kern w:val="2"/>
          <w:sz w:val="24"/>
          <w:szCs w:val="24"/>
          <w:lang w:bidi="ar-SA"/>
        </w:rPr>
        <w:t>现代文化融合与创新</w:t>
      </w:r>
      <w:r>
        <w:rPr>
          <w:rFonts w:ascii="Times New Roman" w:hAnsi="Times New Roman" w:eastAsia="宋体" w:cs="Times New Roman"/>
          <w:bCs/>
          <w:color w:val="auto"/>
          <w:kern w:val="2"/>
          <w:sz w:val="24"/>
          <w:szCs w:val="24"/>
          <w:lang w:bidi="ar-SA"/>
        </w:rPr>
        <w:t>，不断推动文化事业的繁荣与进步，致力于打造一个充满活力和创新精神的文化环境。</w:t>
      </w:r>
    </w:p>
    <w:p w14:paraId="3B942BCF">
      <w:pPr>
        <w:spacing w:line="360" w:lineRule="auto"/>
        <w:ind w:firstLine="482" w:firstLineChars="200"/>
        <w:rPr>
          <w:rFonts w:hint="eastAsia" w:ascii="宋体" w:hAnsi="宋体" w:cs="宋体"/>
          <w:b/>
          <w:bCs/>
          <w:color w:val="auto"/>
          <w:sz w:val="24"/>
          <w:szCs w:val="24"/>
          <w:lang w:eastAsia="zh-CN"/>
        </w:rPr>
      </w:pPr>
      <w:r>
        <w:rPr>
          <w:rFonts w:hint="eastAsia" w:ascii="宋体" w:hAnsi="宋体" w:eastAsia="宋体" w:cs="宋体"/>
          <w:b/>
          <w:bCs/>
          <w:color w:val="auto"/>
          <w:sz w:val="24"/>
          <w:szCs w:val="24"/>
          <w:lang w:eastAsia="zh-CN"/>
        </w:rPr>
        <w:t>（一）</w:t>
      </w:r>
      <w:r>
        <w:rPr>
          <w:rFonts w:hint="eastAsia" w:ascii="宋体" w:hAnsi="宋体" w:cs="宋体"/>
          <w:b/>
          <w:bCs/>
          <w:color w:val="auto"/>
          <w:sz w:val="24"/>
          <w:szCs w:val="24"/>
          <w:lang w:eastAsia="zh-CN"/>
        </w:rPr>
        <w:t>文化多样性</w:t>
      </w:r>
    </w:p>
    <w:p w14:paraId="3B80F3A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焦作市在历史的长河中积淀了深厚的文化底蕴，同时，在现代化进程中，它也展现出对多元文化的开放与包容，形成了独特的文化景观。文化多样性在焦作市的体现，不仅丰富了市民的精神生活，也提升了城市的整体文化品位。</w:t>
      </w:r>
    </w:p>
    <w:p w14:paraId="2ED331A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文化多样性方面，焦作市积极接纳并融合不同文化元素。随着全球化进程的加速，越来越多的外来文化涌入这座城市，与本土文化相互交融，产生了新的文化火花。在焦作市的街头巷尾，可以看到各式各样的文化符号，既有传统的中国元素，如书法、国画、剪纸等，也有来自世界各地的文化元素，如西方的雕塑、绘画、音乐等。这些文化元素在焦作市的土地上生根发芽，共同构成了这座城市独特的文化景观。</w:t>
      </w:r>
    </w:p>
    <w:p w14:paraId="49D5A6F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在饮食方面，焦作市同样展现了文化的多样性。从传统的豫菜到来自全国各地的美食，再到世界各地的风味佳肴，都能在焦作市的餐馆中找到。这些美食不仅满足了市民的味蕾需求，</w:t>
      </w:r>
      <w:r>
        <w:rPr>
          <w:rFonts w:hint="eastAsia" w:ascii="Times New Roman" w:hAnsi="Times New Roman" w:cs="Times New Roman"/>
          <w:bCs/>
          <w:color w:val="auto"/>
          <w:kern w:val="2"/>
          <w:sz w:val="24"/>
          <w:szCs w:val="24"/>
          <w:lang w:val="en-US" w:eastAsia="zh-CN" w:bidi="ar-SA"/>
        </w:rPr>
        <w:t>也成了</w:t>
      </w:r>
      <w:r>
        <w:rPr>
          <w:rFonts w:hint="default" w:ascii="Times New Roman" w:hAnsi="Times New Roman" w:eastAsia="宋体" w:cs="Times New Roman"/>
          <w:bCs/>
          <w:color w:val="auto"/>
          <w:kern w:val="2"/>
          <w:sz w:val="24"/>
          <w:szCs w:val="24"/>
          <w:lang w:val="en-US" w:eastAsia="zh-CN" w:bidi="ar-SA"/>
        </w:rPr>
        <w:t>文化交流的重要载体。通过品尝不同风味的美食，市民们能够更直观地感受到不同文化的魅力，从而增进对不同文化的理解和尊重。</w:t>
      </w:r>
    </w:p>
    <w:p w14:paraId="5229DA8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此外，焦作市还通过举办各类文化活动，如文化节、艺术节、音乐会等，为市民提供了展示和欣赏多元文化的平台。这些活动不仅丰富了市民的文化生活，也促进了不同文化之间的交流与融合。在这些活动中，市民们可以近距离地接触和了解不同文化，从而加深对多元文化的认识和认同。</w:t>
      </w:r>
    </w:p>
    <w:p w14:paraId="4FD790A1">
      <w:pPr>
        <w:spacing w:line="360" w:lineRule="auto"/>
        <w:ind w:firstLine="482" w:firstLineChars="200"/>
        <w:rPr>
          <w:rFonts w:hint="eastAsia" w:ascii="宋体" w:hAnsi="宋体" w:cs="宋体"/>
          <w:b/>
          <w:bCs/>
          <w:color w:val="auto"/>
          <w:sz w:val="24"/>
          <w:szCs w:val="24"/>
          <w:lang w:eastAsia="zh-CN"/>
        </w:rPr>
      </w:pP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二</w:t>
      </w: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文化创新</w:t>
      </w:r>
    </w:p>
    <w:p w14:paraId="37EF3FE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在传统文化基础上进行文化创新，是焦作市现代文化发展的又一重要特征。在保持传统文化精髓的同时，焦作市积极引入现代艺术、数字文化等新型文化形态，为传统文化注入了新的活力。</w:t>
      </w:r>
    </w:p>
    <w:p w14:paraId="7E9C418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现代艺术方面，焦作市鼓励和支持艺术家们进行创作创新，将传统艺术与现代审美相结合，创作出具有时代特色的艺术作品。这些作品不仅展现了艺术家的个性和才华，也反映了焦作市文化的多样性和包容性。同时，焦作市还通过举办现代艺术展、艺术沙龙等活动，为市民提供了欣赏和了解现代艺术的机会。</w:t>
      </w:r>
    </w:p>
    <w:p w14:paraId="33A5C6C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数字文化方面，焦作市紧跟时代步伐，积极利用数字技术推动文化创新。通过数字化手段，焦作市将传统文化资源进行整合和再利用，打造了一系列具有地方特色的数字文化产品。这些产品不仅方便市民随时随地了解和欣赏传统文化，也通过新颖的表现形式吸引了更多年轻人的关注和喜爱。此外，焦作市还利用数字技术推动文化产业的发展，如建设数字文化产业园、开展电子商务等，为文化产业的转型升级提供了有力支撑。</w:t>
      </w:r>
    </w:p>
    <w:p w14:paraId="38135CBB">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宋体" w:hAnsi="宋体" w:eastAsia="宋体" w:cs="宋体"/>
          <w:b/>
          <w:bCs/>
          <w:color w:val="auto"/>
          <w:sz w:val="30"/>
          <w:szCs w:val="30"/>
          <w:lang w:eastAsia="zh-CN"/>
        </w:rPr>
      </w:pPr>
      <w:bookmarkStart w:id="48" w:name="_Toc22333"/>
      <w:r>
        <w:rPr>
          <w:rFonts w:hint="eastAsia" w:ascii="宋体" w:hAnsi="宋体" w:eastAsia="宋体" w:cs="宋体"/>
          <w:b/>
          <w:bCs/>
          <w:color w:val="auto"/>
          <w:sz w:val="30"/>
          <w:szCs w:val="30"/>
        </w:rPr>
        <w:t>第</w:t>
      </w:r>
      <w:r>
        <w:rPr>
          <w:rFonts w:hint="eastAsia" w:ascii="宋体" w:hAnsi="宋体" w:eastAsia="宋体" w:cs="宋体"/>
          <w:b/>
          <w:bCs/>
          <w:color w:val="auto"/>
          <w:sz w:val="30"/>
          <w:szCs w:val="30"/>
          <w:lang w:eastAsia="zh-CN"/>
        </w:rPr>
        <w:t>四</w:t>
      </w:r>
      <w:r>
        <w:rPr>
          <w:rFonts w:hint="eastAsia" w:ascii="宋体" w:hAnsi="宋体" w:eastAsia="宋体" w:cs="宋体"/>
          <w:b/>
          <w:bCs/>
          <w:color w:val="auto"/>
          <w:sz w:val="30"/>
          <w:szCs w:val="30"/>
        </w:rPr>
        <w:t>节</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lang w:eastAsia="zh-CN"/>
        </w:rPr>
        <w:t>行政区划沿革</w:t>
      </w:r>
      <w:bookmarkEnd w:id="48"/>
    </w:p>
    <w:p w14:paraId="3A93BE22">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49" w:name="_Toc20683"/>
      <w:r>
        <w:rPr>
          <w:rFonts w:hint="default" w:ascii="宋体" w:hAnsi="宋体" w:eastAsia="宋体" w:cs="宋体"/>
          <w:b/>
          <w:bCs/>
          <w:color w:val="auto"/>
          <w:sz w:val="28"/>
          <w:szCs w:val="28"/>
          <w:lang w:eastAsia="zh-CN"/>
        </w:rPr>
        <w:t>一、历史背景与演变过程</w:t>
      </w:r>
      <w:bookmarkEnd w:id="49"/>
    </w:p>
    <w:p w14:paraId="5F0A87F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焦作市行政区划的沿革是一部跨越千年的历史长卷，见证了中华民族从古代到现代的政治、经济与社会变迁。早在新石器时代，焦作地区凭借其优越的地理位置和丰富的自然资源，</w:t>
      </w:r>
      <w:r>
        <w:rPr>
          <w:rFonts w:hint="eastAsia" w:ascii="Times New Roman" w:hAnsi="Times New Roman" w:cs="Times New Roman"/>
          <w:bCs/>
          <w:color w:val="auto"/>
          <w:kern w:val="2"/>
          <w:sz w:val="24"/>
          <w:szCs w:val="24"/>
          <w:lang w:val="en-US" w:eastAsia="zh-CN" w:bidi="ar-SA"/>
        </w:rPr>
        <w:t>便成了</w:t>
      </w:r>
      <w:r>
        <w:rPr>
          <w:rFonts w:hint="default" w:ascii="Times New Roman" w:hAnsi="Times New Roman" w:eastAsia="宋体" w:cs="Times New Roman"/>
          <w:bCs/>
          <w:color w:val="auto"/>
          <w:kern w:val="2"/>
          <w:sz w:val="24"/>
          <w:szCs w:val="24"/>
          <w:lang w:val="en-US" w:eastAsia="zh-CN" w:bidi="ar-SA"/>
        </w:rPr>
        <w:t>人类文明的摇篮。随着历史的车轮滚滚向前，焦作地区逐渐形成了多个古代郡县，这些郡县不仅是地方治理的基本单位，更是文化传承和社会发展的重要载体。</w:t>
      </w:r>
    </w:p>
    <w:p w14:paraId="58EF684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秦汉时期，焦作地区以其独特的地理位置和战略价值，先后隶属于三川郡、河内郡等，这些郡的设置不仅加强了中央对地方的控制，也促进了焦作地区与周边区域的交流与融合。这一时期，焦作地区的行政区划奠定了其后续发展的基础，为后来的郡县体系提供了重要的历史借鉴。</w:t>
      </w:r>
    </w:p>
    <w:p w14:paraId="514E0E7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历经魏晋南北朝的动荡与融合，隋唐五代的繁荣与衰落，宋金元明清的更迭与演变，焦作地区的行政区划虽然经历了多次调整，但始终保持着相对稳定的郡县体系。这些调整不仅反映了当时政治、经济和社会的发展状况，也体现了焦作地区在中华文明进程中的重要地位。</w:t>
      </w:r>
    </w:p>
    <w:p w14:paraId="7464C6C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进入近现代，焦作市的行政区划沿革经历了更为显著的变革。民国时期，随着国家政治体制的变化和行政区划的调整，焦作地区先后隶属于豫北道、河北道、河南省等，这些变化不仅反映了当时国家政治格局的演变，也对焦作地区的经济社会发展产生了深远影响。</w:t>
      </w:r>
    </w:p>
    <w:p w14:paraId="67DBA5A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新中国成立后，焦作地区逐渐从专区、地区等行政层级中脱颖而出，成为独立的市。1956年，焦作市的正式设立，标志着其作为河南省一个重要城市的地位得到了确立。此后，随着国家行政区划的不断调整和优化，焦作市的行政区划也经历了多次变革。从最初的专区、地区划分，到后来的市辖区、县设置，焦作市的行政区划逐渐形成了今天以市辖区、县为主的格局。这一过程中，焦作市不仅加强了地方治理和公共服务，也促进了区域经济的协调发展和社会文化的繁荣。</w:t>
      </w:r>
    </w:p>
    <w:p w14:paraId="2487BF6E">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50" w:name="_Toc5134"/>
      <w:r>
        <w:rPr>
          <w:rFonts w:hint="eastAsia" w:ascii="宋体" w:hAnsi="宋体" w:eastAsia="宋体" w:cs="宋体"/>
          <w:b/>
          <w:bCs/>
          <w:color w:val="auto"/>
          <w:sz w:val="28"/>
          <w:szCs w:val="28"/>
          <w:lang w:eastAsia="zh-CN"/>
        </w:rPr>
        <w:t>二</w:t>
      </w:r>
      <w:r>
        <w:rPr>
          <w:rFonts w:hint="default" w:ascii="宋体" w:hAnsi="宋体" w:eastAsia="宋体" w:cs="宋体"/>
          <w:b/>
          <w:bCs/>
          <w:color w:val="auto"/>
          <w:sz w:val="28"/>
          <w:szCs w:val="28"/>
          <w:lang w:eastAsia="zh-CN"/>
        </w:rPr>
        <w:t>、调整与变革</w:t>
      </w:r>
      <w:bookmarkEnd w:id="50"/>
    </w:p>
    <w:p w14:paraId="6B656A5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焦作市的行政区划调整与变革，始终伴随着国家政治、经济和社会发展的步伐，不断适应时代的需求，以促进地方治理的完善和经济社会的持续发展。新中国成立后，特别是改革开放以来，焦作市在行政区划上进行了多次重大调整，这些调整不仅反映了国家政策的导向，也体现了焦作市在城市化进程和区域经济发展中的积极探索。</w:t>
      </w:r>
    </w:p>
    <w:p w14:paraId="31D1229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20世纪80年代，随着改革开放的深入和市场经济体制的确立，焦作市迎来了城市化进程的加速期。为了适应这一变化，焦作市进行了大规模的行政区划调整，增设了多个市辖区和县。1983年，焦作市将原焦作矿区更名为焦作市郊区，同时撤销了焦作县，设立了山阳区、解放区等新的市辖区。这些调整不仅扩大了城市发展空间，也为城市管理和服务提供了更为便捷的条件。</w:t>
      </w:r>
    </w:p>
    <w:p w14:paraId="10F91F0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与此同时，为了优化资源配置，提高行政效率，焦作市还对一些行政区划进行了合并、撤销等调整。在1996年，焦作市撤销了郊区，将其并入山阳区和解放区，进一步简化了行政区划体系。这些调整不仅减少了行政层级，降低了行政成本，也提高了政府的服务效率和公众的满意度。</w:t>
      </w:r>
    </w:p>
    <w:p w14:paraId="1701E70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行政区划调整的过程中，焦作市还注重与区域经济发展的紧密结合。为了促进旅游业的发展，焦作市设立了神农山风景名胜区管理局，将神农山及其周边地区纳入统一管理范畴，为游客提供了更为便捷、优质的旅游服务。同时，为了推动工业化进程，焦作市在部分县（市）设立了产业集聚区，通过优化产业布局和资源配置，促进了产业结构的升级和经济的持续发展。</w:t>
      </w:r>
    </w:p>
    <w:p w14:paraId="05CACAD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此外，焦作市在行政区划调整中还注重了与生态环境的协调保护。在设立新的行政区划时，焦作市充分考虑了自然资源和生态环境的承载能力，避免了对生态环境的过度开发和破坏。同时，焦作市还加强了对生态环境保护和治理的投入，推动了绿色发展和可持续发展。</w:t>
      </w:r>
    </w:p>
    <w:p w14:paraId="61096E3A">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51" w:name="_Toc14575"/>
      <w:r>
        <w:rPr>
          <w:rFonts w:hint="eastAsia" w:ascii="宋体" w:hAnsi="宋体" w:eastAsia="宋体" w:cs="宋体"/>
          <w:b/>
          <w:bCs/>
          <w:color w:val="auto"/>
          <w:sz w:val="28"/>
          <w:szCs w:val="28"/>
          <w:lang w:eastAsia="zh-CN"/>
        </w:rPr>
        <w:t>三</w:t>
      </w:r>
      <w:r>
        <w:rPr>
          <w:rFonts w:hint="default" w:ascii="宋体" w:hAnsi="宋体" w:eastAsia="宋体" w:cs="宋体"/>
          <w:b/>
          <w:bCs/>
          <w:color w:val="auto"/>
          <w:sz w:val="28"/>
          <w:szCs w:val="28"/>
          <w:lang w:eastAsia="zh-CN"/>
        </w:rPr>
        <w:t>、</w:t>
      </w:r>
      <w:r>
        <w:rPr>
          <w:rFonts w:hint="eastAsia" w:ascii="宋体" w:hAnsi="宋体" w:eastAsia="宋体" w:cs="宋体"/>
          <w:b/>
          <w:bCs/>
          <w:color w:val="auto"/>
          <w:sz w:val="28"/>
          <w:szCs w:val="28"/>
          <w:lang w:eastAsia="zh-CN"/>
        </w:rPr>
        <w:t>特点与现状</w:t>
      </w:r>
      <w:bookmarkEnd w:id="51"/>
    </w:p>
    <w:p w14:paraId="28BE15A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焦作市下辖4个区、4个县和2个县级市，每个县、区的特点与现状各具特色</w:t>
      </w:r>
      <w:r>
        <w:rPr>
          <w:rFonts w:hint="eastAsia" w:ascii="Times New Roman" w:hAnsi="Times New Roman" w:cs="Times New Roman"/>
          <w:bCs/>
          <w:color w:val="auto"/>
          <w:kern w:val="2"/>
          <w:sz w:val="24"/>
          <w:szCs w:val="24"/>
          <w:lang w:val="en-US" w:eastAsia="zh-CN" w:bidi="ar-SA"/>
        </w:rPr>
        <w:t>。解放区、</w:t>
      </w:r>
      <w:r>
        <w:rPr>
          <w:rFonts w:hint="eastAsia" w:ascii="Times New Roman" w:hAnsi="Times New Roman" w:eastAsia="宋体" w:cs="Times New Roman"/>
          <w:bCs/>
          <w:color w:val="auto"/>
          <w:kern w:val="2"/>
          <w:sz w:val="24"/>
          <w:szCs w:val="24"/>
          <w:lang w:val="en-US" w:eastAsia="zh-CN" w:bidi="ar-SA"/>
        </w:rPr>
        <w:t>山阳区作为焦作市的中心城区，经济发展迅速，商业繁荣，拥有众多高楼大厦和现代化的商业设施，成为了焦作市的商业和文化中心。而中站区则以其丰富的矿产资源和工业基础著称，是焦作市重要的工业基地之一。</w:t>
      </w:r>
    </w:p>
    <w:p w14:paraId="207BFC0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auto"/>
          <w:kern w:val="2"/>
          <w:sz w:val="24"/>
          <w:szCs w:val="24"/>
          <w:lang w:val="en-US" w:eastAsia="zh-CN" w:bidi="ar-SA"/>
        </w:rPr>
        <w:t>修武县以其优美的自然风光和丰富的旅游资源吸引了大量游客，尤其是云台山景区，更是</w:t>
      </w:r>
      <w:r>
        <w:rPr>
          <w:rFonts w:hint="eastAsia" w:ascii="Times New Roman" w:hAnsi="Times New Roman" w:cs="Times New Roman"/>
          <w:bCs/>
          <w:color w:val="auto"/>
          <w:kern w:val="2"/>
          <w:sz w:val="24"/>
          <w:szCs w:val="24"/>
          <w:lang w:val="en-US" w:eastAsia="zh-CN" w:bidi="ar-SA"/>
        </w:rPr>
        <w:t>成为</w:t>
      </w:r>
      <w:r>
        <w:rPr>
          <w:rFonts w:hint="eastAsia" w:ascii="Times New Roman" w:hAnsi="Times New Roman" w:eastAsia="宋体" w:cs="Times New Roman"/>
          <w:bCs/>
          <w:color w:val="auto"/>
          <w:kern w:val="2"/>
          <w:sz w:val="24"/>
          <w:szCs w:val="24"/>
          <w:lang w:val="en-US" w:eastAsia="zh-CN" w:bidi="ar-SA"/>
        </w:rPr>
        <w:t>国内外知名的旅游胜地。博爱县则以其发达的农业和农产品加工业而闻名，是焦作市重要的农产品生产基地。沁阳市和孟州市作为县级市，各自具有独特的经济和社会发展特点。沁阳市的工业发展较为突出，拥有多个工业园区和产业集群，而孟州市则以食品加工和轻工业为主，其产品远销国内外。</w:t>
      </w:r>
    </w:p>
    <w:p w14:paraId="6EE5FD4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auto"/>
          <w:kern w:val="2"/>
          <w:sz w:val="24"/>
          <w:szCs w:val="24"/>
          <w:lang w:val="en-US" w:eastAsia="zh-CN" w:bidi="ar-SA"/>
        </w:rPr>
        <w:t>这些县、区在焦作市的总体发展中各自扮演着重要的角色，共同推动了焦作市的繁荣和发展。</w:t>
      </w:r>
    </w:p>
    <w:p w14:paraId="762C5193">
      <w:pPr>
        <w:spacing w:line="360" w:lineRule="auto"/>
        <w:ind w:firstLine="482" w:firstLineChars="200"/>
        <w:rPr>
          <w:rFonts w:hint="eastAsia" w:ascii="宋体" w:hAnsi="宋体" w:cs="宋体"/>
          <w:b/>
          <w:bCs/>
          <w:color w:val="auto"/>
          <w:sz w:val="24"/>
          <w:szCs w:val="24"/>
          <w:lang w:eastAsia="zh-CN"/>
        </w:rPr>
      </w:pPr>
      <w:r>
        <w:rPr>
          <w:rFonts w:hint="eastAsia" w:ascii="宋体" w:hAnsi="宋体" w:eastAsia="宋体" w:cs="宋体"/>
          <w:b/>
          <w:bCs/>
          <w:color w:val="auto"/>
          <w:sz w:val="24"/>
          <w:szCs w:val="24"/>
          <w:lang w:eastAsia="zh-CN"/>
        </w:rPr>
        <w:t>（一）</w:t>
      </w:r>
      <w:r>
        <w:rPr>
          <w:rFonts w:hint="eastAsia" w:ascii="宋体" w:hAnsi="宋体" w:cs="宋体"/>
          <w:b/>
          <w:bCs/>
          <w:color w:val="auto"/>
          <w:sz w:val="24"/>
          <w:szCs w:val="24"/>
          <w:lang w:eastAsia="zh-CN"/>
        </w:rPr>
        <w:t>解放区：焦作之心，繁华之地</w:t>
      </w:r>
    </w:p>
    <w:p w14:paraId="2B52E69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解放区，位于焦作市的中心地带，其地势西北高东南低，这一独特的地理特征不仅赋予了它丰富的自然景观，更为其经济发展提供了得天独厚的条件。这里交通网络四通八达，拥有多条重要的过境交通线路，如高速公路、铁路等，使得解放区成为连接焦作市内外的重要交通枢纽。</w:t>
      </w:r>
    </w:p>
    <w:p w14:paraId="7298833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作为焦作市的重要商业和居住区，解放区经济发达，商业氛围浓厚。这里汇聚了众多商业中心，如大型购物中心、百货商场、专业市场等，满足了居民多样化的消费需求。繁华的地段和活跃的商业活动，不仅为解放区带来了可观的经济效益，也提升了其城市形象和城市品位。</w:t>
      </w:r>
    </w:p>
    <w:p w14:paraId="18ABE47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近年来，解放区在注重经济发展的同时，更加关注城市更新和产业升级。为了提升城市品质和居民生活质量，该区加大了对城市基础设施的投资力度，进行了大规模的旧城改造和新区建设。通过优化城市布局、完善公共服务设施、提升绿化水平等措施，解放区的城市面貌焕然一新，居民的生活环境得到了显著改善。</w:t>
      </w:r>
    </w:p>
    <w:p w14:paraId="1F4DFE2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产业升级方面，解放区积极引进高新技术产业和现代服务业，推动传统产业转型升级。通过政策扶持、资金引导等方式，鼓励企业加大研发投入，提升自主创新能力。同时，解放区还注重培育本土品牌，推动本土企业做大做强，为区域经济发展注入了新的活力。</w:t>
      </w:r>
    </w:p>
    <w:p w14:paraId="4886E4E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展望未来，解放区将继续坚持高质量发展理念，深化城市更新和产业升级，努力打造一个宜居宜业、和谐美丽的现代化城区。通过不断提升城市品质和居民生活质量，解放区将成为焦作市乃至河南省的一颗璀璨明珠，为区域经济社会发展作出更大的贡献。</w:t>
      </w:r>
    </w:p>
    <w:p w14:paraId="6DA74D68">
      <w:pPr>
        <w:spacing w:line="360" w:lineRule="auto"/>
        <w:ind w:firstLine="482" w:firstLineChars="200"/>
        <w:rPr>
          <w:rFonts w:hint="eastAsia" w:ascii="宋体" w:hAnsi="宋体" w:cs="宋体"/>
          <w:b/>
          <w:bCs/>
          <w:color w:val="auto"/>
          <w:sz w:val="24"/>
          <w:szCs w:val="24"/>
          <w:lang w:eastAsia="zh-CN"/>
        </w:rPr>
      </w:pP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二</w:t>
      </w: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山阳区：焦作绿肺，文旅胜地</w:t>
      </w:r>
    </w:p>
    <w:p w14:paraId="6EB8227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山阳区，坐落于焦作市中东部，北依巍峨的太行山，地形以丘陵为主，自然风光旖旎，仿佛是大自然精心雕琢的艺术品。这里四季分明，春赏花、夏避暑、秋观叶、冬玩雪，四季皆有景，每一处都散发着独特的魅力。</w:t>
      </w:r>
    </w:p>
    <w:p w14:paraId="7DDD67C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得益于得天独厚的自然条件，山阳区拥有丰富的自然景观资源。太行山的雄伟壮丽、山间溪流的潺潺细语、四季变换的植被色彩，共同构成了一幅幅动人心魄的山水画卷。此外，山阳区还保存着众多珍贵的人文景观，如古村落、古建筑、民俗活动等，它们见证了这片土地上的历史变迁，承载着深厚的文化底蕴。</w:t>
      </w:r>
    </w:p>
    <w:p w14:paraId="79C8984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近年来，山阳区高度重视旅游业的发展，依托丰富的旅游资源，精心打造了一系列旅游品牌和精品线路，吸引了国内外众多游客慕名而来。无论是探险徒步、山地骑行，还是文化研学、休闲度假，山阳区都能满足游客多样化的旅游需求。随着旅游基础设施的不断完善和服务质量的持续提升，山阳区正逐步成为焦作乃至河南的一张亮丽名片。</w:t>
      </w:r>
    </w:p>
    <w:p w14:paraId="1EDA20D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除了旅游业，山阳区还是焦作市的文化教育中心之一。这里教育资源丰富，拥有多所优质学校和教育机构，涵盖了从基础教育到高等教育的各个层次。山阳区注重教育事业的均衡发展，致力于提升教育质量，培养了一批又一批优秀的人才，为区域经济社会发展提供了坚实的人才支撑。</w:t>
      </w:r>
    </w:p>
    <w:p w14:paraId="09481F6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展望未来，山阳区将继续深挖旅游资源，提升文化旅游品质，同时加强文化教育建设，推动</w:t>
      </w:r>
      <w:r>
        <w:rPr>
          <w:rFonts w:hint="eastAsia" w:ascii="Times New Roman" w:hAnsi="Times New Roman" w:cs="Times New Roman"/>
          <w:bCs/>
          <w:color w:val="auto"/>
          <w:kern w:val="2"/>
          <w:sz w:val="24"/>
          <w:szCs w:val="24"/>
          <w:lang w:val="en-US" w:eastAsia="zh-CN" w:bidi="ar-SA"/>
        </w:rPr>
        <w:t>文化和旅游</w:t>
      </w:r>
      <w:r>
        <w:rPr>
          <w:rFonts w:hint="default" w:ascii="Times New Roman" w:hAnsi="Times New Roman" w:eastAsia="宋体" w:cs="Times New Roman"/>
          <w:bCs/>
          <w:color w:val="auto"/>
          <w:kern w:val="2"/>
          <w:sz w:val="24"/>
          <w:szCs w:val="24"/>
          <w:lang w:val="en-US" w:eastAsia="zh-CN" w:bidi="ar-SA"/>
        </w:rPr>
        <w:t>深度融合，努力将山阳区打造成为集自然景观、人文景观、文化教育于一体的综合性旅游文化高地。</w:t>
      </w:r>
    </w:p>
    <w:p w14:paraId="03DCABFB">
      <w:pPr>
        <w:spacing w:line="360" w:lineRule="auto"/>
        <w:ind w:firstLine="482" w:firstLineChars="200"/>
        <w:rPr>
          <w:rFonts w:hint="eastAsia" w:ascii="宋体" w:hAnsi="宋体" w:cs="宋体"/>
          <w:b/>
          <w:bCs/>
          <w:color w:val="auto"/>
          <w:sz w:val="24"/>
          <w:szCs w:val="24"/>
          <w:lang w:eastAsia="zh-CN"/>
        </w:rPr>
      </w:pP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三</w:t>
      </w: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中站区：豫晋门户，宜居之地</w:t>
      </w:r>
    </w:p>
    <w:p w14:paraId="202C48C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中站区，坐落于河南省与山西省的交界地带，其独特的地理位置不仅赋予了它作为两省交流的重要门户角色，更因其丰富的水资源而备受瞩目。这里河流蜿蜒，湖泊点缀，为城区增添了几分灵动与生机。中站区的水资源不仅滋养了这片土地，</w:t>
      </w:r>
      <w:r>
        <w:rPr>
          <w:rFonts w:hint="eastAsia" w:ascii="Times New Roman" w:hAnsi="Times New Roman" w:cs="Times New Roman"/>
          <w:bCs/>
          <w:color w:val="auto"/>
          <w:kern w:val="2"/>
          <w:sz w:val="24"/>
          <w:szCs w:val="24"/>
          <w:lang w:val="en-US" w:eastAsia="zh-CN" w:bidi="ar-SA"/>
        </w:rPr>
        <w:t>也成了</w:t>
      </w:r>
      <w:r>
        <w:rPr>
          <w:rFonts w:hint="default" w:ascii="Times New Roman" w:hAnsi="Times New Roman" w:eastAsia="宋体" w:cs="Times New Roman"/>
          <w:bCs/>
          <w:color w:val="auto"/>
          <w:kern w:val="2"/>
          <w:sz w:val="24"/>
          <w:szCs w:val="24"/>
          <w:lang w:val="en-US" w:eastAsia="zh-CN" w:bidi="ar-SA"/>
        </w:rPr>
        <w:t>其生态环境保护的重要基石。</w:t>
      </w:r>
    </w:p>
    <w:p w14:paraId="0756558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悠久的历史是中站区另一张亮丽的名片。自古以来，这里就是人文荟萃之地，留下了众多历史遗迹和名胜古迹，它们见证了中站区乃至中原地区的文明发展脉络。从古老的城墙到精美的石刻，从宏伟的庙宇到静谧的古村落，每一处都散发着浓厚的历史气息，让人仿佛穿越回那个辉煌的时代。</w:t>
      </w:r>
    </w:p>
    <w:p w14:paraId="4ACAC95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面对这份宝贵的文化遗产，中站区始终坚持生态保护与文化传承并重的发展理念。一方面，该区加大了对自然环境的保护力度，通过植树造林、水源地保护等措施，有效维护了区域内的生态平衡。另一方面，中站区深入挖掘文化内涵，通过举办文化节庆、修复历史遗迹、推广非物质文化遗产等方式，让传统文化在现代社会中焕发出新的活力。</w:t>
      </w:r>
    </w:p>
    <w:p w14:paraId="17FEC0E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此基础上，中站区致力于打造一个宜居宜业的生态城区。通过优化城市布局、完善公共服务设施、提升居民生活质量，中站区正逐步成为一个既保留历史文化底蕴，又充满现代气息的宜居之地。在这里，人们可以享受到优美的自然环境、丰富的文化生活和便捷的城市服务，实现工作与生活的和谐统一。</w:t>
      </w:r>
    </w:p>
    <w:p w14:paraId="6C21AE2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展望未来，中站区将继续坚持绿色发展理念，深化生态保护与文化传承工作，努力将这片豫晋门户之地建设成为一个生态优美、文化繁荣、人民幸福的现代化城区。</w:t>
      </w:r>
    </w:p>
    <w:p w14:paraId="48F73FB5">
      <w:pPr>
        <w:spacing w:line="360" w:lineRule="auto"/>
        <w:ind w:firstLine="482" w:firstLineChars="200"/>
        <w:rPr>
          <w:rFonts w:hint="eastAsia" w:ascii="宋体" w:hAnsi="宋体" w:cs="宋体"/>
          <w:b/>
          <w:bCs/>
          <w:color w:val="auto"/>
          <w:sz w:val="24"/>
          <w:szCs w:val="24"/>
          <w:lang w:eastAsia="zh-CN"/>
        </w:rPr>
      </w:pP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四</w:t>
      </w: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马村区：焦作东翼，工业重镇</w:t>
      </w:r>
    </w:p>
    <w:p w14:paraId="2F94A9A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马村区，坐落于焦作市的东部，宛如一颗璀璨的明珠镶嵌在豫北大地之上，其独特的地理位置——被修武县东、南、北三面环抱，不仅赋予了它得天独厚的区位优势，更为其工业发展奠定了坚实的基础。作为焦作市的重要工业基地，马村区历史悠久，工业门类齐全，拥有多个工业园区和产业集群，是区域经济发展的重要引擎。</w:t>
      </w:r>
    </w:p>
    <w:p w14:paraId="781B189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传统工业蓬勃发展的同时，马村区也面临着产业升级和转型的挑战。近年来，该区积极响应国家关于绿色发展和高质量发展的号召，将目光投向了高新技术产业和绿色经济领域。通过政策引导、资金支持和技术创新，马村区正逐步从传统的资源密集型产业向技术密集型、环境友好型产业转型。</w:t>
      </w:r>
    </w:p>
    <w:p w14:paraId="760B7D1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这一过程中，马村区不仅注重引进高新技术企业和绿色产业项目，还加大了对现有企业的技术改造和环保升级力度。通过淘汰落后产能、推广清洁能源、实施节能减排等措施，马村区的工业发展正逐步迈向绿色化、智能化、高端化。</w:t>
      </w:r>
    </w:p>
    <w:p w14:paraId="353043A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与此同时，马村区还注重优化营商环境，提升政府服务效能，为企业的落地和发展提供了有力保障。通过简化审批流程、降低企业成本、加强知识产权保护等措施，马村区正逐步构建起一个公平、透明、高效的市场环境，吸引了越来越多的优质企业前来投资兴业。</w:t>
      </w:r>
    </w:p>
    <w:p w14:paraId="2808309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展望未来，马村区将继续坚持绿色发展理念，深化产业升级和转型工作，努力将这片工业重镇打造成为一个创新驱动、绿色引领、人民幸福的现代化城区。在这里，传统工业与现代科技将交相辉映，共同书写着马村区高质量发展的崭新篇章。</w:t>
      </w:r>
    </w:p>
    <w:p w14:paraId="08C170AD">
      <w:pPr>
        <w:spacing w:line="360" w:lineRule="auto"/>
        <w:ind w:firstLine="482" w:firstLineChars="200"/>
        <w:rPr>
          <w:rFonts w:hint="eastAsia" w:ascii="宋体" w:hAnsi="宋体" w:cs="宋体"/>
          <w:b/>
          <w:bCs/>
          <w:color w:val="auto"/>
          <w:sz w:val="24"/>
          <w:szCs w:val="24"/>
          <w:lang w:eastAsia="zh-CN"/>
        </w:rPr>
      </w:pP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五</w:t>
      </w: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修武县：千年古县，山水奇观</w:t>
      </w:r>
    </w:p>
    <w:p w14:paraId="22893FC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修武县，坐落于焦作市的北部，如同一颗璀璨的明珠镶嵌在豫北大地，与多个区县相邻，地理位置得天独厚。这里历史悠久，文化底蕴深厚，是中华文明的重要发源地之一。从古至今，修武县见证了无数历史的沧桑巨变，留下了众多珍贵的历史遗迹和名胜古迹，它们如同一部活生生的历史教科书，诉说着这片土地的辉煌与荣耀。</w:t>
      </w:r>
    </w:p>
    <w:p w14:paraId="4209024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这片古老而又充满活力的土地上，修武县不仅拥有着丰富的历史文化资源，更拥有着得天独厚的自然资源。山川秀美，河流纵横，四季分明，气候宜人，为修武县发展农业和旅游业提供了得天独厚的条件。近年来，修武县充分利用这些优势资源，大力推动农业和旅游业的发展，取得了显著的成效。</w:t>
      </w:r>
    </w:p>
    <w:p w14:paraId="64DDEE9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农业方面，修武县注重科技创新和绿色发展，通过引进先进的农业技术和设备，提升农产品的品质和产量。同时，该县还积极推动农业产业化经营，培育了一批具有地方特色的农产品品牌，为农民增收致富开辟了新途径。</w:t>
      </w:r>
    </w:p>
    <w:p w14:paraId="7D74C85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旅游业方面，修武县依托丰富的自然资源和人文景观，精心打造了一系列旅游品牌和精品线路。无论是探访历史遗迹，还是领略自然风光，修武县都能满足游客多样化的旅游需求。随着旅游基础设施的不断完善和服务质量的持续提升，修武县正逐步成为国内外游客向往的旅游胜地。</w:t>
      </w:r>
    </w:p>
    <w:p w14:paraId="393639D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展望未来，修武县将继续坚持绿色发展理念，深化农业和旅游业的融合发展，努力将这片历史与自然交相辉映的土地打造成为一个宜居宜业、和谐美丽的现代化县城。在这里，古老的文化与现代文明将交相辉映，共同书写着修武县繁荣发展的新篇章。</w:t>
      </w:r>
    </w:p>
    <w:p w14:paraId="49C7FDC8">
      <w:pPr>
        <w:spacing w:line="360" w:lineRule="auto"/>
        <w:ind w:firstLine="482" w:firstLineChars="200"/>
        <w:rPr>
          <w:rFonts w:hint="eastAsia" w:ascii="宋体" w:hAnsi="宋体" w:cs="宋体"/>
          <w:b/>
          <w:bCs/>
          <w:color w:val="auto"/>
          <w:sz w:val="24"/>
          <w:szCs w:val="24"/>
          <w:lang w:eastAsia="zh-CN"/>
        </w:rPr>
      </w:pP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六</w:t>
      </w: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博爱县：北方三峡，农业瑰宝</w:t>
      </w:r>
    </w:p>
    <w:p w14:paraId="587F69F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博爱县，坐落于沁河以北、太行山南麓，其地形北高南低，宛如一幅自然雕琢的山水画卷。这里自然环境优美，四季分明，山川壮丽，河流蜿蜒，孕育了无数令人叹为观止的自然景观</w:t>
      </w:r>
      <w:r>
        <w:rPr>
          <w:rFonts w:hint="eastAsia" w:ascii="Times New Roman" w:hAnsi="Times New Roman" w:cs="Times New Roman"/>
          <w:bCs/>
          <w:color w:val="auto"/>
          <w:kern w:val="2"/>
          <w:sz w:val="24"/>
          <w:szCs w:val="24"/>
          <w:lang w:val="en-US" w:eastAsia="zh-CN" w:bidi="ar-SA"/>
        </w:rPr>
        <w:t>，有青天河风景区这样的自然景观，被称作“北方三峡”</w:t>
      </w:r>
      <w:r>
        <w:rPr>
          <w:rFonts w:hint="default" w:ascii="Times New Roman" w:hAnsi="Times New Roman" w:eastAsia="宋体" w:cs="Times New Roman"/>
          <w:bCs/>
          <w:color w:val="auto"/>
          <w:kern w:val="2"/>
          <w:sz w:val="24"/>
          <w:szCs w:val="24"/>
          <w:lang w:val="en-US" w:eastAsia="zh-CN" w:bidi="ar-SA"/>
        </w:rPr>
        <w:t>。与此同时，博爱县还拥有着丰富的人文景观，有月山寺这样的佛教名寺</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从古老的村落到精美的古建筑，从传统的民俗活动到独特的非物质文化遗产，每一处都散发着浓厚的历史文化气息。</w:t>
      </w:r>
    </w:p>
    <w:p w14:paraId="4B95DFE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面对这份宝贵的自然与文化遗产，博爱县始终坚持生态保护与文化传承并重的发展理念。该县加大了对自然环境的保护力度，通过植树造林、水土保持、生物多样性保护等措施，有效维护了区域内的生态平衡。同时，博爱县还深入挖掘文化内涵，通过举办文化节庆、修复历史遗迹、推广非物质文化遗产等方式，让传统文化在现代社会中焕发出新的生机与活力。</w:t>
      </w:r>
    </w:p>
    <w:p w14:paraId="10BD146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注重生态保护和文化传承的同时，博爱县还是焦作市的重要农业基地之一。这里土地肥沃，气候适宜，农业资源丰富，是粮食和多种经济作物的主要产区。近年来，博爱县积极推动农业现代化进程，通过引进先进的农业技术和设备，提升农产品的品质和产量。同时，该县还注重发展特色农业和生态农业，培育了一批具有地方特色的农产品品牌，为农民增收致富开辟了新途径。</w:t>
      </w:r>
    </w:p>
    <w:p w14:paraId="73DC6A8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展望未来，博爱县将继续坚持绿色发展理念，深化生态保护、文化传承与农业发展的有机融合，努力将这片太行南麓的生态绿洲与农业瑰宝打造成为一个宜居宜业、和谐美丽的现代化县城。在这里，自然之美与文化之韵将交相辉映，共同书写着博爱县繁荣发展的新篇章，为焦作市乃至河南省的生态文明建设贡献自己的力量。</w:t>
      </w:r>
    </w:p>
    <w:p w14:paraId="615964A5">
      <w:pPr>
        <w:spacing w:line="360" w:lineRule="auto"/>
        <w:ind w:firstLine="482" w:firstLineChars="200"/>
        <w:rPr>
          <w:rFonts w:hint="eastAsia" w:ascii="宋体" w:hAnsi="宋体" w:cs="宋体"/>
          <w:b/>
          <w:bCs/>
          <w:color w:val="auto"/>
          <w:sz w:val="24"/>
          <w:szCs w:val="24"/>
          <w:lang w:eastAsia="zh-CN"/>
        </w:rPr>
      </w:pP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七</w:t>
      </w: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武陟县：食业重镇，古郡新貌</w:t>
      </w:r>
    </w:p>
    <w:p w14:paraId="59335CA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武陟县，坐落于焦作市的东南端，地势平坦，交通便利，是连接中原腹地与华北平原的重要枢纽。这里不仅自然风光旖旎，更因其在食品工业领域的卓越成就而闻名遐迩，是全国食品工业强县之一。</w:t>
      </w:r>
    </w:p>
    <w:p w14:paraId="7A17B14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武陟县的食品工业历史悠久，底蕴深厚，拥有多个知名食品企业和产业集群。从传统的农产品加工到现代化的食品加工制造，武陟县的食品产业链不断完善，产品种类日益丰富。近年来，该县更是注重食品产业的发展和创新，通过引进先进技术、优化产业结构、提升产品质量等措施，不断提升食品产业的竞争力和品牌影响力。如今，武陟县的食品产品已远销国内外，</w:t>
      </w:r>
      <w:r>
        <w:rPr>
          <w:rFonts w:hint="eastAsia" w:ascii="Times New Roman" w:hAnsi="Times New Roman" w:cs="Times New Roman"/>
          <w:bCs/>
          <w:color w:val="auto"/>
          <w:kern w:val="2"/>
          <w:sz w:val="24"/>
          <w:szCs w:val="24"/>
          <w:lang w:val="en-US" w:eastAsia="zh-CN" w:bidi="ar-SA"/>
        </w:rPr>
        <w:t>成为</w:t>
      </w:r>
      <w:r>
        <w:rPr>
          <w:rFonts w:hint="default" w:ascii="Times New Roman" w:hAnsi="Times New Roman" w:eastAsia="宋体" w:cs="Times New Roman"/>
          <w:bCs/>
          <w:color w:val="auto"/>
          <w:kern w:val="2"/>
          <w:sz w:val="24"/>
          <w:szCs w:val="24"/>
          <w:lang w:val="en-US" w:eastAsia="zh-CN" w:bidi="ar-SA"/>
        </w:rPr>
        <w:t>一张亮丽的名片。</w:t>
      </w:r>
    </w:p>
    <w:p w14:paraId="224AF2D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食品工业蓬勃发展的同时，武陟县也注重城市建设和民生改善。该县加大了对城市基础设施的投入力度，完善了交通网络、供水供电、通讯信息等基础设施，提升了城市的综合承载能力和宜居水平。同时，武陟县还注重教育、医疗、文化等公共服务设施的建设和完善，为居民提供了更加优质的生活服务。</w:t>
      </w:r>
    </w:p>
    <w:p w14:paraId="7AC1B15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民生改善方面，武陟县坚持以人为本的发展理念，通过实施一系列惠民政策，如提高居民收入水平、完善社会保障体系、加强环境保护等，不断提升居民的生活质量和幸福感。如今，武陟县的居民生活富裕、安居乐业，社会和谐稳定，</w:t>
      </w:r>
      <w:r>
        <w:rPr>
          <w:rFonts w:hint="eastAsia" w:ascii="Times New Roman" w:hAnsi="Times New Roman" w:cs="Times New Roman"/>
          <w:bCs/>
          <w:color w:val="auto"/>
          <w:kern w:val="2"/>
          <w:sz w:val="24"/>
          <w:szCs w:val="24"/>
          <w:lang w:val="en-US" w:eastAsia="zh-CN" w:bidi="ar-SA"/>
        </w:rPr>
        <w:t>成为</w:t>
      </w:r>
      <w:r>
        <w:rPr>
          <w:rFonts w:hint="default" w:ascii="Times New Roman" w:hAnsi="Times New Roman" w:eastAsia="宋体" w:cs="Times New Roman"/>
          <w:bCs/>
          <w:color w:val="auto"/>
          <w:kern w:val="2"/>
          <w:sz w:val="24"/>
          <w:szCs w:val="24"/>
          <w:lang w:val="en-US" w:eastAsia="zh-CN" w:bidi="ar-SA"/>
        </w:rPr>
        <w:t>一个充满活力和魅力的现代化县城。</w:t>
      </w:r>
    </w:p>
    <w:p w14:paraId="612DD01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展望未来，武陟县将继续坚持绿色发展理念，深化食品产业与城市建设的融合发展，努力将这片食品工业的沃土打造成为一个宜居宜业、和谐美丽的现代化城市。在这里，食品工业与城市发展将交相辉映，共同书写着武陟县繁荣发展的新篇章。</w:t>
      </w:r>
    </w:p>
    <w:p w14:paraId="78A6453D">
      <w:pPr>
        <w:spacing w:line="360" w:lineRule="auto"/>
        <w:ind w:firstLine="482" w:firstLineChars="200"/>
        <w:rPr>
          <w:rFonts w:hint="eastAsia" w:ascii="宋体" w:hAnsi="宋体" w:cs="宋体"/>
          <w:b/>
          <w:bCs/>
          <w:color w:val="auto"/>
          <w:sz w:val="24"/>
          <w:szCs w:val="24"/>
          <w:lang w:eastAsia="zh-CN"/>
        </w:rPr>
      </w:pP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八</w:t>
      </w: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温县：太极之乡，怀药源地</w:t>
      </w:r>
    </w:p>
    <w:p w14:paraId="0019ACD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温县，一座拥有2600多年建城史的古老城市，横跨黄河，地势平坦，自古以来便是中原大地上的璀璨明珠。这里不仅是三国时期著名军事家司马懿的故乡，更因其深厚的武术文化底蕴和丰富的自然资源而被誉为“武术之乡</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怀药之乡</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以及优质小麦种子基地。</w:t>
      </w:r>
    </w:p>
    <w:p w14:paraId="0531D93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农业方面，温县充分发挥其地理优势和资源禀赋，致力于发展现代农业和特色产业。通过引进先进的农业技术和设备，提升农产品的品质和产量，温县已成为全国知名的优质小麦种子基地。同时，依托丰富的中药材资源，温县大力发展怀药产业，形成了集种植、加工、销售于一体的完整产业链。</w:t>
      </w:r>
    </w:p>
    <w:p w14:paraId="7011E61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文化产业方面，温县注重挖掘和传承历史文化资源，依托丰富的历史文化和自然资源，打造了多个文化旅游景点和特色产业园区。从司马懿故居到太极拳发源地陈家沟，从怀药文化博览园到小麦博物馆，每一处都散发着浓厚的历史文化气息，吸引着国内外游客前来观光旅游。</w:t>
      </w:r>
    </w:p>
    <w:p w14:paraId="6417A09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城市建设方面，温县坚持绿色发展理念，注重生态保护和城市建设的有机融合。通过实施一系列生态修复和环境保护工程，温县的城市环境得到了显著改善，成了一个宜居宜业的生态县城。同时，该县还加大了对基础设施和公共服务设施的投入力度，提升了城市的综合承载能力和宜居水平。</w:t>
      </w:r>
    </w:p>
    <w:p w14:paraId="002E117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展望未来，温县将继续坚持历史文化传承与现代农业发展并重的发展理念，深化文化旅游、农业与生态保护的融合发展，努力将这座历史悠久的文化名城打造成为一个宜居宜业、和谐美丽的现代化家园。在这里，历史与现代将交相辉映，共同书写着温县繁荣发展的新篇章。</w:t>
      </w:r>
    </w:p>
    <w:p w14:paraId="4B6B4E5A">
      <w:pPr>
        <w:spacing w:line="360" w:lineRule="auto"/>
        <w:ind w:firstLine="482" w:firstLineChars="200"/>
        <w:rPr>
          <w:rFonts w:hint="eastAsia" w:ascii="宋体" w:hAnsi="宋体" w:cs="宋体"/>
          <w:b/>
          <w:bCs/>
          <w:color w:val="auto"/>
          <w:sz w:val="24"/>
          <w:szCs w:val="24"/>
          <w:lang w:eastAsia="zh-CN"/>
        </w:rPr>
      </w:pP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九</w:t>
      </w: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沁阳市：覃怀古郡，河朔名邦</w:t>
      </w:r>
    </w:p>
    <w:p w14:paraId="31E5FCF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沁阳市，这座承载着</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覃怀古郡，河朔名邦</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美誉的城市，不仅是焦作市的重要工业基地，更是历史与现代交织的璀璨明珠。自古以来，沁阳以其独特的地理位置和丰富的历史文化底蕴，成了中原大地上的一颗耀眼明珠。</w:t>
      </w:r>
    </w:p>
    <w:p w14:paraId="3DCC80A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作为</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覃怀古郡</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，沁阳市拥有着悠久的历史和深厚的文化底蕴。这里曾是古代文明的重要发源地之一，留下了无数珍贵的历史遗迹和文化遗产</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作为河朔文化发祥地，这里曾是商周古邘国所在地，天宁寺三圣塔的飞檐见证唐宋遗韵，朱载堉纪念馆铭刻着明代科学巨星的光芒。</w:t>
      </w:r>
      <w:r>
        <w:rPr>
          <w:rFonts w:hint="eastAsia" w:ascii="Times New Roman" w:hAnsi="Times New Roman" w:cs="Times New Roman"/>
          <w:bCs/>
          <w:color w:val="auto"/>
          <w:kern w:val="2"/>
          <w:sz w:val="24"/>
          <w:szCs w:val="24"/>
          <w:lang w:val="en-US" w:eastAsia="zh-CN" w:bidi="ar-SA"/>
        </w:rPr>
        <w:t>沁阳市</w:t>
      </w:r>
      <w:r>
        <w:rPr>
          <w:rFonts w:hint="default" w:ascii="Times New Roman" w:hAnsi="Times New Roman" w:eastAsia="宋体" w:cs="Times New Roman"/>
          <w:bCs/>
          <w:color w:val="auto"/>
          <w:kern w:val="2"/>
          <w:sz w:val="24"/>
          <w:szCs w:val="24"/>
          <w:lang w:val="en-US" w:eastAsia="zh-CN" w:bidi="ar-SA"/>
        </w:rPr>
        <w:t>地处太行南麓与沁河冲积平原交汇处，自古便是兵家必争的河朔要塞，巍巍神农山与悠悠丹河水共同勾勒出河朔名邦的地理图谱。</w:t>
      </w:r>
    </w:p>
    <w:p w14:paraId="09439CB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而</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河朔名邦</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的美誉，则彰显了沁阳在地理和人文上的独特地位，它不仅是黄河以北的重要城市，更是经济、文化、交通的枢纽</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当代沁阳传承创新，既保有怀梆戏曲的悠扬唱腔，又在新材料产业赛道崭露头角。当古祭水仪式与现代农业科技在此交融，河朔名邦正书写着</w:t>
      </w:r>
      <w:r>
        <w:rPr>
          <w:rFonts w:hint="eastAsia" w:ascii="Times New Roman" w:hAnsi="Times New Roman" w:cs="Times New Roman"/>
          <w:bCs/>
          <w:color w:val="auto"/>
          <w:kern w:val="2"/>
          <w:sz w:val="24"/>
          <w:szCs w:val="24"/>
          <w:lang w:val="en-US" w:eastAsia="zh-CN" w:bidi="ar-SA"/>
        </w:rPr>
        <w:t>黄河流域生态保护和高质量发展</w:t>
      </w:r>
      <w:r>
        <w:rPr>
          <w:rFonts w:hint="default" w:ascii="Times New Roman" w:hAnsi="Times New Roman" w:eastAsia="宋体" w:cs="Times New Roman"/>
          <w:bCs/>
          <w:color w:val="auto"/>
          <w:kern w:val="2"/>
          <w:sz w:val="24"/>
          <w:szCs w:val="24"/>
          <w:lang w:val="en-US" w:eastAsia="zh-CN" w:bidi="ar-SA"/>
        </w:rPr>
        <w:t>的新篇章。</w:t>
      </w:r>
    </w:p>
    <w:p w14:paraId="7B73E3E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面对新时代的挑战与机遇，沁阳市在保持其历史文化底蕴的同时，积极寻求产业升级和转型。该市拥有多个工业园区和产业集群，涵盖了机械制造、化工、建材等多个领域，为地方经济的快速增长提供了强有力的支撑。同时，沁阳市致力于发展高新技术产业和绿色经济，通过引进先进的生产技术和管理模式，推动传统产业的绿色化改造，实现了经济效益与生态效益的双赢。</w:t>
      </w:r>
    </w:p>
    <w:p w14:paraId="21AFBB8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城市建设方面，沁阳市注重保护历史文化遗产与现代城市建设的有机结合。在完善交通网络、供水供电、通讯信息等基础设施的同时，该市还加大了对历史文化遗址和古建筑的保护力度，让历史与现代在沁阳这座城市中交相辉映。</w:t>
      </w:r>
    </w:p>
    <w:p w14:paraId="290AC06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展望未来，沁阳市将继续秉承</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覃怀古郡，河朔名邦</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的文化精髓，深化产业升级与城市建设的融合发展，努力将这座历史名城打造成为一个宜居宜业、和谐美丽的现代化城市。在这里，历史与现代、传统与创新将共同书写着沁阳市繁荣发展的新篇章。</w:t>
      </w:r>
    </w:p>
    <w:p w14:paraId="51779D8E">
      <w:pPr>
        <w:spacing w:line="360" w:lineRule="auto"/>
        <w:ind w:firstLine="482" w:firstLineChars="200"/>
        <w:rPr>
          <w:rFonts w:hint="eastAsia" w:ascii="宋体" w:hAnsi="宋体" w:cs="宋体"/>
          <w:b/>
          <w:bCs/>
          <w:color w:val="auto"/>
          <w:sz w:val="24"/>
          <w:szCs w:val="24"/>
          <w:lang w:eastAsia="zh-CN"/>
        </w:rPr>
      </w:pP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十</w:t>
      </w:r>
      <w:r>
        <w:rPr>
          <w:rFonts w:hint="eastAsia" w:ascii="宋体" w:hAnsi="宋体" w:eastAsia="宋体" w:cs="宋体"/>
          <w:b/>
          <w:bCs/>
          <w:color w:val="auto"/>
          <w:sz w:val="24"/>
          <w:szCs w:val="24"/>
          <w:lang w:eastAsia="zh-CN"/>
        </w:rPr>
        <w:t>）</w:t>
      </w:r>
      <w:r>
        <w:rPr>
          <w:rFonts w:hint="eastAsia" w:ascii="宋体" w:hAnsi="宋体" w:cs="宋体"/>
          <w:b/>
          <w:bCs/>
          <w:color w:val="auto"/>
          <w:sz w:val="24"/>
          <w:szCs w:val="24"/>
          <w:lang w:eastAsia="zh-CN"/>
        </w:rPr>
        <w:t>孟州市：文宗故里，河阳要塞</w:t>
      </w:r>
    </w:p>
    <w:p w14:paraId="5F0A588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孟州市，作为焦作市的一颗璀璨明珠，凭借其得天独厚的地理位置和丰富的资源禀赋，成为了该地区重要的农业和商业城市之一。这里不仅拥有多个知名企业和商业中心，更在农业和商业领域展现出了强劲的发展势头和创新活力。</w:t>
      </w:r>
    </w:p>
    <w:p w14:paraId="2E34777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农业方面，孟州市充分发挥其农业资源丰富的优势，致力于提升农业产业的竞争力。通过引进先进的农业技术和设备，优化种植结构和品种，孟州市的农业生产效率和产品质量得到了显著提升。同时，该市还注重农产品的深加工和品牌打造，推动农业产业向高端化、品牌化方向发展，为农民增收和乡村振兴注入了新的动力。</w:t>
      </w:r>
    </w:p>
    <w:p w14:paraId="7A2802C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商业领域，孟州市同样表现出色。这里拥有多个商业中心，汇聚了众多知名品牌和优质商家，为市民提供了丰富多样的购物选择和便捷的消费体验。同时，孟州市还积极培育和发展电子商务、现代物流等新兴产业，推动商业模式的创新和升级，进一步繁荣了当地的经济。</w:t>
      </w:r>
    </w:p>
    <w:p w14:paraId="441AFBD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除了农业和商业的发展，孟州市还注重城市建设和文化传承。近年来，该市加大了对城市基础设施的投入力度，完善了交通网络、公共设施和绿化景观等，提升了城市的综合承载能力和宜居水平。同时，孟州市还注重保护和传承历史文化，通过修复古建筑、举办文化活动等方式，让历史与现代在孟州这座城市中交相辉映。</w:t>
      </w:r>
    </w:p>
    <w:p w14:paraId="1B5472B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展望未来，孟州市将继续坚持农业和商业并重的发展理念，深化产业创新与城市建设的融合发展，努力将这座农业商业明珠打造成为一个宜居宜业、和谐美丽的现代化城市。在这里，传统与现代、农业与商业将共同书写着孟州市繁荣发展的新篇章。</w:t>
      </w:r>
    </w:p>
    <w:p w14:paraId="0D2B360D">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52" w:name="_Toc17152"/>
      <w:r>
        <w:rPr>
          <w:rFonts w:hint="eastAsia" w:ascii="宋体" w:hAnsi="宋体" w:eastAsia="宋体" w:cs="宋体"/>
          <w:b/>
          <w:bCs/>
          <w:color w:val="auto"/>
          <w:sz w:val="28"/>
          <w:szCs w:val="28"/>
          <w:lang w:eastAsia="zh-CN"/>
        </w:rPr>
        <w:t>四</w:t>
      </w:r>
      <w:r>
        <w:rPr>
          <w:rFonts w:hint="default" w:ascii="宋体" w:hAnsi="宋体" w:eastAsia="宋体" w:cs="宋体"/>
          <w:b/>
          <w:bCs/>
          <w:color w:val="auto"/>
          <w:sz w:val="28"/>
          <w:szCs w:val="28"/>
          <w:lang w:eastAsia="zh-CN"/>
        </w:rPr>
        <w:t>、</w:t>
      </w:r>
      <w:r>
        <w:rPr>
          <w:rFonts w:hint="eastAsia" w:ascii="宋体" w:hAnsi="宋体" w:eastAsia="宋体" w:cs="宋体"/>
          <w:b/>
          <w:bCs/>
          <w:color w:val="auto"/>
          <w:sz w:val="28"/>
          <w:szCs w:val="28"/>
          <w:lang w:eastAsia="zh-CN"/>
        </w:rPr>
        <w:t>未来发展趋势</w:t>
      </w:r>
      <w:bookmarkEnd w:id="52"/>
    </w:p>
    <w:p w14:paraId="58C2ACC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展望未来，焦作市的行政区划沿革将继续在城市化进程加速和区域经济一体化深入发展的大背景下，面临诸多挑战与机遇。随着人口流动的增加和社会经济的快速变迁，焦作市的行政区划调整显得尤为关键，旨在更加灵活地适应城市发展需求，提升行政效能，促进区域经济的协同发展。</w:t>
      </w:r>
    </w:p>
    <w:p w14:paraId="54CCBFF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一方面，城市化进程的加速对焦作市的行政区划提出了新的要求。随着城市规模的扩大和人口密度的增加，原有的行政区划可能已无法满足城市管理和公共服务的需要。因此，焦作市需要更加科学和合理地调整行政区划，优化城市空间布局，提升城市治理水平。这包括调整市辖区范围、增设新的行政区划单位等措施，以更好地适应城市化进程的需要。</w:t>
      </w:r>
    </w:p>
    <w:p w14:paraId="7AC4157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另一方面，区域经济一体化的深入发展也对焦作市的行政区划产生了深远影响。作为郑州都市圈和中原城市群的重要一员，焦作市需要加强与周边地区的合作与协调，推动行政区划的优化和整合。通过行政区划调整，打破行政壁垒，促进资源要素的自由流动和优化配置，实现区域经济的协同发展。这不仅有助于提升焦作市自身的经济实力和竞争力，也有助于推动整个郑州都市圈和中原城市群的一体化发展。</w:t>
      </w:r>
    </w:p>
    <w:p w14:paraId="6BAE4A2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未来，焦作市的行政区划沿革将更加注重科学性和前瞻性。政府将充分考虑城市发展的长远规划和区域经济的整体布局，制定更加合理的行政区划调整方案。同时，也将加强与社会各界的沟通和协商，确保行政区划调整的顺利实施和广泛认可。通过持续的行政区划调整和优化，焦作市将不断提升自身的城市竞争力和区域影响力，为未来的城市发展奠定坚实基础。</w:t>
      </w:r>
    </w:p>
    <w:p w14:paraId="01B45AC7">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宋体" w:hAnsi="宋体" w:eastAsia="宋体" w:cs="宋体"/>
          <w:b/>
          <w:bCs/>
          <w:color w:val="auto"/>
          <w:sz w:val="30"/>
          <w:szCs w:val="30"/>
          <w:lang w:eastAsia="zh-CN"/>
        </w:rPr>
      </w:pPr>
      <w:bookmarkStart w:id="53" w:name="_Toc11425"/>
      <w:r>
        <w:rPr>
          <w:rFonts w:hint="eastAsia" w:ascii="宋体" w:hAnsi="宋体" w:eastAsia="宋体" w:cs="宋体"/>
          <w:b/>
          <w:bCs/>
          <w:color w:val="auto"/>
          <w:sz w:val="30"/>
          <w:szCs w:val="30"/>
        </w:rPr>
        <w:t>第</w:t>
      </w:r>
      <w:r>
        <w:rPr>
          <w:rFonts w:hint="eastAsia" w:ascii="宋体" w:hAnsi="宋体" w:eastAsia="宋体" w:cs="宋体"/>
          <w:b/>
          <w:bCs/>
          <w:color w:val="auto"/>
          <w:sz w:val="30"/>
          <w:szCs w:val="30"/>
          <w:lang w:eastAsia="zh-CN"/>
        </w:rPr>
        <w:t>五</w:t>
      </w:r>
      <w:r>
        <w:rPr>
          <w:rFonts w:hint="eastAsia" w:ascii="宋体" w:hAnsi="宋体" w:eastAsia="宋体" w:cs="宋体"/>
          <w:b/>
          <w:bCs/>
          <w:color w:val="auto"/>
          <w:sz w:val="30"/>
          <w:szCs w:val="30"/>
        </w:rPr>
        <w:t>节</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lang w:eastAsia="zh-CN"/>
        </w:rPr>
        <w:t>人口与社会经济发展</w:t>
      </w:r>
      <w:bookmarkEnd w:id="53"/>
    </w:p>
    <w:p w14:paraId="1656A8AB">
      <w:pPr>
        <w:keepNext w:val="0"/>
        <w:keepLines w:val="0"/>
        <w:pageBreakBefore w:val="0"/>
        <w:widowControl w:val="0"/>
        <w:kinsoku/>
        <w:wordWrap/>
        <w:overflowPunct/>
        <w:topLinePunct w:val="0"/>
        <w:autoSpaceDE/>
        <w:autoSpaceDN/>
        <w:bidi w:val="0"/>
        <w:adjustRightInd/>
        <w:snapToGrid/>
        <w:textAlignment w:val="auto"/>
        <w:outlineLvl w:val="2"/>
        <w:rPr>
          <w:rFonts w:hint="default" w:ascii="宋体" w:hAnsi="宋体" w:eastAsia="宋体" w:cs="宋体"/>
          <w:b/>
          <w:bCs/>
          <w:color w:val="auto"/>
          <w:sz w:val="28"/>
          <w:szCs w:val="28"/>
          <w:lang w:eastAsia="zh-CN"/>
        </w:rPr>
      </w:pPr>
      <w:bookmarkStart w:id="54" w:name="_Toc17009"/>
      <w:r>
        <w:rPr>
          <w:rFonts w:hint="default" w:ascii="宋体" w:hAnsi="宋体" w:eastAsia="宋体" w:cs="宋体"/>
          <w:b/>
          <w:bCs/>
          <w:color w:val="auto"/>
          <w:sz w:val="28"/>
          <w:szCs w:val="28"/>
          <w:lang w:eastAsia="zh-CN"/>
        </w:rPr>
        <w:t>一、人口维度</w:t>
      </w:r>
      <w:bookmarkEnd w:id="54"/>
    </w:p>
    <w:p w14:paraId="77CCF199">
      <w:pPr>
        <w:spacing w:line="360" w:lineRule="auto"/>
        <w:ind w:firstLine="482" w:firstLineChars="200"/>
        <w:rPr>
          <w:rFonts w:hint="eastAsia" w:ascii="宋体" w:hAnsi="宋体" w:eastAsia="宋体" w:cs="宋体"/>
          <w:b/>
          <w:bCs/>
          <w:color w:val="auto"/>
          <w:sz w:val="24"/>
          <w:szCs w:val="24"/>
          <w:lang w:eastAsia="zh-CN"/>
        </w:rPr>
      </w:pPr>
      <w:r>
        <w:rPr>
          <w:rFonts w:hint="eastAsia" w:ascii="宋体" w:hAnsi="宋体" w:cs="宋体"/>
          <w:b/>
          <w:bCs/>
          <w:color w:val="auto"/>
          <w:sz w:val="24"/>
          <w:szCs w:val="24"/>
          <w:lang w:eastAsia="zh-CN"/>
        </w:rPr>
        <w:t>（一）</w:t>
      </w:r>
      <w:r>
        <w:rPr>
          <w:rFonts w:hint="eastAsia" w:ascii="宋体" w:hAnsi="宋体" w:eastAsia="宋体" w:cs="宋体"/>
          <w:b/>
          <w:bCs/>
          <w:color w:val="auto"/>
          <w:sz w:val="24"/>
          <w:szCs w:val="24"/>
          <w:lang w:eastAsia="zh-CN"/>
        </w:rPr>
        <w:t>人口数量与结构</w:t>
      </w:r>
    </w:p>
    <w:p w14:paraId="65CBC89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焦作市的总人口数量在近年来保持稳定增长</w:t>
      </w:r>
      <w:r>
        <w:rPr>
          <w:rFonts w:hint="eastAsia" w:ascii="Times New Roman" w:hAnsi="Times New Roman" w:cs="Times New Roman"/>
          <w:bCs/>
          <w:color w:val="auto"/>
          <w:kern w:val="2"/>
          <w:sz w:val="24"/>
          <w:szCs w:val="24"/>
          <w:lang w:val="en-US" w:eastAsia="zh-CN" w:bidi="ar-SA"/>
        </w:rPr>
        <w:t>，截至2024年，焦作市的总人口约为349.6万人。</w:t>
      </w:r>
      <w:r>
        <w:rPr>
          <w:rFonts w:hint="default" w:ascii="Times New Roman" w:hAnsi="Times New Roman" w:eastAsia="宋体" w:cs="Times New Roman"/>
          <w:bCs/>
          <w:color w:val="auto"/>
          <w:kern w:val="2"/>
          <w:sz w:val="24"/>
          <w:szCs w:val="24"/>
          <w:lang w:val="en-US" w:eastAsia="zh-CN" w:bidi="ar-SA"/>
        </w:rPr>
        <w:t>这一数据表明，焦作市的人口规模适中，为城市的经济发展和社会进步提供了坚实的基础。</w:t>
      </w:r>
    </w:p>
    <w:p w14:paraId="597C569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焦作市城镇常住人口231.5万人，占比66.22%，乡村常住人口118.1万人，占比33.78%，呈现中心城区集聚效应。解放区城镇化率99.88%、山阳区城镇化率90.45%、中站区城镇化率80.29%、马村区城镇化率65.58%。县域发展梯度，沁阳市城镇化率65.50%、博爱县城镇化率61.70%、孟州市城镇化率60.61%、温县城镇化率58.04%、修武县城镇化率57.35%、武陟县城镇化率52.75%。随着城市化进程的加速，城市人口数量不断增加，而农村人口则呈现出减少的趋势。这种差异主要体现在人口密度、经济发展水平、基础设施建设等方面。城市地区人口密集，经济发展水平较高，基础设施建设完善；而农村地区则相对稀疏，经济发展水平较低，基础设施建设有待加强。</w:t>
      </w:r>
    </w:p>
    <w:p w14:paraId="2D476DFD">
      <w:pPr>
        <w:spacing w:line="360" w:lineRule="auto"/>
        <w:ind w:firstLine="482" w:firstLineChars="200"/>
        <w:rPr>
          <w:rFonts w:hint="eastAsia" w:ascii="宋体" w:hAnsi="宋体" w:eastAsia="宋体" w:cs="宋体"/>
          <w:b/>
          <w:bCs/>
          <w:color w:val="auto"/>
          <w:sz w:val="24"/>
          <w:szCs w:val="24"/>
          <w:lang w:eastAsia="zh-CN"/>
        </w:rPr>
      </w:pPr>
      <w:r>
        <w:rPr>
          <w:rFonts w:hint="eastAsia" w:ascii="宋体" w:hAnsi="宋体" w:cs="宋体"/>
          <w:b/>
          <w:bCs/>
          <w:color w:val="auto"/>
          <w:sz w:val="24"/>
          <w:szCs w:val="24"/>
          <w:lang w:eastAsia="zh-CN"/>
        </w:rPr>
        <w:t>（二）人口增长与迁移</w:t>
      </w:r>
    </w:p>
    <w:p w14:paraId="33C1624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近年来，焦作市的人口增长呈现出一定的特点。从自然增长方面来看，焦作市的出生率和死亡率共同决定了其自然增长率。近年来焦作市的自然增长率有所波动，2024年甚至出现了负增长（-0.37‰），这反映了该市人口结构的变化和生育观念的转变。相较于过去几年，如2019年自然增长率为4.21‰，可以看出自然增长率在逐年下降，这可能与经济社会发展、医疗社保改善以及晚婚晚育观念的普及有关。</w:t>
      </w:r>
    </w:p>
    <w:p w14:paraId="4932F91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机械增长方面，即人口的迁入和迁出，焦作市的人口迁移受到多种因素的影响。经济机会是驱动人口迁移的重要因素之一。随着焦作市经济的发展和产业结构的调整，更多的人被吸引到这里寻找就业机会。同时，教育资源也是影响人口迁移的关键因素。一个地区的教育水平越高，越能吸引追求高质量教育的人群。此外，生活成本也是人们在选择居住地时考虑的重要因素。城市生活成本的攀升，尤其是住房、交通和日常消费等方面的增加，会对人口流动产生直接影响。高昂的生活成本可能会促使一部分人选择离开城市，寻求生活压力更小的地方。</w:t>
      </w:r>
    </w:p>
    <w:p w14:paraId="68F8475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人口迁移的动因还涉及个人追求更好生活质量的愿望。随着人们对生活品质要求的提高，他们可能会选择迁移到那些能提供更好生活环境、更稳定就业机会和更高生活水平的地区。此外，政策因素如户籍制度的改革、城市化进程的推进等也会对人口迁移产生影响。</w:t>
      </w:r>
    </w:p>
    <w:p w14:paraId="56AA94D8">
      <w:pPr>
        <w:spacing w:line="360" w:lineRule="auto"/>
        <w:ind w:firstLine="482" w:firstLineChars="200"/>
        <w:rPr>
          <w:rFonts w:hint="eastAsia" w:ascii="宋体" w:hAnsi="宋体" w:eastAsia="宋体" w:cs="宋体"/>
          <w:b/>
          <w:bCs/>
          <w:color w:val="auto"/>
          <w:sz w:val="24"/>
          <w:szCs w:val="24"/>
          <w:lang w:eastAsia="zh-CN"/>
        </w:rPr>
      </w:pPr>
      <w:r>
        <w:rPr>
          <w:rFonts w:hint="eastAsia" w:ascii="宋体" w:hAnsi="宋体" w:cs="宋体"/>
          <w:b/>
          <w:bCs/>
          <w:color w:val="auto"/>
          <w:sz w:val="24"/>
          <w:szCs w:val="24"/>
          <w:lang w:eastAsia="zh-CN"/>
        </w:rPr>
        <w:t>（三）人口素质与教育</w:t>
      </w:r>
    </w:p>
    <w:p w14:paraId="596391C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人口素质的提升对经济发展具有深远影响。首先，在教育水平提高的基础上，焦作市居民的技能水平得到了显著提升。这不仅增强了劳动力市场的竞争力，还提高了生产效率和质量，为产业升级和经济发展注入了新的活力。</w:t>
      </w:r>
    </w:p>
    <w:p w14:paraId="6C9FE3C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其次，人口素质的提升促进了创新能力的增强。高素质人才具备更强的学习能力和创新思维，能够更快地适应新技术、新产业和新业态的发展需求。在焦作市，随着大学及以上学历人口的增加，创新氛围日益浓厚，创新成果不断涌现，为经济社会发展提供了源源不断的动力。</w:t>
      </w:r>
    </w:p>
    <w:p w14:paraId="01F4B877">
      <w:pPr>
        <w:keepNext w:val="0"/>
        <w:keepLines w:val="0"/>
        <w:pageBreakBefore w:val="0"/>
        <w:widowControl w:val="0"/>
        <w:kinsoku/>
        <w:wordWrap/>
        <w:overflowPunct/>
        <w:topLinePunct w:val="0"/>
        <w:autoSpaceDE/>
        <w:autoSpaceDN/>
        <w:bidi w:val="0"/>
        <w:adjustRightInd/>
        <w:snapToGrid/>
        <w:textAlignment w:val="auto"/>
        <w:outlineLvl w:val="2"/>
        <w:rPr>
          <w:rFonts w:hint="default" w:ascii="宋体" w:hAnsi="宋体" w:eastAsia="宋体" w:cs="宋体"/>
          <w:b/>
          <w:bCs/>
          <w:color w:val="auto"/>
          <w:sz w:val="28"/>
          <w:szCs w:val="28"/>
          <w:lang w:eastAsia="zh-CN"/>
        </w:rPr>
      </w:pPr>
      <w:bookmarkStart w:id="55" w:name="_Toc2651"/>
      <w:r>
        <w:rPr>
          <w:rFonts w:hint="eastAsia" w:ascii="宋体" w:hAnsi="宋体" w:eastAsia="宋体" w:cs="宋体"/>
          <w:b/>
          <w:bCs/>
          <w:color w:val="auto"/>
          <w:sz w:val="28"/>
          <w:szCs w:val="28"/>
          <w:lang w:eastAsia="zh-CN"/>
        </w:rPr>
        <w:t>二</w:t>
      </w:r>
      <w:r>
        <w:rPr>
          <w:rFonts w:hint="default" w:ascii="宋体" w:hAnsi="宋体" w:eastAsia="宋体" w:cs="宋体"/>
          <w:b/>
          <w:bCs/>
          <w:color w:val="auto"/>
          <w:sz w:val="28"/>
          <w:szCs w:val="28"/>
          <w:lang w:eastAsia="zh-CN"/>
        </w:rPr>
        <w:t>、社会经济维度</w:t>
      </w:r>
      <w:bookmarkEnd w:id="55"/>
    </w:p>
    <w:p w14:paraId="152C5CF8">
      <w:pPr>
        <w:spacing w:line="360" w:lineRule="auto"/>
        <w:ind w:firstLine="482" w:firstLineChars="200"/>
        <w:rPr>
          <w:rFonts w:hint="eastAsia" w:ascii="宋体" w:hAnsi="宋体" w:cs="宋体"/>
          <w:b/>
          <w:bCs/>
          <w:color w:val="auto"/>
          <w:sz w:val="24"/>
          <w:szCs w:val="24"/>
          <w:lang w:eastAsia="zh-CN"/>
        </w:rPr>
      </w:pPr>
      <w:r>
        <w:rPr>
          <w:rFonts w:hint="eastAsia" w:ascii="宋体" w:hAnsi="宋体" w:cs="宋体"/>
          <w:b/>
          <w:bCs/>
          <w:color w:val="auto"/>
          <w:sz w:val="24"/>
          <w:szCs w:val="24"/>
          <w:lang w:val="en-US" w:eastAsia="zh-CN"/>
        </w:rPr>
        <w:t>（一）</w:t>
      </w:r>
      <w:r>
        <w:rPr>
          <w:rFonts w:hint="eastAsia" w:ascii="宋体" w:hAnsi="宋体" w:cs="宋体"/>
          <w:b/>
          <w:bCs/>
          <w:color w:val="auto"/>
          <w:sz w:val="24"/>
          <w:szCs w:val="24"/>
          <w:lang w:eastAsia="zh-CN"/>
        </w:rPr>
        <w:t>经济发展水平</w:t>
      </w:r>
    </w:p>
    <w:p w14:paraId="3B7861E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近年来，焦作市经济实力稳步增长，国内生产总值（GDP）和人均GDP等经济指标均呈现出积极向上的态势。2024年，焦作市的GDP达到了2369.2亿元，显示出其较强的经济实力。同时，人均GDP为6.75万元/人（2024年数据）</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也达到了较高水平，反映出该市居民的生活质量和经济福祉。</w:t>
      </w:r>
    </w:p>
    <w:p w14:paraId="613A70A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产业结构方面，焦作市已经形成了农业、工业、服务业协调发展的格局。其中，农业作为基础产业，持续保持稳定发展，为全市经济社会发展提供了有力支撑。工业作为主导产业，占据重要地位，尤其是战略性新兴产业和高技术制造业的增长势头强劲，为焦作市的产业升级和经济转型注入了新的活力。服务业作为新兴产业，近年来发展迅速，已经成为焦作市经济增长的重要引擎。</w:t>
      </w:r>
    </w:p>
    <w:p w14:paraId="371965C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在新兴产业的发展上，焦作市积极培育壮大新兴产业，如新能源电池材料产业、超硬材料产业集群等，这些新兴产业的快速发展不仅提高了焦作市的产业层次和竞争力，还为该市的可持续发展奠定了坚实基础。</w:t>
      </w:r>
    </w:p>
    <w:p w14:paraId="332058A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此外，焦作市还注重优化产业结构，推动传统产业转型升级。通过技术改造和创新，焦作市的煤炭、</w:t>
      </w:r>
      <w:r>
        <w:rPr>
          <w:rFonts w:hint="eastAsia" w:ascii="Times New Roman" w:hAnsi="Times New Roman" w:cs="Times New Roman"/>
          <w:bCs/>
          <w:color w:val="auto"/>
          <w:kern w:val="2"/>
          <w:sz w:val="24"/>
          <w:szCs w:val="24"/>
          <w:lang w:val="en-US" w:eastAsia="zh-CN" w:bidi="ar-SA"/>
        </w:rPr>
        <w:t>化工</w:t>
      </w:r>
      <w:r>
        <w:rPr>
          <w:rFonts w:hint="default" w:ascii="Times New Roman" w:hAnsi="Times New Roman" w:eastAsia="宋体" w:cs="Times New Roman"/>
          <w:bCs/>
          <w:color w:val="auto"/>
          <w:kern w:val="2"/>
          <w:sz w:val="24"/>
          <w:szCs w:val="24"/>
          <w:lang w:val="en-US" w:eastAsia="zh-CN" w:bidi="ar-SA"/>
        </w:rPr>
        <w:t>等传统产业焕发了新的生机和活力，为经济社会的平稳健康发展提供了有力保障。</w:t>
      </w:r>
    </w:p>
    <w:p w14:paraId="2DD9E13C">
      <w:pPr>
        <w:spacing w:line="360" w:lineRule="auto"/>
        <w:ind w:firstLine="482" w:firstLineChars="200"/>
        <w:rPr>
          <w:rFonts w:hint="eastAsia" w:ascii="宋体" w:hAnsi="宋体" w:cs="宋体"/>
          <w:b/>
          <w:bCs/>
          <w:color w:val="auto"/>
          <w:sz w:val="24"/>
          <w:szCs w:val="24"/>
          <w:lang w:eastAsia="zh-CN"/>
        </w:rPr>
      </w:pPr>
      <w:r>
        <w:rPr>
          <w:rFonts w:hint="eastAsia" w:ascii="宋体" w:hAnsi="宋体" w:cs="宋体"/>
          <w:b/>
          <w:bCs/>
          <w:color w:val="auto"/>
          <w:sz w:val="24"/>
          <w:szCs w:val="24"/>
          <w:lang w:val="en-US" w:eastAsia="zh-CN"/>
        </w:rPr>
        <w:t>（二）就业与收入</w:t>
      </w:r>
    </w:p>
    <w:p w14:paraId="7184D74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就业率与失业率方面，</w:t>
      </w:r>
      <w:r>
        <w:rPr>
          <w:rFonts w:hint="eastAsia" w:ascii="Times New Roman" w:hAnsi="Times New Roman" w:cs="Times New Roman"/>
          <w:bCs/>
          <w:color w:val="auto"/>
          <w:kern w:val="2"/>
          <w:sz w:val="24"/>
          <w:szCs w:val="24"/>
          <w:lang w:val="en-US" w:eastAsia="zh-CN" w:bidi="ar-SA"/>
        </w:rPr>
        <w:t>2025年</w:t>
      </w:r>
      <w:r>
        <w:rPr>
          <w:rFonts w:hint="default" w:ascii="Times New Roman" w:hAnsi="Times New Roman" w:eastAsia="宋体" w:cs="Times New Roman"/>
          <w:bCs/>
          <w:color w:val="auto"/>
          <w:kern w:val="2"/>
          <w:sz w:val="24"/>
          <w:szCs w:val="24"/>
          <w:lang w:val="en-US" w:eastAsia="zh-CN" w:bidi="ar-SA"/>
        </w:rPr>
        <w:t>焦作市政府工作报告及相关数据显示，城镇新增就业目标为5.5万人以上，该市持续推动就业增长，城镇新增就业人数稳步增长</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城镇调查失业率目标为5.5%左右，这与过去几年的实际失业率数据相接近，显示出该市在稳定就业市场、降低失业率方面取得了良好成效。</w:t>
      </w:r>
    </w:p>
    <w:p w14:paraId="27EE957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薪资水平方面，不同行业存在显著差异。以建筑行业为例，近一半岗位的月薪在4500至8000元之间，年薪则在</w:t>
      </w:r>
      <w:r>
        <w:rPr>
          <w:rFonts w:hint="eastAsia" w:ascii="Times New Roman" w:hAnsi="Times New Roman" w:cs="Times New Roman"/>
          <w:bCs/>
          <w:color w:val="auto"/>
          <w:kern w:val="2"/>
          <w:sz w:val="24"/>
          <w:szCs w:val="24"/>
          <w:lang w:val="en-US" w:eastAsia="zh-CN" w:bidi="ar-SA"/>
        </w:rPr>
        <w:t>5万至10万</w:t>
      </w:r>
      <w:r>
        <w:rPr>
          <w:rFonts w:hint="default" w:ascii="Times New Roman" w:hAnsi="Times New Roman" w:eastAsia="宋体" w:cs="Times New Roman"/>
          <w:bCs/>
          <w:color w:val="auto"/>
          <w:kern w:val="2"/>
          <w:sz w:val="24"/>
          <w:szCs w:val="24"/>
          <w:lang w:val="en-US" w:eastAsia="zh-CN" w:bidi="ar-SA"/>
        </w:rPr>
        <w:t>元之间。这一薪资水平反映了焦作市部分行业的普遍收入水平。同时，金融、采矿、电力等高薪行业的年平均工资远高于全市平均水平，而住宿、餐饮、水利等行业则相对较低。</w:t>
      </w:r>
    </w:p>
    <w:p w14:paraId="47A3542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就业结构与经济发展的关系紧密。焦作市作为资源型城市，在转型发展过程中，劳动密集型产业与技术密集型产业的就业差异逐渐显现。传统劳动密集型产业如煤炭、</w:t>
      </w:r>
      <w:r>
        <w:rPr>
          <w:rFonts w:hint="eastAsia" w:ascii="Times New Roman" w:hAnsi="Times New Roman" w:cs="Times New Roman"/>
          <w:bCs/>
          <w:color w:val="auto"/>
          <w:kern w:val="2"/>
          <w:sz w:val="24"/>
          <w:szCs w:val="24"/>
          <w:lang w:val="en-US" w:eastAsia="zh-CN" w:bidi="ar-SA"/>
        </w:rPr>
        <w:t>化工</w:t>
      </w:r>
      <w:r>
        <w:rPr>
          <w:rFonts w:hint="default" w:ascii="Times New Roman" w:hAnsi="Times New Roman" w:eastAsia="宋体" w:cs="Times New Roman"/>
          <w:bCs/>
          <w:color w:val="auto"/>
          <w:kern w:val="2"/>
          <w:sz w:val="24"/>
          <w:szCs w:val="24"/>
          <w:lang w:val="en-US" w:eastAsia="zh-CN" w:bidi="ar-SA"/>
        </w:rPr>
        <w:t>等，虽然提供了大量就业岗位，但随着技术进步和产业升级，这些岗位逐渐被技术密集型产业所替代。技术密集型产业如新能源、新材料等新兴产业，对高技能人才的需求日益增加，也带动了相关行业的薪资水平提升。</w:t>
      </w:r>
    </w:p>
    <w:p w14:paraId="3943DF57">
      <w:pPr>
        <w:spacing w:line="360" w:lineRule="auto"/>
        <w:ind w:firstLine="482" w:firstLineChars="200"/>
        <w:rPr>
          <w:rFonts w:hint="eastAsia" w:ascii="宋体" w:hAnsi="宋体" w:cs="宋体"/>
          <w:b/>
          <w:bCs/>
          <w:color w:val="auto"/>
          <w:sz w:val="24"/>
          <w:szCs w:val="24"/>
          <w:lang w:eastAsia="zh-CN"/>
        </w:rPr>
      </w:pPr>
      <w:r>
        <w:rPr>
          <w:rFonts w:hint="eastAsia" w:ascii="宋体" w:hAnsi="宋体" w:cs="宋体"/>
          <w:b/>
          <w:bCs/>
          <w:color w:val="auto"/>
          <w:sz w:val="24"/>
          <w:szCs w:val="24"/>
          <w:lang w:val="en-US" w:eastAsia="zh-CN"/>
        </w:rPr>
        <w:t>（三）基础设施建设</w:t>
      </w:r>
    </w:p>
    <w:p w14:paraId="4B5E32B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近年来，焦作市在基础设施建设方面取得了显著进展，交通、通信、能源、水利等关键领域均得到了大力提升，为经济发展提供了有力支撑。</w:t>
      </w:r>
    </w:p>
    <w:p w14:paraId="2CBA057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交通方面，焦作市积极推进交通基础设施建设项目，如高速公路、干线公路和农村公路的建设与改造，显著提升了道路通行能力和运输效率。此外，铁路建设的不断推进，也为焦作市的物流运输提供了更多选择，降低了物流成本。这些交通基础设施的完善，不仅方便了市民的出行，也为企业的生产运营提供了更加便捷高效的物流服务，进而提高了生产效率。</w:t>
      </w:r>
    </w:p>
    <w:p w14:paraId="5B2B33D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通信方面，焦作市已经形成了</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双千兆</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协同发展的良好局面，5G基站和千兆光纤网络的覆盖不断提升，为数字经济发展提供了坚实的网络支撑。这不仅促进了信息消费的增长，也为企业的数字化转型提供了有力保障，推动了智能制造、智慧城市等新兴产业的发展。</w:t>
      </w:r>
    </w:p>
    <w:p w14:paraId="545C982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能源方面，焦作市积极推进能源结构优化和清洁能源发展，煤电结构进一步优化，风电、光伏等新能源项目实现突破式发展。这不仅提高了能源供应的安全性和稳定性，也为经济发展提供了更加绿色、可持续的能源保障。</w:t>
      </w:r>
    </w:p>
    <w:p w14:paraId="00BBCA0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水利方面，焦作市的水利基础设施建设也取得了显著成效，防洪排涝能力得到了大幅提升，为农业生产和城市安全提供了有力保障。此外，水利基础设施的完善也促进了水资源的节约和高效利用，推动了绿色农业和循环经济的发展。</w:t>
      </w:r>
    </w:p>
    <w:p w14:paraId="2A44B003">
      <w:pPr>
        <w:spacing w:line="360" w:lineRule="auto"/>
        <w:ind w:firstLine="482" w:firstLineChars="200"/>
        <w:rPr>
          <w:rFonts w:hint="eastAsia" w:ascii="宋体" w:hAnsi="宋体" w:cs="宋体"/>
          <w:b/>
          <w:bCs/>
          <w:color w:val="auto"/>
          <w:sz w:val="24"/>
          <w:szCs w:val="24"/>
          <w:lang w:eastAsia="zh-CN"/>
        </w:rPr>
      </w:pPr>
      <w:r>
        <w:rPr>
          <w:rFonts w:hint="eastAsia" w:ascii="宋体" w:hAnsi="宋体" w:cs="宋体"/>
          <w:b/>
          <w:bCs/>
          <w:color w:val="auto"/>
          <w:sz w:val="24"/>
          <w:szCs w:val="24"/>
          <w:lang w:val="en-US" w:eastAsia="zh-CN"/>
        </w:rPr>
        <w:t>（四）科技创新与研发</w:t>
      </w:r>
    </w:p>
    <w:p w14:paraId="61D02BD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科研机构数量方面，焦作市拥有多所高校、科研院所及创新平台，包括河南理工大学等高校，以及众多省级以上创新平台载体，如焦作市农林科学研究院</w:t>
      </w:r>
      <w:r>
        <w:rPr>
          <w:rFonts w:hint="eastAsia" w:ascii="Times New Roman" w:hAnsi="Times New Roman" w:cs="Times New Roman"/>
          <w:bCs/>
          <w:color w:val="auto"/>
          <w:kern w:val="2"/>
          <w:sz w:val="24"/>
          <w:szCs w:val="24"/>
          <w:lang w:val="en-US" w:eastAsia="zh-CN" w:bidi="ar-SA"/>
        </w:rPr>
        <w:t>、河南省氟基新材料产业研究院、龙佰集团研究院、风神轮胎中央实验室、怀药工程技术研究中心、精密制造协同创新中心</w:t>
      </w:r>
      <w:r>
        <w:rPr>
          <w:rFonts w:hint="default" w:ascii="Times New Roman" w:hAnsi="Times New Roman" w:eastAsia="宋体" w:cs="Times New Roman"/>
          <w:bCs/>
          <w:color w:val="auto"/>
          <w:kern w:val="2"/>
          <w:sz w:val="24"/>
          <w:szCs w:val="24"/>
          <w:lang w:val="en-US" w:eastAsia="zh-CN" w:bidi="ar-SA"/>
        </w:rPr>
        <w:t>等</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这些科研机构为焦作市的科技创新提供了坚实的人才和技术支撑。</w:t>
      </w:r>
    </w:p>
    <w:p w14:paraId="3D97CA2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在研发投入上，焦作市政府和企业均高度重视科技创新，不断加大研发投入。近年来，焦作市规上工业企业研发支出增速位居全省前列，显示出该市在科技创新方面的强劲动力。此外，焦作市还出台了一系列政策措施，如《焦作市金融支持科技创新的实施意见》等，为科技创新提供了有力的金融支持和政策保障。</w:t>
      </w:r>
    </w:p>
    <w:p w14:paraId="1D7DD4C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专利申请及授权情况方面，焦作市的专利申请量和授权量持续增长，创新成果不断涌现。焦作市近年来持续强化科技创新引领，专利申请与授权量呈现稳步增长态势。2023年全市专利申请量突破6500件，其中发明专利占比超30%；专利授权量达4800余件，较上年增长12%，重点集中在装备制造、新材料及生物医药领域。政府通过实施专利质量提升工程，推动规上工业企业发明专利覆盖率提升至78%，技术转化应用成效显著。以多氟多新材料股份有限公司为例，该公司坚持自主创新，拥有众多国家级和省级研发平台，其锂电池核心材料六氟磷酸锂打破了国际技术垄断，出口海外市场，产销量居全球首位。</w:t>
      </w:r>
    </w:p>
    <w:p w14:paraId="4B698DE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科技创新对经济发展的推动作用显著。首先，科技创新提高了焦作市的产业竞争力。通过技术创新和产业升级，焦作市的传统产业得到了改造提升，新兴产业也得到了快速发展，形成了更加完善的产业体系。其次，科技创新促进了焦作市的产业升级。随着新技术、新工艺的不断涌现和应用，焦作市的产业结构不断优化升级，形成了更加高效、环保、可持续的发展模式。</w:t>
      </w:r>
    </w:p>
    <w:p w14:paraId="3FD8D236">
      <w:pPr>
        <w:spacing w:line="360" w:lineRule="auto"/>
        <w:ind w:firstLine="482" w:firstLineChars="200"/>
        <w:rPr>
          <w:rFonts w:hint="eastAsia" w:ascii="宋体" w:hAnsi="宋体" w:cs="宋体"/>
          <w:b/>
          <w:bCs/>
          <w:color w:val="auto"/>
          <w:sz w:val="24"/>
          <w:szCs w:val="24"/>
          <w:lang w:eastAsia="zh-CN"/>
        </w:rPr>
      </w:pPr>
      <w:r>
        <w:rPr>
          <w:rFonts w:hint="eastAsia" w:ascii="宋体" w:hAnsi="宋体" w:cs="宋体"/>
          <w:b/>
          <w:bCs/>
          <w:color w:val="auto"/>
          <w:sz w:val="24"/>
          <w:szCs w:val="24"/>
          <w:lang w:val="en-US" w:eastAsia="zh-CN"/>
        </w:rPr>
        <w:t>（五）社会保障与公共服务</w:t>
      </w:r>
    </w:p>
    <w:p w14:paraId="793CA1D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auto"/>
          <w:kern w:val="2"/>
          <w:sz w:val="24"/>
          <w:szCs w:val="24"/>
          <w:lang w:val="en-US" w:eastAsia="zh-CN" w:bidi="ar-SA"/>
        </w:rPr>
        <w:t>1</w:t>
      </w:r>
      <w:r>
        <w:rPr>
          <w:rFonts w:hint="eastAsia" w:ascii="Times New Roman" w:hAnsi="Times New Roman" w:cs="Times New Roman"/>
          <w:bCs/>
          <w:color w:val="auto"/>
          <w:kern w:val="2"/>
          <w:sz w:val="24"/>
          <w:szCs w:val="24"/>
          <w:lang w:val="en-US" w:eastAsia="zh-CN" w:bidi="ar-SA"/>
        </w:rPr>
        <w:t>、</w:t>
      </w:r>
      <w:r>
        <w:rPr>
          <w:rFonts w:hint="eastAsia" w:ascii="Times New Roman" w:hAnsi="Times New Roman" w:eastAsia="宋体" w:cs="Times New Roman"/>
          <w:bCs/>
          <w:color w:val="auto"/>
          <w:kern w:val="2"/>
          <w:sz w:val="24"/>
          <w:szCs w:val="24"/>
          <w:lang w:val="en-US" w:eastAsia="zh-CN" w:bidi="ar-SA"/>
        </w:rPr>
        <w:t>养老保险</w:t>
      </w:r>
    </w:p>
    <w:p w14:paraId="0EAFE5B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2023年焦作市城镇职工基本养老保险参保63.2万人（含离退休人员），城乡居民养老保险参保142.3万人，综合覆盖率97.6%。企业退休人员月均养老金2865元，略高于全省平均水平（2812元）。焦作市已实现社保经办服务网点乡村全覆盖，城乡居民可以在家门口办理养老保险业务，包括参保登记、信息变更等，极大地方便了群众。此外，焦作市还积极推动城乡居民养老保险基础养老金调标工作，稳步提高人民群众的获得感、幸福感、安全感。</w:t>
      </w:r>
    </w:p>
    <w:p w14:paraId="5CF9CE4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auto"/>
          <w:kern w:val="2"/>
          <w:sz w:val="24"/>
          <w:szCs w:val="24"/>
          <w:lang w:val="en-US" w:eastAsia="zh-CN" w:bidi="ar-SA"/>
        </w:rPr>
        <w:t>2</w:t>
      </w:r>
      <w:r>
        <w:rPr>
          <w:rFonts w:hint="eastAsia" w:ascii="Times New Roman" w:hAnsi="Times New Roman" w:cs="Times New Roman"/>
          <w:bCs/>
          <w:color w:val="auto"/>
          <w:kern w:val="2"/>
          <w:sz w:val="24"/>
          <w:szCs w:val="24"/>
          <w:lang w:val="en-US" w:eastAsia="zh-CN" w:bidi="ar-SA"/>
        </w:rPr>
        <w:t>、</w:t>
      </w:r>
      <w:r>
        <w:rPr>
          <w:rFonts w:hint="eastAsia" w:ascii="Times New Roman" w:hAnsi="Times New Roman" w:eastAsia="宋体" w:cs="Times New Roman"/>
          <w:bCs/>
          <w:color w:val="auto"/>
          <w:kern w:val="2"/>
          <w:sz w:val="24"/>
          <w:szCs w:val="24"/>
          <w:lang w:val="en-US" w:eastAsia="zh-CN" w:bidi="ar-SA"/>
        </w:rPr>
        <w:t>医疗保险</w:t>
      </w:r>
    </w:p>
    <w:p w14:paraId="3C1FF51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城乡居民医保参保率稳定在99%以上，2023年住院费用政策范围内报销比例76.3%（三级医院），门诊慢特病病种扩大至45种。但医保基金支出年均增速达12.5%，超过收入增速2.8个百分点。2022年累计实施医疗救助12.4万人次，支出救助金1.2亿元，重点救助对象自付费用控制在8%以内。焦作市的基本医疗保险参保率稳定在较高水平，且已实现市级统筹。医疗保障体系健全，为群众提供了可靠的医疗保障。同时，焦作市还积极推进药品集中带量采购和“两票制”改革，降低了群众就医成本。</w:t>
      </w:r>
    </w:p>
    <w:p w14:paraId="51DD298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auto"/>
          <w:kern w:val="2"/>
          <w:sz w:val="24"/>
          <w:szCs w:val="24"/>
          <w:lang w:val="en-US" w:eastAsia="zh-CN" w:bidi="ar-SA"/>
        </w:rPr>
        <w:t>3</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失业保险</w:t>
      </w:r>
    </w:p>
    <w:p w14:paraId="00EBEDA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2023年失业保险参保46.8万人，覆盖率89.7%。全年发放失业金1.2亿元，惠及1.8万人次。实施阶段性扩围政策，将参保不足1年农民工纳入保障范围。失业保险基金支出中28%用于职业技能培训，开展智能制造、康养护理等定向培训1.3万人次。随着新《河南省失业保险条例》的施行，失业保险待遇进一步提升，为参保失业人员提供了更好的保障。</w:t>
      </w:r>
    </w:p>
    <w:p w14:paraId="4DDB639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auto"/>
          <w:kern w:val="2"/>
          <w:sz w:val="24"/>
          <w:szCs w:val="24"/>
          <w:lang w:val="en-US" w:eastAsia="zh-CN" w:bidi="ar-SA"/>
        </w:rPr>
        <w:t>4</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教育服务</w:t>
      </w:r>
    </w:p>
    <w:p w14:paraId="3EE687C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auto"/>
          <w:kern w:val="2"/>
          <w:sz w:val="24"/>
          <w:szCs w:val="24"/>
          <w:lang w:val="en-US" w:eastAsia="zh-CN" w:bidi="ar-SA"/>
        </w:rPr>
        <w:t>2023年全市义务教育巩固率98.89%。拥有国家职业教育改革品牌示范学校2所，河南省职业教育品牌示范学校2所，河南省职业教育特色学校4所，年培养技能人才1.1万人，校企合作专业覆盖率达到85%。此外，焦作市还加大了对薄弱学校和农村学校的投入，改善了办学条件，提升了教育质量。高中阶段教育普及率稳步提高，为更多学生提供了接受高等教育的机会。同时，焦作市还积极推进教育信息化，利用互联网和大数据技术，提高了教育管理的科学性和效率。通过一系列措施，焦作市的教育服务水平得到了显著提升，为培养更多高素质人才奠定了坚实基础。</w:t>
      </w:r>
    </w:p>
    <w:p w14:paraId="49F79B2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auto"/>
          <w:kern w:val="2"/>
          <w:sz w:val="24"/>
          <w:szCs w:val="24"/>
          <w:lang w:val="en-US" w:eastAsia="zh-CN" w:bidi="ar-SA"/>
        </w:rPr>
        <w:t>5</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医疗卫生</w:t>
      </w:r>
    </w:p>
    <w:p w14:paraId="38A3EB2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auto"/>
          <w:kern w:val="2"/>
          <w:sz w:val="24"/>
          <w:szCs w:val="24"/>
          <w:lang w:val="en-US" w:eastAsia="zh-CN" w:bidi="ar-SA"/>
        </w:rPr>
        <w:t>每千人口医疗卫生机构床位数</w:t>
      </w:r>
      <w:r>
        <w:rPr>
          <w:rFonts w:hint="eastAsia" w:ascii="Times New Roman" w:hAnsi="Times New Roman" w:cs="Times New Roman"/>
          <w:bCs/>
          <w:color w:val="auto"/>
          <w:kern w:val="2"/>
          <w:sz w:val="24"/>
          <w:szCs w:val="24"/>
          <w:lang w:val="en-US" w:eastAsia="zh-CN" w:bidi="ar-SA"/>
        </w:rPr>
        <w:t>7.9</w:t>
      </w:r>
      <w:r>
        <w:rPr>
          <w:rFonts w:hint="eastAsia" w:ascii="Times New Roman" w:hAnsi="Times New Roman" w:eastAsia="宋体" w:cs="Times New Roman"/>
          <w:bCs/>
          <w:color w:val="auto"/>
          <w:kern w:val="2"/>
          <w:sz w:val="24"/>
          <w:szCs w:val="24"/>
          <w:lang w:val="en-US" w:eastAsia="zh-CN" w:bidi="ar-SA"/>
        </w:rPr>
        <w:t>张，城区三甲医院</w:t>
      </w:r>
      <w:r>
        <w:rPr>
          <w:rFonts w:hint="eastAsia" w:ascii="Times New Roman" w:hAnsi="Times New Roman" w:cs="Times New Roman"/>
          <w:bCs/>
          <w:color w:val="auto"/>
          <w:kern w:val="2"/>
          <w:sz w:val="24"/>
          <w:szCs w:val="24"/>
          <w:lang w:val="en-US" w:eastAsia="zh-CN" w:bidi="ar-SA"/>
        </w:rPr>
        <w:t>4</w:t>
      </w:r>
      <w:r>
        <w:rPr>
          <w:rFonts w:hint="eastAsia" w:ascii="Times New Roman" w:hAnsi="Times New Roman" w:eastAsia="宋体" w:cs="Times New Roman"/>
          <w:bCs/>
          <w:color w:val="auto"/>
          <w:kern w:val="2"/>
          <w:sz w:val="24"/>
          <w:szCs w:val="24"/>
          <w:lang w:val="en-US" w:eastAsia="zh-CN" w:bidi="ar-SA"/>
        </w:rPr>
        <w:t>家，县域内就诊率</w:t>
      </w:r>
      <w:r>
        <w:rPr>
          <w:rFonts w:hint="eastAsia" w:ascii="Times New Roman" w:hAnsi="Times New Roman" w:cs="Times New Roman"/>
          <w:bCs/>
          <w:color w:val="auto"/>
          <w:kern w:val="2"/>
          <w:sz w:val="24"/>
          <w:szCs w:val="24"/>
          <w:lang w:val="en-US" w:eastAsia="zh-CN" w:bidi="ar-SA"/>
        </w:rPr>
        <w:t>90</w:t>
      </w:r>
      <w:r>
        <w:rPr>
          <w:rFonts w:hint="eastAsia" w:ascii="Times New Roman" w:hAnsi="Times New Roman" w:eastAsia="宋体" w:cs="Times New Roman"/>
          <w:bCs/>
          <w:color w:val="auto"/>
          <w:kern w:val="2"/>
          <w:sz w:val="24"/>
          <w:szCs w:val="24"/>
          <w:lang w:val="en-US" w:eastAsia="zh-CN" w:bidi="ar-SA"/>
        </w:rPr>
        <w:t>%</w:t>
      </w:r>
      <w:r>
        <w:rPr>
          <w:rFonts w:hint="eastAsia" w:ascii="Times New Roman" w:hAnsi="Times New Roman" w:cs="Times New Roman"/>
          <w:bCs/>
          <w:color w:val="auto"/>
          <w:kern w:val="2"/>
          <w:sz w:val="24"/>
          <w:szCs w:val="24"/>
          <w:lang w:val="en-US" w:eastAsia="zh-CN" w:bidi="ar-SA"/>
        </w:rPr>
        <w:t>以上</w:t>
      </w:r>
      <w:r>
        <w:rPr>
          <w:rFonts w:hint="eastAsia" w:ascii="Times New Roman" w:hAnsi="Times New Roman" w:eastAsia="宋体" w:cs="Times New Roman"/>
          <w:bCs/>
          <w:color w:val="auto"/>
          <w:kern w:val="2"/>
          <w:sz w:val="24"/>
          <w:szCs w:val="24"/>
          <w:lang w:val="en-US" w:eastAsia="zh-CN" w:bidi="ar-SA"/>
        </w:rPr>
        <w:t>，家庭医生签约服务覆盖率</w:t>
      </w:r>
      <w:r>
        <w:rPr>
          <w:rFonts w:hint="eastAsia" w:ascii="Times New Roman" w:hAnsi="Times New Roman" w:cs="Times New Roman"/>
          <w:bCs/>
          <w:color w:val="auto"/>
          <w:kern w:val="2"/>
          <w:sz w:val="24"/>
          <w:szCs w:val="24"/>
          <w:lang w:val="en-US" w:eastAsia="zh-CN" w:bidi="ar-SA"/>
        </w:rPr>
        <w:t>68.4</w:t>
      </w:r>
      <w:r>
        <w:rPr>
          <w:rFonts w:hint="eastAsia" w:ascii="Times New Roman" w:hAnsi="Times New Roman" w:eastAsia="宋体" w:cs="Times New Roman"/>
          <w:bCs/>
          <w:color w:val="auto"/>
          <w:kern w:val="2"/>
          <w:sz w:val="24"/>
          <w:szCs w:val="24"/>
          <w:lang w:val="en-US" w:eastAsia="zh-CN" w:bidi="ar-SA"/>
        </w:rPr>
        <w:t>%，慢性病管理</w:t>
      </w:r>
      <w:r>
        <w:rPr>
          <w:rFonts w:hint="eastAsia" w:ascii="Times New Roman" w:hAnsi="Times New Roman" w:cs="Times New Roman"/>
          <w:bCs/>
          <w:color w:val="auto"/>
          <w:kern w:val="2"/>
          <w:sz w:val="24"/>
          <w:szCs w:val="24"/>
          <w:lang w:val="en-US" w:eastAsia="zh-CN" w:bidi="ar-SA"/>
        </w:rPr>
        <w:t>包括高血压、糖尿病、慢阻肺三种</w:t>
      </w:r>
      <w:r>
        <w:rPr>
          <w:rFonts w:hint="eastAsia" w:ascii="Times New Roman" w:hAnsi="Times New Roman" w:eastAsia="宋体" w:cs="Times New Roman"/>
          <w:bCs/>
          <w:color w:val="auto"/>
          <w:kern w:val="2"/>
          <w:sz w:val="24"/>
          <w:szCs w:val="24"/>
          <w:lang w:val="en-US" w:eastAsia="zh-CN" w:bidi="ar-SA"/>
        </w:rPr>
        <w:t>。</w:t>
      </w:r>
      <w:r>
        <w:rPr>
          <w:rFonts w:hint="eastAsia" w:ascii="Times New Roman" w:hAnsi="Times New Roman" w:cs="Times New Roman"/>
          <w:bCs/>
          <w:color w:val="auto"/>
          <w:kern w:val="2"/>
          <w:sz w:val="24"/>
          <w:szCs w:val="24"/>
          <w:lang w:val="en-US" w:eastAsia="zh-CN" w:bidi="ar-SA"/>
        </w:rPr>
        <w:t>高血压患者基层规范管理服务率69.92%、2型糖尿病患者基层规范管理服务率71.65%、慢阻肺患者规范健康服务率74.78%。</w:t>
      </w:r>
      <w:r>
        <w:rPr>
          <w:rFonts w:hint="eastAsia" w:ascii="Times New Roman" w:hAnsi="Times New Roman" w:eastAsia="宋体" w:cs="Times New Roman"/>
          <w:bCs/>
          <w:color w:val="auto"/>
          <w:kern w:val="2"/>
          <w:sz w:val="24"/>
          <w:szCs w:val="24"/>
          <w:lang w:val="en-US" w:eastAsia="zh-CN" w:bidi="ar-SA"/>
        </w:rPr>
        <w:t>焦作市医疗卫生体系完善，拥有多个省级重点培育学科和市级重点学科，以及心血管、肿瘤等省级区域医疗中心，为群众提供了高质量的医疗服务。此外，焦作市还积极推进医疗卫生体制改革，加强医疗卫生人才队伍建设，提高医务人员的专业素质和服务水平。通过开展各种形式的健康教育和宣传活动，焦作市增强了群众的健康意识和自我保健能力。同时，焦作市还注重医疗卫生信息化建设，利用现代信息技术手段，提高了医疗服务的便捷性和效率。这些措施的实施，使得焦作市的医疗卫生服务水平得到了全面提升，为人民群众的健康福祉提供了有力保障。</w:t>
      </w:r>
    </w:p>
    <w:p w14:paraId="758EFE9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auto"/>
          <w:kern w:val="2"/>
          <w:sz w:val="24"/>
          <w:szCs w:val="24"/>
          <w:lang w:val="en-US" w:eastAsia="zh-CN" w:bidi="ar-SA"/>
        </w:rPr>
        <w:t>6</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文体设施</w:t>
      </w:r>
    </w:p>
    <w:p w14:paraId="7837C87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color w:val="auto"/>
          <w:kern w:val="2"/>
          <w:sz w:val="24"/>
          <w:szCs w:val="24"/>
          <w:lang w:val="en-US" w:eastAsia="zh-CN" w:bidi="ar-SA"/>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r>
        <w:rPr>
          <w:rFonts w:hint="eastAsia" w:ascii="Times New Roman" w:hAnsi="Times New Roman" w:eastAsia="宋体" w:cs="Times New Roman"/>
          <w:bCs/>
          <w:color w:val="auto"/>
          <w:kern w:val="2"/>
          <w:sz w:val="24"/>
          <w:szCs w:val="24"/>
          <w:lang w:val="en-US" w:eastAsia="zh-CN" w:bidi="ar-SA"/>
        </w:rPr>
        <w:t>建成城市书房42座，村级综合文化服务中心实现全覆盖，人均体育场地面积2.38㎡，超出全国平均水平0.18㎡。2023年举办群众性体育活动1200余场次，参与人次超50万。焦作市文化底蕴深厚，拥有众多文化资源，并积极开展各类文化活动。同时，体育设施完善，为群众提供了良好的体育锻炼环境。此外，焦作市还注重文化遗产的保护和传承，投入大量资金修缮历史建筑和文物，让市民能够在现代生活中感受到传统文化的魅力。城市书房的建设不仅丰富了市民的精神文化生活，还成为城市文化的新地标，吸引了众多读者前来阅读和学习。村级综合文化服务中心的全覆盖，使得农村地区的群众也能享受到便捷的文化服务，促进了城乡文化的均衡发展。在未来的发展中，焦作市将继续加大文体设施的建设力度，提升文化软实力，为人民群众提供更加丰富多彩的文化体育生活。</w:t>
      </w:r>
    </w:p>
    <w:p w14:paraId="05619398">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rPr>
      </w:pPr>
      <w:bookmarkStart w:id="56" w:name="_Toc21052"/>
      <w:r>
        <w:rPr>
          <w:rFonts w:hint="eastAsia" w:ascii="宋体" w:hAnsi="宋体" w:eastAsia="宋体" w:cs="宋体"/>
          <w:b/>
          <w:bCs/>
          <w:color w:val="auto"/>
          <w:sz w:val="32"/>
          <w:szCs w:val="32"/>
        </w:rPr>
        <w:t>第</w:t>
      </w:r>
      <w:r>
        <w:rPr>
          <w:rFonts w:hint="eastAsia" w:ascii="宋体" w:hAnsi="宋体" w:eastAsia="宋体" w:cs="宋体"/>
          <w:b/>
          <w:bCs/>
          <w:color w:val="auto"/>
          <w:sz w:val="32"/>
          <w:szCs w:val="32"/>
          <w:lang w:eastAsia="zh-CN"/>
        </w:rPr>
        <w:t>三</w:t>
      </w:r>
      <w:r>
        <w:rPr>
          <w:rFonts w:hint="eastAsia" w:ascii="宋体" w:hAnsi="宋体" w:eastAsia="宋体" w:cs="宋体"/>
          <w:b/>
          <w:bCs/>
          <w:color w:val="auto"/>
          <w:sz w:val="32"/>
          <w:szCs w:val="32"/>
        </w:rPr>
        <w:t>章</w:t>
      </w:r>
      <w:r>
        <w:rPr>
          <w:rFonts w:hint="eastAsia" w:ascii="宋体" w:hAnsi="宋体" w:eastAsia="宋体" w:cs="宋体"/>
          <w:b/>
          <w:bCs/>
          <w:color w:val="auto"/>
          <w:sz w:val="32"/>
          <w:szCs w:val="32"/>
          <w:lang w:val="en-US" w:eastAsia="zh-CN"/>
        </w:rPr>
        <w:t xml:space="preserve"> 旅游资源</w:t>
      </w:r>
      <w:bookmarkEnd w:id="56"/>
    </w:p>
    <w:p w14:paraId="2C04A0F5">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宋体" w:hAnsi="宋体" w:eastAsia="宋体" w:cs="宋体"/>
          <w:b/>
          <w:bCs/>
          <w:color w:val="auto"/>
          <w:sz w:val="30"/>
          <w:szCs w:val="30"/>
          <w:lang w:eastAsia="zh-CN"/>
        </w:rPr>
      </w:pPr>
      <w:bookmarkStart w:id="57" w:name="_Toc10415"/>
      <w:r>
        <w:rPr>
          <w:rFonts w:hint="eastAsia" w:ascii="宋体" w:hAnsi="宋体" w:eastAsia="宋体" w:cs="宋体"/>
          <w:b/>
          <w:bCs/>
          <w:color w:val="auto"/>
          <w:sz w:val="30"/>
          <w:szCs w:val="30"/>
        </w:rPr>
        <w:t>第</w:t>
      </w:r>
      <w:r>
        <w:rPr>
          <w:rFonts w:hint="eastAsia" w:ascii="宋体" w:hAnsi="宋体" w:eastAsia="宋体" w:cs="宋体"/>
          <w:b/>
          <w:bCs/>
          <w:color w:val="auto"/>
          <w:sz w:val="30"/>
          <w:szCs w:val="30"/>
          <w:lang w:eastAsia="zh-CN"/>
        </w:rPr>
        <w:t>一</w:t>
      </w:r>
      <w:r>
        <w:rPr>
          <w:rFonts w:hint="eastAsia" w:ascii="宋体" w:hAnsi="宋体" w:eastAsia="宋体" w:cs="宋体"/>
          <w:b/>
          <w:bCs/>
          <w:color w:val="auto"/>
          <w:sz w:val="30"/>
          <w:szCs w:val="30"/>
        </w:rPr>
        <w:t>节</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lang w:eastAsia="zh-CN"/>
        </w:rPr>
        <w:t>旅游资源总体特征</w:t>
      </w:r>
      <w:bookmarkEnd w:id="57"/>
    </w:p>
    <w:p w14:paraId="56ABA76B">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2"/>
        <w:rPr>
          <w:rFonts w:hint="eastAsia" w:ascii="宋体" w:hAnsi="宋体" w:cs="宋体"/>
          <w:b/>
          <w:bCs/>
          <w:color w:val="auto"/>
          <w:sz w:val="30"/>
          <w:szCs w:val="30"/>
          <w:lang w:val="en-US" w:eastAsia="zh-CN"/>
        </w:rPr>
      </w:pPr>
      <w:bookmarkStart w:id="58" w:name="_Toc13384"/>
      <w:r>
        <w:rPr>
          <w:rFonts w:hint="eastAsia" w:ascii="宋体" w:hAnsi="宋体" w:cs="宋体"/>
          <w:b/>
          <w:bCs/>
          <w:color w:val="auto"/>
          <w:sz w:val="30"/>
          <w:szCs w:val="30"/>
          <w:lang w:val="en-US" w:eastAsia="zh-CN"/>
        </w:rPr>
        <w:t>一、资源类型数量比重分析</w:t>
      </w:r>
      <w:bookmarkEnd w:id="58"/>
    </w:p>
    <w:p w14:paraId="226E74A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（一）总体数量结构分析</w:t>
      </w:r>
    </w:p>
    <w:p w14:paraId="4A186F9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outlineLvl w:val="3"/>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1.资源类型覆盖全面</w:t>
      </w:r>
    </w:p>
    <w:p w14:paraId="68054D4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bCs/>
          <w:color w:val="auto"/>
          <w:kern w:val="2"/>
          <w:sz w:val="24"/>
          <w:szCs w:val="24"/>
          <w:lang w:val="en-US" w:eastAsia="zh-CN" w:bidi="ar-SA"/>
        </w:rPr>
        <w:t>本次旅游资源普查，焦作市</w:t>
      </w:r>
      <w:r>
        <w:rPr>
          <w:rFonts w:hint="eastAsia" w:ascii="Times New Roman" w:hAnsi="Times New Roman" w:eastAsia="宋体" w:cs="Times New Roman"/>
          <w:color w:val="auto"/>
          <w:sz w:val="24"/>
          <w:lang w:val="en-US" w:eastAsia="zh-CN"/>
        </w:rPr>
        <w:t>全市共普查旅游资源单体12008</w:t>
      </w:r>
      <w:r>
        <w:rPr>
          <w:rFonts w:hint="eastAsia" w:ascii="Times New Roman" w:hAnsi="Times New Roman" w:cs="Times New Roman"/>
          <w:color w:val="auto"/>
          <w:sz w:val="24"/>
          <w:lang w:val="en-US" w:eastAsia="zh-CN"/>
        </w:rPr>
        <w:t>处</w:t>
      </w:r>
      <w:r>
        <w:rPr>
          <w:rFonts w:hint="eastAsia" w:ascii="Times New Roman" w:hAnsi="Times New Roman" w:eastAsia="宋体" w:cs="Times New Roman"/>
          <w:color w:val="auto"/>
          <w:sz w:val="24"/>
          <w:lang w:val="en-US" w:eastAsia="zh-CN"/>
        </w:rPr>
        <w:t>，</w:t>
      </w:r>
      <w:r>
        <w:rPr>
          <w:rFonts w:hint="eastAsia" w:ascii="Times New Roman" w:hAnsi="Times New Roman" w:cs="Times New Roman"/>
          <w:color w:val="auto"/>
          <w:sz w:val="24"/>
          <w:lang w:val="en-US" w:eastAsia="zh-CN"/>
        </w:rPr>
        <w:t>其中新发现资源1662处，占比13.84%。所有资源</w:t>
      </w:r>
      <w:r>
        <w:rPr>
          <w:rFonts w:hint="eastAsia" w:ascii="Times New Roman" w:hAnsi="Times New Roman" w:eastAsia="宋体" w:cs="Times New Roman"/>
          <w:color w:val="auto"/>
          <w:sz w:val="24"/>
          <w:lang w:val="en-US" w:eastAsia="zh-CN"/>
        </w:rPr>
        <w:t>分属《河南省旅游资源分类、调查与评价（试行）》文件中8个主类，26个亚类，116个基本类型的8个主类，25个亚类，1</w:t>
      </w:r>
      <w:r>
        <w:rPr>
          <w:rFonts w:hint="eastAsia" w:ascii="Times New Roman" w:hAnsi="Times New Roman" w:cs="Times New Roman"/>
          <w:color w:val="auto"/>
          <w:sz w:val="24"/>
          <w:lang w:val="en-US" w:eastAsia="zh-CN"/>
        </w:rPr>
        <w:t>07</w:t>
      </w:r>
      <w:r>
        <w:rPr>
          <w:rFonts w:hint="eastAsia" w:ascii="Times New Roman" w:hAnsi="Times New Roman" w:eastAsia="宋体" w:cs="Times New Roman"/>
          <w:color w:val="auto"/>
          <w:sz w:val="24"/>
          <w:lang w:val="en-US" w:eastAsia="zh-CN"/>
        </w:rPr>
        <w:t>个基本类型，</w:t>
      </w:r>
      <w:r>
        <w:rPr>
          <w:rFonts w:hint="eastAsia" w:ascii="Times New Roman" w:hAnsi="Times New Roman" w:cs="Times New Roman"/>
          <w:color w:val="auto"/>
          <w:sz w:val="24"/>
          <w:lang w:val="en-US" w:eastAsia="zh-CN"/>
        </w:rPr>
        <w:t>拥有率分别为100%、96.15%和92.24%</w:t>
      </w:r>
      <w:r>
        <w:rPr>
          <w:rFonts w:hint="eastAsia" w:ascii="Times New Roman" w:hAnsi="Times New Roman" w:eastAsia="宋体" w:cs="Times New Roman"/>
          <w:color w:val="auto"/>
          <w:sz w:val="24"/>
          <w:lang w:val="en-US" w:eastAsia="zh-CN"/>
        </w:rPr>
        <w:t>，详见表3-1。</w:t>
      </w:r>
      <w:r>
        <w:rPr>
          <w:rFonts w:hint="eastAsia" w:ascii="Times New Roman" w:hAnsi="Times New Roman" w:cs="Times New Roman"/>
          <w:color w:val="auto"/>
          <w:sz w:val="24"/>
          <w:lang w:val="en-US" w:eastAsia="zh-CN"/>
        </w:rPr>
        <w:t>缺少的亚类为水域景观主类中的海面。</w:t>
      </w:r>
    </w:p>
    <w:p w14:paraId="36D4C0BF">
      <w:pPr>
        <w:spacing w:before="65" w:line="228" w:lineRule="auto"/>
        <w:ind w:left="2797"/>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 xml:space="preserve">表3-1 </w:t>
      </w:r>
      <w:r>
        <w:rPr>
          <w:rFonts w:hint="eastAsia" w:ascii="宋体" w:hAnsi="宋体" w:eastAsia="宋体" w:cs="宋体"/>
          <w:color w:val="auto"/>
          <w:spacing w:val="7"/>
          <w:sz w:val="21"/>
          <w:szCs w:val="21"/>
          <w14:textOutline w14:w="3795" w14:cap="flat" w14:cmpd="sng">
            <w14:solidFill>
              <w14:srgbClr w14:val="000000"/>
            </w14:solidFill>
            <w14:prstDash w14:val="solid"/>
            <w14:miter w14:val="0"/>
          </w14:textOutline>
        </w:rPr>
        <w:t>各层次旅游资源数量统计</w:t>
      </w:r>
    </w:p>
    <w:tbl>
      <w:tblPr>
        <w:tblStyle w:val="15"/>
        <w:tblpPr w:leftFromText="181" w:rightFromText="181" w:vertAnchor="text" w:horzAnchor="page" w:tblpXSpec="center" w:tblpY="114"/>
        <w:tblOverlap w:val="never"/>
        <w:tblW w:w="91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9"/>
        <w:gridCol w:w="2393"/>
        <w:gridCol w:w="2059"/>
        <w:gridCol w:w="3191"/>
      </w:tblGrid>
      <w:tr w14:paraId="6BE24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69" w:type="dxa"/>
            <w:vMerge w:val="restart"/>
            <w:noWrap w:val="0"/>
            <w:vAlign w:val="center"/>
          </w:tcPr>
          <w:p w14:paraId="5A595A0B">
            <w:pPr>
              <w:snapToGrid w:val="0"/>
              <w:jc w:val="center"/>
              <w:rPr>
                <w:rFonts w:hint="eastAsia" w:ascii="仿宋" w:hAnsi="仿宋" w:eastAsia="仿宋" w:cs="仿宋"/>
                <w:b/>
                <w:bCs/>
                <w:color w:val="auto"/>
                <w:sz w:val="21"/>
                <w:szCs w:val="21"/>
              </w:rPr>
            </w:pPr>
            <w:r>
              <w:rPr>
                <w:rFonts w:hint="eastAsia" w:ascii="仿宋" w:hAnsi="仿宋" w:eastAsia="仿宋" w:cs="仿宋"/>
                <w:color w:val="auto"/>
                <w:sz w:val="21"/>
                <w:szCs w:val="21"/>
              </w:rPr>
              <w:t>系列</w:t>
            </w:r>
          </w:p>
        </w:tc>
        <w:tc>
          <w:tcPr>
            <w:tcW w:w="2393" w:type="dxa"/>
            <w:vMerge w:val="restart"/>
            <w:noWrap w:val="0"/>
            <w:vAlign w:val="center"/>
          </w:tcPr>
          <w:p w14:paraId="6F60625B">
            <w:pPr>
              <w:snapToGrid w:val="0"/>
              <w:jc w:val="center"/>
              <w:rPr>
                <w:rFonts w:hint="eastAsia" w:ascii="仿宋" w:hAnsi="仿宋" w:eastAsia="仿宋" w:cs="仿宋"/>
                <w:b/>
                <w:bCs/>
                <w:color w:val="auto"/>
                <w:sz w:val="21"/>
                <w:szCs w:val="21"/>
              </w:rPr>
            </w:pPr>
            <w:r>
              <w:rPr>
                <w:rFonts w:hint="eastAsia" w:ascii="仿宋" w:hAnsi="仿宋" w:eastAsia="仿宋" w:cs="仿宋"/>
                <w:color w:val="auto"/>
                <w:sz w:val="21"/>
                <w:szCs w:val="21"/>
              </w:rPr>
              <w:t>全省旅游资源分类方案确定的类型数（类）</w:t>
            </w:r>
          </w:p>
        </w:tc>
        <w:tc>
          <w:tcPr>
            <w:tcW w:w="5250" w:type="dxa"/>
            <w:gridSpan w:val="2"/>
            <w:noWrap w:val="0"/>
            <w:vAlign w:val="center"/>
          </w:tcPr>
          <w:p w14:paraId="3AF2E34D">
            <w:pPr>
              <w:snapToGrid w:val="0"/>
              <w:jc w:val="center"/>
              <w:rPr>
                <w:rFonts w:hint="default" w:ascii="仿宋" w:hAnsi="仿宋" w:eastAsia="仿宋" w:cs="仿宋"/>
                <w:b/>
                <w:bCs/>
                <w:color w:val="auto"/>
                <w:sz w:val="21"/>
                <w:szCs w:val="21"/>
                <w:lang w:val="en-US" w:eastAsia="zh-CN"/>
              </w:rPr>
            </w:pPr>
            <w:r>
              <w:rPr>
                <w:rFonts w:hint="eastAsia" w:ascii="仿宋" w:hAnsi="仿宋" w:eastAsia="仿宋" w:cs="仿宋"/>
                <w:color w:val="auto"/>
                <w:sz w:val="21"/>
                <w:szCs w:val="21"/>
              </w:rPr>
              <w:t>普查区</w:t>
            </w:r>
            <w:r>
              <w:rPr>
                <w:rFonts w:hint="eastAsia" w:ascii="仿宋" w:hAnsi="仿宋" w:eastAsia="仿宋" w:cs="仿宋"/>
                <w:color w:val="auto"/>
                <w:sz w:val="21"/>
                <w:szCs w:val="21"/>
                <w:lang w:val="en-US" w:eastAsia="zh-CN"/>
              </w:rPr>
              <w:t>实际数量</w:t>
            </w:r>
          </w:p>
        </w:tc>
      </w:tr>
      <w:tr w14:paraId="5E0AA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69" w:type="dxa"/>
            <w:vMerge w:val="continue"/>
            <w:noWrap w:val="0"/>
            <w:vAlign w:val="center"/>
          </w:tcPr>
          <w:p w14:paraId="1FF39486">
            <w:pPr>
              <w:snapToGrid w:val="0"/>
              <w:jc w:val="center"/>
              <w:rPr>
                <w:rFonts w:hint="eastAsia" w:ascii="仿宋" w:hAnsi="仿宋" w:eastAsia="仿宋" w:cs="仿宋"/>
                <w:b/>
                <w:bCs/>
                <w:color w:val="auto"/>
                <w:sz w:val="21"/>
                <w:szCs w:val="21"/>
              </w:rPr>
            </w:pPr>
          </w:p>
        </w:tc>
        <w:tc>
          <w:tcPr>
            <w:tcW w:w="2393" w:type="dxa"/>
            <w:vMerge w:val="continue"/>
            <w:noWrap w:val="0"/>
            <w:vAlign w:val="center"/>
          </w:tcPr>
          <w:p w14:paraId="6D00E94E">
            <w:pPr>
              <w:snapToGrid w:val="0"/>
              <w:jc w:val="center"/>
              <w:rPr>
                <w:rFonts w:hint="eastAsia" w:ascii="仿宋" w:hAnsi="仿宋" w:eastAsia="仿宋" w:cs="仿宋"/>
                <w:b/>
                <w:bCs/>
                <w:color w:val="auto"/>
                <w:sz w:val="21"/>
                <w:szCs w:val="21"/>
              </w:rPr>
            </w:pPr>
          </w:p>
        </w:tc>
        <w:tc>
          <w:tcPr>
            <w:tcW w:w="2059" w:type="dxa"/>
            <w:noWrap w:val="0"/>
            <w:vAlign w:val="center"/>
          </w:tcPr>
          <w:p w14:paraId="0D457B55">
            <w:pPr>
              <w:snapToGrid w:val="0"/>
              <w:jc w:val="center"/>
              <w:rPr>
                <w:rFonts w:hint="eastAsia" w:ascii="仿宋" w:hAnsi="仿宋" w:eastAsia="仿宋" w:cs="仿宋"/>
                <w:b/>
                <w:bCs/>
                <w:color w:val="auto"/>
                <w:sz w:val="21"/>
                <w:szCs w:val="21"/>
                <w:lang w:eastAsia="zh-CN"/>
              </w:rPr>
            </w:pPr>
            <w:r>
              <w:rPr>
                <w:rFonts w:hint="eastAsia" w:ascii="仿宋" w:hAnsi="仿宋" w:eastAsia="仿宋" w:cs="仿宋"/>
                <w:color w:val="auto"/>
                <w:sz w:val="21"/>
                <w:szCs w:val="21"/>
              </w:rPr>
              <w:t>类型数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类</w:t>
            </w:r>
            <w:r>
              <w:rPr>
                <w:rFonts w:hint="eastAsia" w:ascii="仿宋" w:hAnsi="仿宋" w:eastAsia="仿宋" w:cs="仿宋"/>
                <w:color w:val="auto"/>
                <w:sz w:val="21"/>
                <w:szCs w:val="21"/>
                <w:lang w:eastAsia="zh-CN"/>
              </w:rPr>
              <w:t>）</w:t>
            </w:r>
          </w:p>
        </w:tc>
        <w:tc>
          <w:tcPr>
            <w:tcW w:w="3191" w:type="dxa"/>
            <w:noWrap w:val="0"/>
            <w:vAlign w:val="center"/>
          </w:tcPr>
          <w:p w14:paraId="4F8DEAB5">
            <w:pPr>
              <w:snapToGrid w:val="0"/>
              <w:jc w:val="center"/>
              <w:rPr>
                <w:rFonts w:hint="eastAsia" w:ascii="仿宋" w:hAnsi="仿宋" w:eastAsia="仿宋" w:cs="仿宋"/>
                <w:b/>
                <w:bCs/>
                <w:color w:val="auto"/>
                <w:sz w:val="21"/>
                <w:szCs w:val="21"/>
              </w:rPr>
            </w:pPr>
            <w:r>
              <w:rPr>
                <w:rFonts w:hint="eastAsia" w:ascii="仿宋" w:hAnsi="仿宋" w:eastAsia="仿宋" w:cs="仿宋"/>
                <w:color w:val="auto"/>
                <w:sz w:val="21"/>
                <w:szCs w:val="21"/>
              </w:rPr>
              <w:t>占全省旅游资源分类方案确定的类型数比例</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w:t>
            </w:r>
          </w:p>
        </w:tc>
      </w:tr>
      <w:tr w14:paraId="3164C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69" w:type="dxa"/>
            <w:noWrap w:val="0"/>
            <w:vAlign w:val="center"/>
          </w:tcPr>
          <w:p w14:paraId="3C5BCCFC">
            <w:pPr>
              <w:snapToGrid w:val="0"/>
              <w:jc w:val="center"/>
              <w:rPr>
                <w:rFonts w:hint="eastAsia" w:ascii="仿宋" w:hAnsi="仿宋" w:eastAsia="仿宋" w:cs="仿宋"/>
                <w:b/>
                <w:bCs/>
                <w:color w:val="auto"/>
                <w:sz w:val="21"/>
                <w:szCs w:val="21"/>
              </w:rPr>
            </w:pPr>
            <w:r>
              <w:rPr>
                <w:rFonts w:hint="eastAsia" w:ascii="仿宋" w:hAnsi="仿宋" w:eastAsia="仿宋" w:cs="仿宋"/>
                <w:color w:val="auto"/>
                <w:sz w:val="21"/>
                <w:szCs w:val="21"/>
              </w:rPr>
              <w:t>主类</w:t>
            </w:r>
          </w:p>
        </w:tc>
        <w:tc>
          <w:tcPr>
            <w:tcW w:w="2393" w:type="dxa"/>
            <w:noWrap w:val="0"/>
            <w:vAlign w:val="center"/>
          </w:tcPr>
          <w:p w14:paraId="037D8732">
            <w:pPr>
              <w:snapToGrid w:val="0"/>
              <w:jc w:val="center"/>
              <w:rPr>
                <w:rFonts w:hint="eastAsia" w:ascii="仿宋" w:hAnsi="仿宋" w:eastAsia="仿宋" w:cs="仿宋"/>
                <w:b/>
                <w:bCs/>
                <w:color w:val="auto"/>
                <w:sz w:val="21"/>
                <w:szCs w:val="21"/>
              </w:rPr>
            </w:pPr>
            <w:r>
              <w:rPr>
                <w:rFonts w:hint="eastAsia" w:ascii="仿宋" w:hAnsi="仿宋" w:eastAsia="仿宋" w:cs="仿宋"/>
                <w:color w:val="auto"/>
                <w:sz w:val="21"/>
                <w:szCs w:val="21"/>
              </w:rPr>
              <w:t>8</w:t>
            </w:r>
          </w:p>
        </w:tc>
        <w:tc>
          <w:tcPr>
            <w:tcW w:w="2059" w:type="dxa"/>
            <w:noWrap w:val="0"/>
            <w:vAlign w:val="center"/>
          </w:tcPr>
          <w:p w14:paraId="674E31EF">
            <w:pPr>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8</w:t>
            </w:r>
          </w:p>
        </w:tc>
        <w:tc>
          <w:tcPr>
            <w:tcW w:w="3191" w:type="dxa"/>
            <w:noWrap w:val="0"/>
            <w:vAlign w:val="center"/>
          </w:tcPr>
          <w:p w14:paraId="67B93C25">
            <w:pPr>
              <w:snapToGrid w:val="0"/>
              <w:jc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100</w:t>
            </w:r>
          </w:p>
        </w:tc>
      </w:tr>
      <w:tr w14:paraId="265A7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69" w:type="dxa"/>
            <w:noWrap w:val="0"/>
            <w:vAlign w:val="center"/>
          </w:tcPr>
          <w:p w14:paraId="60C600AB">
            <w:pPr>
              <w:snapToGrid w:val="0"/>
              <w:jc w:val="center"/>
              <w:rPr>
                <w:rFonts w:hint="eastAsia" w:ascii="仿宋" w:hAnsi="仿宋" w:eastAsia="仿宋" w:cs="仿宋"/>
                <w:color w:val="auto"/>
                <w:sz w:val="21"/>
                <w:szCs w:val="21"/>
              </w:rPr>
            </w:pPr>
            <w:r>
              <w:rPr>
                <w:rFonts w:hint="eastAsia" w:ascii="仿宋" w:hAnsi="仿宋" w:eastAsia="仿宋" w:cs="仿宋"/>
                <w:color w:val="auto"/>
                <w:sz w:val="21"/>
                <w:szCs w:val="21"/>
              </w:rPr>
              <w:t>亚类</w:t>
            </w:r>
          </w:p>
        </w:tc>
        <w:tc>
          <w:tcPr>
            <w:tcW w:w="2393" w:type="dxa"/>
            <w:noWrap w:val="0"/>
            <w:vAlign w:val="center"/>
          </w:tcPr>
          <w:p w14:paraId="10D676A9">
            <w:pPr>
              <w:snapToGrid w:val="0"/>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rPr>
              <w:t>2</w:t>
            </w:r>
            <w:r>
              <w:rPr>
                <w:rFonts w:hint="eastAsia" w:ascii="仿宋" w:hAnsi="仿宋" w:eastAsia="仿宋" w:cs="仿宋"/>
                <w:color w:val="auto"/>
                <w:sz w:val="21"/>
                <w:szCs w:val="21"/>
                <w:lang w:val="en-US" w:eastAsia="zh-CN"/>
              </w:rPr>
              <w:t>6</w:t>
            </w:r>
          </w:p>
        </w:tc>
        <w:tc>
          <w:tcPr>
            <w:tcW w:w="2059" w:type="dxa"/>
            <w:noWrap w:val="0"/>
            <w:vAlign w:val="center"/>
          </w:tcPr>
          <w:p w14:paraId="39F4BF05">
            <w:pPr>
              <w:snapToGrid w:val="0"/>
              <w:jc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25</w:t>
            </w:r>
          </w:p>
        </w:tc>
        <w:tc>
          <w:tcPr>
            <w:tcW w:w="3191" w:type="dxa"/>
            <w:noWrap w:val="0"/>
            <w:vAlign w:val="center"/>
          </w:tcPr>
          <w:p w14:paraId="2706FBDA">
            <w:pPr>
              <w:snapToGrid w:val="0"/>
              <w:jc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96.15</w:t>
            </w:r>
          </w:p>
        </w:tc>
      </w:tr>
      <w:tr w14:paraId="373BA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69" w:type="dxa"/>
            <w:noWrap w:val="0"/>
            <w:vAlign w:val="center"/>
          </w:tcPr>
          <w:p w14:paraId="3AD2D74D">
            <w:pPr>
              <w:snapToGrid w:val="0"/>
              <w:jc w:val="center"/>
              <w:rPr>
                <w:rFonts w:hint="eastAsia" w:ascii="仿宋" w:hAnsi="仿宋" w:eastAsia="仿宋" w:cs="仿宋"/>
                <w:color w:val="auto"/>
                <w:sz w:val="21"/>
                <w:szCs w:val="21"/>
              </w:rPr>
            </w:pPr>
            <w:r>
              <w:rPr>
                <w:rFonts w:hint="eastAsia" w:ascii="仿宋" w:hAnsi="仿宋" w:eastAsia="仿宋" w:cs="仿宋"/>
                <w:color w:val="auto"/>
                <w:sz w:val="21"/>
                <w:szCs w:val="21"/>
              </w:rPr>
              <w:t>基本类型</w:t>
            </w:r>
          </w:p>
        </w:tc>
        <w:tc>
          <w:tcPr>
            <w:tcW w:w="2393" w:type="dxa"/>
            <w:noWrap w:val="0"/>
            <w:vAlign w:val="center"/>
          </w:tcPr>
          <w:p w14:paraId="02E64773">
            <w:pPr>
              <w:snapToGrid w:val="0"/>
              <w:jc w:val="center"/>
              <w:rPr>
                <w:rFonts w:ascii="仿宋" w:hAnsi="仿宋" w:eastAsia="仿宋" w:cs="仿宋"/>
                <w:color w:val="auto"/>
                <w:sz w:val="21"/>
                <w:szCs w:val="21"/>
              </w:rPr>
            </w:pPr>
            <w:r>
              <w:rPr>
                <w:rFonts w:hint="eastAsia" w:ascii="仿宋" w:hAnsi="仿宋" w:eastAsia="仿宋" w:cs="仿宋"/>
                <w:color w:val="auto"/>
                <w:sz w:val="21"/>
                <w:szCs w:val="21"/>
              </w:rPr>
              <w:t>116</w:t>
            </w:r>
          </w:p>
        </w:tc>
        <w:tc>
          <w:tcPr>
            <w:tcW w:w="2059" w:type="dxa"/>
            <w:noWrap w:val="0"/>
            <w:vAlign w:val="center"/>
          </w:tcPr>
          <w:p w14:paraId="02838417">
            <w:pPr>
              <w:snapToGrid w:val="0"/>
              <w:jc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107</w:t>
            </w:r>
          </w:p>
        </w:tc>
        <w:tc>
          <w:tcPr>
            <w:tcW w:w="3191" w:type="dxa"/>
            <w:noWrap w:val="0"/>
            <w:vAlign w:val="center"/>
          </w:tcPr>
          <w:p w14:paraId="7B6567F0">
            <w:pPr>
              <w:snapToGrid w:val="0"/>
              <w:jc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92.24</w:t>
            </w:r>
          </w:p>
        </w:tc>
      </w:tr>
    </w:tbl>
    <w:p w14:paraId="1B2C832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auto"/>
          <w:sz w:val="24"/>
          <w:lang w:val="en-US" w:eastAsia="zh-CN"/>
        </w:rPr>
      </w:pPr>
    </w:p>
    <w:p w14:paraId="0CC473D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color w:val="auto"/>
          <w:sz w:val="24"/>
          <w:lang w:val="en-US" w:eastAsia="zh-CN"/>
        </w:rPr>
      </w:pPr>
      <w:r>
        <w:rPr>
          <w:rFonts w:hint="eastAsia" w:ascii="Times New Roman" w:hAnsi="Times New Roman" w:eastAsia="宋体" w:cs="Times New Roman"/>
          <w:color w:val="auto"/>
          <w:sz w:val="24"/>
          <w:lang w:val="en-US" w:eastAsia="zh-CN"/>
        </w:rPr>
        <w:t>焦作市旅游资源类型的总体拥有率高，各主类在基本类型拥有率</w:t>
      </w:r>
      <w:r>
        <w:rPr>
          <w:rFonts w:hint="eastAsia" w:ascii="Times New Roman" w:hAnsi="Times New Roman" w:cs="Times New Roman"/>
          <w:color w:val="auto"/>
          <w:sz w:val="24"/>
          <w:lang w:val="en-US" w:eastAsia="zh-CN"/>
        </w:rPr>
        <w:t>为地文景观、天象与气候景观、历史遗迹、人文活动100%，建筑与设施97.44%，旅游购品88.89%，生物景观87.5%，水域景观为61.56%</w:t>
      </w:r>
      <w:r>
        <w:rPr>
          <w:rFonts w:hint="eastAsia" w:ascii="Times New Roman" w:hAnsi="Times New Roman" w:eastAsia="宋体" w:cs="Times New Roman"/>
          <w:color w:val="auto"/>
          <w:sz w:val="24"/>
          <w:lang w:val="en-US" w:eastAsia="zh-CN"/>
        </w:rPr>
        <w:t>，详见表3-</w:t>
      </w:r>
      <w:r>
        <w:rPr>
          <w:rFonts w:hint="eastAsia" w:ascii="Times New Roman" w:hAnsi="Times New Roman" w:cs="Times New Roman"/>
          <w:color w:val="auto"/>
          <w:sz w:val="24"/>
          <w:lang w:val="en-US" w:eastAsia="zh-CN"/>
        </w:rPr>
        <w:t>2</w:t>
      </w:r>
      <w:r>
        <w:rPr>
          <w:rFonts w:hint="eastAsia" w:ascii="Times New Roman" w:hAnsi="Times New Roman" w:eastAsia="宋体" w:cs="Times New Roman"/>
          <w:color w:val="auto"/>
          <w:sz w:val="24"/>
          <w:lang w:val="en-US" w:eastAsia="zh-CN"/>
        </w:rPr>
        <w:t>。</w:t>
      </w:r>
      <w:r>
        <w:rPr>
          <w:rFonts w:hint="eastAsia" w:ascii="Times New Roman" w:hAnsi="Times New Roman" w:cs="Times New Roman"/>
          <w:color w:val="auto"/>
          <w:sz w:val="24"/>
          <w:lang w:val="en-US" w:eastAsia="zh-CN"/>
        </w:rPr>
        <w:t>其中，水域景观中缺少埋藏水体、现代冰川、游憩海域、涌潮与击浪现象和小型岛礁；生物景观中缺少蝶类等昆虫栖息地；建筑与设施中缺少景观牧场；旅游购品中缺少养殖业产品及制品和旅游装备产品。</w:t>
      </w:r>
    </w:p>
    <w:p w14:paraId="13C8BD93">
      <w:pPr>
        <w:spacing w:before="65" w:line="228" w:lineRule="auto"/>
        <w:ind w:left="2797"/>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表3-2 各主类、亚类旅游资源基本类型数量统计</w:t>
      </w:r>
    </w:p>
    <w:tbl>
      <w:tblPr>
        <w:tblStyle w:val="16"/>
        <w:tblW w:w="90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93"/>
        <w:gridCol w:w="1961"/>
        <w:gridCol w:w="1800"/>
        <w:gridCol w:w="2538"/>
      </w:tblGrid>
      <w:tr w14:paraId="0C52A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1A1D89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系列</w:t>
            </w:r>
          </w:p>
        </w:tc>
        <w:tc>
          <w:tcPr>
            <w:tcW w:w="1961" w:type="dxa"/>
            <w:noWrap w:val="0"/>
            <w:vAlign w:val="center"/>
          </w:tcPr>
          <w:p w14:paraId="0F346B1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标准数</w:t>
            </w:r>
            <w:r>
              <w:rPr>
                <w:rFonts w:hint="eastAsia" w:ascii="仿宋" w:hAnsi="仿宋" w:eastAsia="仿宋" w:cs="仿宋"/>
                <w:strike w:val="0"/>
                <w:dstrike w:val="0"/>
                <w:color w:val="auto"/>
                <w:spacing w:val="0"/>
                <w:kern w:val="2"/>
                <w:sz w:val="21"/>
                <w:szCs w:val="21"/>
                <w:highlight w:val="none"/>
                <w:vertAlign w:val="baseline"/>
                <w:lang w:val="en-US" w:eastAsia="zh-CN" w:bidi="ar-SA"/>
              </w:rPr>
              <w:t>目（类）</w:t>
            </w:r>
          </w:p>
        </w:tc>
        <w:tc>
          <w:tcPr>
            <w:tcW w:w="1800" w:type="dxa"/>
            <w:noWrap w:val="0"/>
            <w:vAlign w:val="center"/>
          </w:tcPr>
          <w:p w14:paraId="0E38AAC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实际数</w:t>
            </w:r>
            <w:r>
              <w:rPr>
                <w:rFonts w:hint="eastAsia" w:ascii="仿宋" w:hAnsi="仿宋" w:eastAsia="仿宋" w:cs="仿宋"/>
                <w:strike w:val="0"/>
                <w:dstrike w:val="0"/>
                <w:color w:val="auto"/>
                <w:spacing w:val="0"/>
                <w:kern w:val="2"/>
                <w:sz w:val="21"/>
                <w:szCs w:val="21"/>
                <w:highlight w:val="none"/>
                <w:vertAlign w:val="baseline"/>
                <w:lang w:val="en-US" w:eastAsia="zh-CN" w:bidi="ar-SA"/>
              </w:rPr>
              <w:t>目（类）</w:t>
            </w:r>
          </w:p>
        </w:tc>
        <w:tc>
          <w:tcPr>
            <w:tcW w:w="2538" w:type="dxa"/>
            <w:noWrap w:val="0"/>
            <w:vAlign w:val="center"/>
          </w:tcPr>
          <w:p w14:paraId="59FBA8F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占普查区比例（%）</w:t>
            </w:r>
          </w:p>
        </w:tc>
      </w:tr>
      <w:tr w14:paraId="7B3AE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6B52D184">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地文景观</w:t>
            </w:r>
          </w:p>
        </w:tc>
        <w:tc>
          <w:tcPr>
            <w:tcW w:w="1961" w:type="dxa"/>
            <w:noWrap w:val="0"/>
            <w:vAlign w:val="center"/>
          </w:tcPr>
          <w:p w14:paraId="090C901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17</w:t>
            </w:r>
          </w:p>
        </w:tc>
        <w:tc>
          <w:tcPr>
            <w:tcW w:w="1800" w:type="dxa"/>
            <w:noWrap w:val="0"/>
            <w:vAlign w:val="center"/>
          </w:tcPr>
          <w:p w14:paraId="4C9A345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17</w:t>
            </w:r>
          </w:p>
        </w:tc>
        <w:tc>
          <w:tcPr>
            <w:tcW w:w="2538" w:type="dxa"/>
            <w:noWrap w:val="0"/>
            <w:vAlign w:val="center"/>
          </w:tcPr>
          <w:p w14:paraId="1C9E137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100</w:t>
            </w:r>
          </w:p>
        </w:tc>
      </w:tr>
      <w:tr w14:paraId="4B370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642BF35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自然景观综合体</w:t>
            </w:r>
          </w:p>
        </w:tc>
        <w:tc>
          <w:tcPr>
            <w:tcW w:w="1961" w:type="dxa"/>
            <w:noWrap w:val="0"/>
            <w:vAlign w:val="center"/>
          </w:tcPr>
          <w:p w14:paraId="6A70C2D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4</w:t>
            </w:r>
          </w:p>
        </w:tc>
        <w:tc>
          <w:tcPr>
            <w:tcW w:w="1800" w:type="dxa"/>
            <w:noWrap w:val="0"/>
            <w:vAlign w:val="center"/>
          </w:tcPr>
          <w:p w14:paraId="099A08C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4</w:t>
            </w:r>
          </w:p>
        </w:tc>
        <w:tc>
          <w:tcPr>
            <w:tcW w:w="2538" w:type="dxa"/>
            <w:noWrap w:val="0"/>
            <w:vAlign w:val="center"/>
          </w:tcPr>
          <w:p w14:paraId="6998D5F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100</w:t>
            </w:r>
          </w:p>
        </w:tc>
      </w:tr>
      <w:tr w14:paraId="78A87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5D99B1E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地质与构造形迹</w:t>
            </w:r>
          </w:p>
        </w:tc>
        <w:tc>
          <w:tcPr>
            <w:tcW w:w="1961" w:type="dxa"/>
            <w:noWrap w:val="0"/>
            <w:vAlign w:val="center"/>
          </w:tcPr>
          <w:p w14:paraId="0EDC5C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4</w:t>
            </w:r>
          </w:p>
        </w:tc>
        <w:tc>
          <w:tcPr>
            <w:tcW w:w="1800" w:type="dxa"/>
            <w:noWrap w:val="0"/>
            <w:vAlign w:val="center"/>
          </w:tcPr>
          <w:p w14:paraId="0B15C6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4</w:t>
            </w:r>
          </w:p>
        </w:tc>
        <w:tc>
          <w:tcPr>
            <w:tcW w:w="2538" w:type="dxa"/>
            <w:noWrap w:val="0"/>
            <w:vAlign w:val="center"/>
          </w:tcPr>
          <w:p w14:paraId="3917703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100</w:t>
            </w:r>
          </w:p>
        </w:tc>
      </w:tr>
      <w:tr w14:paraId="275C1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33373B2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地表形态</w:t>
            </w:r>
          </w:p>
        </w:tc>
        <w:tc>
          <w:tcPr>
            <w:tcW w:w="1961" w:type="dxa"/>
            <w:noWrap w:val="0"/>
            <w:vAlign w:val="center"/>
          </w:tcPr>
          <w:p w14:paraId="4B1B929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6</w:t>
            </w:r>
          </w:p>
        </w:tc>
        <w:tc>
          <w:tcPr>
            <w:tcW w:w="1800" w:type="dxa"/>
            <w:noWrap w:val="0"/>
            <w:vAlign w:val="center"/>
          </w:tcPr>
          <w:p w14:paraId="19A91B9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6</w:t>
            </w:r>
          </w:p>
        </w:tc>
        <w:tc>
          <w:tcPr>
            <w:tcW w:w="2538" w:type="dxa"/>
            <w:noWrap w:val="0"/>
            <w:vAlign w:val="center"/>
          </w:tcPr>
          <w:p w14:paraId="166CBF7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100</w:t>
            </w:r>
          </w:p>
        </w:tc>
      </w:tr>
      <w:tr w14:paraId="1ACD0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6BF2B2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自然标记与自然现象</w:t>
            </w:r>
          </w:p>
        </w:tc>
        <w:tc>
          <w:tcPr>
            <w:tcW w:w="1961" w:type="dxa"/>
            <w:noWrap w:val="0"/>
            <w:vAlign w:val="center"/>
          </w:tcPr>
          <w:p w14:paraId="75EB969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3</w:t>
            </w:r>
          </w:p>
        </w:tc>
        <w:tc>
          <w:tcPr>
            <w:tcW w:w="1800" w:type="dxa"/>
            <w:noWrap w:val="0"/>
            <w:vAlign w:val="center"/>
          </w:tcPr>
          <w:p w14:paraId="3AB0175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3</w:t>
            </w:r>
          </w:p>
        </w:tc>
        <w:tc>
          <w:tcPr>
            <w:tcW w:w="2538" w:type="dxa"/>
            <w:noWrap w:val="0"/>
            <w:vAlign w:val="center"/>
          </w:tcPr>
          <w:p w14:paraId="6B176F1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100</w:t>
            </w:r>
          </w:p>
        </w:tc>
      </w:tr>
      <w:tr w14:paraId="0ADFA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4D5A58F0">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水域景观</w:t>
            </w:r>
          </w:p>
        </w:tc>
        <w:tc>
          <w:tcPr>
            <w:tcW w:w="1961" w:type="dxa"/>
            <w:noWrap w:val="0"/>
            <w:vAlign w:val="center"/>
          </w:tcPr>
          <w:p w14:paraId="4537C49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13</w:t>
            </w:r>
          </w:p>
        </w:tc>
        <w:tc>
          <w:tcPr>
            <w:tcW w:w="1800" w:type="dxa"/>
            <w:noWrap w:val="0"/>
            <w:vAlign w:val="center"/>
          </w:tcPr>
          <w:p w14:paraId="3FD63A1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8</w:t>
            </w:r>
          </w:p>
        </w:tc>
        <w:tc>
          <w:tcPr>
            <w:tcW w:w="2538" w:type="dxa"/>
            <w:noWrap w:val="0"/>
            <w:vAlign w:val="center"/>
          </w:tcPr>
          <w:p w14:paraId="4574CF2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61.54</w:t>
            </w:r>
          </w:p>
        </w:tc>
      </w:tr>
      <w:tr w14:paraId="7A775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4E57DF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河系</w:t>
            </w:r>
          </w:p>
        </w:tc>
        <w:tc>
          <w:tcPr>
            <w:tcW w:w="1961" w:type="dxa"/>
            <w:noWrap w:val="0"/>
            <w:vAlign w:val="center"/>
          </w:tcPr>
          <w:p w14:paraId="6A29CA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3</w:t>
            </w:r>
          </w:p>
        </w:tc>
        <w:tc>
          <w:tcPr>
            <w:tcW w:w="1800" w:type="dxa"/>
            <w:noWrap w:val="0"/>
            <w:vAlign w:val="center"/>
          </w:tcPr>
          <w:p w14:paraId="5E0B80C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3</w:t>
            </w:r>
          </w:p>
        </w:tc>
        <w:tc>
          <w:tcPr>
            <w:tcW w:w="2538" w:type="dxa"/>
            <w:noWrap w:val="0"/>
            <w:vAlign w:val="center"/>
          </w:tcPr>
          <w:p w14:paraId="42965A1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100</w:t>
            </w:r>
          </w:p>
        </w:tc>
      </w:tr>
      <w:tr w14:paraId="51043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754CE1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湖沼</w:t>
            </w:r>
          </w:p>
        </w:tc>
        <w:tc>
          <w:tcPr>
            <w:tcW w:w="1961" w:type="dxa"/>
            <w:noWrap w:val="0"/>
            <w:vAlign w:val="center"/>
          </w:tcPr>
          <w:p w14:paraId="4B495C7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3</w:t>
            </w:r>
          </w:p>
        </w:tc>
        <w:tc>
          <w:tcPr>
            <w:tcW w:w="1800" w:type="dxa"/>
            <w:noWrap w:val="0"/>
            <w:vAlign w:val="center"/>
          </w:tcPr>
          <w:p w14:paraId="7CB94B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3</w:t>
            </w:r>
          </w:p>
        </w:tc>
        <w:tc>
          <w:tcPr>
            <w:tcW w:w="2538" w:type="dxa"/>
            <w:noWrap w:val="0"/>
            <w:vAlign w:val="center"/>
          </w:tcPr>
          <w:p w14:paraId="416B046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100</w:t>
            </w:r>
          </w:p>
        </w:tc>
      </w:tr>
      <w:tr w14:paraId="52AC2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523E7B9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地下水</w:t>
            </w:r>
          </w:p>
        </w:tc>
        <w:tc>
          <w:tcPr>
            <w:tcW w:w="1961" w:type="dxa"/>
            <w:noWrap w:val="0"/>
            <w:vAlign w:val="center"/>
          </w:tcPr>
          <w:p w14:paraId="6AEFA97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2</w:t>
            </w:r>
          </w:p>
        </w:tc>
        <w:tc>
          <w:tcPr>
            <w:tcW w:w="1800" w:type="dxa"/>
            <w:noWrap w:val="0"/>
            <w:vAlign w:val="center"/>
          </w:tcPr>
          <w:p w14:paraId="6B7788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w:t>
            </w:r>
          </w:p>
        </w:tc>
        <w:tc>
          <w:tcPr>
            <w:tcW w:w="2538" w:type="dxa"/>
            <w:noWrap w:val="0"/>
            <w:vAlign w:val="center"/>
          </w:tcPr>
          <w:p w14:paraId="165BFEA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50</w:t>
            </w:r>
          </w:p>
        </w:tc>
      </w:tr>
      <w:tr w14:paraId="5F012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5894C43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冰雪地</w:t>
            </w:r>
          </w:p>
        </w:tc>
        <w:tc>
          <w:tcPr>
            <w:tcW w:w="1961" w:type="dxa"/>
            <w:noWrap w:val="0"/>
            <w:vAlign w:val="center"/>
          </w:tcPr>
          <w:p w14:paraId="5700E49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2</w:t>
            </w:r>
          </w:p>
        </w:tc>
        <w:tc>
          <w:tcPr>
            <w:tcW w:w="1800" w:type="dxa"/>
            <w:noWrap w:val="0"/>
            <w:vAlign w:val="center"/>
          </w:tcPr>
          <w:p w14:paraId="0B047FD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w:t>
            </w:r>
          </w:p>
        </w:tc>
        <w:tc>
          <w:tcPr>
            <w:tcW w:w="2538" w:type="dxa"/>
            <w:noWrap w:val="0"/>
            <w:vAlign w:val="center"/>
          </w:tcPr>
          <w:p w14:paraId="6F0B660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50</w:t>
            </w:r>
          </w:p>
        </w:tc>
      </w:tr>
      <w:tr w14:paraId="6E44F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3A9BFCE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海面</w:t>
            </w:r>
          </w:p>
        </w:tc>
        <w:tc>
          <w:tcPr>
            <w:tcW w:w="1961" w:type="dxa"/>
            <w:noWrap w:val="0"/>
            <w:vAlign w:val="center"/>
          </w:tcPr>
          <w:p w14:paraId="7A370F8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3</w:t>
            </w:r>
          </w:p>
        </w:tc>
        <w:tc>
          <w:tcPr>
            <w:tcW w:w="1800" w:type="dxa"/>
            <w:noWrap w:val="0"/>
            <w:vAlign w:val="center"/>
          </w:tcPr>
          <w:p w14:paraId="27BA63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0</w:t>
            </w:r>
          </w:p>
        </w:tc>
        <w:tc>
          <w:tcPr>
            <w:tcW w:w="2538" w:type="dxa"/>
            <w:noWrap w:val="0"/>
            <w:vAlign w:val="center"/>
          </w:tcPr>
          <w:p w14:paraId="0F4E024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0</w:t>
            </w:r>
          </w:p>
        </w:tc>
      </w:tr>
      <w:tr w14:paraId="1D138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642B7B19">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生物景观</w:t>
            </w:r>
          </w:p>
        </w:tc>
        <w:tc>
          <w:tcPr>
            <w:tcW w:w="1961" w:type="dxa"/>
            <w:noWrap w:val="0"/>
            <w:vAlign w:val="center"/>
          </w:tcPr>
          <w:p w14:paraId="2973958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8</w:t>
            </w:r>
          </w:p>
        </w:tc>
        <w:tc>
          <w:tcPr>
            <w:tcW w:w="1800" w:type="dxa"/>
            <w:noWrap w:val="0"/>
            <w:vAlign w:val="center"/>
          </w:tcPr>
          <w:p w14:paraId="79142A4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7</w:t>
            </w:r>
          </w:p>
        </w:tc>
        <w:tc>
          <w:tcPr>
            <w:tcW w:w="2538" w:type="dxa"/>
            <w:noWrap w:val="0"/>
            <w:vAlign w:val="center"/>
          </w:tcPr>
          <w:p w14:paraId="4769B3F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87.5</w:t>
            </w:r>
          </w:p>
        </w:tc>
      </w:tr>
      <w:tr w14:paraId="0A46A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698332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植被景观</w:t>
            </w:r>
          </w:p>
        </w:tc>
        <w:tc>
          <w:tcPr>
            <w:tcW w:w="1961" w:type="dxa"/>
            <w:noWrap w:val="0"/>
            <w:vAlign w:val="center"/>
          </w:tcPr>
          <w:p w14:paraId="58E3F27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4</w:t>
            </w:r>
          </w:p>
        </w:tc>
        <w:tc>
          <w:tcPr>
            <w:tcW w:w="1800" w:type="dxa"/>
            <w:noWrap w:val="0"/>
            <w:vAlign w:val="center"/>
          </w:tcPr>
          <w:p w14:paraId="6CAF8EB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4</w:t>
            </w:r>
          </w:p>
        </w:tc>
        <w:tc>
          <w:tcPr>
            <w:tcW w:w="2538" w:type="dxa"/>
            <w:noWrap w:val="0"/>
            <w:vAlign w:val="center"/>
          </w:tcPr>
          <w:p w14:paraId="356DCF6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100</w:t>
            </w:r>
          </w:p>
        </w:tc>
      </w:tr>
      <w:tr w14:paraId="63E3A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48B965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野生动物栖息地</w:t>
            </w:r>
          </w:p>
        </w:tc>
        <w:tc>
          <w:tcPr>
            <w:tcW w:w="1961" w:type="dxa"/>
            <w:noWrap w:val="0"/>
            <w:vAlign w:val="center"/>
          </w:tcPr>
          <w:p w14:paraId="7224DD4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4</w:t>
            </w:r>
          </w:p>
        </w:tc>
        <w:tc>
          <w:tcPr>
            <w:tcW w:w="1800" w:type="dxa"/>
            <w:noWrap w:val="0"/>
            <w:vAlign w:val="center"/>
          </w:tcPr>
          <w:p w14:paraId="549B78A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3</w:t>
            </w:r>
          </w:p>
        </w:tc>
        <w:tc>
          <w:tcPr>
            <w:tcW w:w="2538" w:type="dxa"/>
            <w:noWrap w:val="0"/>
            <w:vAlign w:val="center"/>
          </w:tcPr>
          <w:p w14:paraId="3B1FA09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75</w:t>
            </w:r>
          </w:p>
        </w:tc>
      </w:tr>
      <w:tr w14:paraId="19AC0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170EDEE7">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天象与气候景观</w:t>
            </w:r>
          </w:p>
        </w:tc>
        <w:tc>
          <w:tcPr>
            <w:tcW w:w="1961" w:type="dxa"/>
            <w:noWrap w:val="0"/>
            <w:vAlign w:val="center"/>
          </w:tcPr>
          <w:p w14:paraId="4BAE330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5</w:t>
            </w:r>
          </w:p>
        </w:tc>
        <w:tc>
          <w:tcPr>
            <w:tcW w:w="1800" w:type="dxa"/>
            <w:noWrap w:val="0"/>
            <w:vAlign w:val="center"/>
          </w:tcPr>
          <w:p w14:paraId="2EB0F8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5</w:t>
            </w:r>
          </w:p>
        </w:tc>
        <w:tc>
          <w:tcPr>
            <w:tcW w:w="2538" w:type="dxa"/>
            <w:noWrap w:val="0"/>
            <w:vAlign w:val="center"/>
          </w:tcPr>
          <w:p w14:paraId="26F5C43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100</w:t>
            </w:r>
          </w:p>
        </w:tc>
      </w:tr>
      <w:tr w14:paraId="48494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13200EC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天象景观</w:t>
            </w:r>
          </w:p>
        </w:tc>
        <w:tc>
          <w:tcPr>
            <w:tcW w:w="1961" w:type="dxa"/>
            <w:noWrap w:val="0"/>
            <w:vAlign w:val="center"/>
          </w:tcPr>
          <w:p w14:paraId="5A82E20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2</w:t>
            </w:r>
          </w:p>
        </w:tc>
        <w:tc>
          <w:tcPr>
            <w:tcW w:w="1800" w:type="dxa"/>
            <w:noWrap w:val="0"/>
            <w:vAlign w:val="center"/>
          </w:tcPr>
          <w:p w14:paraId="3E11544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2</w:t>
            </w:r>
          </w:p>
        </w:tc>
        <w:tc>
          <w:tcPr>
            <w:tcW w:w="2538" w:type="dxa"/>
            <w:noWrap w:val="0"/>
            <w:vAlign w:val="center"/>
          </w:tcPr>
          <w:p w14:paraId="0F057C9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100</w:t>
            </w:r>
          </w:p>
        </w:tc>
      </w:tr>
      <w:tr w14:paraId="4B1B6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42A4AB0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天气与气候现象</w:t>
            </w:r>
          </w:p>
        </w:tc>
        <w:tc>
          <w:tcPr>
            <w:tcW w:w="1961" w:type="dxa"/>
            <w:noWrap w:val="0"/>
            <w:vAlign w:val="center"/>
          </w:tcPr>
          <w:p w14:paraId="6F6257C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3</w:t>
            </w:r>
          </w:p>
        </w:tc>
        <w:tc>
          <w:tcPr>
            <w:tcW w:w="1800" w:type="dxa"/>
            <w:noWrap w:val="0"/>
            <w:vAlign w:val="center"/>
          </w:tcPr>
          <w:p w14:paraId="3CCC21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3</w:t>
            </w:r>
          </w:p>
        </w:tc>
        <w:tc>
          <w:tcPr>
            <w:tcW w:w="2538" w:type="dxa"/>
            <w:noWrap w:val="0"/>
            <w:vAlign w:val="center"/>
          </w:tcPr>
          <w:p w14:paraId="34CFFC2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100</w:t>
            </w:r>
          </w:p>
        </w:tc>
      </w:tr>
      <w:tr w14:paraId="28AB7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703EFD00">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建筑与设施</w:t>
            </w:r>
          </w:p>
        </w:tc>
        <w:tc>
          <w:tcPr>
            <w:tcW w:w="1961" w:type="dxa"/>
            <w:noWrap w:val="0"/>
            <w:vAlign w:val="center"/>
          </w:tcPr>
          <w:p w14:paraId="20ADC8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39</w:t>
            </w:r>
          </w:p>
        </w:tc>
        <w:tc>
          <w:tcPr>
            <w:tcW w:w="1800" w:type="dxa"/>
            <w:noWrap w:val="0"/>
            <w:vAlign w:val="center"/>
          </w:tcPr>
          <w:p w14:paraId="1AC1403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38</w:t>
            </w:r>
          </w:p>
        </w:tc>
        <w:tc>
          <w:tcPr>
            <w:tcW w:w="2538" w:type="dxa"/>
            <w:noWrap w:val="0"/>
            <w:vAlign w:val="center"/>
          </w:tcPr>
          <w:p w14:paraId="69036B3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97.44</w:t>
            </w:r>
          </w:p>
        </w:tc>
      </w:tr>
      <w:tr w14:paraId="6EF47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783EC0E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人文景观综合体</w:t>
            </w:r>
          </w:p>
        </w:tc>
        <w:tc>
          <w:tcPr>
            <w:tcW w:w="1961" w:type="dxa"/>
            <w:noWrap w:val="0"/>
            <w:vAlign w:val="center"/>
          </w:tcPr>
          <w:p w14:paraId="42CACAE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9</w:t>
            </w:r>
          </w:p>
        </w:tc>
        <w:tc>
          <w:tcPr>
            <w:tcW w:w="1800" w:type="dxa"/>
            <w:noWrap w:val="0"/>
            <w:vAlign w:val="center"/>
          </w:tcPr>
          <w:p w14:paraId="4981998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9</w:t>
            </w:r>
          </w:p>
        </w:tc>
        <w:tc>
          <w:tcPr>
            <w:tcW w:w="2538" w:type="dxa"/>
            <w:noWrap w:val="0"/>
            <w:vAlign w:val="center"/>
          </w:tcPr>
          <w:p w14:paraId="5F06B6B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100</w:t>
            </w:r>
          </w:p>
        </w:tc>
      </w:tr>
      <w:tr w14:paraId="3F26E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63D7270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实用建筑与核心设施</w:t>
            </w:r>
          </w:p>
        </w:tc>
        <w:tc>
          <w:tcPr>
            <w:tcW w:w="1961" w:type="dxa"/>
            <w:noWrap w:val="0"/>
            <w:vAlign w:val="center"/>
          </w:tcPr>
          <w:p w14:paraId="39E8030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16</w:t>
            </w:r>
          </w:p>
        </w:tc>
        <w:tc>
          <w:tcPr>
            <w:tcW w:w="1800" w:type="dxa"/>
            <w:noWrap w:val="0"/>
            <w:vAlign w:val="center"/>
          </w:tcPr>
          <w:p w14:paraId="4DD40D3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15</w:t>
            </w:r>
          </w:p>
        </w:tc>
        <w:tc>
          <w:tcPr>
            <w:tcW w:w="2538" w:type="dxa"/>
            <w:noWrap w:val="0"/>
            <w:vAlign w:val="center"/>
          </w:tcPr>
          <w:p w14:paraId="1269EE9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93.75</w:t>
            </w:r>
          </w:p>
        </w:tc>
      </w:tr>
      <w:tr w14:paraId="72768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5A33E9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景观与小品建筑</w:t>
            </w:r>
          </w:p>
        </w:tc>
        <w:tc>
          <w:tcPr>
            <w:tcW w:w="1961" w:type="dxa"/>
            <w:noWrap w:val="0"/>
            <w:vAlign w:val="center"/>
          </w:tcPr>
          <w:p w14:paraId="5C1CE9F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14</w:t>
            </w:r>
          </w:p>
        </w:tc>
        <w:tc>
          <w:tcPr>
            <w:tcW w:w="1800" w:type="dxa"/>
            <w:noWrap w:val="0"/>
            <w:vAlign w:val="center"/>
          </w:tcPr>
          <w:p w14:paraId="5790E65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14</w:t>
            </w:r>
          </w:p>
        </w:tc>
        <w:tc>
          <w:tcPr>
            <w:tcW w:w="2538" w:type="dxa"/>
            <w:noWrap w:val="0"/>
            <w:vAlign w:val="center"/>
          </w:tcPr>
          <w:p w14:paraId="40294C1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100</w:t>
            </w:r>
          </w:p>
        </w:tc>
      </w:tr>
      <w:tr w14:paraId="0C6EB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6A533F60">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历史遗迹</w:t>
            </w:r>
          </w:p>
        </w:tc>
        <w:tc>
          <w:tcPr>
            <w:tcW w:w="1961" w:type="dxa"/>
            <w:noWrap w:val="0"/>
            <w:vAlign w:val="center"/>
          </w:tcPr>
          <w:p w14:paraId="09A19CF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10</w:t>
            </w:r>
          </w:p>
        </w:tc>
        <w:tc>
          <w:tcPr>
            <w:tcW w:w="1800" w:type="dxa"/>
            <w:noWrap w:val="0"/>
            <w:vAlign w:val="center"/>
          </w:tcPr>
          <w:p w14:paraId="1FA96EC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10</w:t>
            </w:r>
          </w:p>
        </w:tc>
        <w:tc>
          <w:tcPr>
            <w:tcW w:w="2538" w:type="dxa"/>
            <w:noWrap w:val="0"/>
            <w:vAlign w:val="center"/>
          </w:tcPr>
          <w:p w14:paraId="7E0CEC0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100</w:t>
            </w:r>
          </w:p>
        </w:tc>
      </w:tr>
      <w:tr w14:paraId="34173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37C506B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物质类文化遗存</w:t>
            </w:r>
          </w:p>
        </w:tc>
        <w:tc>
          <w:tcPr>
            <w:tcW w:w="1961" w:type="dxa"/>
            <w:noWrap w:val="0"/>
            <w:vAlign w:val="center"/>
          </w:tcPr>
          <w:p w14:paraId="7111155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3</w:t>
            </w:r>
          </w:p>
        </w:tc>
        <w:tc>
          <w:tcPr>
            <w:tcW w:w="1800" w:type="dxa"/>
            <w:noWrap w:val="0"/>
            <w:vAlign w:val="center"/>
          </w:tcPr>
          <w:p w14:paraId="295E874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3</w:t>
            </w:r>
          </w:p>
        </w:tc>
        <w:tc>
          <w:tcPr>
            <w:tcW w:w="2538" w:type="dxa"/>
            <w:noWrap w:val="0"/>
            <w:vAlign w:val="center"/>
          </w:tcPr>
          <w:p w14:paraId="36ABCA6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b w:val="0"/>
                <w:bCs w:val="0"/>
                <w:color w:val="auto"/>
                <w:spacing w:val="0"/>
                <w:kern w:val="2"/>
                <w:sz w:val="21"/>
                <w:szCs w:val="21"/>
                <w:vertAlign w:val="baseline"/>
                <w:lang w:val="en-US" w:eastAsia="zh-CN" w:bidi="ar-SA"/>
              </w:rPr>
            </w:pPr>
            <w:r>
              <w:rPr>
                <w:rFonts w:hint="eastAsia" w:ascii="仿宋" w:hAnsi="仿宋" w:eastAsia="仿宋" w:cs="仿宋"/>
                <w:b w:val="0"/>
                <w:bCs w:val="0"/>
                <w:color w:val="auto"/>
                <w:spacing w:val="0"/>
                <w:kern w:val="2"/>
                <w:sz w:val="21"/>
                <w:szCs w:val="21"/>
                <w:vertAlign w:val="baseline"/>
                <w:lang w:val="en-US" w:eastAsia="zh-CN" w:bidi="ar-SA"/>
              </w:rPr>
              <w:t>100</w:t>
            </w:r>
          </w:p>
        </w:tc>
      </w:tr>
      <w:tr w14:paraId="194C3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785FDD9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非物质类文化遗存</w:t>
            </w:r>
          </w:p>
        </w:tc>
        <w:tc>
          <w:tcPr>
            <w:tcW w:w="1961" w:type="dxa"/>
            <w:noWrap w:val="0"/>
            <w:vAlign w:val="center"/>
          </w:tcPr>
          <w:p w14:paraId="73F5484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7</w:t>
            </w:r>
          </w:p>
        </w:tc>
        <w:tc>
          <w:tcPr>
            <w:tcW w:w="1800" w:type="dxa"/>
            <w:noWrap w:val="0"/>
            <w:vAlign w:val="center"/>
          </w:tcPr>
          <w:p w14:paraId="2732637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7</w:t>
            </w:r>
          </w:p>
        </w:tc>
        <w:tc>
          <w:tcPr>
            <w:tcW w:w="2538" w:type="dxa"/>
            <w:noWrap w:val="0"/>
            <w:vAlign w:val="center"/>
          </w:tcPr>
          <w:p w14:paraId="29D593C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b w:val="0"/>
                <w:bCs w:val="0"/>
                <w:color w:val="auto"/>
                <w:spacing w:val="0"/>
                <w:kern w:val="2"/>
                <w:sz w:val="21"/>
                <w:szCs w:val="21"/>
                <w:vertAlign w:val="baseline"/>
                <w:lang w:val="en-US" w:eastAsia="zh-CN" w:bidi="ar-SA"/>
              </w:rPr>
            </w:pPr>
            <w:r>
              <w:rPr>
                <w:rFonts w:hint="eastAsia" w:ascii="仿宋" w:hAnsi="仿宋" w:eastAsia="仿宋" w:cs="仿宋"/>
                <w:b w:val="0"/>
                <w:bCs w:val="0"/>
                <w:color w:val="auto"/>
                <w:spacing w:val="0"/>
                <w:kern w:val="2"/>
                <w:sz w:val="21"/>
                <w:szCs w:val="21"/>
                <w:vertAlign w:val="baseline"/>
                <w:lang w:val="en-US" w:eastAsia="zh-CN" w:bidi="ar-SA"/>
              </w:rPr>
              <w:t>100</w:t>
            </w:r>
          </w:p>
        </w:tc>
      </w:tr>
      <w:tr w14:paraId="102A7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39033EF5">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旅游购品</w:t>
            </w:r>
          </w:p>
        </w:tc>
        <w:tc>
          <w:tcPr>
            <w:tcW w:w="1961" w:type="dxa"/>
            <w:noWrap w:val="0"/>
            <w:vAlign w:val="center"/>
          </w:tcPr>
          <w:p w14:paraId="147E30E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18</w:t>
            </w:r>
          </w:p>
        </w:tc>
        <w:tc>
          <w:tcPr>
            <w:tcW w:w="1800" w:type="dxa"/>
            <w:noWrap w:val="0"/>
            <w:vAlign w:val="center"/>
          </w:tcPr>
          <w:p w14:paraId="087E0F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16</w:t>
            </w:r>
          </w:p>
        </w:tc>
        <w:tc>
          <w:tcPr>
            <w:tcW w:w="2538" w:type="dxa"/>
            <w:noWrap w:val="0"/>
            <w:vAlign w:val="center"/>
          </w:tcPr>
          <w:p w14:paraId="7A89015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88.89</w:t>
            </w:r>
          </w:p>
        </w:tc>
      </w:tr>
      <w:tr w14:paraId="2FCE0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4048BFF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农业产品</w:t>
            </w:r>
          </w:p>
        </w:tc>
        <w:tc>
          <w:tcPr>
            <w:tcW w:w="1961" w:type="dxa"/>
            <w:noWrap w:val="0"/>
            <w:vAlign w:val="center"/>
          </w:tcPr>
          <w:p w14:paraId="09A462E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5</w:t>
            </w:r>
          </w:p>
        </w:tc>
        <w:tc>
          <w:tcPr>
            <w:tcW w:w="1800" w:type="dxa"/>
            <w:noWrap w:val="0"/>
            <w:vAlign w:val="center"/>
          </w:tcPr>
          <w:p w14:paraId="79ED03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4</w:t>
            </w:r>
          </w:p>
        </w:tc>
        <w:tc>
          <w:tcPr>
            <w:tcW w:w="2538" w:type="dxa"/>
            <w:noWrap w:val="0"/>
            <w:vAlign w:val="center"/>
          </w:tcPr>
          <w:p w14:paraId="7565610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80</w:t>
            </w:r>
          </w:p>
        </w:tc>
      </w:tr>
      <w:tr w14:paraId="2B58A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6657A6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工业产品</w:t>
            </w:r>
          </w:p>
        </w:tc>
        <w:tc>
          <w:tcPr>
            <w:tcW w:w="1961" w:type="dxa"/>
            <w:noWrap w:val="0"/>
            <w:vAlign w:val="center"/>
          </w:tcPr>
          <w:p w14:paraId="7931A4D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2</w:t>
            </w:r>
          </w:p>
        </w:tc>
        <w:tc>
          <w:tcPr>
            <w:tcW w:w="1800" w:type="dxa"/>
            <w:noWrap w:val="0"/>
            <w:vAlign w:val="center"/>
          </w:tcPr>
          <w:p w14:paraId="3E085D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w:t>
            </w:r>
          </w:p>
        </w:tc>
        <w:tc>
          <w:tcPr>
            <w:tcW w:w="2538" w:type="dxa"/>
            <w:noWrap w:val="0"/>
            <w:vAlign w:val="center"/>
          </w:tcPr>
          <w:p w14:paraId="5F96D74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50</w:t>
            </w:r>
          </w:p>
        </w:tc>
      </w:tr>
      <w:tr w14:paraId="4A886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658C48A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手工工艺品</w:t>
            </w:r>
          </w:p>
        </w:tc>
        <w:tc>
          <w:tcPr>
            <w:tcW w:w="1961" w:type="dxa"/>
            <w:noWrap w:val="0"/>
            <w:vAlign w:val="center"/>
          </w:tcPr>
          <w:p w14:paraId="68B5A91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8</w:t>
            </w:r>
          </w:p>
        </w:tc>
        <w:tc>
          <w:tcPr>
            <w:tcW w:w="1800" w:type="dxa"/>
            <w:noWrap w:val="0"/>
            <w:vAlign w:val="center"/>
          </w:tcPr>
          <w:p w14:paraId="586C22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8</w:t>
            </w:r>
          </w:p>
        </w:tc>
        <w:tc>
          <w:tcPr>
            <w:tcW w:w="2538" w:type="dxa"/>
            <w:noWrap w:val="0"/>
            <w:vAlign w:val="center"/>
          </w:tcPr>
          <w:p w14:paraId="1EBEDCE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100</w:t>
            </w:r>
          </w:p>
        </w:tc>
      </w:tr>
      <w:tr w14:paraId="274C6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3DCC25C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b w:val="0"/>
                <w:bCs w:val="0"/>
                <w:color w:val="auto"/>
                <w:spacing w:val="0"/>
                <w:kern w:val="2"/>
                <w:sz w:val="21"/>
                <w:szCs w:val="21"/>
                <w:vertAlign w:val="baseline"/>
                <w:lang w:val="en-US" w:eastAsia="zh-CN" w:bidi="ar-SA"/>
              </w:rPr>
            </w:pPr>
            <w:r>
              <w:rPr>
                <w:rFonts w:hint="eastAsia" w:ascii="仿宋" w:hAnsi="仿宋" w:eastAsia="仿宋" w:cs="仿宋"/>
                <w:b w:val="0"/>
                <w:bCs w:val="0"/>
                <w:color w:val="auto"/>
                <w:spacing w:val="0"/>
                <w:kern w:val="2"/>
                <w:sz w:val="21"/>
                <w:szCs w:val="21"/>
                <w:vertAlign w:val="baseline"/>
                <w:lang w:val="en-US" w:eastAsia="zh-CN" w:bidi="ar-SA"/>
              </w:rPr>
              <w:t>文创产品</w:t>
            </w:r>
          </w:p>
        </w:tc>
        <w:tc>
          <w:tcPr>
            <w:tcW w:w="1961" w:type="dxa"/>
            <w:noWrap w:val="0"/>
            <w:vAlign w:val="center"/>
          </w:tcPr>
          <w:p w14:paraId="406DB5C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b w:val="0"/>
                <w:bCs w:val="0"/>
                <w:color w:val="auto"/>
                <w:spacing w:val="0"/>
                <w:kern w:val="2"/>
                <w:sz w:val="21"/>
                <w:szCs w:val="21"/>
                <w:vertAlign w:val="baseline"/>
                <w:lang w:val="en-US" w:eastAsia="zh-CN" w:bidi="ar-SA"/>
              </w:rPr>
            </w:pPr>
            <w:r>
              <w:rPr>
                <w:rFonts w:hint="eastAsia" w:ascii="仿宋" w:hAnsi="仿宋" w:eastAsia="仿宋" w:cs="仿宋"/>
                <w:b w:val="0"/>
                <w:bCs w:val="0"/>
                <w:color w:val="auto"/>
                <w:spacing w:val="0"/>
                <w:kern w:val="2"/>
                <w:sz w:val="21"/>
                <w:szCs w:val="21"/>
                <w:vertAlign w:val="baseline"/>
                <w:lang w:val="en-US" w:eastAsia="zh-CN" w:bidi="ar-SA"/>
              </w:rPr>
              <w:t>1</w:t>
            </w:r>
          </w:p>
        </w:tc>
        <w:tc>
          <w:tcPr>
            <w:tcW w:w="1800" w:type="dxa"/>
            <w:noWrap w:val="0"/>
            <w:vAlign w:val="center"/>
          </w:tcPr>
          <w:p w14:paraId="7349AB2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w:t>
            </w:r>
          </w:p>
        </w:tc>
        <w:tc>
          <w:tcPr>
            <w:tcW w:w="2538" w:type="dxa"/>
            <w:noWrap w:val="0"/>
            <w:vAlign w:val="center"/>
          </w:tcPr>
          <w:p w14:paraId="2EFB1B8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100</w:t>
            </w:r>
          </w:p>
        </w:tc>
      </w:tr>
      <w:tr w14:paraId="5EAC7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6393DBD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b w:val="0"/>
                <w:bCs w:val="0"/>
                <w:color w:val="auto"/>
                <w:spacing w:val="0"/>
                <w:kern w:val="2"/>
                <w:sz w:val="21"/>
                <w:szCs w:val="21"/>
                <w:vertAlign w:val="baseline"/>
                <w:lang w:val="en-US" w:eastAsia="zh-CN" w:bidi="ar-SA"/>
              </w:rPr>
            </w:pPr>
            <w:r>
              <w:rPr>
                <w:rFonts w:hint="eastAsia" w:ascii="仿宋" w:hAnsi="仿宋" w:eastAsia="仿宋" w:cs="仿宋"/>
                <w:b w:val="0"/>
                <w:bCs w:val="0"/>
                <w:color w:val="auto"/>
                <w:spacing w:val="0"/>
                <w:kern w:val="2"/>
                <w:sz w:val="21"/>
                <w:szCs w:val="21"/>
                <w:vertAlign w:val="baseline"/>
                <w:lang w:val="en-US" w:eastAsia="zh-CN" w:bidi="ar-SA"/>
              </w:rPr>
              <w:t>特色饮食</w:t>
            </w:r>
          </w:p>
        </w:tc>
        <w:tc>
          <w:tcPr>
            <w:tcW w:w="1961" w:type="dxa"/>
            <w:noWrap w:val="0"/>
            <w:vAlign w:val="center"/>
          </w:tcPr>
          <w:p w14:paraId="428CEA5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b w:val="0"/>
                <w:bCs w:val="0"/>
                <w:color w:val="auto"/>
                <w:spacing w:val="0"/>
                <w:kern w:val="2"/>
                <w:sz w:val="21"/>
                <w:szCs w:val="21"/>
                <w:vertAlign w:val="baseline"/>
                <w:lang w:val="en-US" w:eastAsia="zh-CN" w:bidi="ar-SA"/>
              </w:rPr>
            </w:pPr>
            <w:r>
              <w:rPr>
                <w:rFonts w:hint="eastAsia" w:ascii="仿宋" w:hAnsi="仿宋" w:eastAsia="仿宋" w:cs="仿宋"/>
                <w:b w:val="0"/>
                <w:bCs w:val="0"/>
                <w:color w:val="auto"/>
                <w:spacing w:val="0"/>
                <w:kern w:val="2"/>
                <w:sz w:val="21"/>
                <w:szCs w:val="21"/>
                <w:vertAlign w:val="baseline"/>
                <w:lang w:val="en-US" w:eastAsia="zh-CN" w:bidi="ar-SA"/>
              </w:rPr>
              <w:t>2</w:t>
            </w:r>
          </w:p>
        </w:tc>
        <w:tc>
          <w:tcPr>
            <w:tcW w:w="1800" w:type="dxa"/>
            <w:noWrap w:val="0"/>
            <w:vAlign w:val="center"/>
          </w:tcPr>
          <w:p w14:paraId="216243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2</w:t>
            </w:r>
          </w:p>
        </w:tc>
        <w:tc>
          <w:tcPr>
            <w:tcW w:w="2538" w:type="dxa"/>
            <w:noWrap w:val="0"/>
            <w:vAlign w:val="center"/>
          </w:tcPr>
          <w:p w14:paraId="7DE6EA2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100</w:t>
            </w:r>
          </w:p>
        </w:tc>
      </w:tr>
      <w:tr w14:paraId="32787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0E86CBF4">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人文活动</w:t>
            </w:r>
          </w:p>
        </w:tc>
        <w:tc>
          <w:tcPr>
            <w:tcW w:w="1961" w:type="dxa"/>
            <w:noWrap w:val="0"/>
            <w:vAlign w:val="center"/>
          </w:tcPr>
          <w:p w14:paraId="4F9E414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6</w:t>
            </w:r>
          </w:p>
        </w:tc>
        <w:tc>
          <w:tcPr>
            <w:tcW w:w="1800" w:type="dxa"/>
            <w:noWrap w:val="0"/>
            <w:vAlign w:val="center"/>
          </w:tcPr>
          <w:p w14:paraId="3C1B698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6</w:t>
            </w:r>
          </w:p>
        </w:tc>
        <w:tc>
          <w:tcPr>
            <w:tcW w:w="2538" w:type="dxa"/>
            <w:noWrap w:val="0"/>
            <w:vAlign w:val="center"/>
          </w:tcPr>
          <w:p w14:paraId="65FD320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b/>
                <w:bCs/>
                <w:color w:val="auto"/>
                <w:spacing w:val="0"/>
                <w:kern w:val="2"/>
                <w:sz w:val="21"/>
                <w:szCs w:val="21"/>
                <w:vertAlign w:val="baseline"/>
                <w:lang w:val="en-US" w:eastAsia="zh-CN" w:bidi="ar-SA"/>
              </w:rPr>
            </w:pPr>
            <w:r>
              <w:rPr>
                <w:rFonts w:hint="eastAsia" w:ascii="仿宋" w:hAnsi="仿宋" w:eastAsia="仿宋" w:cs="仿宋"/>
                <w:b/>
                <w:bCs/>
                <w:color w:val="auto"/>
                <w:spacing w:val="0"/>
                <w:kern w:val="2"/>
                <w:sz w:val="21"/>
                <w:szCs w:val="21"/>
                <w:vertAlign w:val="baseline"/>
                <w:lang w:val="en-US" w:eastAsia="zh-CN" w:bidi="ar-SA"/>
              </w:rPr>
              <w:t>100</w:t>
            </w:r>
          </w:p>
        </w:tc>
      </w:tr>
      <w:tr w14:paraId="7864F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663E0F4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人事活动记录</w:t>
            </w:r>
          </w:p>
        </w:tc>
        <w:tc>
          <w:tcPr>
            <w:tcW w:w="1961" w:type="dxa"/>
            <w:noWrap w:val="0"/>
            <w:vAlign w:val="center"/>
          </w:tcPr>
          <w:p w14:paraId="2E1453D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2</w:t>
            </w:r>
          </w:p>
        </w:tc>
        <w:tc>
          <w:tcPr>
            <w:tcW w:w="1800" w:type="dxa"/>
            <w:noWrap w:val="0"/>
            <w:vAlign w:val="center"/>
          </w:tcPr>
          <w:p w14:paraId="703C2D5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2</w:t>
            </w:r>
          </w:p>
        </w:tc>
        <w:tc>
          <w:tcPr>
            <w:tcW w:w="2538" w:type="dxa"/>
            <w:noWrap w:val="0"/>
            <w:vAlign w:val="center"/>
          </w:tcPr>
          <w:p w14:paraId="29853A4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100</w:t>
            </w:r>
          </w:p>
        </w:tc>
      </w:tr>
      <w:tr w14:paraId="5A028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32778ED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岁时节令</w:t>
            </w:r>
          </w:p>
        </w:tc>
        <w:tc>
          <w:tcPr>
            <w:tcW w:w="1961" w:type="dxa"/>
            <w:noWrap w:val="0"/>
            <w:vAlign w:val="center"/>
          </w:tcPr>
          <w:p w14:paraId="40646A7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3</w:t>
            </w:r>
          </w:p>
        </w:tc>
        <w:tc>
          <w:tcPr>
            <w:tcW w:w="1800" w:type="dxa"/>
            <w:noWrap w:val="0"/>
            <w:vAlign w:val="center"/>
          </w:tcPr>
          <w:p w14:paraId="36FDD69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3</w:t>
            </w:r>
          </w:p>
        </w:tc>
        <w:tc>
          <w:tcPr>
            <w:tcW w:w="2538" w:type="dxa"/>
            <w:noWrap w:val="0"/>
            <w:vAlign w:val="center"/>
          </w:tcPr>
          <w:p w14:paraId="3AFD731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100</w:t>
            </w:r>
          </w:p>
        </w:tc>
      </w:tr>
      <w:tr w14:paraId="488B2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93" w:type="dxa"/>
            <w:noWrap w:val="0"/>
            <w:vAlign w:val="center"/>
          </w:tcPr>
          <w:p w14:paraId="21D7728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文艺活动</w:t>
            </w:r>
          </w:p>
        </w:tc>
        <w:tc>
          <w:tcPr>
            <w:tcW w:w="1961" w:type="dxa"/>
            <w:noWrap w:val="0"/>
            <w:vAlign w:val="center"/>
          </w:tcPr>
          <w:p w14:paraId="1C17575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w:t>
            </w:r>
          </w:p>
        </w:tc>
        <w:tc>
          <w:tcPr>
            <w:tcW w:w="1800" w:type="dxa"/>
            <w:noWrap w:val="0"/>
            <w:vAlign w:val="center"/>
          </w:tcPr>
          <w:p w14:paraId="0DA7643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w:t>
            </w:r>
          </w:p>
        </w:tc>
        <w:tc>
          <w:tcPr>
            <w:tcW w:w="2538" w:type="dxa"/>
            <w:noWrap w:val="0"/>
            <w:vAlign w:val="center"/>
          </w:tcPr>
          <w:p w14:paraId="3BB12C7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仿宋" w:hAnsi="仿宋" w:eastAsia="仿宋" w:cs="仿宋"/>
                <w:color w:val="auto"/>
                <w:spacing w:val="0"/>
                <w:kern w:val="2"/>
                <w:sz w:val="21"/>
                <w:szCs w:val="21"/>
                <w:vertAlign w:val="baseline"/>
                <w:lang w:val="en-US" w:eastAsia="zh-CN" w:bidi="ar-SA"/>
              </w:rPr>
            </w:pPr>
            <w:r>
              <w:rPr>
                <w:rFonts w:hint="eastAsia" w:ascii="仿宋" w:hAnsi="仿宋" w:eastAsia="仿宋" w:cs="仿宋"/>
                <w:color w:val="auto"/>
                <w:spacing w:val="0"/>
                <w:kern w:val="2"/>
                <w:sz w:val="21"/>
                <w:szCs w:val="21"/>
                <w:vertAlign w:val="baseline"/>
                <w:lang w:val="en-US" w:eastAsia="zh-CN" w:bidi="ar-SA"/>
              </w:rPr>
              <w:t>100</w:t>
            </w:r>
          </w:p>
        </w:tc>
      </w:tr>
    </w:tbl>
    <w:p w14:paraId="5E9C0D4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b w:val="0"/>
          <w:bCs w:val="0"/>
          <w:color w:val="auto"/>
          <w:sz w:val="24"/>
          <w:szCs w:val="24"/>
          <w:lang w:val="en-US" w:eastAsia="zh-CN"/>
        </w:rPr>
      </w:pPr>
    </w:p>
    <w:p w14:paraId="0455DBA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b w:val="0"/>
          <w:bCs w:val="0"/>
          <w:color w:val="auto"/>
          <w:sz w:val="24"/>
          <w:szCs w:val="24"/>
          <w:lang w:val="en-US" w:eastAsia="zh-CN"/>
        </w:rPr>
      </w:pPr>
      <w:r>
        <w:rPr>
          <w:rFonts w:hint="eastAsia"/>
          <w:b w:val="0"/>
          <w:bCs w:val="0"/>
          <w:color w:val="auto"/>
          <w:sz w:val="24"/>
          <w:szCs w:val="24"/>
          <w:lang w:val="en-US" w:eastAsia="zh-CN"/>
        </w:rPr>
        <w:t>从八大类数量和占比来看，地文景观940处占总旅游资源数量的比重为7.83%、水域景观611处占比5.09%、生物景观1075处占比8.95%、天气与气候景观80处占比0.67%、建筑与设施6265处占比52.17%、历史遗迹1463处占比12.18%、旅游购品824处占比6.86%、人文活动750处占比6.25%。各类型资源占比见图3-1。</w:t>
      </w:r>
    </w:p>
    <w:p w14:paraId="250EA832">
      <w:pPr>
        <w:keepNext w:val="0"/>
        <w:keepLines w:val="0"/>
        <w:pageBreakBefore w:val="0"/>
        <w:widowControl w:val="0"/>
        <w:kinsoku/>
        <w:wordWrap/>
        <w:overflowPunct/>
        <w:topLinePunct w:val="0"/>
        <w:autoSpaceDE/>
        <w:autoSpaceDN/>
        <w:bidi w:val="0"/>
        <w:adjustRightInd/>
        <w:snapToGrid w:val="0"/>
        <w:spacing w:line="360" w:lineRule="auto"/>
        <w:jc w:val="both"/>
        <w:textAlignment w:val="auto"/>
        <w:outlineLvl w:val="9"/>
        <w:rPr>
          <w:rFonts w:hint="eastAsia" w:eastAsia="宋体"/>
          <w:color w:val="auto"/>
          <w:szCs w:val="21"/>
          <w:lang w:eastAsia="zh-CN"/>
        </w:rPr>
      </w:pPr>
    </w:p>
    <w:p w14:paraId="786F780B">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eastAsia" w:eastAsia="宋体"/>
          <w:color w:val="auto"/>
          <w:szCs w:val="21"/>
          <w:lang w:eastAsia="zh-CN"/>
        </w:rPr>
      </w:pPr>
    </w:p>
    <w:p w14:paraId="5D7F4B2A">
      <w:pPr>
        <w:snapToGrid w:val="0"/>
        <w:spacing w:line="240" w:lineRule="auto"/>
        <w:jc w:val="center"/>
        <w:outlineLvl w:val="9"/>
      </w:pPr>
      <w:r>
        <w:drawing>
          <wp:inline distT="0" distB="0" distL="114300" distR="114300">
            <wp:extent cx="4826000" cy="2743200"/>
            <wp:effectExtent l="4445" t="4445" r="8255" b="14605"/>
            <wp:docPr id="1"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0FCFFAF5">
      <w:pPr>
        <w:snapToGrid w:val="0"/>
        <w:spacing w:line="240" w:lineRule="auto"/>
        <w:jc w:val="center"/>
        <w:outlineLvl w:val="9"/>
        <w:rPr>
          <w:rFonts w:hint="eastAsia"/>
          <w:b w:val="0"/>
          <w:bCs w:val="0"/>
          <w:color w:val="auto"/>
          <w:sz w:val="24"/>
          <w:szCs w:val="24"/>
          <w:lang w:val="en-US" w:eastAsia="zh-CN"/>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图3-1 焦作市各类旅游资源占比图</w:t>
      </w:r>
    </w:p>
    <w:p w14:paraId="5B8DF6B6">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2" w:firstLineChars="200"/>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人文类旅游资源数量比重较大</w:t>
      </w:r>
    </w:p>
    <w:p w14:paraId="23780B8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jc w:val="both"/>
        <w:textAlignment w:val="auto"/>
        <w:outlineLvl w:val="9"/>
        <w:rPr>
          <w:rFonts w:hint="default"/>
          <w:b w:val="0"/>
          <w:bCs w:val="0"/>
          <w:color w:val="auto"/>
          <w:sz w:val="24"/>
          <w:szCs w:val="24"/>
          <w:lang w:val="en-US" w:eastAsia="zh-CN"/>
        </w:rPr>
      </w:pPr>
      <w:r>
        <w:rPr>
          <w:rFonts w:hint="eastAsia"/>
          <w:b w:val="0"/>
          <w:bCs w:val="0"/>
          <w:color w:val="auto"/>
          <w:sz w:val="24"/>
          <w:szCs w:val="24"/>
          <w:lang w:val="en-US" w:eastAsia="zh-CN"/>
        </w:rPr>
        <w:t>在本次普查中，焦作市在自然旅游资源（包含地文景观、水域景观、生物景观和天象与气候景观4个大类）的资源数量有2706处，占资源总量的22.53%。人文旅游类资源（包含建筑与设施、历史遗迹、旅游购品和人文活动4个主类），数量达到了9302处，占资源总量的77.47%。这和焦作市深厚的历史文化底蕴有着很大的关系，也符合焦作市的资源特点。</w:t>
      </w:r>
    </w:p>
    <w:p w14:paraId="3029DC7D">
      <w:pPr>
        <w:keepNext w:val="0"/>
        <w:keepLines w:val="0"/>
        <w:pageBreakBefore w:val="0"/>
        <w:widowControl w:val="0"/>
        <w:numPr>
          <w:ilvl w:val="0"/>
          <w:numId w:val="2"/>
        </w:numPr>
        <w:kinsoku/>
        <w:wordWrap/>
        <w:overflowPunct/>
        <w:topLinePunct w:val="0"/>
        <w:autoSpaceDE/>
        <w:autoSpaceDN/>
        <w:bidi w:val="0"/>
        <w:adjustRightInd/>
        <w:snapToGrid/>
        <w:spacing w:line="360" w:lineRule="auto"/>
        <w:jc w:val="both"/>
        <w:textAlignment w:val="auto"/>
        <w:outlineLvl w:val="3"/>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自然旅游资源分析</w:t>
      </w:r>
    </w:p>
    <w:p w14:paraId="20C4EB2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b w:val="0"/>
          <w:bCs w:val="0"/>
          <w:color w:val="auto"/>
          <w:sz w:val="24"/>
          <w:szCs w:val="24"/>
          <w:lang w:val="en-US" w:eastAsia="zh-CN"/>
        </w:rPr>
      </w:pPr>
      <w:r>
        <w:rPr>
          <w:rFonts w:hint="eastAsia"/>
          <w:b w:val="0"/>
          <w:bCs w:val="0"/>
          <w:color w:val="auto"/>
          <w:sz w:val="24"/>
          <w:szCs w:val="24"/>
          <w:lang w:val="en-US" w:eastAsia="zh-CN"/>
        </w:rPr>
        <w:t>全市共普查出自然旅游资源2706处，占资源总量的22.53%，分属4个主类，13个亚类，37个基本类型，占标准所有基本类型的31.90%。</w:t>
      </w:r>
    </w:p>
    <w:p w14:paraId="42EFDA9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outlineLvl w:val="3"/>
        <w:rPr>
          <w:rFonts w:hint="eastAsia"/>
          <w:b/>
          <w:bCs/>
          <w:color w:val="auto"/>
          <w:sz w:val="24"/>
          <w:szCs w:val="24"/>
          <w:lang w:val="en-US" w:eastAsia="zh-CN"/>
        </w:rPr>
      </w:pPr>
      <w:r>
        <w:rPr>
          <w:rFonts w:hint="eastAsia"/>
          <w:b/>
          <w:bCs/>
          <w:color w:val="auto"/>
          <w:sz w:val="24"/>
          <w:szCs w:val="24"/>
          <w:lang w:val="en-US" w:eastAsia="zh-CN"/>
        </w:rPr>
        <w:t>1.生物景观、地文景观、水域景观主类景观资源数量较多</w:t>
      </w:r>
    </w:p>
    <w:p w14:paraId="05A1D27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b w:val="0"/>
          <w:bCs w:val="0"/>
          <w:color w:val="auto"/>
          <w:sz w:val="24"/>
          <w:szCs w:val="24"/>
          <w:lang w:val="en-US" w:eastAsia="zh-CN"/>
        </w:rPr>
      </w:pPr>
      <w:r>
        <w:rPr>
          <w:rFonts w:hint="eastAsia"/>
          <w:b w:val="0"/>
          <w:bCs w:val="0"/>
          <w:color w:val="auto"/>
          <w:sz w:val="24"/>
          <w:szCs w:val="24"/>
          <w:lang w:val="en-US" w:eastAsia="zh-CN"/>
        </w:rPr>
        <w:t>从资源类别角度看，在自然资源的4个主类中，地文景观940处、水域景观611处、生物景观1075处、天象与气候景观仅80处，生物景观大类资源数量最多，其次地文景观和水域景观，天象与气候景观最少。</w:t>
      </w:r>
    </w:p>
    <w:p w14:paraId="1CA523D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outlineLvl w:val="3"/>
        <w:rPr>
          <w:rFonts w:hint="eastAsia"/>
          <w:b/>
          <w:bCs/>
          <w:color w:val="auto"/>
          <w:sz w:val="24"/>
          <w:szCs w:val="24"/>
          <w:lang w:val="en-US" w:eastAsia="zh-CN"/>
        </w:rPr>
      </w:pPr>
      <w:r>
        <w:rPr>
          <w:rFonts w:hint="eastAsia"/>
          <w:b/>
          <w:bCs/>
          <w:color w:val="auto"/>
          <w:sz w:val="24"/>
          <w:szCs w:val="24"/>
          <w:lang w:val="en-US" w:eastAsia="zh-CN"/>
        </w:rPr>
        <w:t>2.植被景观、地表形态亚类的资源数量最突出</w:t>
      </w:r>
    </w:p>
    <w:p w14:paraId="7984E3C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b w:val="0"/>
          <w:bCs w:val="0"/>
          <w:color w:val="auto"/>
          <w:sz w:val="24"/>
          <w:szCs w:val="24"/>
          <w:lang w:val="en-US" w:eastAsia="zh-CN"/>
        </w:rPr>
      </w:pPr>
      <w:r>
        <w:rPr>
          <w:rFonts w:hint="eastAsia"/>
          <w:b w:val="0"/>
          <w:bCs w:val="0"/>
          <w:color w:val="auto"/>
          <w:sz w:val="24"/>
          <w:szCs w:val="24"/>
          <w:lang w:val="en-US" w:eastAsia="zh-CN"/>
        </w:rPr>
        <w:t>在自然类资源13个亚类中，各亚类资源数量如表3-3所示。从表中可知，植被景观数量最多为1059处，占自然类资源总量的39.14%，地表形态类资源次之为584处，占自然类资源总数的21.58%。这两类资源占自然类资源总数的比例为60.72%。</w:t>
      </w:r>
    </w:p>
    <w:p w14:paraId="0CC3D689">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 xml:space="preserve"> 表3-3 自然类旅游资源基本类型单体数量表</w:t>
      </w:r>
    </w:p>
    <w:tbl>
      <w:tblPr>
        <w:tblStyle w:val="15"/>
        <w:tblW w:w="845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69"/>
        <w:gridCol w:w="2071"/>
        <w:gridCol w:w="2247"/>
        <w:gridCol w:w="2071"/>
      </w:tblGrid>
      <w:tr w14:paraId="57D77D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1" w:hRule="atLeast"/>
          <w:jc w:val="center"/>
        </w:trPr>
        <w:tc>
          <w:tcPr>
            <w:tcW w:w="20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5A6BCB6">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r>
              <w:rPr>
                <w:rFonts w:hint="eastAsia" w:ascii="仿宋" w:hAnsi="仿宋" w:eastAsia="仿宋" w:cs="仿宋"/>
                <w:b/>
                <w:bCs/>
                <w:i w:val="0"/>
                <w:iCs w:val="0"/>
                <w:color w:val="auto"/>
                <w:kern w:val="0"/>
                <w:sz w:val="21"/>
                <w:szCs w:val="21"/>
                <w:u w:val="none"/>
                <w:lang w:val="en-US" w:eastAsia="zh-CN" w:bidi="ar"/>
              </w:rPr>
              <w:t>主类</w:t>
            </w:r>
          </w:p>
        </w:tc>
        <w:tc>
          <w:tcPr>
            <w:tcW w:w="207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549DB3B">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r>
              <w:rPr>
                <w:rFonts w:hint="eastAsia" w:ascii="仿宋" w:hAnsi="仿宋" w:eastAsia="仿宋" w:cs="仿宋"/>
                <w:b/>
                <w:bCs/>
                <w:i w:val="0"/>
                <w:iCs w:val="0"/>
                <w:color w:val="auto"/>
                <w:kern w:val="0"/>
                <w:sz w:val="21"/>
                <w:szCs w:val="21"/>
                <w:u w:val="none"/>
                <w:lang w:val="en-US" w:eastAsia="zh-CN" w:bidi="ar"/>
              </w:rPr>
              <w:t>亚类</w:t>
            </w:r>
          </w:p>
        </w:tc>
        <w:tc>
          <w:tcPr>
            <w:tcW w:w="224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4E80AAF">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r>
              <w:rPr>
                <w:rFonts w:hint="eastAsia" w:ascii="仿宋" w:hAnsi="仿宋" w:eastAsia="仿宋" w:cs="仿宋"/>
                <w:b/>
                <w:bCs/>
                <w:i w:val="0"/>
                <w:iCs w:val="0"/>
                <w:color w:val="auto"/>
                <w:kern w:val="0"/>
                <w:sz w:val="21"/>
                <w:szCs w:val="21"/>
                <w:u w:val="none"/>
                <w:lang w:val="en-US" w:eastAsia="zh-CN" w:bidi="ar"/>
              </w:rPr>
              <w:t>基本类型</w:t>
            </w:r>
          </w:p>
        </w:tc>
        <w:tc>
          <w:tcPr>
            <w:tcW w:w="207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432F3E8">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r>
              <w:rPr>
                <w:rFonts w:hint="eastAsia" w:ascii="仿宋" w:hAnsi="仿宋" w:eastAsia="仿宋" w:cs="仿宋"/>
                <w:b/>
                <w:bCs/>
                <w:i w:val="0"/>
                <w:iCs w:val="0"/>
                <w:color w:val="auto"/>
                <w:kern w:val="0"/>
                <w:sz w:val="21"/>
                <w:szCs w:val="21"/>
                <w:u w:val="none"/>
                <w:lang w:val="en-US" w:eastAsia="zh-CN" w:bidi="ar"/>
              </w:rPr>
              <w:t>数量</w:t>
            </w:r>
          </w:p>
        </w:tc>
      </w:tr>
      <w:tr w14:paraId="1461D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2069" w:type="dxa"/>
            <w:vMerge w:val="restart"/>
            <w:tcBorders>
              <w:top w:val="nil"/>
              <w:left w:val="single" w:color="000000" w:sz="8" w:space="0"/>
              <w:bottom w:val="single" w:color="000000" w:sz="8" w:space="0"/>
              <w:right w:val="single" w:color="000000" w:sz="8" w:space="0"/>
            </w:tcBorders>
            <w:shd w:val="clear" w:color="auto" w:fill="auto"/>
            <w:vAlign w:val="center"/>
          </w:tcPr>
          <w:p w14:paraId="01486EF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  地文景观（</w:t>
            </w:r>
            <w:r>
              <w:rPr>
                <w:rFonts w:hint="eastAsia" w:ascii="仿宋" w:hAnsi="仿宋" w:eastAsia="仿宋" w:cs="仿宋"/>
                <w:b w:val="0"/>
                <w:bCs w:val="0"/>
                <w:color w:val="auto"/>
                <w:sz w:val="21"/>
                <w:szCs w:val="21"/>
                <w:lang w:val="en-US" w:eastAsia="zh-CN"/>
              </w:rPr>
              <w:t>940</w:t>
            </w:r>
            <w:r>
              <w:rPr>
                <w:rFonts w:hint="eastAsia" w:ascii="仿宋" w:hAnsi="仿宋" w:eastAsia="仿宋" w:cs="仿宋"/>
                <w:i w:val="0"/>
                <w:iCs w:val="0"/>
                <w:color w:val="auto"/>
                <w:kern w:val="0"/>
                <w:sz w:val="21"/>
                <w:szCs w:val="21"/>
                <w:u w:val="none"/>
                <w:lang w:val="en-US" w:eastAsia="zh-CN" w:bidi="ar"/>
              </w:rPr>
              <w:t>）</w:t>
            </w:r>
          </w:p>
        </w:tc>
        <w:tc>
          <w:tcPr>
            <w:tcW w:w="2071" w:type="dxa"/>
            <w:vMerge w:val="restart"/>
            <w:tcBorders>
              <w:top w:val="nil"/>
              <w:left w:val="single" w:color="000000" w:sz="8" w:space="0"/>
              <w:bottom w:val="single" w:color="000000" w:sz="8" w:space="0"/>
              <w:right w:val="single" w:color="000000" w:sz="8" w:space="0"/>
            </w:tcBorders>
            <w:shd w:val="clear" w:color="auto" w:fill="auto"/>
            <w:vAlign w:val="center"/>
          </w:tcPr>
          <w:p w14:paraId="65A028DE">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AA  自然景观综合体（200）</w:t>
            </w: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696C990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AAA山丘型景观</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636A8E15">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95</w:t>
            </w:r>
          </w:p>
        </w:tc>
      </w:tr>
      <w:tr w14:paraId="16B66E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6EE5AE43">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1066766C">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29E5812B">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AAB台地型景观</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633511AF">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30</w:t>
            </w:r>
          </w:p>
        </w:tc>
      </w:tr>
      <w:tr w14:paraId="3363C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77B84FC8">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0C083245">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533F41CF">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AAC沟谷型景观</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4B08E94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68</w:t>
            </w:r>
          </w:p>
        </w:tc>
      </w:tr>
      <w:tr w14:paraId="67C22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75FE3DBE">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317A9940">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52A4E258">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AAD滩地型景观</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5247643E">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7</w:t>
            </w:r>
          </w:p>
        </w:tc>
      </w:tr>
      <w:tr w14:paraId="08CCA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7"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14B8ADD0">
            <w:pPr>
              <w:jc w:val="center"/>
              <w:rPr>
                <w:rFonts w:hint="eastAsia" w:ascii="仿宋" w:hAnsi="仿宋" w:eastAsia="仿宋" w:cs="仿宋"/>
                <w:i w:val="0"/>
                <w:iCs w:val="0"/>
                <w:color w:val="auto"/>
                <w:sz w:val="21"/>
                <w:szCs w:val="21"/>
                <w:u w:val="none"/>
              </w:rPr>
            </w:pPr>
          </w:p>
        </w:tc>
        <w:tc>
          <w:tcPr>
            <w:tcW w:w="2071" w:type="dxa"/>
            <w:vMerge w:val="restart"/>
            <w:tcBorders>
              <w:top w:val="nil"/>
              <w:left w:val="single" w:color="000000" w:sz="8" w:space="0"/>
              <w:bottom w:val="single" w:color="000000" w:sz="8" w:space="0"/>
              <w:right w:val="single" w:color="000000" w:sz="8" w:space="0"/>
            </w:tcBorders>
            <w:shd w:val="clear" w:color="auto" w:fill="auto"/>
            <w:vAlign w:val="center"/>
          </w:tcPr>
          <w:p w14:paraId="3083876F">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AB  地质与构造形迹（143）</w:t>
            </w: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3DA220E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ABA断裂景观</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3197F7D0">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95</w:t>
            </w:r>
          </w:p>
        </w:tc>
      </w:tr>
      <w:tr w14:paraId="17E0E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102A8027">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33518B21">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5FB7F516">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ABB褶曲景观</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5BCD629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7</w:t>
            </w:r>
          </w:p>
        </w:tc>
      </w:tr>
      <w:tr w14:paraId="5589A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1BA874AF">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5CB5B586">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04C745B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ABC地层剖面</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2F29CE4F">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22</w:t>
            </w:r>
          </w:p>
        </w:tc>
      </w:tr>
      <w:tr w14:paraId="0734C2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5F72134B">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74E83299">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7CC91006">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ABD生物化石点</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3D8BBDF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19</w:t>
            </w:r>
          </w:p>
        </w:tc>
      </w:tr>
      <w:tr w14:paraId="490BA3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61B88C80">
            <w:pPr>
              <w:jc w:val="center"/>
              <w:rPr>
                <w:rFonts w:hint="eastAsia" w:ascii="仿宋" w:hAnsi="仿宋" w:eastAsia="仿宋" w:cs="仿宋"/>
                <w:i w:val="0"/>
                <w:iCs w:val="0"/>
                <w:color w:val="auto"/>
                <w:sz w:val="21"/>
                <w:szCs w:val="21"/>
                <w:u w:val="none"/>
              </w:rPr>
            </w:pPr>
          </w:p>
        </w:tc>
        <w:tc>
          <w:tcPr>
            <w:tcW w:w="2071" w:type="dxa"/>
            <w:vMerge w:val="restart"/>
            <w:tcBorders>
              <w:top w:val="nil"/>
              <w:left w:val="single" w:color="000000" w:sz="8" w:space="0"/>
              <w:bottom w:val="single" w:color="000000" w:sz="8" w:space="0"/>
              <w:right w:val="single" w:color="000000" w:sz="8" w:space="0"/>
            </w:tcBorders>
            <w:shd w:val="clear" w:color="auto" w:fill="auto"/>
            <w:vAlign w:val="center"/>
          </w:tcPr>
          <w:p w14:paraId="60A17928">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AC  地表形态（584）</w:t>
            </w: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724718B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ACA台丘状地景</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6D1DB7B3">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23</w:t>
            </w:r>
          </w:p>
        </w:tc>
      </w:tr>
      <w:tr w14:paraId="09991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7E64C968">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7E6B4E1C">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6BE2250B">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ACB峰柱状地景</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7BF09AF8">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149</w:t>
            </w:r>
          </w:p>
        </w:tc>
      </w:tr>
      <w:tr w14:paraId="313D5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20B98E05">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5067143C">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47C9F310">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ACC垄岗状地景</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637DC565">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16</w:t>
            </w:r>
          </w:p>
        </w:tc>
      </w:tr>
      <w:tr w14:paraId="011E0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557B8FFE">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60DD5F5F">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26F0DF7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ACD沟壑与洞穴</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5B647CD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44</w:t>
            </w:r>
          </w:p>
        </w:tc>
      </w:tr>
      <w:tr w14:paraId="044EB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45B78BFF">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2B18254E">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7D2CA898">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ACE奇特与象形山石</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0C73746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340</w:t>
            </w:r>
          </w:p>
        </w:tc>
      </w:tr>
      <w:tr w14:paraId="02936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6A33B922">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675935C4">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1EAD5F4B">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ACF岩土圈灾变遗迹</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78606DE7">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12</w:t>
            </w:r>
          </w:p>
        </w:tc>
      </w:tr>
      <w:tr w14:paraId="2ACE5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3"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14B98AC7">
            <w:pPr>
              <w:jc w:val="center"/>
              <w:rPr>
                <w:rFonts w:hint="eastAsia" w:ascii="仿宋" w:hAnsi="仿宋" w:eastAsia="仿宋" w:cs="仿宋"/>
                <w:i w:val="0"/>
                <w:iCs w:val="0"/>
                <w:color w:val="auto"/>
                <w:sz w:val="21"/>
                <w:szCs w:val="21"/>
                <w:u w:val="none"/>
              </w:rPr>
            </w:pPr>
          </w:p>
        </w:tc>
        <w:tc>
          <w:tcPr>
            <w:tcW w:w="2071" w:type="dxa"/>
            <w:vMerge w:val="restart"/>
            <w:tcBorders>
              <w:top w:val="nil"/>
              <w:left w:val="single" w:color="000000" w:sz="8" w:space="0"/>
              <w:bottom w:val="single" w:color="000000" w:sz="8" w:space="0"/>
              <w:right w:val="single" w:color="000000" w:sz="8" w:space="0"/>
            </w:tcBorders>
            <w:shd w:val="clear" w:color="auto" w:fill="auto"/>
            <w:vAlign w:val="center"/>
          </w:tcPr>
          <w:p w14:paraId="323275A7">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AD  自然标记与自然现象（13）</w:t>
            </w: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43171DEF">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ADA奇异自然现象</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17C89A97">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4</w:t>
            </w:r>
          </w:p>
        </w:tc>
      </w:tr>
      <w:tr w14:paraId="24A7F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0F67C053">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08AB69CF">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512A40F7">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ADB自然标志地</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221CAF3A">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6</w:t>
            </w:r>
          </w:p>
        </w:tc>
      </w:tr>
      <w:tr w14:paraId="743C2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506A64FD">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31F6B250">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2C02383E">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ADC垂直自然带</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223F84A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w:t>
            </w:r>
          </w:p>
        </w:tc>
      </w:tr>
      <w:tr w14:paraId="5B891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jc w:val="center"/>
        </w:trPr>
        <w:tc>
          <w:tcPr>
            <w:tcW w:w="2069" w:type="dxa"/>
            <w:vMerge w:val="restart"/>
            <w:tcBorders>
              <w:top w:val="nil"/>
              <w:left w:val="single" w:color="000000" w:sz="8" w:space="0"/>
              <w:bottom w:val="single" w:color="000000" w:sz="8" w:space="0"/>
              <w:right w:val="single" w:color="000000" w:sz="8" w:space="0"/>
            </w:tcBorders>
            <w:shd w:val="clear" w:color="auto" w:fill="auto"/>
            <w:vAlign w:val="center"/>
          </w:tcPr>
          <w:p w14:paraId="76A251D6">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B  水域景观（</w:t>
            </w:r>
            <w:r>
              <w:rPr>
                <w:rFonts w:hint="eastAsia" w:ascii="仿宋" w:hAnsi="仿宋" w:eastAsia="仿宋" w:cs="仿宋"/>
                <w:b w:val="0"/>
                <w:bCs w:val="0"/>
                <w:color w:val="auto"/>
                <w:sz w:val="21"/>
                <w:szCs w:val="21"/>
                <w:lang w:val="en-US" w:eastAsia="zh-CN"/>
              </w:rPr>
              <w:t>611</w:t>
            </w:r>
            <w:r>
              <w:rPr>
                <w:rFonts w:hint="eastAsia" w:ascii="仿宋" w:hAnsi="仿宋" w:eastAsia="仿宋" w:cs="仿宋"/>
                <w:i w:val="0"/>
                <w:iCs w:val="0"/>
                <w:color w:val="auto"/>
                <w:kern w:val="0"/>
                <w:sz w:val="21"/>
                <w:szCs w:val="21"/>
                <w:u w:val="none"/>
                <w:lang w:val="en-US" w:eastAsia="zh-CN" w:bidi="ar"/>
              </w:rPr>
              <w:t>）</w:t>
            </w:r>
          </w:p>
        </w:tc>
        <w:tc>
          <w:tcPr>
            <w:tcW w:w="2071" w:type="dxa"/>
            <w:vMerge w:val="restart"/>
            <w:tcBorders>
              <w:top w:val="nil"/>
              <w:left w:val="single" w:color="000000" w:sz="8" w:space="0"/>
              <w:bottom w:val="single" w:color="000000" w:sz="8" w:space="0"/>
              <w:right w:val="single" w:color="000000" w:sz="8" w:space="0"/>
            </w:tcBorders>
            <w:shd w:val="clear" w:color="auto" w:fill="auto"/>
            <w:vAlign w:val="center"/>
          </w:tcPr>
          <w:p w14:paraId="76A54438">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BA  河系（362）</w:t>
            </w: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1119CEE7">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BAA游憩河段</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3DCBFD1A">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250</w:t>
            </w:r>
          </w:p>
        </w:tc>
      </w:tr>
      <w:tr w14:paraId="43E959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1099F8B9">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6E9F399D">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15A3DF4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BAB瀑布</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3E78CBD3">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107</w:t>
            </w:r>
          </w:p>
        </w:tc>
      </w:tr>
      <w:tr w14:paraId="60904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44D89DFD">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29CF2212">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4546B686">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BAC古河道段落</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2977195E">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5</w:t>
            </w:r>
          </w:p>
        </w:tc>
      </w:tr>
      <w:tr w14:paraId="197995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294238FB">
            <w:pPr>
              <w:jc w:val="center"/>
              <w:rPr>
                <w:rFonts w:hint="eastAsia" w:ascii="仿宋" w:hAnsi="仿宋" w:eastAsia="仿宋" w:cs="仿宋"/>
                <w:i w:val="0"/>
                <w:iCs w:val="0"/>
                <w:color w:val="auto"/>
                <w:sz w:val="21"/>
                <w:szCs w:val="21"/>
                <w:u w:val="none"/>
              </w:rPr>
            </w:pPr>
          </w:p>
        </w:tc>
        <w:tc>
          <w:tcPr>
            <w:tcW w:w="2071" w:type="dxa"/>
            <w:vMerge w:val="restart"/>
            <w:tcBorders>
              <w:top w:val="nil"/>
              <w:left w:val="single" w:color="000000" w:sz="8" w:space="0"/>
              <w:bottom w:val="single" w:color="000000" w:sz="8" w:space="0"/>
              <w:right w:val="single" w:color="000000" w:sz="8" w:space="0"/>
            </w:tcBorders>
            <w:shd w:val="clear" w:color="auto" w:fill="auto"/>
            <w:vAlign w:val="center"/>
          </w:tcPr>
          <w:p w14:paraId="38018FC4">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BB  湖沼（222）</w:t>
            </w: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5F951C20">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BBA游憩湖区</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0E74A204">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84</w:t>
            </w:r>
          </w:p>
        </w:tc>
      </w:tr>
      <w:tr w14:paraId="3FA65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2A690B9A">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5595675B">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20811D85">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BBB潭池</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1CBF2D56">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121</w:t>
            </w:r>
          </w:p>
        </w:tc>
      </w:tr>
      <w:tr w14:paraId="0C977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086EBD75">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577AFB28">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4C454C4E">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BBC湿地</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71BDAD45">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17</w:t>
            </w:r>
          </w:p>
        </w:tc>
      </w:tr>
      <w:tr w14:paraId="491D48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7476855A">
            <w:pPr>
              <w:jc w:val="center"/>
              <w:rPr>
                <w:rFonts w:hint="eastAsia" w:ascii="仿宋" w:hAnsi="仿宋" w:eastAsia="仿宋" w:cs="仿宋"/>
                <w:i w:val="0"/>
                <w:iCs w:val="0"/>
                <w:color w:val="auto"/>
                <w:sz w:val="21"/>
                <w:szCs w:val="21"/>
                <w:u w:val="none"/>
              </w:rPr>
            </w:pPr>
          </w:p>
        </w:tc>
        <w:tc>
          <w:tcPr>
            <w:tcW w:w="2071" w:type="dxa"/>
            <w:vMerge w:val="restart"/>
            <w:tcBorders>
              <w:top w:val="nil"/>
              <w:left w:val="single" w:color="000000" w:sz="8" w:space="0"/>
              <w:bottom w:val="single" w:color="000000" w:sz="8" w:space="0"/>
              <w:right w:val="single" w:color="000000" w:sz="8" w:space="0"/>
            </w:tcBorders>
            <w:shd w:val="clear" w:color="auto" w:fill="auto"/>
            <w:vAlign w:val="center"/>
          </w:tcPr>
          <w:p w14:paraId="3E993BA4">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BC  地下水（25）</w:t>
            </w: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0FCD742F">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BCA泉</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7B0B92D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25</w:t>
            </w:r>
          </w:p>
        </w:tc>
      </w:tr>
      <w:tr w14:paraId="72569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4264EC96">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1837B276">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171F929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BCB埋藏水体</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4EC80E4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0</w:t>
            </w:r>
          </w:p>
        </w:tc>
      </w:tr>
      <w:tr w14:paraId="6B660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2F78C172">
            <w:pPr>
              <w:jc w:val="center"/>
              <w:rPr>
                <w:rFonts w:hint="eastAsia" w:ascii="仿宋" w:hAnsi="仿宋" w:eastAsia="仿宋" w:cs="仿宋"/>
                <w:i w:val="0"/>
                <w:iCs w:val="0"/>
                <w:color w:val="auto"/>
                <w:sz w:val="21"/>
                <w:szCs w:val="21"/>
                <w:u w:val="none"/>
              </w:rPr>
            </w:pPr>
          </w:p>
        </w:tc>
        <w:tc>
          <w:tcPr>
            <w:tcW w:w="2071" w:type="dxa"/>
            <w:vMerge w:val="restart"/>
            <w:tcBorders>
              <w:top w:val="nil"/>
              <w:left w:val="single" w:color="000000" w:sz="8" w:space="0"/>
              <w:bottom w:val="single" w:color="000000" w:sz="8" w:space="0"/>
              <w:right w:val="single" w:color="000000" w:sz="8" w:space="0"/>
            </w:tcBorders>
            <w:shd w:val="clear" w:color="auto" w:fill="auto"/>
            <w:vAlign w:val="center"/>
          </w:tcPr>
          <w:p w14:paraId="2F1BE7A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BD  冰雪地（2）</w:t>
            </w: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2BF3F736">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BDA积雪地</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63F601DE">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w:t>
            </w:r>
          </w:p>
        </w:tc>
      </w:tr>
      <w:tr w14:paraId="566EB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1BA2E746">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12E0B650">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5219024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BDB现代冰川</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2AD7CA13">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0</w:t>
            </w:r>
          </w:p>
        </w:tc>
      </w:tr>
      <w:tr w14:paraId="47000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2E044C43">
            <w:pPr>
              <w:jc w:val="center"/>
              <w:rPr>
                <w:rFonts w:hint="eastAsia" w:ascii="仿宋" w:hAnsi="仿宋" w:eastAsia="仿宋" w:cs="仿宋"/>
                <w:i w:val="0"/>
                <w:iCs w:val="0"/>
                <w:color w:val="auto"/>
                <w:sz w:val="21"/>
                <w:szCs w:val="21"/>
                <w:u w:val="none"/>
              </w:rPr>
            </w:pPr>
          </w:p>
        </w:tc>
        <w:tc>
          <w:tcPr>
            <w:tcW w:w="2071" w:type="dxa"/>
            <w:vMerge w:val="restart"/>
            <w:tcBorders>
              <w:top w:val="nil"/>
              <w:left w:val="single" w:color="000000" w:sz="8" w:space="0"/>
              <w:bottom w:val="single" w:color="000000" w:sz="8" w:space="0"/>
              <w:right w:val="single" w:color="000000" w:sz="8" w:space="0"/>
            </w:tcBorders>
            <w:shd w:val="clear" w:color="auto" w:fill="auto"/>
            <w:vAlign w:val="center"/>
          </w:tcPr>
          <w:p w14:paraId="21877A6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BE  海面（0）</w:t>
            </w: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7C47A5D6">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BEA游憩海域</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62D53444">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0</w:t>
            </w:r>
          </w:p>
        </w:tc>
      </w:tr>
      <w:tr w14:paraId="6A055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53DCCC89">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3C021375">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7834BA3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BEB涌潮与击浪现象</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14C7A1F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0</w:t>
            </w:r>
          </w:p>
        </w:tc>
      </w:tr>
      <w:tr w14:paraId="422B31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0653D582">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7761A59E">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414F4F4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BEC小型岛礁</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16F3BE3B">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0</w:t>
            </w:r>
          </w:p>
        </w:tc>
      </w:tr>
      <w:tr w14:paraId="3B35E1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7" w:hRule="atLeast"/>
          <w:jc w:val="center"/>
        </w:trPr>
        <w:tc>
          <w:tcPr>
            <w:tcW w:w="2069" w:type="dxa"/>
            <w:vMerge w:val="restart"/>
            <w:tcBorders>
              <w:top w:val="nil"/>
              <w:left w:val="single" w:color="000000" w:sz="8" w:space="0"/>
              <w:bottom w:val="single" w:color="000000" w:sz="8" w:space="0"/>
              <w:right w:val="single" w:color="000000" w:sz="8" w:space="0"/>
            </w:tcBorders>
            <w:shd w:val="clear" w:color="auto" w:fill="auto"/>
            <w:vAlign w:val="center"/>
          </w:tcPr>
          <w:p w14:paraId="301BFFB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C  生物景观（</w:t>
            </w:r>
            <w:r>
              <w:rPr>
                <w:rFonts w:hint="eastAsia" w:ascii="仿宋" w:hAnsi="仿宋" w:eastAsia="仿宋" w:cs="仿宋"/>
                <w:b w:val="0"/>
                <w:bCs w:val="0"/>
                <w:color w:val="auto"/>
                <w:sz w:val="21"/>
                <w:szCs w:val="21"/>
                <w:lang w:val="en-US" w:eastAsia="zh-CN"/>
              </w:rPr>
              <w:t>1075</w:t>
            </w:r>
            <w:r>
              <w:rPr>
                <w:rFonts w:hint="eastAsia" w:ascii="仿宋" w:hAnsi="仿宋" w:eastAsia="仿宋" w:cs="仿宋"/>
                <w:i w:val="0"/>
                <w:iCs w:val="0"/>
                <w:color w:val="auto"/>
                <w:kern w:val="0"/>
                <w:sz w:val="21"/>
                <w:szCs w:val="21"/>
                <w:u w:val="none"/>
                <w:lang w:val="en-US" w:eastAsia="zh-CN" w:bidi="ar"/>
              </w:rPr>
              <w:t>）</w:t>
            </w:r>
          </w:p>
        </w:tc>
        <w:tc>
          <w:tcPr>
            <w:tcW w:w="2071" w:type="dxa"/>
            <w:vMerge w:val="restart"/>
            <w:tcBorders>
              <w:top w:val="nil"/>
              <w:left w:val="single" w:color="000000" w:sz="8" w:space="0"/>
              <w:bottom w:val="single" w:color="000000" w:sz="8" w:space="0"/>
              <w:right w:val="single" w:color="000000" w:sz="8" w:space="0"/>
            </w:tcBorders>
            <w:shd w:val="clear" w:color="auto" w:fill="auto"/>
            <w:vAlign w:val="center"/>
          </w:tcPr>
          <w:p w14:paraId="7B433C03">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CA  植被景观（1059）</w:t>
            </w: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1DFDBAA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CAA林地</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6BE7F773">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130</w:t>
            </w:r>
          </w:p>
        </w:tc>
      </w:tr>
      <w:tr w14:paraId="35500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1F789BFD">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770B683E">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752985C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CAB独树与丛树</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5AAE245A">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875</w:t>
            </w:r>
          </w:p>
        </w:tc>
      </w:tr>
      <w:tr w14:paraId="662C4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749D7D96">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760868FB">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3972254F">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CAC草地</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1C4282A8">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19</w:t>
            </w:r>
          </w:p>
        </w:tc>
      </w:tr>
      <w:tr w14:paraId="7A07F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1B339956">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7AAAB92C">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5BC23370">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CAD花卉地</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629271A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35</w:t>
            </w:r>
          </w:p>
        </w:tc>
      </w:tr>
      <w:tr w14:paraId="42991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08FDDF16">
            <w:pPr>
              <w:jc w:val="center"/>
              <w:rPr>
                <w:rFonts w:hint="eastAsia" w:ascii="仿宋" w:hAnsi="仿宋" w:eastAsia="仿宋" w:cs="仿宋"/>
                <w:i w:val="0"/>
                <w:iCs w:val="0"/>
                <w:color w:val="auto"/>
                <w:sz w:val="21"/>
                <w:szCs w:val="21"/>
                <w:u w:val="none"/>
              </w:rPr>
            </w:pPr>
          </w:p>
        </w:tc>
        <w:tc>
          <w:tcPr>
            <w:tcW w:w="2071" w:type="dxa"/>
            <w:vMerge w:val="restart"/>
            <w:tcBorders>
              <w:top w:val="nil"/>
              <w:left w:val="single" w:color="000000" w:sz="8" w:space="0"/>
              <w:bottom w:val="single" w:color="000000" w:sz="8" w:space="0"/>
              <w:right w:val="single" w:color="000000" w:sz="8" w:space="0"/>
            </w:tcBorders>
            <w:shd w:val="clear" w:color="auto" w:fill="auto"/>
            <w:vAlign w:val="center"/>
          </w:tcPr>
          <w:p w14:paraId="3224F263">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CB  野生动物栖息地（16）</w:t>
            </w: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57CAB6C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CBA水生动物栖息地</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3EACA097">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w:t>
            </w:r>
          </w:p>
        </w:tc>
      </w:tr>
      <w:tr w14:paraId="6A804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1E6B61D4">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650063CB">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2E94286B">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CBB陆地动物栖息地</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15D71D9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6</w:t>
            </w:r>
          </w:p>
        </w:tc>
      </w:tr>
      <w:tr w14:paraId="7F83D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54ACFA09">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7701E500">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1E9A027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CBC鸟类栖息地</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7D71D953">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9</w:t>
            </w:r>
          </w:p>
        </w:tc>
      </w:tr>
      <w:tr w14:paraId="3AA79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34EBCC1D">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1BAB70EE">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5F945C2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CBD蝶类等昆虫栖息地</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582007D5">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0</w:t>
            </w:r>
          </w:p>
        </w:tc>
      </w:tr>
      <w:tr w14:paraId="4C3E1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2069" w:type="dxa"/>
            <w:vMerge w:val="restart"/>
            <w:tcBorders>
              <w:top w:val="nil"/>
              <w:left w:val="single" w:color="000000" w:sz="8" w:space="0"/>
              <w:bottom w:val="single" w:color="000000" w:sz="8" w:space="0"/>
              <w:right w:val="single" w:color="000000" w:sz="8" w:space="0"/>
            </w:tcBorders>
            <w:shd w:val="clear" w:color="auto" w:fill="auto"/>
            <w:vAlign w:val="center"/>
          </w:tcPr>
          <w:p w14:paraId="112161B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D  天象与气候景观（</w:t>
            </w:r>
            <w:r>
              <w:rPr>
                <w:rFonts w:hint="eastAsia" w:ascii="仿宋" w:hAnsi="仿宋" w:eastAsia="仿宋" w:cs="仿宋"/>
                <w:b w:val="0"/>
                <w:bCs w:val="0"/>
                <w:color w:val="auto"/>
                <w:sz w:val="21"/>
                <w:szCs w:val="21"/>
                <w:lang w:val="en-US" w:eastAsia="zh-CN"/>
              </w:rPr>
              <w:t>80</w:t>
            </w:r>
            <w:r>
              <w:rPr>
                <w:rFonts w:hint="eastAsia" w:ascii="仿宋" w:hAnsi="仿宋" w:eastAsia="仿宋" w:cs="仿宋"/>
                <w:i w:val="0"/>
                <w:iCs w:val="0"/>
                <w:color w:val="auto"/>
                <w:kern w:val="0"/>
                <w:sz w:val="21"/>
                <w:szCs w:val="21"/>
                <w:u w:val="none"/>
                <w:lang w:val="en-US" w:eastAsia="zh-CN" w:bidi="ar"/>
              </w:rPr>
              <w:t>）</w:t>
            </w:r>
          </w:p>
        </w:tc>
        <w:tc>
          <w:tcPr>
            <w:tcW w:w="2071" w:type="dxa"/>
            <w:vMerge w:val="restart"/>
            <w:tcBorders>
              <w:top w:val="nil"/>
              <w:left w:val="single" w:color="000000" w:sz="8" w:space="0"/>
              <w:bottom w:val="single" w:color="000000" w:sz="8" w:space="0"/>
              <w:right w:val="single" w:color="000000" w:sz="8" w:space="0"/>
            </w:tcBorders>
            <w:shd w:val="clear" w:color="auto" w:fill="auto"/>
            <w:vAlign w:val="center"/>
          </w:tcPr>
          <w:p w14:paraId="358DA8E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DA  天象景观（28）</w:t>
            </w: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7DD03F1B">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DAA太空景象观赏地</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1629BBD8">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14</w:t>
            </w:r>
          </w:p>
        </w:tc>
      </w:tr>
      <w:tr w14:paraId="66D4F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22F01AA8">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58E47E7E">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036919AA">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DAB地表光现象</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7EAFDE08">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14</w:t>
            </w:r>
          </w:p>
        </w:tc>
      </w:tr>
      <w:tr w14:paraId="17CE5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30A65A2A">
            <w:pPr>
              <w:jc w:val="center"/>
              <w:rPr>
                <w:rFonts w:hint="eastAsia" w:ascii="仿宋" w:hAnsi="仿宋" w:eastAsia="仿宋" w:cs="仿宋"/>
                <w:i w:val="0"/>
                <w:iCs w:val="0"/>
                <w:color w:val="auto"/>
                <w:sz w:val="21"/>
                <w:szCs w:val="21"/>
                <w:u w:val="none"/>
              </w:rPr>
            </w:pPr>
          </w:p>
        </w:tc>
        <w:tc>
          <w:tcPr>
            <w:tcW w:w="2071" w:type="dxa"/>
            <w:vMerge w:val="restart"/>
            <w:tcBorders>
              <w:top w:val="nil"/>
              <w:left w:val="single" w:color="000000" w:sz="8" w:space="0"/>
              <w:bottom w:val="single" w:color="000000" w:sz="8" w:space="0"/>
              <w:right w:val="single" w:color="000000" w:sz="8" w:space="0"/>
            </w:tcBorders>
            <w:shd w:val="clear" w:color="auto" w:fill="auto"/>
            <w:vAlign w:val="center"/>
          </w:tcPr>
          <w:p w14:paraId="1CCC28AF">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DB  天气与气候现象（52）</w:t>
            </w: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14EE0ED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DBA云雾多发区</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23E91A05">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10</w:t>
            </w:r>
          </w:p>
        </w:tc>
      </w:tr>
      <w:tr w14:paraId="514538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2"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4E88C4E8">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21F83E45">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4A20AEB7">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DBB极端与特殊气候显示地</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64DCA83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w:t>
            </w:r>
          </w:p>
        </w:tc>
      </w:tr>
      <w:tr w14:paraId="4E273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1" w:hRule="atLeast"/>
          <w:jc w:val="center"/>
        </w:trPr>
        <w:tc>
          <w:tcPr>
            <w:tcW w:w="2069" w:type="dxa"/>
            <w:vMerge w:val="continue"/>
            <w:tcBorders>
              <w:top w:val="nil"/>
              <w:left w:val="single" w:color="000000" w:sz="8" w:space="0"/>
              <w:bottom w:val="single" w:color="000000" w:sz="8" w:space="0"/>
              <w:right w:val="single" w:color="000000" w:sz="8" w:space="0"/>
            </w:tcBorders>
            <w:shd w:val="clear" w:color="auto" w:fill="auto"/>
            <w:vAlign w:val="center"/>
          </w:tcPr>
          <w:p w14:paraId="5B21A343">
            <w:pPr>
              <w:jc w:val="center"/>
              <w:rPr>
                <w:rFonts w:hint="eastAsia" w:ascii="仿宋" w:hAnsi="仿宋" w:eastAsia="仿宋" w:cs="仿宋"/>
                <w:i w:val="0"/>
                <w:iCs w:val="0"/>
                <w:color w:val="auto"/>
                <w:sz w:val="21"/>
                <w:szCs w:val="21"/>
                <w:u w:val="none"/>
              </w:rPr>
            </w:pPr>
          </w:p>
        </w:tc>
        <w:tc>
          <w:tcPr>
            <w:tcW w:w="2071" w:type="dxa"/>
            <w:vMerge w:val="continue"/>
            <w:tcBorders>
              <w:top w:val="nil"/>
              <w:left w:val="single" w:color="000000" w:sz="8" w:space="0"/>
              <w:bottom w:val="single" w:color="000000" w:sz="8" w:space="0"/>
              <w:right w:val="single" w:color="000000" w:sz="8" w:space="0"/>
            </w:tcBorders>
            <w:shd w:val="clear" w:color="auto" w:fill="auto"/>
            <w:vAlign w:val="center"/>
          </w:tcPr>
          <w:p w14:paraId="57AE0DFF">
            <w:pPr>
              <w:jc w:val="center"/>
              <w:rPr>
                <w:rFonts w:hint="eastAsia" w:ascii="仿宋" w:hAnsi="仿宋" w:eastAsia="仿宋" w:cs="仿宋"/>
                <w:i w:val="0"/>
                <w:iCs w:val="0"/>
                <w:color w:val="auto"/>
                <w:sz w:val="21"/>
                <w:szCs w:val="21"/>
                <w:u w:val="none"/>
              </w:rPr>
            </w:pPr>
          </w:p>
        </w:tc>
        <w:tc>
          <w:tcPr>
            <w:tcW w:w="2247" w:type="dxa"/>
            <w:tcBorders>
              <w:top w:val="nil"/>
              <w:left w:val="single" w:color="000000" w:sz="8" w:space="0"/>
              <w:bottom w:val="single" w:color="000000" w:sz="8" w:space="0"/>
              <w:right w:val="single" w:color="000000" w:sz="8" w:space="0"/>
            </w:tcBorders>
            <w:shd w:val="clear" w:color="auto" w:fill="auto"/>
            <w:vAlign w:val="center"/>
          </w:tcPr>
          <w:p w14:paraId="0A858374">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DBC物候景象</w:t>
            </w:r>
          </w:p>
        </w:tc>
        <w:tc>
          <w:tcPr>
            <w:tcW w:w="2071" w:type="dxa"/>
            <w:tcBorders>
              <w:top w:val="nil"/>
              <w:left w:val="single" w:color="000000" w:sz="8" w:space="0"/>
              <w:bottom w:val="single" w:color="000000" w:sz="8" w:space="0"/>
              <w:right w:val="single" w:color="000000" w:sz="8" w:space="0"/>
            </w:tcBorders>
            <w:shd w:val="clear" w:color="auto" w:fill="auto"/>
            <w:vAlign w:val="center"/>
          </w:tcPr>
          <w:p w14:paraId="36D06588">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41</w:t>
            </w:r>
          </w:p>
        </w:tc>
      </w:tr>
    </w:tbl>
    <w:p w14:paraId="6A05F17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9"/>
        <w:rPr>
          <w:rFonts w:hint="eastAsia" w:ascii="宋体" w:hAnsi="宋体" w:eastAsia="宋体" w:cs="宋体"/>
          <w:b/>
          <w:bCs/>
          <w:color w:val="auto"/>
          <w:sz w:val="24"/>
          <w:szCs w:val="24"/>
          <w:lang w:val="en-US" w:eastAsia="zh-CN"/>
        </w:rPr>
      </w:pPr>
    </w:p>
    <w:p w14:paraId="0BF9D0B7">
      <w:pPr>
        <w:keepNext w:val="0"/>
        <w:keepLines w:val="0"/>
        <w:pageBreakBefore w:val="0"/>
        <w:widowControl w:val="0"/>
        <w:numPr>
          <w:ilvl w:val="0"/>
          <w:numId w:val="2"/>
        </w:numPr>
        <w:kinsoku/>
        <w:wordWrap/>
        <w:overflowPunct/>
        <w:topLinePunct w:val="0"/>
        <w:autoSpaceDE/>
        <w:autoSpaceDN/>
        <w:bidi w:val="0"/>
        <w:adjustRightInd/>
        <w:snapToGrid/>
        <w:spacing w:line="360" w:lineRule="auto"/>
        <w:jc w:val="both"/>
        <w:textAlignment w:val="auto"/>
        <w:outlineLvl w:val="3"/>
        <w:rPr>
          <w:rFonts w:hint="default"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人文旅游资源分析</w:t>
      </w:r>
    </w:p>
    <w:p w14:paraId="1020D20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b w:val="0"/>
          <w:bCs w:val="0"/>
          <w:color w:val="auto"/>
          <w:sz w:val="24"/>
          <w:szCs w:val="24"/>
          <w:lang w:val="en-US" w:eastAsia="zh-CN"/>
        </w:rPr>
      </w:pPr>
      <w:r>
        <w:rPr>
          <w:rFonts w:hint="eastAsia"/>
          <w:b w:val="0"/>
          <w:bCs w:val="0"/>
          <w:color w:val="auto"/>
          <w:sz w:val="24"/>
          <w:szCs w:val="24"/>
          <w:lang w:val="en-US" w:eastAsia="zh-CN"/>
        </w:rPr>
        <w:t>全市共普查出人文旅游资源9302处，占资源总量的77.47%，分属4个主类，13亚类，70个基本类型，占人文类资源标准基本类型的95.89%。仅缺失景观牧场、养殖业产品及制品和旅游装备产品这三类基本类型。</w:t>
      </w:r>
    </w:p>
    <w:p w14:paraId="0EF1A492">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表3-4 人文类旅游资源基本类型单体数量表</w:t>
      </w:r>
    </w:p>
    <w:tbl>
      <w:tblPr>
        <w:tblStyle w:val="15"/>
        <w:tblW w:w="737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79"/>
        <w:gridCol w:w="1397"/>
        <w:gridCol w:w="2550"/>
        <w:gridCol w:w="2350"/>
      </w:tblGrid>
      <w:tr w14:paraId="212F9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jc w:val="center"/>
        </w:trPr>
        <w:tc>
          <w:tcPr>
            <w:tcW w:w="10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ED154A8">
            <w:pPr>
              <w:keepNext w:val="0"/>
              <w:keepLines w:val="0"/>
              <w:widowControl/>
              <w:suppressLineNumbers w:val="0"/>
              <w:jc w:val="center"/>
              <w:textAlignment w:val="center"/>
              <w:rPr>
                <w:rFonts w:hint="eastAsia" w:ascii="仿宋" w:hAnsi="仿宋" w:eastAsia="仿宋" w:cs="仿宋"/>
                <w:b/>
                <w:bCs/>
                <w:i w:val="0"/>
                <w:iCs w:val="0"/>
                <w:color w:val="auto"/>
                <w:kern w:val="2"/>
                <w:sz w:val="21"/>
                <w:szCs w:val="21"/>
                <w:u w:val="none"/>
                <w:lang w:val="en-US" w:eastAsia="zh-CN" w:bidi="ar-SA"/>
              </w:rPr>
            </w:pPr>
            <w:r>
              <w:rPr>
                <w:rFonts w:hint="eastAsia" w:ascii="仿宋" w:hAnsi="仿宋" w:eastAsia="仿宋" w:cs="仿宋"/>
                <w:b/>
                <w:bCs/>
                <w:i w:val="0"/>
                <w:iCs w:val="0"/>
                <w:color w:val="auto"/>
                <w:kern w:val="0"/>
                <w:sz w:val="21"/>
                <w:szCs w:val="21"/>
                <w:u w:val="none"/>
                <w:lang w:val="en-US" w:eastAsia="zh-CN" w:bidi="ar"/>
              </w:rPr>
              <w:t>主类</w:t>
            </w:r>
          </w:p>
        </w:tc>
        <w:tc>
          <w:tcPr>
            <w:tcW w:w="139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9EDCD74">
            <w:pPr>
              <w:keepNext w:val="0"/>
              <w:keepLines w:val="0"/>
              <w:widowControl/>
              <w:suppressLineNumbers w:val="0"/>
              <w:jc w:val="center"/>
              <w:textAlignment w:val="center"/>
              <w:rPr>
                <w:rFonts w:hint="eastAsia" w:ascii="仿宋" w:hAnsi="仿宋" w:eastAsia="仿宋" w:cs="仿宋"/>
                <w:b/>
                <w:bCs/>
                <w:i w:val="0"/>
                <w:iCs w:val="0"/>
                <w:color w:val="auto"/>
                <w:kern w:val="2"/>
                <w:sz w:val="21"/>
                <w:szCs w:val="21"/>
                <w:u w:val="none"/>
                <w:lang w:val="en-US" w:eastAsia="zh-CN" w:bidi="ar-SA"/>
              </w:rPr>
            </w:pPr>
            <w:r>
              <w:rPr>
                <w:rFonts w:hint="eastAsia" w:ascii="仿宋" w:hAnsi="仿宋" w:eastAsia="仿宋" w:cs="仿宋"/>
                <w:b/>
                <w:bCs/>
                <w:i w:val="0"/>
                <w:iCs w:val="0"/>
                <w:color w:val="auto"/>
                <w:kern w:val="0"/>
                <w:sz w:val="21"/>
                <w:szCs w:val="21"/>
                <w:u w:val="none"/>
                <w:lang w:val="en-US" w:eastAsia="zh-CN" w:bidi="ar"/>
              </w:rPr>
              <w:t>亚类</w:t>
            </w:r>
          </w:p>
        </w:tc>
        <w:tc>
          <w:tcPr>
            <w:tcW w:w="255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6FBDE31">
            <w:pPr>
              <w:keepNext w:val="0"/>
              <w:keepLines w:val="0"/>
              <w:widowControl/>
              <w:suppressLineNumbers w:val="0"/>
              <w:jc w:val="center"/>
              <w:textAlignment w:val="center"/>
              <w:rPr>
                <w:rFonts w:hint="eastAsia" w:ascii="仿宋" w:hAnsi="仿宋" w:eastAsia="仿宋" w:cs="仿宋"/>
                <w:b/>
                <w:bCs/>
                <w:i w:val="0"/>
                <w:iCs w:val="0"/>
                <w:color w:val="auto"/>
                <w:kern w:val="2"/>
                <w:sz w:val="21"/>
                <w:szCs w:val="21"/>
                <w:u w:val="none"/>
                <w:lang w:val="en-US" w:eastAsia="zh-CN" w:bidi="ar-SA"/>
              </w:rPr>
            </w:pPr>
            <w:r>
              <w:rPr>
                <w:rFonts w:hint="eastAsia" w:ascii="仿宋" w:hAnsi="仿宋" w:eastAsia="仿宋" w:cs="仿宋"/>
                <w:b/>
                <w:bCs/>
                <w:i w:val="0"/>
                <w:iCs w:val="0"/>
                <w:color w:val="auto"/>
                <w:kern w:val="0"/>
                <w:sz w:val="21"/>
                <w:szCs w:val="21"/>
                <w:u w:val="none"/>
                <w:lang w:val="en-US" w:eastAsia="zh-CN" w:bidi="ar"/>
              </w:rPr>
              <w:t>基本类型</w:t>
            </w:r>
          </w:p>
        </w:tc>
        <w:tc>
          <w:tcPr>
            <w:tcW w:w="235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C7A3732">
            <w:pPr>
              <w:keepNext w:val="0"/>
              <w:keepLines w:val="0"/>
              <w:widowControl/>
              <w:suppressLineNumbers w:val="0"/>
              <w:jc w:val="center"/>
              <w:textAlignment w:val="center"/>
              <w:rPr>
                <w:rFonts w:hint="eastAsia" w:ascii="仿宋" w:hAnsi="仿宋" w:eastAsia="仿宋" w:cs="仿宋"/>
                <w:b/>
                <w:bCs/>
                <w:i w:val="0"/>
                <w:iCs w:val="0"/>
                <w:color w:val="auto"/>
                <w:kern w:val="2"/>
                <w:sz w:val="21"/>
                <w:szCs w:val="21"/>
                <w:u w:val="none"/>
                <w:lang w:val="en-US" w:eastAsia="zh-CN" w:bidi="ar-SA"/>
              </w:rPr>
            </w:pPr>
            <w:r>
              <w:rPr>
                <w:rFonts w:hint="eastAsia" w:ascii="仿宋" w:hAnsi="仿宋" w:eastAsia="仿宋" w:cs="仿宋"/>
                <w:b/>
                <w:bCs/>
                <w:i w:val="0"/>
                <w:iCs w:val="0"/>
                <w:color w:val="auto"/>
                <w:kern w:val="0"/>
                <w:sz w:val="21"/>
                <w:szCs w:val="21"/>
                <w:u w:val="none"/>
                <w:lang w:val="en-US" w:eastAsia="zh-CN" w:bidi="ar"/>
              </w:rPr>
              <w:t>数量</w:t>
            </w:r>
          </w:p>
        </w:tc>
      </w:tr>
      <w:tr w14:paraId="3E996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8B2ED2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  建筑与设施（6265）</w:t>
            </w:r>
          </w:p>
        </w:tc>
        <w:tc>
          <w:tcPr>
            <w:tcW w:w="13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37C7D06">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EA  人文景观综合体（2549）</w:t>
            </w:r>
          </w:p>
        </w:tc>
        <w:tc>
          <w:tcPr>
            <w:tcW w:w="255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CFC359F">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EAA社会与商贸活动场所</w:t>
            </w:r>
          </w:p>
        </w:tc>
        <w:tc>
          <w:tcPr>
            <w:tcW w:w="235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3CDC47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66</w:t>
            </w:r>
          </w:p>
        </w:tc>
      </w:tr>
      <w:tr w14:paraId="17C7A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380ACA6F">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3529B9DF">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04E8872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EAB军事遗址与古战场</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3C87D1C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34</w:t>
            </w:r>
          </w:p>
        </w:tc>
      </w:tr>
      <w:tr w14:paraId="10D8C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50B64864">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541F1470">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7674DBFB">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EAC教学科研实验场所</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087BFD6B">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35</w:t>
            </w:r>
          </w:p>
        </w:tc>
      </w:tr>
      <w:tr w14:paraId="7E5EB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7AD3F30D">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1BA8CB75">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307541CB">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EAD建设工程与生产地</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1B86B464">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101</w:t>
            </w:r>
          </w:p>
        </w:tc>
      </w:tr>
      <w:tr w14:paraId="3B478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4874ED04">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502044AA">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071A649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EAE文化活动场所</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6F4E13E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819</w:t>
            </w:r>
          </w:p>
        </w:tc>
      </w:tr>
      <w:tr w14:paraId="32C5C3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049CA570">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55D46C28">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5A77E35B">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EAF康体游乐休闲度假地</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2C7D959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665</w:t>
            </w:r>
          </w:p>
        </w:tc>
      </w:tr>
      <w:tr w14:paraId="64835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16704666">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2D8CB105">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52CCC207">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EAG宗教与祭祀活动场所</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190FE15F">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473</w:t>
            </w:r>
          </w:p>
        </w:tc>
      </w:tr>
      <w:tr w14:paraId="6CB94C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6A9C8E91">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04ADEDBA">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7E238F5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EAH交通运输场站</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1FCCE5D7">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70</w:t>
            </w:r>
          </w:p>
        </w:tc>
      </w:tr>
      <w:tr w14:paraId="541D2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2B181733">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333303C9">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06E2748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EAI纪念地与纪念活动场所</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58B502E4">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286</w:t>
            </w:r>
          </w:p>
        </w:tc>
      </w:tr>
      <w:tr w14:paraId="406ED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23A49320">
            <w:pPr>
              <w:jc w:val="center"/>
              <w:rPr>
                <w:rFonts w:hint="eastAsia" w:ascii="仿宋" w:hAnsi="仿宋" w:eastAsia="仿宋" w:cs="仿宋"/>
                <w:i w:val="0"/>
                <w:iCs w:val="0"/>
                <w:color w:val="auto"/>
                <w:sz w:val="21"/>
                <w:szCs w:val="21"/>
                <w:u w:val="none"/>
              </w:rPr>
            </w:pPr>
          </w:p>
        </w:tc>
        <w:tc>
          <w:tcPr>
            <w:tcW w:w="1397" w:type="dxa"/>
            <w:vMerge w:val="restart"/>
            <w:tcBorders>
              <w:top w:val="nil"/>
              <w:left w:val="single" w:color="000000" w:sz="8" w:space="0"/>
              <w:bottom w:val="single" w:color="000000" w:sz="8" w:space="0"/>
              <w:right w:val="single" w:color="000000" w:sz="8" w:space="0"/>
            </w:tcBorders>
            <w:shd w:val="clear" w:color="auto" w:fill="auto"/>
            <w:vAlign w:val="center"/>
          </w:tcPr>
          <w:p w14:paraId="7A2910CB">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EB  实用建筑与核心设施（2052）</w:t>
            </w: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0C53E34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EBA特色街区</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3286C448">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88</w:t>
            </w:r>
          </w:p>
        </w:tc>
      </w:tr>
      <w:tr w14:paraId="2D461D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1B3E5B1D">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364BC6E3">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78B9890A">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EBB特性屋舍</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1E36DC9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250</w:t>
            </w:r>
          </w:p>
        </w:tc>
      </w:tr>
      <w:tr w14:paraId="5BA28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4C6B4C2E">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056FA619">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22E0B51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EBC独立厅、室、馆</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4A67E2D3">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459</w:t>
            </w:r>
          </w:p>
        </w:tc>
      </w:tr>
      <w:tr w14:paraId="1B07E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0F83E52A">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1CC20AE5">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7E711A96">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EBD独立场、所</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30739C4E">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322</w:t>
            </w:r>
          </w:p>
        </w:tc>
      </w:tr>
      <w:tr w14:paraId="60928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157BA060">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0A3AC50D">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1DFFAB3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EBE桥梁</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00F3602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155</w:t>
            </w:r>
          </w:p>
        </w:tc>
      </w:tr>
      <w:tr w14:paraId="256CA3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20D3A09D">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3B03BD6A">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4F161177">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EBF渠道、运河段落</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760CB28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28</w:t>
            </w:r>
          </w:p>
        </w:tc>
      </w:tr>
      <w:tr w14:paraId="4C9E2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2BEE4D34">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3BC0A773">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6B648E1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EBG堤坝段落</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7799F697">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44</w:t>
            </w:r>
          </w:p>
        </w:tc>
      </w:tr>
      <w:tr w14:paraId="090F1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09567324">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2BB99C7E">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2898B38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EBH港口、渡口与码头</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62C326C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12</w:t>
            </w:r>
          </w:p>
        </w:tc>
      </w:tr>
      <w:tr w14:paraId="06F4D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66C643F1">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7EFD5B15">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6A5D70D5">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EBI洞窟</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4739605A">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55</w:t>
            </w:r>
          </w:p>
        </w:tc>
      </w:tr>
      <w:tr w14:paraId="1A62BA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68CC51C1">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06237E5B">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24E8B55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EBJ陵墓</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273836F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154</w:t>
            </w:r>
          </w:p>
        </w:tc>
      </w:tr>
      <w:tr w14:paraId="4225F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424711DA">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7ACA5CB8">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37DB98D3">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EBK景观农田</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6BC98DF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66</w:t>
            </w:r>
          </w:p>
        </w:tc>
      </w:tr>
      <w:tr w14:paraId="590CE4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193FD2AF">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60E03197">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06EB89A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EBL景观牧场</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576B19AF">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0</w:t>
            </w:r>
          </w:p>
        </w:tc>
      </w:tr>
      <w:tr w14:paraId="4CF91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3DF39478">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5F9DBC84">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2B6BA9E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EBM景观林场</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65FF7D80">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15</w:t>
            </w:r>
          </w:p>
        </w:tc>
      </w:tr>
      <w:tr w14:paraId="213048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5D01F60D">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5C4BC28E">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58BAE6CB">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EBN景观养殖场</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2A4B3AA8">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w:t>
            </w:r>
          </w:p>
        </w:tc>
      </w:tr>
      <w:tr w14:paraId="3A541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5823C853">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1276C6A9">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2109DC4F">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EBO特色店铺</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55DAB14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387</w:t>
            </w:r>
          </w:p>
        </w:tc>
      </w:tr>
      <w:tr w14:paraId="6AE52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1ADD3DF6">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2400B85E">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5D4121AB">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EBP特色市场</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1285E38A">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15</w:t>
            </w:r>
          </w:p>
        </w:tc>
      </w:tr>
      <w:tr w14:paraId="49707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3F56B939">
            <w:pPr>
              <w:jc w:val="center"/>
              <w:rPr>
                <w:rFonts w:hint="eastAsia" w:ascii="仿宋" w:hAnsi="仿宋" w:eastAsia="仿宋" w:cs="仿宋"/>
                <w:i w:val="0"/>
                <w:iCs w:val="0"/>
                <w:color w:val="auto"/>
                <w:sz w:val="21"/>
                <w:szCs w:val="21"/>
                <w:u w:val="none"/>
              </w:rPr>
            </w:pPr>
          </w:p>
        </w:tc>
        <w:tc>
          <w:tcPr>
            <w:tcW w:w="1397" w:type="dxa"/>
            <w:vMerge w:val="restart"/>
            <w:tcBorders>
              <w:top w:val="nil"/>
              <w:left w:val="single" w:color="000000" w:sz="8" w:space="0"/>
              <w:bottom w:val="single" w:color="000000" w:sz="8" w:space="0"/>
              <w:right w:val="single" w:color="000000" w:sz="8" w:space="0"/>
            </w:tcBorders>
            <w:shd w:val="clear" w:color="auto" w:fill="auto"/>
            <w:vAlign w:val="center"/>
          </w:tcPr>
          <w:p w14:paraId="2D6C6350">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EC  景观与小品建筑（1664）</w:t>
            </w: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39E0C90E">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ECA形象标志物</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48B94244">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67</w:t>
            </w:r>
          </w:p>
        </w:tc>
      </w:tr>
      <w:tr w14:paraId="14695D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66532EB9">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1DED9BB5">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7868065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ECB观景点</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2381D76E">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90</w:t>
            </w:r>
          </w:p>
        </w:tc>
      </w:tr>
      <w:tr w14:paraId="26786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518F840A">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50107A44">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346FB34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ECC亭、台、楼、阁</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026AEB5A">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208</w:t>
            </w:r>
          </w:p>
        </w:tc>
      </w:tr>
      <w:tr w14:paraId="60488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5035920B">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0458A62D">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246CF2E7">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ECD书画作</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7EC596A3">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63</w:t>
            </w:r>
          </w:p>
        </w:tc>
      </w:tr>
      <w:tr w14:paraId="572B4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0C847AC6">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20E32FBC">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331F7645">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ECE雕塑</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415D8D8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350</w:t>
            </w:r>
          </w:p>
        </w:tc>
      </w:tr>
      <w:tr w14:paraId="0ACAC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371B98B5">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6381E57B">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2C8C0D9A">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ECF碑碣、碑林、经幢</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12941E73">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390</w:t>
            </w:r>
          </w:p>
        </w:tc>
      </w:tr>
      <w:tr w14:paraId="04836B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42C7A0CA">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62F39A05">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6C8D2A0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ECG牌坊牌楼、影壁</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5BB7222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93</w:t>
            </w:r>
          </w:p>
        </w:tc>
      </w:tr>
      <w:tr w14:paraId="103B6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58024B17">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22B74F9C">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13F19EE4">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ECH门廓、廊道</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1DBF7F7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91</w:t>
            </w:r>
          </w:p>
        </w:tc>
      </w:tr>
      <w:tr w14:paraId="5FD8A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38325662">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60F2DE64">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74888598">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ECI塔形建筑</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7776F0A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37</w:t>
            </w:r>
          </w:p>
        </w:tc>
      </w:tr>
      <w:tr w14:paraId="7BB6C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2029DE6E">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0128C2BA">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30AC35B0">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ECJ景观步道、甬路</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1F84D74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149</w:t>
            </w:r>
          </w:p>
        </w:tc>
      </w:tr>
      <w:tr w14:paraId="66F180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4986B2E8">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08BED0DF">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24CE61B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ECK花草坪</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2948FBEE">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25</w:t>
            </w:r>
          </w:p>
        </w:tc>
      </w:tr>
      <w:tr w14:paraId="3C724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1268DA60">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47AB53FA">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6575EF4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ECL水井</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2AF6803E">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31</w:t>
            </w:r>
          </w:p>
        </w:tc>
      </w:tr>
      <w:tr w14:paraId="7C5CF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56DC666A">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69A5F6FA">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748C07A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ECM喷泉</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65EE2EB7">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17</w:t>
            </w:r>
          </w:p>
        </w:tc>
      </w:tr>
      <w:tr w14:paraId="2BC18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6462BBFD">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405EA37B">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5428E027">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ECN堆石</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1BA18638">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53</w:t>
            </w:r>
          </w:p>
        </w:tc>
      </w:tr>
      <w:tr w14:paraId="00AD3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restart"/>
            <w:tcBorders>
              <w:top w:val="nil"/>
              <w:left w:val="single" w:color="000000" w:sz="8" w:space="0"/>
              <w:bottom w:val="single" w:color="000000" w:sz="8" w:space="0"/>
              <w:right w:val="single" w:color="000000" w:sz="8" w:space="0"/>
            </w:tcBorders>
            <w:shd w:val="clear" w:color="auto" w:fill="auto"/>
            <w:vAlign w:val="center"/>
          </w:tcPr>
          <w:p w14:paraId="6445031B">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F  历史遗迹（1463）</w:t>
            </w:r>
          </w:p>
        </w:tc>
        <w:tc>
          <w:tcPr>
            <w:tcW w:w="1397" w:type="dxa"/>
            <w:vMerge w:val="restart"/>
            <w:tcBorders>
              <w:top w:val="nil"/>
              <w:left w:val="single" w:color="000000" w:sz="8" w:space="0"/>
              <w:bottom w:val="single" w:color="000000" w:sz="8" w:space="0"/>
              <w:right w:val="single" w:color="000000" w:sz="8" w:space="0"/>
            </w:tcBorders>
            <w:shd w:val="clear" w:color="auto" w:fill="auto"/>
            <w:vAlign w:val="center"/>
          </w:tcPr>
          <w:p w14:paraId="20886DC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FA  物质类文化遗存（823）</w:t>
            </w: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26E7119A">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FAA建筑遗迹</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505A8A08">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462</w:t>
            </w:r>
          </w:p>
        </w:tc>
      </w:tr>
      <w:tr w14:paraId="32DA43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15D96D3D">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2B81207C">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1749FEC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FAB可移动文物</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36E9C180">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327</w:t>
            </w:r>
          </w:p>
        </w:tc>
      </w:tr>
      <w:tr w14:paraId="5A8B2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4588CC37">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2FF7230A">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11138E65">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FAC早期文明遗存</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19EC4E10">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34</w:t>
            </w:r>
          </w:p>
        </w:tc>
      </w:tr>
      <w:tr w14:paraId="06B87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31ADBF97">
            <w:pPr>
              <w:jc w:val="center"/>
              <w:rPr>
                <w:rFonts w:hint="eastAsia" w:ascii="仿宋" w:hAnsi="仿宋" w:eastAsia="仿宋" w:cs="仿宋"/>
                <w:i w:val="0"/>
                <w:iCs w:val="0"/>
                <w:color w:val="auto"/>
                <w:sz w:val="21"/>
                <w:szCs w:val="21"/>
                <w:u w:val="none"/>
              </w:rPr>
            </w:pPr>
          </w:p>
        </w:tc>
        <w:tc>
          <w:tcPr>
            <w:tcW w:w="1397" w:type="dxa"/>
            <w:vMerge w:val="restart"/>
            <w:tcBorders>
              <w:top w:val="nil"/>
              <w:left w:val="single" w:color="000000" w:sz="8" w:space="0"/>
              <w:bottom w:val="single" w:color="000000" w:sz="8" w:space="0"/>
              <w:right w:val="single" w:color="000000" w:sz="8" w:space="0"/>
            </w:tcBorders>
            <w:shd w:val="clear" w:color="auto" w:fill="auto"/>
            <w:vAlign w:val="center"/>
          </w:tcPr>
          <w:p w14:paraId="05C8AA05">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FB  非物质类文化遗存（640）</w:t>
            </w: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0EA734D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FBA民间文学艺术</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1AA0A377">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313</w:t>
            </w:r>
          </w:p>
        </w:tc>
      </w:tr>
      <w:tr w14:paraId="3BD860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6ECDE73A">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364DCEEF">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686537FE">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FBB地方习俗</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3B18C62E">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9</w:t>
            </w:r>
          </w:p>
        </w:tc>
      </w:tr>
      <w:tr w14:paraId="4B1F8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55983280">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377A0BF9">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017C69B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FBC传统服饰装饰</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7FCBF3C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w:t>
            </w:r>
          </w:p>
        </w:tc>
      </w:tr>
      <w:tr w14:paraId="3705E8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1E847F2F">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15BEC771">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39E86B7B">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FBD传统演艺</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1F75FBB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173</w:t>
            </w:r>
          </w:p>
        </w:tc>
      </w:tr>
      <w:tr w14:paraId="5CA9D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30666B41">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5D190E30">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476F363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FBE传统医药</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7C2E96F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71</w:t>
            </w:r>
          </w:p>
        </w:tc>
      </w:tr>
      <w:tr w14:paraId="7166B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0CF1293C">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122CEFBB">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0BAFDE84">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FBF传统体育赛事</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7058B5D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14</w:t>
            </w:r>
          </w:p>
        </w:tc>
      </w:tr>
      <w:tr w14:paraId="21F42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1B93D009">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5E58FEDA">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5D0D265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FBG传统武术</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72DB0A7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58</w:t>
            </w:r>
          </w:p>
        </w:tc>
      </w:tr>
      <w:tr w14:paraId="1A328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restart"/>
            <w:tcBorders>
              <w:top w:val="nil"/>
              <w:left w:val="single" w:color="000000" w:sz="8" w:space="0"/>
              <w:bottom w:val="single" w:color="000000" w:sz="8" w:space="0"/>
              <w:right w:val="single" w:color="000000" w:sz="8" w:space="0"/>
            </w:tcBorders>
            <w:shd w:val="clear" w:color="auto" w:fill="auto"/>
            <w:vAlign w:val="center"/>
          </w:tcPr>
          <w:p w14:paraId="1DF82D04">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  旅游购品（824）</w:t>
            </w:r>
          </w:p>
        </w:tc>
        <w:tc>
          <w:tcPr>
            <w:tcW w:w="1397" w:type="dxa"/>
            <w:vMerge w:val="restart"/>
            <w:tcBorders>
              <w:top w:val="nil"/>
              <w:left w:val="single" w:color="000000" w:sz="8" w:space="0"/>
              <w:bottom w:val="single" w:color="000000" w:sz="8" w:space="0"/>
              <w:right w:val="single" w:color="000000" w:sz="8" w:space="0"/>
            </w:tcBorders>
            <w:shd w:val="clear" w:color="auto" w:fill="auto"/>
            <w:vAlign w:val="center"/>
          </w:tcPr>
          <w:p w14:paraId="2189152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GA  农业产品（180）</w:t>
            </w: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1B8D8748">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GAA种植业产品及制品</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38C6E515">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162</w:t>
            </w:r>
          </w:p>
        </w:tc>
      </w:tr>
      <w:tr w14:paraId="186190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2C8ABA8B">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06816AD7">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2C258E5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GAB林业产品与制品</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15A15DDB">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13</w:t>
            </w:r>
          </w:p>
        </w:tc>
      </w:tr>
      <w:tr w14:paraId="491667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52E5D442">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20F96568">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7E7D0DB8">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GAC畜牧业产品与制品</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767B4AC4">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w:t>
            </w:r>
          </w:p>
        </w:tc>
      </w:tr>
      <w:tr w14:paraId="617A3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29C58E65">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1E597D0D">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407EDD97">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GAD水产品及制品</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3B18722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w:t>
            </w:r>
          </w:p>
        </w:tc>
      </w:tr>
      <w:tr w14:paraId="417EF0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7B601CDC">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7D5FF976">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4E5BA9FF">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GAE养殖业产品及制品</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20C2CD3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0</w:t>
            </w:r>
          </w:p>
        </w:tc>
      </w:tr>
      <w:tr w14:paraId="23F5C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2F630525">
            <w:pPr>
              <w:jc w:val="center"/>
              <w:rPr>
                <w:rFonts w:hint="eastAsia" w:ascii="仿宋" w:hAnsi="仿宋" w:eastAsia="仿宋" w:cs="仿宋"/>
                <w:i w:val="0"/>
                <w:iCs w:val="0"/>
                <w:color w:val="auto"/>
                <w:sz w:val="21"/>
                <w:szCs w:val="21"/>
                <w:u w:val="none"/>
              </w:rPr>
            </w:pPr>
          </w:p>
        </w:tc>
        <w:tc>
          <w:tcPr>
            <w:tcW w:w="1397" w:type="dxa"/>
            <w:vMerge w:val="restart"/>
            <w:tcBorders>
              <w:top w:val="nil"/>
              <w:left w:val="single" w:color="000000" w:sz="8" w:space="0"/>
              <w:bottom w:val="single" w:color="000000" w:sz="8" w:space="0"/>
              <w:right w:val="single" w:color="000000" w:sz="8" w:space="0"/>
            </w:tcBorders>
            <w:shd w:val="clear" w:color="auto" w:fill="auto"/>
            <w:vAlign w:val="center"/>
          </w:tcPr>
          <w:p w14:paraId="0FAABA74">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GB  工业产品（23）</w:t>
            </w: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28ABF9F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GBA日用工业品</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33953517">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23</w:t>
            </w:r>
          </w:p>
        </w:tc>
      </w:tr>
      <w:tr w14:paraId="1221C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29745FD0">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24E88E8E">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53F60E3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GBB旅游装备产品</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09D84D9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0</w:t>
            </w:r>
          </w:p>
        </w:tc>
      </w:tr>
      <w:tr w14:paraId="6B292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18651C7C">
            <w:pPr>
              <w:jc w:val="center"/>
              <w:rPr>
                <w:rFonts w:hint="eastAsia" w:ascii="仿宋" w:hAnsi="仿宋" w:eastAsia="仿宋" w:cs="仿宋"/>
                <w:i w:val="0"/>
                <w:iCs w:val="0"/>
                <w:color w:val="auto"/>
                <w:sz w:val="21"/>
                <w:szCs w:val="21"/>
                <w:u w:val="none"/>
              </w:rPr>
            </w:pPr>
          </w:p>
        </w:tc>
        <w:tc>
          <w:tcPr>
            <w:tcW w:w="1397" w:type="dxa"/>
            <w:vMerge w:val="restart"/>
            <w:tcBorders>
              <w:top w:val="nil"/>
              <w:left w:val="single" w:color="000000" w:sz="8" w:space="0"/>
              <w:bottom w:val="single" w:color="000000" w:sz="8" w:space="0"/>
              <w:right w:val="single" w:color="000000" w:sz="8" w:space="0"/>
            </w:tcBorders>
            <w:shd w:val="clear" w:color="auto" w:fill="auto"/>
            <w:vAlign w:val="center"/>
          </w:tcPr>
          <w:p w14:paraId="255AD21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GC  手工工艺品（170）</w:t>
            </w: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34658AD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GCA文房用品</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514E0D35">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w:t>
            </w:r>
          </w:p>
        </w:tc>
      </w:tr>
      <w:tr w14:paraId="2A0E4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67D532C7">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06C2F67D">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57997CA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GCB织品、染织</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3546F76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12</w:t>
            </w:r>
          </w:p>
        </w:tc>
      </w:tr>
      <w:tr w14:paraId="4D2A6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4AD959DB">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1D332FD3">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024163BE">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GCC家具</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19019B5F">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5</w:t>
            </w:r>
          </w:p>
        </w:tc>
      </w:tr>
      <w:tr w14:paraId="72B4D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39EB2D24">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3F646BA9">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779E2A60">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GCD陶瓷</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63BF00B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80</w:t>
            </w:r>
          </w:p>
        </w:tc>
      </w:tr>
      <w:tr w14:paraId="3E958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3C7A27A3">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75ED123F">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1BDEABE8">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GCE金石雕刻、雕塑制品</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4965076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39</w:t>
            </w:r>
          </w:p>
        </w:tc>
      </w:tr>
      <w:tr w14:paraId="09934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136D8F95">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4F3C6561">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628F7354">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GCF金石器</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685CE2C3">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5</w:t>
            </w:r>
          </w:p>
        </w:tc>
      </w:tr>
      <w:tr w14:paraId="4B762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22795360">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05708A1C">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690D0EFE">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GCG纸艺与灯艺</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32C12B1A">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14</w:t>
            </w:r>
          </w:p>
        </w:tc>
      </w:tr>
      <w:tr w14:paraId="39D8BA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72C7BB02">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1C7AFDBF">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50BA0878">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GCH画作</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0DFE214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12</w:t>
            </w:r>
          </w:p>
        </w:tc>
      </w:tr>
      <w:tr w14:paraId="25A673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5C05E626">
            <w:pPr>
              <w:jc w:val="center"/>
              <w:rPr>
                <w:rFonts w:hint="eastAsia" w:ascii="仿宋" w:hAnsi="仿宋" w:eastAsia="仿宋" w:cs="仿宋"/>
                <w:i w:val="0"/>
                <w:iCs w:val="0"/>
                <w:color w:val="auto"/>
                <w:sz w:val="21"/>
                <w:szCs w:val="21"/>
                <w:u w:val="none"/>
              </w:rPr>
            </w:pPr>
          </w:p>
        </w:tc>
        <w:tc>
          <w:tcPr>
            <w:tcW w:w="1397" w:type="dxa"/>
            <w:tcBorders>
              <w:top w:val="nil"/>
              <w:left w:val="single" w:color="000000" w:sz="8" w:space="0"/>
              <w:bottom w:val="single" w:color="000000" w:sz="8" w:space="0"/>
              <w:right w:val="single" w:color="000000" w:sz="8" w:space="0"/>
            </w:tcBorders>
            <w:shd w:val="clear" w:color="auto" w:fill="auto"/>
            <w:vAlign w:val="center"/>
          </w:tcPr>
          <w:p w14:paraId="7C069F5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GD  文创产品（58）</w:t>
            </w: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593BAFFE">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GDA文化IP及衍生类文创产品</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734B8925">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58</w:t>
            </w:r>
          </w:p>
        </w:tc>
      </w:tr>
      <w:tr w14:paraId="57D23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1246DDC4">
            <w:pPr>
              <w:jc w:val="center"/>
              <w:rPr>
                <w:rFonts w:hint="eastAsia" w:ascii="仿宋" w:hAnsi="仿宋" w:eastAsia="仿宋" w:cs="仿宋"/>
                <w:i w:val="0"/>
                <w:iCs w:val="0"/>
                <w:color w:val="auto"/>
                <w:sz w:val="21"/>
                <w:szCs w:val="21"/>
                <w:u w:val="none"/>
              </w:rPr>
            </w:pPr>
          </w:p>
        </w:tc>
        <w:tc>
          <w:tcPr>
            <w:tcW w:w="1397" w:type="dxa"/>
            <w:vMerge w:val="restart"/>
            <w:tcBorders>
              <w:top w:val="nil"/>
              <w:left w:val="single" w:color="000000" w:sz="8" w:space="0"/>
              <w:bottom w:val="single" w:color="000000" w:sz="8" w:space="0"/>
              <w:right w:val="single" w:color="000000" w:sz="8" w:space="0"/>
            </w:tcBorders>
            <w:shd w:val="clear" w:color="auto" w:fill="auto"/>
            <w:vAlign w:val="center"/>
          </w:tcPr>
          <w:p w14:paraId="5316D14F">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GE  特色</w:t>
            </w:r>
            <w:r>
              <w:rPr>
                <w:rStyle w:val="22"/>
                <w:rFonts w:hint="eastAsia" w:ascii="仿宋" w:hAnsi="仿宋" w:eastAsia="仿宋" w:cs="仿宋"/>
                <w:color w:val="auto"/>
                <w:sz w:val="21"/>
                <w:szCs w:val="21"/>
                <w:lang w:val="en-US" w:eastAsia="zh-CN" w:bidi="ar"/>
              </w:rPr>
              <w:t>饮食（393）</w:t>
            </w: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53478A96">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GEA特色美食</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15854145">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317</w:t>
            </w:r>
          </w:p>
        </w:tc>
      </w:tr>
      <w:tr w14:paraId="042D0B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6713CD38">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5D77B568">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1D702FC0">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GEB特色饮品</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3DADEBBA">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76</w:t>
            </w:r>
          </w:p>
        </w:tc>
      </w:tr>
      <w:tr w14:paraId="2C509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restart"/>
            <w:tcBorders>
              <w:top w:val="nil"/>
              <w:left w:val="single" w:color="000000" w:sz="8" w:space="0"/>
              <w:bottom w:val="single" w:color="000000" w:sz="8" w:space="0"/>
              <w:right w:val="single" w:color="000000" w:sz="8" w:space="0"/>
            </w:tcBorders>
            <w:shd w:val="clear" w:color="auto" w:fill="auto"/>
            <w:vAlign w:val="center"/>
          </w:tcPr>
          <w:p w14:paraId="0580FFA4">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H  人文活动（750）</w:t>
            </w:r>
          </w:p>
        </w:tc>
        <w:tc>
          <w:tcPr>
            <w:tcW w:w="1397" w:type="dxa"/>
            <w:vMerge w:val="restart"/>
            <w:tcBorders>
              <w:top w:val="nil"/>
              <w:left w:val="single" w:color="000000" w:sz="8" w:space="0"/>
              <w:bottom w:val="single" w:color="000000" w:sz="8" w:space="0"/>
              <w:right w:val="single" w:color="000000" w:sz="8" w:space="0"/>
            </w:tcBorders>
            <w:shd w:val="clear" w:color="auto" w:fill="auto"/>
            <w:vAlign w:val="center"/>
          </w:tcPr>
          <w:p w14:paraId="02B9C923">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HA  人事活动记录（564）</w:t>
            </w: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37FB48A8">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HAA地方人物</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23F7CAA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536</w:t>
            </w:r>
          </w:p>
        </w:tc>
      </w:tr>
      <w:tr w14:paraId="11E08B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3FBDB604">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3EBA9D5F">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649B782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HAB地方事件</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06B039D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28</w:t>
            </w:r>
          </w:p>
        </w:tc>
      </w:tr>
      <w:tr w14:paraId="0C4ED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5A946049">
            <w:pPr>
              <w:jc w:val="center"/>
              <w:rPr>
                <w:rFonts w:hint="eastAsia" w:ascii="仿宋" w:hAnsi="仿宋" w:eastAsia="仿宋" w:cs="仿宋"/>
                <w:i w:val="0"/>
                <w:iCs w:val="0"/>
                <w:color w:val="auto"/>
                <w:sz w:val="21"/>
                <w:szCs w:val="21"/>
                <w:u w:val="none"/>
              </w:rPr>
            </w:pPr>
          </w:p>
        </w:tc>
        <w:tc>
          <w:tcPr>
            <w:tcW w:w="1397" w:type="dxa"/>
            <w:vMerge w:val="restart"/>
            <w:tcBorders>
              <w:top w:val="nil"/>
              <w:left w:val="single" w:color="000000" w:sz="8" w:space="0"/>
              <w:bottom w:val="single" w:color="000000" w:sz="8" w:space="0"/>
              <w:right w:val="single" w:color="000000" w:sz="8" w:space="0"/>
            </w:tcBorders>
            <w:shd w:val="clear" w:color="auto" w:fill="auto"/>
            <w:vAlign w:val="center"/>
          </w:tcPr>
          <w:p w14:paraId="1029EB7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HB  岁时节令（144）</w:t>
            </w: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691CB788">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HBA宗教活动与庙会</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7EEADB9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23</w:t>
            </w:r>
          </w:p>
        </w:tc>
      </w:tr>
      <w:tr w14:paraId="1A2EA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3BB78E93">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7A5BAFAB">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0C09AAC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HBB农时节日</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33B69B6E">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13</w:t>
            </w:r>
          </w:p>
        </w:tc>
      </w:tr>
      <w:tr w14:paraId="4E6F7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6D72E719">
            <w:pPr>
              <w:jc w:val="center"/>
              <w:rPr>
                <w:rFonts w:hint="eastAsia" w:ascii="仿宋" w:hAnsi="仿宋" w:eastAsia="仿宋" w:cs="仿宋"/>
                <w:i w:val="0"/>
                <w:iCs w:val="0"/>
                <w:color w:val="auto"/>
                <w:sz w:val="21"/>
                <w:szCs w:val="21"/>
                <w:u w:val="none"/>
              </w:rPr>
            </w:pPr>
          </w:p>
        </w:tc>
        <w:tc>
          <w:tcPr>
            <w:tcW w:w="1397" w:type="dxa"/>
            <w:vMerge w:val="continue"/>
            <w:tcBorders>
              <w:top w:val="nil"/>
              <w:left w:val="single" w:color="000000" w:sz="8" w:space="0"/>
              <w:bottom w:val="single" w:color="000000" w:sz="8" w:space="0"/>
              <w:right w:val="single" w:color="000000" w:sz="8" w:space="0"/>
            </w:tcBorders>
            <w:shd w:val="clear" w:color="auto" w:fill="auto"/>
            <w:vAlign w:val="center"/>
          </w:tcPr>
          <w:p w14:paraId="4166D892">
            <w:pPr>
              <w:jc w:val="center"/>
              <w:rPr>
                <w:rFonts w:hint="eastAsia" w:ascii="仿宋" w:hAnsi="仿宋" w:eastAsia="仿宋" w:cs="仿宋"/>
                <w:i w:val="0"/>
                <w:iCs w:val="0"/>
                <w:color w:val="auto"/>
                <w:sz w:val="21"/>
                <w:szCs w:val="21"/>
                <w:u w:val="none"/>
              </w:rPr>
            </w:pP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2E295B18">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HBC现代节庆</w:t>
            </w:r>
          </w:p>
        </w:tc>
        <w:tc>
          <w:tcPr>
            <w:tcW w:w="2350" w:type="dxa"/>
            <w:tcBorders>
              <w:top w:val="nil"/>
              <w:left w:val="single" w:color="000000" w:sz="8" w:space="0"/>
              <w:bottom w:val="single" w:color="000000" w:sz="8" w:space="0"/>
              <w:right w:val="single" w:color="000000" w:sz="8" w:space="0"/>
            </w:tcBorders>
            <w:shd w:val="clear" w:color="auto" w:fill="auto"/>
            <w:vAlign w:val="center"/>
          </w:tcPr>
          <w:p w14:paraId="7A6EB5F3">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108</w:t>
            </w:r>
          </w:p>
        </w:tc>
      </w:tr>
      <w:tr w14:paraId="3CF06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79" w:type="dxa"/>
            <w:vMerge w:val="continue"/>
            <w:tcBorders>
              <w:top w:val="nil"/>
              <w:left w:val="single" w:color="000000" w:sz="8" w:space="0"/>
              <w:bottom w:val="single" w:color="000000" w:sz="8" w:space="0"/>
              <w:right w:val="single" w:color="000000" w:sz="8" w:space="0"/>
            </w:tcBorders>
            <w:shd w:val="clear" w:color="auto" w:fill="auto"/>
            <w:vAlign w:val="center"/>
          </w:tcPr>
          <w:p w14:paraId="40247125">
            <w:pPr>
              <w:jc w:val="center"/>
              <w:rPr>
                <w:rFonts w:hint="eastAsia" w:ascii="仿宋" w:hAnsi="仿宋" w:eastAsia="仿宋" w:cs="仿宋"/>
                <w:i w:val="0"/>
                <w:iCs w:val="0"/>
                <w:color w:val="auto"/>
                <w:sz w:val="21"/>
                <w:szCs w:val="21"/>
                <w:u w:val="none"/>
              </w:rPr>
            </w:pPr>
          </w:p>
        </w:tc>
        <w:tc>
          <w:tcPr>
            <w:tcW w:w="1397" w:type="dxa"/>
            <w:tcBorders>
              <w:top w:val="nil"/>
              <w:left w:val="single" w:color="000000" w:sz="8" w:space="0"/>
              <w:bottom w:val="single" w:color="000000" w:sz="8" w:space="0"/>
              <w:right w:val="single" w:color="000000" w:sz="8" w:space="0"/>
            </w:tcBorders>
            <w:shd w:val="clear" w:color="auto" w:fill="auto"/>
            <w:vAlign w:val="center"/>
          </w:tcPr>
          <w:p w14:paraId="7C5D4B6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HC 文艺活动（42）</w:t>
            </w:r>
          </w:p>
        </w:tc>
        <w:tc>
          <w:tcPr>
            <w:tcW w:w="2550" w:type="dxa"/>
            <w:tcBorders>
              <w:top w:val="nil"/>
              <w:left w:val="single" w:color="000000" w:sz="8" w:space="0"/>
              <w:bottom w:val="single" w:color="000000" w:sz="8" w:space="0"/>
              <w:right w:val="single" w:color="000000" w:sz="8" w:space="0"/>
            </w:tcBorders>
            <w:shd w:val="clear" w:color="auto" w:fill="auto"/>
            <w:vAlign w:val="center"/>
          </w:tcPr>
          <w:p w14:paraId="5C34AD93">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HCA现代演艺</w:t>
            </w:r>
          </w:p>
        </w:tc>
        <w:tc>
          <w:tcPr>
            <w:tcW w:w="2350" w:type="dxa"/>
            <w:tcBorders>
              <w:top w:val="nil"/>
              <w:left w:val="single" w:color="000000" w:sz="8" w:space="0"/>
              <w:bottom w:val="single" w:color="000000" w:sz="8" w:space="0"/>
              <w:right w:val="single" w:color="000000" w:sz="8" w:space="0"/>
            </w:tcBorders>
            <w:shd w:val="clear" w:color="auto" w:fill="auto"/>
            <w:noWrap/>
            <w:vAlign w:val="center"/>
          </w:tcPr>
          <w:p w14:paraId="432E3E6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42</w:t>
            </w:r>
          </w:p>
        </w:tc>
      </w:tr>
    </w:tbl>
    <w:p w14:paraId="6D9C54A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9"/>
        <w:rPr>
          <w:rFonts w:hint="eastAsia"/>
          <w:b w:val="0"/>
          <w:bCs w:val="0"/>
          <w:color w:val="auto"/>
          <w:sz w:val="24"/>
          <w:szCs w:val="24"/>
          <w:lang w:val="en-US" w:eastAsia="zh-CN"/>
        </w:rPr>
      </w:pPr>
    </w:p>
    <w:p w14:paraId="6AE19A1A">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2" w:firstLineChars="200"/>
        <w:jc w:val="both"/>
        <w:textAlignment w:val="auto"/>
        <w:outlineLvl w:val="3"/>
        <w:rPr>
          <w:rFonts w:hint="eastAsia"/>
          <w:b/>
          <w:bCs/>
          <w:color w:val="auto"/>
          <w:sz w:val="24"/>
          <w:szCs w:val="24"/>
          <w:lang w:val="en-US" w:eastAsia="zh-CN"/>
        </w:rPr>
      </w:pPr>
      <w:r>
        <w:rPr>
          <w:rFonts w:hint="eastAsia"/>
          <w:b/>
          <w:bCs/>
          <w:color w:val="auto"/>
          <w:sz w:val="24"/>
          <w:szCs w:val="24"/>
          <w:lang w:val="en-US" w:eastAsia="zh-CN"/>
        </w:rPr>
        <w:t>建筑与设施、历史遗迹类旅游资源数量大</w:t>
      </w:r>
    </w:p>
    <w:p w14:paraId="4731D95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b w:val="0"/>
          <w:bCs w:val="0"/>
          <w:color w:val="auto"/>
          <w:sz w:val="24"/>
          <w:szCs w:val="24"/>
          <w:lang w:val="en-US" w:eastAsia="zh-CN"/>
        </w:rPr>
      </w:pPr>
      <w:r>
        <w:rPr>
          <w:rFonts w:hint="eastAsia"/>
          <w:b w:val="0"/>
          <w:bCs w:val="0"/>
          <w:color w:val="auto"/>
          <w:sz w:val="24"/>
          <w:szCs w:val="24"/>
          <w:lang w:val="en-US" w:eastAsia="zh-CN"/>
        </w:rPr>
        <w:t>建筑与设施类资源共6265处，历史遗迹1463处，旅游购品824处，人文活动750处。建筑与设施最多，资源数量占人文类资源数量的67.35%，历史遗迹数量次之，占人文类资源总数的15.73%。</w:t>
      </w:r>
    </w:p>
    <w:p w14:paraId="7FC9560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outlineLvl w:val="3"/>
        <w:rPr>
          <w:rFonts w:hint="default"/>
          <w:b/>
          <w:bCs/>
          <w:color w:val="auto"/>
          <w:sz w:val="24"/>
          <w:szCs w:val="24"/>
          <w:lang w:val="en-US" w:eastAsia="zh-CN"/>
        </w:rPr>
      </w:pPr>
      <w:r>
        <w:rPr>
          <w:rFonts w:hint="eastAsia"/>
          <w:b/>
          <w:bCs/>
          <w:color w:val="auto"/>
          <w:sz w:val="24"/>
          <w:szCs w:val="24"/>
          <w:lang w:val="en-US" w:eastAsia="zh-CN"/>
        </w:rPr>
        <w:t>2.实用建筑与核心设施、人文景观综合体、景观与小品建筑和物质类文化遗存亚类资源数量突出</w:t>
      </w:r>
    </w:p>
    <w:p w14:paraId="6AB44D2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从全市人文旅游资源亚类中，可以看出，人文景观综合体、实用建筑与核心设施、景观与小品建筑资源数量突出，分别为2549处、2052处、1664处。其次为物质类文化遗存亚类，数量为823处。</w:t>
      </w:r>
      <w:r>
        <w:rPr>
          <w:rFonts w:hint="eastAsia" w:asciiTheme="minorEastAsia" w:hAnsiTheme="minorEastAsia" w:eastAsiaTheme="minorEastAsia" w:cstheme="minorEastAsia"/>
          <w:i w:val="0"/>
          <w:iCs w:val="0"/>
          <w:color w:val="auto"/>
          <w:kern w:val="0"/>
          <w:sz w:val="24"/>
          <w:szCs w:val="24"/>
          <w:u w:val="none"/>
          <w:lang w:val="en-US" w:eastAsia="zh-CN" w:bidi="ar"/>
        </w:rPr>
        <w:t>工业产品最少为23处。</w:t>
      </w:r>
    </w:p>
    <w:p w14:paraId="63C3A4AA">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2"/>
        <w:rPr>
          <w:rFonts w:hint="eastAsia" w:ascii="宋体" w:hAnsi="宋体" w:cs="宋体"/>
          <w:b/>
          <w:bCs/>
          <w:color w:val="auto"/>
          <w:sz w:val="30"/>
          <w:szCs w:val="30"/>
          <w:lang w:val="en-US" w:eastAsia="zh-CN"/>
        </w:rPr>
      </w:pPr>
      <w:bookmarkStart w:id="59" w:name="_Toc22805"/>
      <w:r>
        <w:rPr>
          <w:rFonts w:hint="eastAsia" w:ascii="宋体" w:hAnsi="宋体" w:cs="宋体"/>
          <w:b/>
          <w:bCs/>
          <w:color w:val="auto"/>
          <w:sz w:val="30"/>
          <w:szCs w:val="30"/>
          <w:lang w:val="en-US" w:eastAsia="zh-CN"/>
        </w:rPr>
        <w:t>二、资源等级数量比重分析</w:t>
      </w:r>
      <w:bookmarkEnd w:id="59"/>
    </w:p>
    <w:p w14:paraId="44D2689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根据</w:t>
      </w:r>
      <w:r>
        <w:rPr>
          <w:rFonts w:hint="eastAsia" w:ascii="Times New Roman" w:hAnsi="Times New Roman" w:eastAsia="宋体" w:cs="Times New Roman"/>
          <w:color w:val="auto"/>
          <w:sz w:val="24"/>
          <w:lang w:val="en-US" w:eastAsia="zh-CN"/>
        </w:rPr>
        <w:t>《河南省旅游资源分类、调查与评价（试行）》</w:t>
      </w:r>
      <w:r>
        <w:rPr>
          <w:rFonts w:hint="eastAsia" w:ascii="Times New Roman" w:hAnsi="Times New Roman" w:cs="Times New Roman"/>
          <w:color w:val="auto"/>
          <w:sz w:val="24"/>
          <w:lang w:val="en-US" w:eastAsia="zh-CN"/>
        </w:rPr>
        <w:t>的资源评价体系，将全省旅游划分为五个等级，从低到高分别为一级资源、二级资源、三级资源、四级资源和五级资源，得分值域分别为30-44分、45-59分、60-74分、75-89分、大于等于90分，低于29分（含）为未获定级资源。其中，五级、四级、三级统称为“优良级资源”，二级、一级资源统称为“普通级旅游资源”。</w:t>
      </w:r>
    </w:p>
    <w:p w14:paraId="3D408EA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全市旅游资源共12008</w:t>
      </w:r>
      <w:r>
        <w:rPr>
          <w:rFonts w:hint="eastAsia" w:ascii="Times New Roman" w:hAnsi="Times New Roman" w:cs="Times New Roman"/>
          <w:color w:val="auto"/>
          <w:sz w:val="24"/>
          <w:lang w:val="en-US" w:eastAsia="zh-CN"/>
        </w:rPr>
        <w:t>处</w:t>
      </w:r>
      <w:r>
        <w:rPr>
          <w:rFonts w:hint="eastAsia" w:ascii="Times New Roman" w:hAnsi="Times New Roman" w:eastAsia="宋体" w:cs="Times New Roman"/>
          <w:color w:val="auto"/>
          <w:sz w:val="24"/>
          <w:lang w:val="en-US" w:eastAsia="zh-CN"/>
        </w:rPr>
        <w:t>，包含未定级资源98个，</w:t>
      </w:r>
      <w:r>
        <w:rPr>
          <w:rFonts w:hint="eastAsia" w:ascii="Times New Roman" w:hAnsi="Times New Roman" w:cs="Times New Roman"/>
          <w:color w:val="auto"/>
          <w:sz w:val="24"/>
          <w:lang w:val="en-US" w:eastAsia="zh-CN"/>
        </w:rPr>
        <w:t>占比0.82%；</w:t>
      </w:r>
      <w:r>
        <w:rPr>
          <w:rFonts w:hint="eastAsia" w:ascii="Times New Roman" w:hAnsi="Times New Roman" w:eastAsia="宋体" w:cs="Times New Roman"/>
          <w:color w:val="auto"/>
          <w:sz w:val="24"/>
          <w:lang w:val="en-US" w:eastAsia="zh-CN"/>
        </w:rPr>
        <w:t>一级资源6369个，</w:t>
      </w:r>
      <w:r>
        <w:rPr>
          <w:rFonts w:hint="eastAsia" w:ascii="Times New Roman" w:hAnsi="Times New Roman" w:cs="Times New Roman"/>
          <w:color w:val="auto"/>
          <w:sz w:val="24"/>
          <w:lang w:val="en-US" w:eastAsia="zh-CN"/>
        </w:rPr>
        <w:t>占比53.04%；</w:t>
      </w:r>
      <w:r>
        <w:rPr>
          <w:rFonts w:hint="eastAsia" w:ascii="Times New Roman" w:hAnsi="Times New Roman" w:eastAsia="宋体" w:cs="Times New Roman"/>
          <w:color w:val="auto"/>
          <w:sz w:val="24"/>
          <w:lang w:val="en-US" w:eastAsia="zh-CN"/>
        </w:rPr>
        <w:t>二级资源3700个，</w:t>
      </w:r>
      <w:r>
        <w:rPr>
          <w:rFonts w:hint="eastAsia" w:ascii="Times New Roman" w:hAnsi="Times New Roman" w:cs="Times New Roman"/>
          <w:color w:val="auto"/>
          <w:sz w:val="24"/>
          <w:lang w:val="en-US" w:eastAsia="zh-CN"/>
        </w:rPr>
        <w:t>占比30.81%；</w:t>
      </w:r>
      <w:r>
        <w:rPr>
          <w:rFonts w:hint="eastAsia" w:ascii="Times New Roman" w:hAnsi="Times New Roman" w:eastAsia="宋体" w:cs="Times New Roman"/>
          <w:color w:val="auto"/>
          <w:sz w:val="24"/>
          <w:lang w:val="en-US" w:eastAsia="zh-CN"/>
        </w:rPr>
        <w:t>三级资源1232个，</w:t>
      </w:r>
      <w:r>
        <w:rPr>
          <w:rFonts w:hint="eastAsia" w:ascii="Times New Roman" w:hAnsi="Times New Roman" w:cs="Times New Roman"/>
          <w:color w:val="auto"/>
          <w:sz w:val="24"/>
          <w:lang w:val="en-US" w:eastAsia="zh-CN"/>
        </w:rPr>
        <w:t>占比10.26%；</w:t>
      </w:r>
      <w:r>
        <w:rPr>
          <w:rFonts w:hint="eastAsia" w:ascii="Times New Roman" w:hAnsi="Times New Roman" w:eastAsia="宋体" w:cs="Times New Roman"/>
          <w:color w:val="auto"/>
          <w:sz w:val="24"/>
          <w:lang w:val="en-US" w:eastAsia="zh-CN"/>
        </w:rPr>
        <w:t>四级资源420个，</w:t>
      </w:r>
      <w:r>
        <w:rPr>
          <w:rFonts w:hint="eastAsia" w:ascii="Times New Roman" w:hAnsi="Times New Roman" w:cs="Times New Roman"/>
          <w:color w:val="auto"/>
          <w:sz w:val="24"/>
          <w:lang w:val="en-US" w:eastAsia="zh-CN"/>
        </w:rPr>
        <w:t>占比3.50%；</w:t>
      </w:r>
      <w:r>
        <w:rPr>
          <w:rFonts w:hint="eastAsia" w:ascii="Times New Roman" w:hAnsi="Times New Roman" w:eastAsia="宋体" w:cs="Times New Roman"/>
          <w:color w:val="auto"/>
          <w:sz w:val="24"/>
          <w:lang w:val="en-US" w:eastAsia="zh-CN"/>
        </w:rPr>
        <w:t>五级资源189个</w:t>
      </w:r>
      <w:r>
        <w:rPr>
          <w:rFonts w:hint="eastAsia" w:ascii="Times New Roman" w:hAnsi="Times New Roman" w:cs="Times New Roman"/>
          <w:color w:val="auto"/>
          <w:sz w:val="24"/>
          <w:lang w:val="en-US" w:eastAsia="zh-CN"/>
        </w:rPr>
        <w:t>，占比1.57%</w:t>
      </w:r>
      <w:r>
        <w:rPr>
          <w:rFonts w:hint="eastAsia" w:ascii="Times New Roman" w:hAnsi="Times New Roman" w:eastAsia="宋体" w:cs="Times New Roman"/>
          <w:color w:val="auto"/>
          <w:sz w:val="24"/>
          <w:lang w:val="en-US" w:eastAsia="zh-CN"/>
        </w:rPr>
        <w:t>。等级比例见图3-2。</w:t>
      </w:r>
    </w:p>
    <w:p w14:paraId="74439475">
      <w:pPr>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drawing>
          <wp:inline distT="0" distB="0" distL="114300" distR="114300">
            <wp:extent cx="5220970" cy="3172460"/>
            <wp:effectExtent l="0" t="0" r="17780" b="8890"/>
            <wp:docPr id="38" name="图片 38" descr="微信图片_20250607160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微信图片_20250607160428"/>
                    <pic:cNvPicPr>
                      <a:picLocks noChangeAspect="1"/>
                    </pic:cNvPicPr>
                  </pic:nvPicPr>
                  <pic:blipFill>
                    <a:blip r:embed="rId9"/>
                    <a:stretch>
                      <a:fillRect/>
                    </a:stretch>
                  </pic:blipFill>
                  <pic:spPr>
                    <a:xfrm>
                      <a:off x="0" y="0"/>
                      <a:ext cx="5220970" cy="3172460"/>
                    </a:xfrm>
                    <a:prstGeom prst="rect">
                      <a:avLst/>
                    </a:prstGeom>
                  </pic:spPr>
                </pic:pic>
              </a:graphicData>
            </a:graphic>
          </wp:inline>
        </w:drawing>
      </w:r>
    </w:p>
    <w:p w14:paraId="379E7C0C">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 xml:space="preserve">图3-2 焦作市各级旅游资源占比图  </w:t>
      </w:r>
    </w:p>
    <w:p w14:paraId="6A8CFAE4">
      <w:pPr>
        <w:keepNext w:val="0"/>
        <w:keepLines w:val="0"/>
        <w:pageBreakBefore w:val="0"/>
        <w:widowControl w:val="0"/>
        <w:numPr>
          <w:ilvl w:val="0"/>
          <w:numId w:val="4"/>
        </w:numPr>
        <w:kinsoku/>
        <w:wordWrap/>
        <w:overflowPunct/>
        <w:topLinePunct w:val="0"/>
        <w:autoSpaceDE/>
        <w:autoSpaceDN/>
        <w:bidi w:val="0"/>
        <w:adjustRightInd/>
        <w:snapToGrid/>
        <w:spacing w:line="360" w:lineRule="auto"/>
        <w:jc w:val="both"/>
        <w:textAlignment w:val="auto"/>
        <w:outlineLvl w:val="2"/>
        <w:rPr>
          <w:rFonts w:hint="eastAsia" w:ascii="宋体" w:hAnsi="宋体" w:cs="宋体"/>
          <w:b/>
          <w:bCs/>
          <w:color w:val="auto"/>
          <w:sz w:val="30"/>
          <w:szCs w:val="30"/>
          <w:lang w:val="en-US" w:eastAsia="zh-CN"/>
        </w:rPr>
      </w:pPr>
      <w:bookmarkStart w:id="60" w:name="_Toc30355"/>
      <w:r>
        <w:rPr>
          <w:rFonts w:hint="eastAsia" w:ascii="宋体" w:hAnsi="宋体" w:cs="宋体"/>
          <w:b/>
          <w:bCs/>
          <w:color w:val="auto"/>
          <w:sz w:val="30"/>
          <w:szCs w:val="30"/>
          <w:lang w:val="en-US" w:eastAsia="zh-CN"/>
        </w:rPr>
        <w:t>各等级旅游资源的类型结构分析</w:t>
      </w:r>
      <w:bookmarkEnd w:id="60"/>
    </w:p>
    <w:p w14:paraId="57BCE5F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不同等级旅游资源的类型数量见表3-5。从表可看出，天象与气候景观数量最少，但品质优良率比例较高，三四五优良级数量占该类型总量的37.5%；其次为水域景观和地文景观，优良率分别为27.82%和25.96%。其次为人文活动，其优良率达到17.33%，历史遗迹、旅游购品、建筑与设施优良率分别为14.76%、14.08%和13.97%。优良率比例最低的为生物景观，仅为5.58%。</w:t>
      </w:r>
    </w:p>
    <w:p w14:paraId="66543E5A">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表3-5 焦作市各类型资源不同等级数量（单位：处）</w:t>
      </w:r>
    </w:p>
    <w:tbl>
      <w:tblPr>
        <w:tblStyle w:val="15"/>
        <w:tblW w:w="8115" w:type="dxa"/>
        <w:tblInd w:w="0" w:type="dxa"/>
        <w:shd w:val="clear" w:color="auto" w:fill="auto"/>
        <w:tblLayout w:type="fixed"/>
        <w:tblCellMar>
          <w:top w:w="0" w:type="dxa"/>
          <w:left w:w="0" w:type="dxa"/>
          <w:bottom w:w="0" w:type="dxa"/>
          <w:right w:w="0" w:type="dxa"/>
        </w:tblCellMar>
      </w:tblPr>
      <w:tblGrid>
        <w:gridCol w:w="915"/>
        <w:gridCol w:w="623"/>
        <w:gridCol w:w="727"/>
        <w:gridCol w:w="904"/>
        <w:gridCol w:w="812"/>
        <w:gridCol w:w="744"/>
        <w:gridCol w:w="811"/>
        <w:gridCol w:w="1022"/>
        <w:gridCol w:w="749"/>
        <w:gridCol w:w="808"/>
      </w:tblGrid>
      <w:tr w14:paraId="71A088FB">
        <w:tblPrEx>
          <w:shd w:val="clear" w:color="auto" w:fill="auto"/>
          <w:tblCellMar>
            <w:top w:w="0" w:type="dxa"/>
            <w:left w:w="0" w:type="dxa"/>
            <w:bottom w:w="0" w:type="dxa"/>
            <w:right w:w="0" w:type="dxa"/>
          </w:tblCellMar>
        </w:tblPrEx>
        <w:trPr>
          <w:trHeight w:val="689" w:hRule="atLeast"/>
        </w:trPr>
        <w:tc>
          <w:tcPr>
            <w:tcW w:w="915" w:type="dxa"/>
            <w:tcBorders>
              <w:top w:val="single" w:color="000000" w:sz="8" w:space="0"/>
              <w:left w:val="single" w:color="000000" w:sz="8" w:space="0"/>
              <w:bottom w:val="single" w:color="000000" w:sz="8" w:space="0"/>
              <w:right w:val="single" w:color="000000" w:sz="8" w:space="0"/>
            </w:tcBorders>
            <w:shd w:val="clear" w:color="auto" w:fill="auto"/>
            <w:tcMar>
              <w:top w:w="10" w:type="dxa"/>
              <w:left w:w="10" w:type="dxa"/>
              <w:right w:w="10" w:type="dxa"/>
            </w:tcMar>
            <w:vAlign w:val="top"/>
          </w:tcPr>
          <w:p w14:paraId="2C592037">
            <w:pPr>
              <w:keepNext w:val="0"/>
              <w:keepLines w:val="0"/>
              <w:widowControl/>
              <w:suppressLineNumbers w:val="0"/>
              <w:jc w:val="both"/>
              <w:textAlignment w:val="top"/>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旅游资源主类</w:t>
            </w:r>
          </w:p>
        </w:tc>
        <w:tc>
          <w:tcPr>
            <w:tcW w:w="623" w:type="dxa"/>
            <w:tcBorders>
              <w:top w:val="single" w:color="000000" w:sz="8" w:space="0"/>
              <w:left w:val="nil"/>
              <w:bottom w:val="single" w:color="000000" w:sz="8" w:space="0"/>
              <w:right w:val="single" w:color="000000" w:sz="8" w:space="0"/>
            </w:tcBorders>
            <w:shd w:val="clear" w:color="auto" w:fill="auto"/>
            <w:tcMar>
              <w:top w:w="10" w:type="dxa"/>
              <w:left w:w="10" w:type="dxa"/>
              <w:right w:w="10" w:type="dxa"/>
            </w:tcMar>
            <w:vAlign w:val="top"/>
          </w:tcPr>
          <w:p w14:paraId="0720B510">
            <w:pPr>
              <w:keepNext w:val="0"/>
              <w:keepLines w:val="0"/>
              <w:widowControl/>
              <w:suppressLineNumbers w:val="0"/>
              <w:jc w:val="center"/>
              <w:textAlignment w:val="top"/>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未获等级</w:t>
            </w:r>
          </w:p>
        </w:tc>
        <w:tc>
          <w:tcPr>
            <w:tcW w:w="727" w:type="dxa"/>
            <w:tcBorders>
              <w:top w:val="single" w:color="000000" w:sz="8" w:space="0"/>
              <w:left w:val="nil"/>
              <w:bottom w:val="single" w:color="000000" w:sz="8" w:space="0"/>
              <w:right w:val="single" w:color="000000" w:sz="8" w:space="0"/>
            </w:tcBorders>
            <w:shd w:val="clear" w:color="auto" w:fill="auto"/>
            <w:tcMar>
              <w:top w:w="10" w:type="dxa"/>
              <w:left w:w="10" w:type="dxa"/>
              <w:right w:w="10" w:type="dxa"/>
            </w:tcMar>
            <w:vAlign w:val="top"/>
          </w:tcPr>
          <w:p w14:paraId="5932982D">
            <w:pPr>
              <w:keepNext w:val="0"/>
              <w:keepLines w:val="0"/>
              <w:widowControl/>
              <w:suppressLineNumbers w:val="0"/>
              <w:jc w:val="center"/>
              <w:textAlignment w:val="top"/>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一级</w:t>
            </w:r>
          </w:p>
        </w:tc>
        <w:tc>
          <w:tcPr>
            <w:tcW w:w="904" w:type="dxa"/>
            <w:tcBorders>
              <w:top w:val="single" w:color="000000" w:sz="8" w:space="0"/>
              <w:left w:val="nil"/>
              <w:bottom w:val="single" w:color="000000" w:sz="8" w:space="0"/>
              <w:right w:val="single" w:color="000000" w:sz="8" w:space="0"/>
            </w:tcBorders>
            <w:shd w:val="clear" w:color="auto" w:fill="auto"/>
            <w:tcMar>
              <w:top w:w="10" w:type="dxa"/>
              <w:left w:w="10" w:type="dxa"/>
              <w:right w:w="10" w:type="dxa"/>
            </w:tcMar>
            <w:vAlign w:val="top"/>
          </w:tcPr>
          <w:p w14:paraId="47E757C5">
            <w:pPr>
              <w:keepNext w:val="0"/>
              <w:keepLines w:val="0"/>
              <w:widowControl/>
              <w:suppressLineNumbers w:val="0"/>
              <w:jc w:val="center"/>
              <w:textAlignment w:val="top"/>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二级</w:t>
            </w:r>
          </w:p>
        </w:tc>
        <w:tc>
          <w:tcPr>
            <w:tcW w:w="812" w:type="dxa"/>
            <w:tcBorders>
              <w:top w:val="single" w:color="000000" w:sz="8" w:space="0"/>
              <w:left w:val="nil"/>
              <w:bottom w:val="single" w:color="000000" w:sz="8" w:space="0"/>
              <w:right w:val="single" w:color="000000" w:sz="8" w:space="0"/>
            </w:tcBorders>
            <w:shd w:val="clear" w:color="auto" w:fill="auto"/>
            <w:tcMar>
              <w:top w:w="10" w:type="dxa"/>
              <w:left w:w="10" w:type="dxa"/>
              <w:right w:w="10" w:type="dxa"/>
            </w:tcMar>
            <w:vAlign w:val="top"/>
          </w:tcPr>
          <w:p w14:paraId="55137E2B">
            <w:pPr>
              <w:keepNext w:val="0"/>
              <w:keepLines w:val="0"/>
              <w:widowControl/>
              <w:suppressLineNumbers w:val="0"/>
              <w:jc w:val="center"/>
              <w:textAlignment w:val="top"/>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三级</w:t>
            </w:r>
          </w:p>
        </w:tc>
        <w:tc>
          <w:tcPr>
            <w:tcW w:w="744" w:type="dxa"/>
            <w:tcBorders>
              <w:top w:val="single" w:color="000000" w:sz="8" w:space="0"/>
              <w:left w:val="nil"/>
              <w:bottom w:val="single" w:color="000000" w:sz="8" w:space="0"/>
              <w:right w:val="single" w:color="000000" w:sz="8" w:space="0"/>
            </w:tcBorders>
            <w:shd w:val="clear" w:color="auto" w:fill="auto"/>
            <w:tcMar>
              <w:top w:w="10" w:type="dxa"/>
              <w:left w:w="10" w:type="dxa"/>
              <w:right w:w="10" w:type="dxa"/>
            </w:tcMar>
            <w:vAlign w:val="top"/>
          </w:tcPr>
          <w:p w14:paraId="1BFBB02A">
            <w:pPr>
              <w:keepNext w:val="0"/>
              <w:keepLines w:val="0"/>
              <w:widowControl/>
              <w:suppressLineNumbers w:val="0"/>
              <w:jc w:val="center"/>
              <w:textAlignment w:val="top"/>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四级</w:t>
            </w:r>
          </w:p>
        </w:tc>
        <w:tc>
          <w:tcPr>
            <w:tcW w:w="811" w:type="dxa"/>
            <w:tcBorders>
              <w:top w:val="single" w:color="000000" w:sz="8" w:space="0"/>
              <w:left w:val="nil"/>
              <w:bottom w:val="single" w:color="000000" w:sz="8" w:space="0"/>
              <w:right w:val="single" w:color="000000" w:sz="8" w:space="0"/>
            </w:tcBorders>
            <w:shd w:val="clear" w:color="auto" w:fill="auto"/>
            <w:tcMar>
              <w:top w:w="10" w:type="dxa"/>
              <w:left w:w="10" w:type="dxa"/>
              <w:right w:w="10" w:type="dxa"/>
            </w:tcMar>
            <w:vAlign w:val="top"/>
          </w:tcPr>
          <w:p w14:paraId="7583A747">
            <w:pPr>
              <w:keepNext w:val="0"/>
              <w:keepLines w:val="0"/>
              <w:widowControl/>
              <w:suppressLineNumbers w:val="0"/>
              <w:jc w:val="center"/>
              <w:textAlignment w:val="top"/>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五级</w:t>
            </w:r>
          </w:p>
        </w:tc>
        <w:tc>
          <w:tcPr>
            <w:tcW w:w="1022" w:type="dxa"/>
            <w:tcBorders>
              <w:top w:val="single" w:color="000000" w:sz="8" w:space="0"/>
              <w:left w:val="nil"/>
              <w:bottom w:val="single" w:color="000000" w:sz="8" w:space="0"/>
              <w:right w:val="single" w:color="000000" w:sz="8" w:space="0"/>
            </w:tcBorders>
            <w:shd w:val="clear" w:color="auto" w:fill="auto"/>
            <w:tcMar>
              <w:top w:w="10" w:type="dxa"/>
              <w:left w:w="10" w:type="dxa"/>
              <w:right w:w="10" w:type="dxa"/>
            </w:tcMar>
            <w:vAlign w:val="top"/>
          </w:tcPr>
          <w:p w14:paraId="573072FC">
            <w:pPr>
              <w:keepNext w:val="0"/>
              <w:keepLines w:val="0"/>
              <w:widowControl/>
              <w:suppressLineNumbers w:val="0"/>
              <w:jc w:val="center"/>
              <w:textAlignment w:val="top"/>
              <w:rPr>
                <w:rFonts w:hint="eastAsia" w:ascii="仿宋" w:hAnsi="仿宋" w:eastAsia="仿宋" w:cs="仿宋"/>
                <w:b/>
                <w:bCs/>
                <w:i w:val="0"/>
                <w:color w:val="auto"/>
                <w:kern w:val="0"/>
                <w:sz w:val="21"/>
                <w:szCs w:val="21"/>
                <w:u w:val="none"/>
                <w:lang w:val="en-US" w:eastAsia="zh-CN" w:bidi="ar"/>
              </w:rPr>
            </w:pPr>
            <w:r>
              <w:rPr>
                <w:rFonts w:hint="eastAsia" w:ascii="仿宋" w:hAnsi="仿宋" w:eastAsia="仿宋" w:cs="仿宋"/>
                <w:b/>
                <w:bCs/>
                <w:i w:val="0"/>
                <w:color w:val="auto"/>
                <w:kern w:val="0"/>
                <w:sz w:val="21"/>
                <w:szCs w:val="21"/>
                <w:u w:val="none"/>
                <w:lang w:val="en-US" w:eastAsia="zh-CN" w:bidi="ar"/>
              </w:rPr>
              <w:t>优良级总数（含三四五级）</w:t>
            </w:r>
          </w:p>
        </w:tc>
        <w:tc>
          <w:tcPr>
            <w:tcW w:w="749" w:type="dxa"/>
            <w:tcBorders>
              <w:top w:val="single" w:color="000000" w:sz="8" w:space="0"/>
              <w:left w:val="nil"/>
              <w:bottom w:val="single" w:color="000000" w:sz="8" w:space="0"/>
              <w:right w:val="single" w:color="000000" w:sz="8" w:space="0"/>
            </w:tcBorders>
            <w:shd w:val="clear" w:color="auto" w:fill="auto"/>
            <w:tcMar>
              <w:top w:w="10" w:type="dxa"/>
              <w:left w:w="10" w:type="dxa"/>
              <w:right w:w="10" w:type="dxa"/>
            </w:tcMar>
            <w:vAlign w:val="top"/>
          </w:tcPr>
          <w:p w14:paraId="7FFC7C43">
            <w:pPr>
              <w:keepNext w:val="0"/>
              <w:keepLines w:val="0"/>
              <w:widowControl/>
              <w:suppressLineNumbers w:val="0"/>
              <w:jc w:val="center"/>
              <w:textAlignment w:val="top"/>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合计</w:t>
            </w:r>
          </w:p>
        </w:tc>
        <w:tc>
          <w:tcPr>
            <w:tcW w:w="808" w:type="dxa"/>
            <w:tcBorders>
              <w:top w:val="single" w:color="000000" w:sz="8" w:space="0"/>
              <w:left w:val="nil"/>
              <w:bottom w:val="single" w:color="000000" w:sz="8" w:space="0"/>
              <w:right w:val="single" w:color="000000" w:sz="8" w:space="0"/>
            </w:tcBorders>
            <w:shd w:val="clear" w:color="auto" w:fill="auto"/>
            <w:tcMar>
              <w:top w:w="10" w:type="dxa"/>
              <w:left w:w="10" w:type="dxa"/>
              <w:right w:w="10" w:type="dxa"/>
            </w:tcMar>
            <w:vAlign w:val="top"/>
          </w:tcPr>
          <w:p w14:paraId="5E1486CF">
            <w:pPr>
              <w:keepNext w:val="0"/>
              <w:keepLines w:val="0"/>
              <w:widowControl/>
              <w:suppressLineNumbers w:val="0"/>
              <w:jc w:val="center"/>
              <w:textAlignment w:val="top"/>
              <w:rPr>
                <w:rFonts w:hint="eastAsia" w:ascii="仿宋" w:hAnsi="仿宋" w:eastAsia="仿宋" w:cs="仿宋"/>
                <w:b/>
                <w:bCs/>
                <w:i w:val="0"/>
                <w:color w:val="auto"/>
                <w:kern w:val="0"/>
                <w:sz w:val="21"/>
                <w:szCs w:val="21"/>
                <w:u w:val="none"/>
                <w:lang w:val="en-US" w:eastAsia="zh-CN" w:bidi="ar"/>
              </w:rPr>
            </w:pPr>
            <w:r>
              <w:rPr>
                <w:rFonts w:hint="eastAsia" w:ascii="仿宋" w:hAnsi="仿宋" w:eastAsia="仿宋" w:cs="仿宋"/>
                <w:b/>
                <w:bCs/>
                <w:i w:val="0"/>
                <w:color w:val="auto"/>
                <w:kern w:val="0"/>
                <w:sz w:val="21"/>
                <w:szCs w:val="21"/>
                <w:u w:val="none"/>
                <w:lang w:val="en-US" w:eastAsia="zh-CN" w:bidi="ar"/>
              </w:rPr>
              <w:t>优良级占比（%)</w:t>
            </w:r>
          </w:p>
        </w:tc>
      </w:tr>
      <w:tr w14:paraId="0E6489A6">
        <w:tblPrEx>
          <w:tblCellMar>
            <w:top w:w="0" w:type="dxa"/>
            <w:left w:w="0" w:type="dxa"/>
            <w:bottom w:w="0" w:type="dxa"/>
            <w:right w:w="0" w:type="dxa"/>
          </w:tblCellMar>
        </w:tblPrEx>
        <w:trPr>
          <w:trHeight w:val="443" w:hRule="atLeast"/>
        </w:trPr>
        <w:tc>
          <w:tcPr>
            <w:tcW w:w="915" w:type="dxa"/>
            <w:tcBorders>
              <w:top w:val="nil"/>
              <w:left w:val="single" w:color="000000" w:sz="8" w:space="0"/>
              <w:bottom w:val="single" w:color="000000" w:sz="8" w:space="0"/>
              <w:right w:val="single" w:color="000000" w:sz="8" w:space="0"/>
            </w:tcBorders>
            <w:shd w:val="clear" w:color="auto" w:fill="auto"/>
            <w:tcMar>
              <w:top w:w="10" w:type="dxa"/>
              <w:left w:w="10" w:type="dxa"/>
              <w:right w:w="10" w:type="dxa"/>
            </w:tcMar>
            <w:vAlign w:val="top"/>
          </w:tcPr>
          <w:p w14:paraId="6C2D2AE8">
            <w:pPr>
              <w:keepNext w:val="0"/>
              <w:keepLines w:val="0"/>
              <w:widowControl/>
              <w:suppressLineNumbers w:val="0"/>
              <w:jc w:val="both"/>
              <w:textAlignment w:val="top"/>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地文景观</w:t>
            </w:r>
          </w:p>
        </w:tc>
        <w:tc>
          <w:tcPr>
            <w:tcW w:w="623"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76C83177">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c>
          <w:tcPr>
            <w:tcW w:w="727"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1ECD817D">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296</w:t>
            </w:r>
          </w:p>
        </w:tc>
        <w:tc>
          <w:tcPr>
            <w:tcW w:w="904"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534743DB">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400</w:t>
            </w:r>
          </w:p>
        </w:tc>
        <w:tc>
          <w:tcPr>
            <w:tcW w:w="812"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2E63275D">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133</w:t>
            </w:r>
          </w:p>
        </w:tc>
        <w:tc>
          <w:tcPr>
            <w:tcW w:w="744"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04DAAACA">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75</w:t>
            </w:r>
          </w:p>
        </w:tc>
        <w:tc>
          <w:tcPr>
            <w:tcW w:w="811"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6E7DB687">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36</w:t>
            </w:r>
          </w:p>
        </w:tc>
        <w:tc>
          <w:tcPr>
            <w:tcW w:w="1022"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3A99C9E0">
            <w:pPr>
              <w:keepNext w:val="0"/>
              <w:keepLines w:val="0"/>
              <w:widowControl/>
              <w:suppressLineNumbers w:val="0"/>
              <w:jc w:val="center"/>
              <w:textAlignment w:val="top"/>
              <w:rPr>
                <w:rFonts w:hint="eastAsia"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244</w:t>
            </w:r>
          </w:p>
        </w:tc>
        <w:tc>
          <w:tcPr>
            <w:tcW w:w="749"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57790FE1">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940</w:t>
            </w:r>
          </w:p>
        </w:tc>
        <w:tc>
          <w:tcPr>
            <w:tcW w:w="808"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4349E2FD">
            <w:pPr>
              <w:keepNext w:val="0"/>
              <w:keepLines w:val="0"/>
              <w:widowControl/>
              <w:suppressLineNumbers w:val="0"/>
              <w:jc w:val="center"/>
              <w:textAlignment w:val="top"/>
              <w:rPr>
                <w:rFonts w:hint="eastAsia"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25.96</w:t>
            </w:r>
          </w:p>
        </w:tc>
      </w:tr>
      <w:tr w14:paraId="3EBFF97E">
        <w:tblPrEx>
          <w:tblCellMar>
            <w:top w:w="0" w:type="dxa"/>
            <w:left w:w="0" w:type="dxa"/>
            <w:bottom w:w="0" w:type="dxa"/>
            <w:right w:w="0" w:type="dxa"/>
          </w:tblCellMar>
        </w:tblPrEx>
        <w:trPr>
          <w:trHeight w:val="443" w:hRule="atLeast"/>
        </w:trPr>
        <w:tc>
          <w:tcPr>
            <w:tcW w:w="915" w:type="dxa"/>
            <w:tcBorders>
              <w:top w:val="nil"/>
              <w:left w:val="single" w:color="000000" w:sz="8" w:space="0"/>
              <w:bottom w:val="single" w:color="000000" w:sz="8" w:space="0"/>
              <w:right w:val="single" w:color="000000" w:sz="8" w:space="0"/>
            </w:tcBorders>
            <w:shd w:val="clear" w:color="auto" w:fill="auto"/>
            <w:tcMar>
              <w:top w:w="10" w:type="dxa"/>
              <w:left w:w="10" w:type="dxa"/>
              <w:right w:w="10" w:type="dxa"/>
            </w:tcMar>
            <w:vAlign w:val="top"/>
          </w:tcPr>
          <w:p w14:paraId="0B349937">
            <w:pPr>
              <w:keepNext w:val="0"/>
              <w:keepLines w:val="0"/>
              <w:widowControl/>
              <w:suppressLineNumbers w:val="0"/>
              <w:jc w:val="both"/>
              <w:textAlignment w:val="top"/>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水域景观</w:t>
            </w:r>
          </w:p>
        </w:tc>
        <w:tc>
          <w:tcPr>
            <w:tcW w:w="623"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2786B8FD">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c>
          <w:tcPr>
            <w:tcW w:w="727"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18258274">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235</w:t>
            </w:r>
          </w:p>
        </w:tc>
        <w:tc>
          <w:tcPr>
            <w:tcW w:w="904"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16D39CA2">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206</w:t>
            </w:r>
          </w:p>
        </w:tc>
        <w:tc>
          <w:tcPr>
            <w:tcW w:w="812"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4A0FC710">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101</w:t>
            </w:r>
          </w:p>
        </w:tc>
        <w:tc>
          <w:tcPr>
            <w:tcW w:w="744"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50D92A33">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44</w:t>
            </w:r>
          </w:p>
        </w:tc>
        <w:tc>
          <w:tcPr>
            <w:tcW w:w="811"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6BAA9519">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25</w:t>
            </w:r>
          </w:p>
        </w:tc>
        <w:tc>
          <w:tcPr>
            <w:tcW w:w="1022"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239CB09A">
            <w:pPr>
              <w:keepNext w:val="0"/>
              <w:keepLines w:val="0"/>
              <w:widowControl/>
              <w:suppressLineNumbers w:val="0"/>
              <w:jc w:val="center"/>
              <w:textAlignment w:val="top"/>
              <w:rPr>
                <w:rFonts w:hint="eastAsia"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170</w:t>
            </w:r>
          </w:p>
        </w:tc>
        <w:tc>
          <w:tcPr>
            <w:tcW w:w="749"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77B94FB6">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611</w:t>
            </w:r>
          </w:p>
        </w:tc>
        <w:tc>
          <w:tcPr>
            <w:tcW w:w="808"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04F92DEB">
            <w:pPr>
              <w:keepNext w:val="0"/>
              <w:keepLines w:val="0"/>
              <w:widowControl/>
              <w:suppressLineNumbers w:val="0"/>
              <w:jc w:val="center"/>
              <w:textAlignment w:val="top"/>
              <w:rPr>
                <w:rFonts w:hint="eastAsia"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27.82</w:t>
            </w:r>
          </w:p>
        </w:tc>
      </w:tr>
      <w:tr w14:paraId="2C498531">
        <w:tblPrEx>
          <w:tblCellMar>
            <w:top w:w="0" w:type="dxa"/>
            <w:left w:w="0" w:type="dxa"/>
            <w:bottom w:w="0" w:type="dxa"/>
            <w:right w:w="0" w:type="dxa"/>
          </w:tblCellMar>
        </w:tblPrEx>
        <w:trPr>
          <w:trHeight w:val="443" w:hRule="atLeast"/>
        </w:trPr>
        <w:tc>
          <w:tcPr>
            <w:tcW w:w="915" w:type="dxa"/>
            <w:tcBorders>
              <w:top w:val="nil"/>
              <w:left w:val="single" w:color="000000" w:sz="8" w:space="0"/>
              <w:bottom w:val="single" w:color="000000" w:sz="8" w:space="0"/>
              <w:right w:val="single" w:color="000000" w:sz="8" w:space="0"/>
            </w:tcBorders>
            <w:shd w:val="clear" w:color="auto" w:fill="auto"/>
            <w:tcMar>
              <w:top w:w="10" w:type="dxa"/>
              <w:left w:w="10" w:type="dxa"/>
              <w:right w:w="10" w:type="dxa"/>
            </w:tcMar>
            <w:vAlign w:val="top"/>
          </w:tcPr>
          <w:p w14:paraId="307EB44A">
            <w:pPr>
              <w:keepNext w:val="0"/>
              <w:keepLines w:val="0"/>
              <w:widowControl/>
              <w:suppressLineNumbers w:val="0"/>
              <w:jc w:val="both"/>
              <w:textAlignment w:val="top"/>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生物景观</w:t>
            </w:r>
          </w:p>
        </w:tc>
        <w:tc>
          <w:tcPr>
            <w:tcW w:w="623"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55B21531">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9</w:t>
            </w:r>
          </w:p>
        </w:tc>
        <w:tc>
          <w:tcPr>
            <w:tcW w:w="727"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015FB389">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800</w:t>
            </w:r>
          </w:p>
        </w:tc>
        <w:tc>
          <w:tcPr>
            <w:tcW w:w="904"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68C822F9">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206</w:t>
            </w:r>
          </w:p>
        </w:tc>
        <w:tc>
          <w:tcPr>
            <w:tcW w:w="812"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565665C8">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38</w:t>
            </w:r>
          </w:p>
        </w:tc>
        <w:tc>
          <w:tcPr>
            <w:tcW w:w="744"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2DA0DAE7">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15</w:t>
            </w:r>
          </w:p>
        </w:tc>
        <w:tc>
          <w:tcPr>
            <w:tcW w:w="811"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105CC205">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7</w:t>
            </w:r>
          </w:p>
        </w:tc>
        <w:tc>
          <w:tcPr>
            <w:tcW w:w="1022"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1708553D">
            <w:pPr>
              <w:keepNext w:val="0"/>
              <w:keepLines w:val="0"/>
              <w:widowControl/>
              <w:suppressLineNumbers w:val="0"/>
              <w:jc w:val="center"/>
              <w:textAlignment w:val="top"/>
              <w:rPr>
                <w:rFonts w:hint="eastAsia"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60</w:t>
            </w:r>
          </w:p>
        </w:tc>
        <w:tc>
          <w:tcPr>
            <w:tcW w:w="749"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3E58D297">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1075</w:t>
            </w:r>
          </w:p>
        </w:tc>
        <w:tc>
          <w:tcPr>
            <w:tcW w:w="808"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58314AE2">
            <w:pPr>
              <w:keepNext w:val="0"/>
              <w:keepLines w:val="0"/>
              <w:widowControl/>
              <w:suppressLineNumbers w:val="0"/>
              <w:jc w:val="center"/>
              <w:textAlignment w:val="top"/>
              <w:rPr>
                <w:rFonts w:hint="eastAsia"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5.58</w:t>
            </w:r>
          </w:p>
        </w:tc>
      </w:tr>
      <w:tr w14:paraId="42A73320">
        <w:tblPrEx>
          <w:tblCellMar>
            <w:top w:w="0" w:type="dxa"/>
            <w:left w:w="0" w:type="dxa"/>
            <w:bottom w:w="0" w:type="dxa"/>
            <w:right w:w="0" w:type="dxa"/>
          </w:tblCellMar>
        </w:tblPrEx>
        <w:trPr>
          <w:trHeight w:val="689" w:hRule="atLeast"/>
        </w:trPr>
        <w:tc>
          <w:tcPr>
            <w:tcW w:w="915" w:type="dxa"/>
            <w:tcBorders>
              <w:top w:val="nil"/>
              <w:left w:val="single" w:color="000000" w:sz="8" w:space="0"/>
              <w:bottom w:val="single" w:color="000000" w:sz="8" w:space="0"/>
              <w:right w:val="single" w:color="000000" w:sz="8" w:space="0"/>
            </w:tcBorders>
            <w:shd w:val="clear" w:color="auto" w:fill="auto"/>
            <w:tcMar>
              <w:top w:w="10" w:type="dxa"/>
              <w:left w:w="10" w:type="dxa"/>
              <w:right w:w="10" w:type="dxa"/>
            </w:tcMar>
            <w:vAlign w:val="top"/>
          </w:tcPr>
          <w:p w14:paraId="13F70845">
            <w:pPr>
              <w:keepNext w:val="0"/>
              <w:keepLines w:val="0"/>
              <w:widowControl/>
              <w:suppressLineNumbers w:val="0"/>
              <w:jc w:val="both"/>
              <w:textAlignment w:val="top"/>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天象与气候景观</w:t>
            </w:r>
          </w:p>
        </w:tc>
        <w:tc>
          <w:tcPr>
            <w:tcW w:w="623"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7B9DE1B0">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c>
          <w:tcPr>
            <w:tcW w:w="727"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2BE2D18E">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21</w:t>
            </w:r>
          </w:p>
        </w:tc>
        <w:tc>
          <w:tcPr>
            <w:tcW w:w="904"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15A51A64">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29</w:t>
            </w:r>
          </w:p>
        </w:tc>
        <w:tc>
          <w:tcPr>
            <w:tcW w:w="812"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1B0CD00F">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11</w:t>
            </w:r>
          </w:p>
        </w:tc>
        <w:tc>
          <w:tcPr>
            <w:tcW w:w="744"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1726A6DF">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11</w:t>
            </w:r>
          </w:p>
        </w:tc>
        <w:tc>
          <w:tcPr>
            <w:tcW w:w="811"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42542926">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8</w:t>
            </w:r>
          </w:p>
        </w:tc>
        <w:tc>
          <w:tcPr>
            <w:tcW w:w="1022"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12F5013A">
            <w:pPr>
              <w:keepNext w:val="0"/>
              <w:keepLines w:val="0"/>
              <w:widowControl/>
              <w:suppressLineNumbers w:val="0"/>
              <w:jc w:val="center"/>
              <w:textAlignment w:val="top"/>
              <w:rPr>
                <w:rFonts w:hint="eastAsia"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30</w:t>
            </w:r>
          </w:p>
        </w:tc>
        <w:tc>
          <w:tcPr>
            <w:tcW w:w="749"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2675A32B">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80</w:t>
            </w:r>
          </w:p>
        </w:tc>
        <w:tc>
          <w:tcPr>
            <w:tcW w:w="808"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34A14B03">
            <w:pPr>
              <w:keepNext w:val="0"/>
              <w:keepLines w:val="0"/>
              <w:widowControl/>
              <w:suppressLineNumbers w:val="0"/>
              <w:jc w:val="center"/>
              <w:textAlignment w:val="top"/>
              <w:rPr>
                <w:rFonts w:hint="eastAsia"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37.5</w:t>
            </w:r>
          </w:p>
        </w:tc>
      </w:tr>
      <w:tr w14:paraId="18C7F3B6">
        <w:tblPrEx>
          <w:tblCellMar>
            <w:top w:w="0" w:type="dxa"/>
            <w:left w:w="0" w:type="dxa"/>
            <w:bottom w:w="0" w:type="dxa"/>
            <w:right w:w="0" w:type="dxa"/>
          </w:tblCellMar>
        </w:tblPrEx>
        <w:trPr>
          <w:trHeight w:val="443" w:hRule="atLeast"/>
        </w:trPr>
        <w:tc>
          <w:tcPr>
            <w:tcW w:w="915" w:type="dxa"/>
            <w:tcBorders>
              <w:top w:val="nil"/>
              <w:left w:val="single" w:color="000000" w:sz="8" w:space="0"/>
              <w:bottom w:val="single" w:color="000000" w:sz="8" w:space="0"/>
              <w:right w:val="single" w:color="000000" w:sz="8" w:space="0"/>
            </w:tcBorders>
            <w:shd w:val="clear" w:color="auto" w:fill="auto"/>
            <w:tcMar>
              <w:top w:w="10" w:type="dxa"/>
              <w:left w:w="10" w:type="dxa"/>
              <w:right w:w="10" w:type="dxa"/>
            </w:tcMar>
            <w:vAlign w:val="top"/>
          </w:tcPr>
          <w:p w14:paraId="6AF69863">
            <w:pPr>
              <w:keepNext w:val="0"/>
              <w:keepLines w:val="0"/>
              <w:widowControl/>
              <w:suppressLineNumbers w:val="0"/>
              <w:jc w:val="both"/>
              <w:textAlignment w:val="top"/>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建筑与设施</w:t>
            </w:r>
          </w:p>
        </w:tc>
        <w:tc>
          <w:tcPr>
            <w:tcW w:w="623"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75D419CB">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54</w:t>
            </w:r>
          </w:p>
        </w:tc>
        <w:tc>
          <w:tcPr>
            <w:tcW w:w="727"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391A2458">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3646</w:t>
            </w:r>
          </w:p>
        </w:tc>
        <w:tc>
          <w:tcPr>
            <w:tcW w:w="904"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5AE934A7">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1690</w:t>
            </w:r>
          </w:p>
        </w:tc>
        <w:tc>
          <w:tcPr>
            <w:tcW w:w="812"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6DB82888">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686</w:t>
            </w:r>
          </w:p>
        </w:tc>
        <w:tc>
          <w:tcPr>
            <w:tcW w:w="744"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2EA84482">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155</w:t>
            </w:r>
          </w:p>
        </w:tc>
        <w:tc>
          <w:tcPr>
            <w:tcW w:w="811"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345E86B0">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34</w:t>
            </w:r>
          </w:p>
        </w:tc>
        <w:tc>
          <w:tcPr>
            <w:tcW w:w="1022"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3B11D5FB">
            <w:pPr>
              <w:keepNext w:val="0"/>
              <w:keepLines w:val="0"/>
              <w:widowControl/>
              <w:suppressLineNumbers w:val="0"/>
              <w:jc w:val="center"/>
              <w:textAlignment w:val="top"/>
              <w:rPr>
                <w:rFonts w:hint="eastAsia"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875</w:t>
            </w:r>
          </w:p>
        </w:tc>
        <w:tc>
          <w:tcPr>
            <w:tcW w:w="749"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78EE6DA1">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6265</w:t>
            </w:r>
          </w:p>
        </w:tc>
        <w:tc>
          <w:tcPr>
            <w:tcW w:w="808"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4E3D19E3">
            <w:pPr>
              <w:keepNext w:val="0"/>
              <w:keepLines w:val="0"/>
              <w:widowControl/>
              <w:suppressLineNumbers w:val="0"/>
              <w:jc w:val="center"/>
              <w:textAlignment w:val="top"/>
              <w:rPr>
                <w:rFonts w:hint="eastAsia"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13.97</w:t>
            </w:r>
          </w:p>
        </w:tc>
      </w:tr>
      <w:tr w14:paraId="58396F81">
        <w:tblPrEx>
          <w:tblCellMar>
            <w:top w:w="0" w:type="dxa"/>
            <w:left w:w="0" w:type="dxa"/>
            <w:bottom w:w="0" w:type="dxa"/>
            <w:right w:w="0" w:type="dxa"/>
          </w:tblCellMar>
        </w:tblPrEx>
        <w:trPr>
          <w:trHeight w:val="443" w:hRule="atLeast"/>
        </w:trPr>
        <w:tc>
          <w:tcPr>
            <w:tcW w:w="915" w:type="dxa"/>
            <w:tcBorders>
              <w:top w:val="nil"/>
              <w:left w:val="single" w:color="000000" w:sz="8" w:space="0"/>
              <w:bottom w:val="single" w:color="000000" w:sz="8" w:space="0"/>
              <w:right w:val="single" w:color="000000" w:sz="8" w:space="0"/>
            </w:tcBorders>
            <w:shd w:val="clear" w:color="auto" w:fill="auto"/>
            <w:tcMar>
              <w:top w:w="10" w:type="dxa"/>
              <w:left w:w="10" w:type="dxa"/>
              <w:right w:w="10" w:type="dxa"/>
            </w:tcMar>
            <w:vAlign w:val="top"/>
          </w:tcPr>
          <w:p w14:paraId="2141E142">
            <w:pPr>
              <w:keepNext w:val="0"/>
              <w:keepLines w:val="0"/>
              <w:widowControl/>
              <w:suppressLineNumbers w:val="0"/>
              <w:jc w:val="both"/>
              <w:textAlignment w:val="top"/>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历史遗迹</w:t>
            </w:r>
          </w:p>
        </w:tc>
        <w:tc>
          <w:tcPr>
            <w:tcW w:w="623"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64DCBF43">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28</w:t>
            </w:r>
          </w:p>
        </w:tc>
        <w:tc>
          <w:tcPr>
            <w:tcW w:w="727"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4F9D9C7A">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739</w:t>
            </w:r>
          </w:p>
        </w:tc>
        <w:tc>
          <w:tcPr>
            <w:tcW w:w="904"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4B599FE1">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480</w:t>
            </w:r>
          </w:p>
        </w:tc>
        <w:tc>
          <w:tcPr>
            <w:tcW w:w="812"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5057A794">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123</w:t>
            </w:r>
          </w:p>
        </w:tc>
        <w:tc>
          <w:tcPr>
            <w:tcW w:w="744"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2E7815EF">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61</w:t>
            </w:r>
          </w:p>
        </w:tc>
        <w:tc>
          <w:tcPr>
            <w:tcW w:w="811"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04E203D7">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32</w:t>
            </w:r>
          </w:p>
        </w:tc>
        <w:tc>
          <w:tcPr>
            <w:tcW w:w="1022"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62E3E4C3">
            <w:pPr>
              <w:keepNext w:val="0"/>
              <w:keepLines w:val="0"/>
              <w:widowControl/>
              <w:suppressLineNumbers w:val="0"/>
              <w:jc w:val="center"/>
              <w:textAlignment w:val="top"/>
              <w:rPr>
                <w:rFonts w:hint="eastAsia"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216</w:t>
            </w:r>
          </w:p>
        </w:tc>
        <w:tc>
          <w:tcPr>
            <w:tcW w:w="749"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28982106">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1463</w:t>
            </w:r>
          </w:p>
        </w:tc>
        <w:tc>
          <w:tcPr>
            <w:tcW w:w="808"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6649D8F4">
            <w:pPr>
              <w:keepNext w:val="0"/>
              <w:keepLines w:val="0"/>
              <w:widowControl/>
              <w:suppressLineNumbers w:val="0"/>
              <w:jc w:val="center"/>
              <w:textAlignment w:val="top"/>
              <w:rPr>
                <w:rFonts w:hint="eastAsia"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14.76</w:t>
            </w:r>
          </w:p>
        </w:tc>
      </w:tr>
      <w:tr w14:paraId="09055EC5">
        <w:tblPrEx>
          <w:tblCellMar>
            <w:top w:w="0" w:type="dxa"/>
            <w:left w:w="0" w:type="dxa"/>
            <w:bottom w:w="0" w:type="dxa"/>
            <w:right w:w="0" w:type="dxa"/>
          </w:tblCellMar>
        </w:tblPrEx>
        <w:trPr>
          <w:trHeight w:val="443" w:hRule="atLeast"/>
        </w:trPr>
        <w:tc>
          <w:tcPr>
            <w:tcW w:w="915" w:type="dxa"/>
            <w:tcBorders>
              <w:top w:val="nil"/>
              <w:left w:val="single" w:color="000000" w:sz="8" w:space="0"/>
              <w:bottom w:val="single" w:color="000000" w:sz="8" w:space="0"/>
              <w:right w:val="single" w:color="000000" w:sz="8" w:space="0"/>
            </w:tcBorders>
            <w:shd w:val="clear" w:color="auto" w:fill="auto"/>
            <w:tcMar>
              <w:top w:w="10" w:type="dxa"/>
              <w:left w:w="10" w:type="dxa"/>
              <w:right w:w="10" w:type="dxa"/>
            </w:tcMar>
            <w:vAlign w:val="top"/>
          </w:tcPr>
          <w:p w14:paraId="30D8F37B">
            <w:pPr>
              <w:keepNext w:val="0"/>
              <w:keepLines w:val="0"/>
              <w:widowControl/>
              <w:suppressLineNumbers w:val="0"/>
              <w:jc w:val="both"/>
              <w:textAlignment w:val="top"/>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旅游购品</w:t>
            </w:r>
          </w:p>
        </w:tc>
        <w:tc>
          <w:tcPr>
            <w:tcW w:w="623"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7D6B9BE8">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w:t>
            </w:r>
          </w:p>
        </w:tc>
        <w:tc>
          <w:tcPr>
            <w:tcW w:w="727"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777AE426">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325</w:t>
            </w:r>
          </w:p>
        </w:tc>
        <w:tc>
          <w:tcPr>
            <w:tcW w:w="904"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6948904D">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382</w:t>
            </w:r>
          </w:p>
        </w:tc>
        <w:tc>
          <w:tcPr>
            <w:tcW w:w="812"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7ED43D09">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73</w:t>
            </w:r>
          </w:p>
        </w:tc>
        <w:tc>
          <w:tcPr>
            <w:tcW w:w="744"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08F2CA60">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28</w:t>
            </w:r>
          </w:p>
        </w:tc>
        <w:tc>
          <w:tcPr>
            <w:tcW w:w="811"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5D0560D6">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15</w:t>
            </w:r>
          </w:p>
        </w:tc>
        <w:tc>
          <w:tcPr>
            <w:tcW w:w="1022"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32242D25">
            <w:pPr>
              <w:keepNext w:val="0"/>
              <w:keepLines w:val="0"/>
              <w:widowControl/>
              <w:suppressLineNumbers w:val="0"/>
              <w:jc w:val="center"/>
              <w:textAlignment w:val="top"/>
              <w:rPr>
                <w:rFonts w:hint="eastAsia"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116</w:t>
            </w:r>
          </w:p>
        </w:tc>
        <w:tc>
          <w:tcPr>
            <w:tcW w:w="749"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7DB258A4">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824</w:t>
            </w:r>
          </w:p>
        </w:tc>
        <w:tc>
          <w:tcPr>
            <w:tcW w:w="808"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40026484">
            <w:pPr>
              <w:keepNext w:val="0"/>
              <w:keepLines w:val="0"/>
              <w:widowControl/>
              <w:suppressLineNumbers w:val="0"/>
              <w:jc w:val="center"/>
              <w:textAlignment w:val="top"/>
              <w:rPr>
                <w:rFonts w:hint="eastAsia"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14.08</w:t>
            </w:r>
          </w:p>
        </w:tc>
      </w:tr>
      <w:tr w14:paraId="295AA917">
        <w:tblPrEx>
          <w:tblCellMar>
            <w:top w:w="0" w:type="dxa"/>
            <w:left w:w="0" w:type="dxa"/>
            <w:bottom w:w="0" w:type="dxa"/>
            <w:right w:w="0" w:type="dxa"/>
          </w:tblCellMar>
        </w:tblPrEx>
        <w:trPr>
          <w:trHeight w:val="443" w:hRule="atLeast"/>
        </w:trPr>
        <w:tc>
          <w:tcPr>
            <w:tcW w:w="915" w:type="dxa"/>
            <w:tcBorders>
              <w:top w:val="nil"/>
              <w:left w:val="single" w:color="000000" w:sz="8" w:space="0"/>
              <w:bottom w:val="single" w:color="000000" w:sz="8" w:space="0"/>
              <w:right w:val="single" w:color="000000" w:sz="8" w:space="0"/>
            </w:tcBorders>
            <w:shd w:val="clear" w:color="auto" w:fill="auto"/>
            <w:tcMar>
              <w:top w:w="10" w:type="dxa"/>
              <w:left w:w="10" w:type="dxa"/>
              <w:right w:w="10" w:type="dxa"/>
            </w:tcMar>
            <w:vAlign w:val="top"/>
          </w:tcPr>
          <w:p w14:paraId="70BB3738">
            <w:pPr>
              <w:keepNext w:val="0"/>
              <w:keepLines w:val="0"/>
              <w:widowControl/>
              <w:suppressLineNumbers w:val="0"/>
              <w:jc w:val="both"/>
              <w:textAlignment w:val="top"/>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人文活动</w:t>
            </w:r>
          </w:p>
        </w:tc>
        <w:tc>
          <w:tcPr>
            <w:tcW w:w="623"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583567DD">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6</w:t>
            </w:r>
          </w:p>
        </w:tc>
        <w:tc>
          <w:tcPr>
            <w:tcW w:w="727"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51D2D2A4">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307</w:t>
            </w:r>
          </w:p>
        </w:tc>
        <w:tc>
          <w:tcPr>
            <w:tcW w:w="904"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004F155B">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307</w:t>
            </w:r>
          </w:p>
        </w:tc>
        <w:tc>
          <w:tcPr>
            <w:tcW w:w="812"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5E3586C7">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67</w:t>
            </w:r>
          </w:p>
        </w:tc>
        <w:tc>
          <w:tcPr>
            <w:tcW w:w="744"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4AD96CC0">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31</w:t>
            </w:r>
          </w:p>
        </w:tc>
        <w:tc>
          <w:tcPr>
            <w:tcW w:w="811"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5205779D">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32</w:t>
            </w:r>
          </w:p>
        </w:tc>
        <w:tc>
          <w:tcPr>
            <w:tcW w:w="1022"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1D863882">
            <w:pPr>
              <w:keepNext w:val="0"/>
              <w:keepLines w:val="0"/>
              <w:widowControl/>
              <w:suppressLineNumbers w:val="0"/>
              <w:jc w:val="center"/>
              <w:textAlignment w:val="top"/>
              <w:rPr>
                <w:rFonts w:hint="eastAsia"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130</w:t>
            </w:r>
          </w:p>
        </w:tc>
        <w:tc>
          <w:tcPr>
            <w:tcW w:w="749"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3002F870">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750</w:t>
            </w:r>
          </w:p>
        </w:tc>
        <w:tc>
          <w:tcPr>
            <w:tcW w:w="808"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3CDBE8D1">
            <w:pPr>
              <w:keepNext w:val="0"/>
              <w:keepLines w:val="0"/>
              <w:widowControl/>
              <w:suppressLineNumbers w:val="0"/>
              <w:jc w:val="center"/>
              <w:textAlignment w:val="top"/>
              <w:rPr>
                <w:rFonts w:hint="eastAsia"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17.33</w:t>
            </w:r>
          </w:p>
        </w:tc>
      </w:tr>
      <w:tr w14:paraId="6E6E0820">
        <w:tblPrEx>
          <w:tblCellMar>
            <w:top w:w="0" w:type="dxa"/>
            <w:left w:w="0" w:type="dxa"/>
            <w:bottom w:w="0" w:type="dxa"/>
            <w:right w:w="0" w:type="dxa"/>
          </w:tblCellMar>
        </w:tblPrEx>
        <w:trPr>
          <w:trHeight w:val="575" w:hRule="atLeast"/>
        </w:trPr>
        <w:tc>
          <w:tcPr>
            <w:tcW w:w="915" w:type="dxa"/>
            <w:tcBorders>
              <w:top w:val="nil"/>
              <w:left w:val="single" w:color="000000" w:sz="8" w:space="0"/>
              <w:bottom w:val="single" w:color="000000" w:sz="8" w:space="0"/>
              <w:right w:val="single" w:color="000000" w:sz="8" w:space="0"/>
            </w:tcBorders>
            <w:shd w:val="clear" w:color="auto" w:fill="auto"/>
            <w:tcMar>
              <w:top w:w="10" w:type="dxa"/>
              <w:left w:w="10" w:type="dxa"/>
              <w:right w:w="10" w:type="dxa"/>
            </w:tcMar>
            <w:vAlign w:val="top"/>
          </w:tcPr>
          <w:p w14:paraId="1C7333E6">
            <w:pPr>
              <w:keepNext w:val="0"/>
              <w:keepLines w:val="0"/>
              <w:widowControl/>
              <w:suppressLineNumbers w:val="0"/>
              <w:jc w:val="both"/>
              <w:textAlignment w:val="top"/>
              <w:rPr>
                <w:rFonts w:hint="eastAsia" w:ascii="仿宋" w:hAnsi="仿宋" w:eastAsia="仿宋" w:cs="仿宋"/>
                <w:i w:val="0"/>
                <w:color w:val="auto"/>
                <w:sz w:val="21"/>
                <w:szCs w:val="21"/>
                <w:u w:val="none"/>
              </w:rPr>
            </w:pPr>
            <w:r>
              <w:rPr>
                <w:rFonts w:hint="eastAsia" w:ascii="仿宋" w:hAnsi="仿宋" w:eastAsia="仿宋" w:cs="仿宋"/>
                <w:b/>
                <w:bCs/>
                <w:i w:val="0"/>
                <w:color w:val="auto"/>
                <w:kern w:val="0"/>
                <w:sz w:val="21"/>
                <w:szCs w:val="21"/>
                <w:u w:val="none"/>
                <w:lang w:val="en-US" w:eastAsia="zh-CN" w:bidi="ar"/>
              </w:rPr>
              <w:t>合计</w:t>
            </w:r>
          </w:p>
        </w:tc>
        <w:tc>
          <w:tcPr>
            <w:tcW w:w="623"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190B3425">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98</w:t>
            </w:r>
          </w:p>
        </w:tc>
        <w:tc>
          <w:tcPr>
            <w:tcW w:w="727"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5FFBFFA8">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6369</w:t>
            </w:r>
          </w:p>
        </w:tc>
        <w:tc>
          <w:tcPr>
            <w:tcW w:w="904"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5E849339">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3700</w:t>
            </w:r>
          </w:p>
        </w:tc>
        <w:tc>
          <w:tcPr>
            <w:tcW w:w="812"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55BB4895">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1232</w:t>
            </w:r>
          </w:p>
        </w:tc>
        <w:tc>
          <w:tcPr>
            <w:tcW w:w="744"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2B612E03">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420</w:t>
            </w:r>
          </w:p>
        </w:tc>
        <w:tc>
          <w:tcPr>
            <w:tcW w:w="811" w:type="dxa"/>
            <w:tcBorders>
              <w:top w:val="nil"/>
              <w:left w:val="nil"/>
              <w:bottom w:val="single" w:color="000000" w:sz="8" w:space="0"/>
              <w:right w:val="single" w:color="000000" w:sz="8" w:space="0"/>
            </w:tcBorders>
            <w:shd w:val="clear" w:color="auto" w:fill="auto"/>
            <w:tcMar>
              <w:top w:w="10" w:type="dxa"/>
              <w:left w:w="10" w:type="dxa"/>
              <w:right w:w="10" w:type="dxa"/>
            </w:tcMar>
            <w:vAlign w:val="top"/>
          </w:tcPr>
          <w:p w14:paraId="3EBB8B45">
            <w:pPr>
              <w:keepNext w:val="0"/>
              <w:keepLines w:val="0"/>
              <w:widowControl/>
              <w:suppressLineNumbers w:val="0"/>
              <w:jc w:val="center"/>
              <w:textAlignment w:val="top"/>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189</w:t>
            </w:r>
          </w:p>
        </w:tc>
        <w:tc>
          <w:tcPr>
            <w:tcW w:w="1022" w:type="dxa"/>
            <w:tcBorders>
              <w:top w:val="nil"/>
              <w:left w:val="nil"/>
              <w:bottom w:val="single" w:color="000000" w:sz="8" w:space="0"/>
              <w:right w:val="single" w:color="000000" w:sz="8" w:space="0"/>
            </w:tcBorders>
            <w:shd w:val="clear" w:color="auto" w:fill="auto"/>
            <w:noWrap/>
            <w:tcMar>
              <w:top w:w="10" w:type="dxa"/>
              <w:left w:w="10" w:type="dxa"/>
              <w:right w:w="10" w:type="dxa"/>
            </w:tcMar>
            <w:vAlign w:val="center"/>
          </w:tcPr>
          <w:p w14:paraId="66F8C270">
            <w:pPr>
              <w:keepNext w:val="0"/>
              <w:keepLines w:val="0"/>
              <w:widowControl/>
              <w:suppressLineNumbers w:val="0"/>
              <w:jc w:val="center"/>
              <w:textAlignment w:val="center"/>
              <w:rPr>
                <w:rFonts w:hint="eastAsia"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1841</w:t>
            </w:r>
          </w:p>
        </w:tc>
        <w:tc>
          <w:tcPr>
            <w:tcW w:w="749" w:type="dxa"/>
            <w:tcBorders>
              <w:top w:val="nil"/>
              <w:left w:val="nil"/>
              <w:bottom w:val="single" w:color="000000" w:sz="8" w:space="0"/>
              <w:right w:val="single" w:color="000000" w:sz="8" w:space="0"/>
            </w:tcBorders>
            <w:shd w:val="clear" w:color="auto" w:fill="auto"/>
            <w:noWrap/>
            <w:tcMar>
              <w:top w:w="10" w:type="dxa"/>
              <w:left w:w="10" w:type="dxa"/>
              <w:right w:w="10" w:type="dxa"/>
            </w:tcMar>
            <w:vAlign w:val="center"/>
          </w:tcPr>
          <w:p w14:paraId="4364A319">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12008</w:t>
            </w:r>
          </w:p>
        </w:tc>
        <w:tc>
          <w:tcPr>
            <w:tcW w:w="808" w:type="dxa"/>
            <w:tcBorders>
              <w:top w:val="nil"/>
              <w:left w:val="nil"/>
              <w:bottom w:val="single" w:color="000000" w:sz="8" w:space="0"/>
              <w:right w:val="single" w:color="000000" w:sz="8" w:space="0"/>
            </w:tcBorders>
            <w:shd w:val="clear" w:color="auto" w:fill="auto"/>
            <w:noWrap/>
            <w:tcMar>
              <w:top w:w="10" w:type="dxa"/>
              <w:left w:w="10" w:type="dxa"/>
              <w:right w:w="10" w:type="dxa"/>
            </w:tcMar>
            <w:vAlign w:val="center"/>
          </w:tcPr>
          <w:p w14:paraId="081DCAF7">
            <w:pPr>
              <w:keepNext w:val="0"/>
              <w:keepLines w:val="0"/>
              <w:widowControl/>
              <w:suppressLineNumbers w:val="0"/>
              <w:jc w:val="center"/>
              <w:textAlignment w:val="center"/>
              <w:rPr>
                <w:rFonts w:hint="eastAsia"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15.33</w:t>
            </w:r>
          </w:p>
        </w:tc>
      </w:tr>
    </w:tbl>
    <w:p w14:paraId="1EF46ED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color w:val="auto"/>
          <w:sz w:val="24"/>
          <w:lang w:val="en-US" w:eastAsia="zh-CN"/>
        </w:rPr>
      </w:pPr>
    </w:p>
    <w:p w14:paraId="3B8F5BE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不同等级旅游资源的类型结构图见图3-3。从图可看出，建筑与设施类旅游资源数量占绝对优势，其在一级、二级、三级、四级、五级资源总量中的占比分别为57.25%、45.68%、55.68%、36.90%和17.99%。未获等级资源中，建筑与设施类旅游资源占比最大，达到55.10%。</w:t>
      </w:r>
    </w:p>
    <w:p w14:paraId="0619C885">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eastAsia" w:ascii="宋体" w:hAnsi="宋体" w:cs="宋体"/>
          <w:b/>
          <w:bCs/>
          <w:color w:val="auto"/>
          <w:sz w:val="30"/>
          <w:szCs w:val="30"/>
          <w:lang w:val="en-US" w:eastAsia="zh-CN"/>
        </w:rPr>
      </w:pPr>
      <w:r>
        <w:rPr>
          <w:rFonts w:hint="eastAsia" w:ascii="宋体" w:hAnsi="宋体" w:cs="宋体"/>
          <w:b/>
          <w:bCs/>
          <w:color w:val="auto"/>
          <w:sz w:val="30"/>
          <w:szCs w:val="30"/>
          <w:lang w:val="en-US" w:eastAsia="zh-CN"/>
        </w:rPr>
        <w:drawing>
          <wp:inline distT="0" distB="0" distL="114300" distR="114300">
            <wp:extent cx="5269865" cy="2574290"/>
            <wp:effectExtent l="0" t="0" r="6985" b="16510"/>
            <wp:docPr id="3" name="图片 3" descr="焦作市级别类型分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焦作市级别类型分类"/>
                    <pic:cNvPicPr>
                      <a:picLocks noChangeAspect="1"/>
                    </pic:cNvPicPr>
                  </pic:nvPicPr>
                  <pic:blipFill>
                    <a:blip r:embed="rId10"/>
                    <a:stretch>
                      <a:fillRect/>
                    </a:stretch>
                  </pic:blipFill>
                  <pic:spPr>
                    <a:xfrm>
                      <a:off x="0" y="0"/>
                      <a:ext cx="5269865" cy="2574290"/>
                    </a:xfrm>
                    <a:prstGeom prst="rect">
                      <a:avLst/>
                    </a:prstGeom>
                  </pic:spPr>
                </pic:pic>
              </a:graphicData>
            </a:graphic>
          </wp:inline>
        </w:drawing>
      </w:r>
    </w:p>
    <w:p w14:paraId="51899321">
      <w:pPr>
        <w:pStyle w:val="7"/>
        <w:jc w:val="center"/>
        <w:rPr>
          <w:rFonts w:hint="eastAsia" w:ascii="宋体" w:hAnsi="宋体" w:eastAsia="宋体" w:cs="宋体"/>
          <w:color w:val="auto"/>
          <w:spacing w:val="7"/>
          <w:kern w:val="2"/>
          <w:sz w:val="21"/>
          <w:szCs w:val="21"/>
          <w:lang w:val="en-US" w:eastAsia="zh-CN" w:bidi="ar-SA"/>
          <w14:textOutline w14:w="3795" w14:cap="flat" w14:cmpd="sng">
            <w14:solidFill>
              <w14:srgbClr w14:val="000000"/>
            </w14:solidFill>
            <w14:prstDash w14:val="solid"/>
            <w14:miter w14:val="0"/>
          </w14:textOutline>
        </w:rPr>
      </w:pPr>
      <w:r>
        <w:rPr>
          <w:rFonts w:hint="eastAsia" w:ascii="宋体" w:hAnsi="宋体" w:eastAsia="宋体" w:cs="宋体"/>
          <w:color w:val="auto"/>
          <w:spacing w:val="7"/>
          <w:kern w:val="2"/>
          <w:sz w:val="21"/>
          <w:szCs w:val="21"/>
          <w:lang w:val="en-US" w:eastAsia="zh-CN" w:bidi="ar-SA"/>
          <w14:textOutline w14:w="3795" w14:cap="flat" w14:cmpd="sng">
            <w14:solidFill>
              <w14:srgbClr w14:val="000000"/>
            </w14:solidFill>
            <w14:prstDash w14:val="solid"/>
            <w14:miter w14:val="0"/>
          </w14:textOutline>
        </w:rPr>
        <w:t>图3-3 焦作市各级旅游资源占比图</w:t>
      </w:r>
    </w:p>
    <w:p w14:paraId="3034DF89">
      <w:pPr>
        <w:pStyle w:val="7"/>
        <w:rPr>
          <w:rFonts w:hint="default"/>
          <w:color w:val="auto"/>
          <w:lang w:val="en-US" w:eastAsia="zh-CN"/>
        </w:rPr>
      </w:pPr>
    </w:p>
    <w:p w14:paraId="51FA88E3">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2"/>
        <w:rPr>
          <w:rFonts w:hint="eastAsia" w:ascii="宋体" w:hAnsi="宋体" w:cs="宋体"/>
          <w:b/>
          <w:bCs/>
          <w:color w:val="auto"/>
          <w:sz w:val="30"/>
          <w:szCs w:val="30"/>
          <w:lang w:val="en-US" w:eastAsia="zh-CN"/>
        </w:rPr>
      </w:pPr>
      <w:bookmarkStart w:id="61" w:name="_Toc4696"/>
      <w:r>
        <w:rPr>
          <w:rFonts w:hint="eastAsia" w:ascii="宋体" w:hAnsi="宋体" w:cs="宋体"/>
          <w:b/>
          <w:bCs/>
          <w:color w:val="auto"/>
          <w:sz w:val="30"/>
          <w:szCs w:val="30"/>
          <w:lang w:val="en-US" w:eastAsia="zh-CN"/>
        </w:rPr>
        <w:t>四、县（市、区）资源数量结构</w:t>
      </w:r>
      <w:bookmarkEnd w:id="61"/>
    </w:p>
    <w:p w14:paraId="3B06D97B">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全市共普查旅游资源单体12008</w:t>
      </w:r>
      <w:r>
        <w:rPr>
          <w:rFonts w:hint="eastAsia" w:ascii="Times New Roman" w:hAnsi="Times New Roman" w:cs="Times New Roman"/>
          <w:color w:val="auto"/>
          <w:sz w:val="24"/>
          <w:lang w:val="en-US" w:eastAsia="zh-CN"/>
        </w:rPr>
        <w:t>处</w:t>
      </w:r>
      <w:r>
        <w:rPr>
          <w:rFonts w:hint="eastAsia" w:ascii="Times New Roman" w:hAnsi="Times New Roman" w:eastAsia="宋体" w:cs="Times New Roman"/>
          <w:color w:val="auto"/>
          <w:sz w:val="24"/>
          <w:lang w:val="en-US" w:eastAsia="zh-CN"/>
        </w:rPr>
        <w:t>，覆盖全市</w:t>
      </w:r>
      <w:r>
        <w:rPr>
          <w:rFonts w:hint="eastAsia" w:ascii="Times New Roman" w:hAnsi="Times New Roman" w:cs="Times New Roman"/>
          <w:color w:val="auto"/>
          <w:sz w:val="24"/>
          <w:lang w:val="en-US" w:eastAsia="zh-CN"/>
        </w:rPr>
        <w:t>11</w:t>
      </w:r>
      <w:r>
        <w:rPr>
          <w:rFonts w:hint="eastAsia" w:ascii="Times New Roman" w:hAnsi="Times New Roman" w:eastAsia="宋体" w:cs="Times New Roman"/>
          <w:color w:val="auto"/>
          <w:sz w:val="24"/>
          <w:lang w:val="en-US" w:eastAsia="zh-CN"/>
        </w:rPr>
        <w:t>个县（市、区），</w:t>
      </w:r>
      <w:r>
        <w:rPr>
          <w:rFonts w:hint="eastAsia" w:ascii="Times New Roman" w:hAnsi="Times New Roman" w:cs="Times New Roman"/>
          <w:color w:val="auto"/>
          <w:sz w:val="24"/>
          <w:lang w:val="en-US" w:eastAsia="zh-CN"/>
        </w:rPr>
        <w:t>根据省级普查单位要求和对新建无代码的功能区的归口要求，现有的高新区划入山阳区统计。因此，按照10个县（市、区）统计。1000处以上的有6个</w:t>
      </w:r>
      <w:r>
        <w:rPr>
          <w:rFonts w:hint="eastAsia" w:ascii="Times New Roman" w:hAnsi="Times New Roman" w:eastAsia="宋体" w:cs="Times New Roman"/>
          <w:color w:val="auto"/>
          <w:sz w:val="24"/>
          <w:lang w:val="en-US" w:eastAsia="zh-CN"/>
        </w:rPr>
        <w:t>县（市、区）</w:t>
      </w:r>
      <w:r>
        <w:rPr>
          <w:rFonts w:hint="eastAsia" w:ascii="Times New Roman" w:hAnsi="Times New Roman" w:cs="Times New Roman"/>
          <w:color w:val="auto"/>
          <w:sz w:val="24"/>
          <w:lang w:val="en-US" w:eastAsia="zh-CN"/>
        </w:rPr>
        <w:t>，从高到低分别为修武县3029处，博爱县1647处，沁阳市1571处，山阳区1053处，温县1031处，孟州市1026处。低于1000处的有武陟县893处，解放区801处，中站区504处，马村区453处，</w:t>
      </w:r>
      <w:r>
        <w:rPr>
          <w:rFonts w:hint="eastAsia" w:ascii="Times New Roman" w:hAnsi="Times New Roman" w:eastAsia="宋体" w:cs="Times New Roman"/>
          <w:color w:val="auto"/>
          <w:sz w:val="24"/>
          <w:lang w:val="en-US" w:eastAsia="zh-CN"/>
        </w:rPr>
        <w:t>详见</w:t>
      </w:r>
      <w:r>
        <w:rPr>
          <w:rFonts w:hint="eastAsia" w:ascii="Times New Roman" w:hAnsi="Times New Roman" w:cs="Times New Roman"/>
          <w:color w:val="auto"/>
          <w:sz w:val="24"/>
          <w:lang w:val="en-US" w:eastAsia="zh-CN"/>
        </w:rPr>
        <w:t>图</w:t>
      </w:r>
      <w:r>
        <w:rPr>
          <w:rFonts w:hint="eastAsia" w:ascii="Times New Roman" w:hAnsi="Times New Roman" w:eastAsia="宋体" w:cs="Times New Roman"/>
          <w:color w:val="auto"/>
          <w:sz w:val="24"/>
          <w:lang w:val="en-US" w:eastAsia="zh-CN"/>
        </w:rPr>
        <w:t>3-</w:t>
      </w:r>
      <w:r>
        <w:rPr>
          <w:rFonts w:hint="eastAsia" w:ascii="Times New Roman" w:hAnsi="Times New Roman" w:cs="Times New Roman"/>
          <w:color w:val="auto"/>
          <w:sz w:val="24"/>
          <w:lang w:val="en-US" w:eastAsia="zh-CN"/>
        </w:rPr>
        <w:t>4</w:t>
      </w:r>
      <w:r>
        <w:rPr>
          <w:rFonts w:hint="eastAsia" w:ascii="Times New Roman" w:hAnsi="Times New Roman" w:eastAsia="宋体" w:cs="Times New Roman"/>
          <w:color w:val="auto"/>
          <w:sz w:val="24"/>
          <w:lang w:val="en-US" w:eastAsia="zh-CN"/>
        </w:rPr>
        <w:t>。</w:t>
      </w:r>
    </w:p>
    <w:p w14:paraId="114B86D6">
      <w:pPr>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eastAsiaTheme="minorEastAsia"/>
          <w:color w:val="auto"/>
          <w:lang w:eastAsia="zh-CN"/>
        </w:rPr>
      </w:pPr>
      <w:r>
        <w:rPr>
          <w:rFonts w:hint="eastAsia" w:eastAsiaTheme="minorEastAsia"/>
          <w:color w:val="auto"/>
          <w:lang w:eastAsia="zh-CN"/>
        </w:rPr>
        <w:drawing>
          <wp:inline distT="0" distB="0" distL="114300" distR="114300">
            <wp:extent cx="5073015" cy="2502535"/>
            <wp:effectExtent l="4445" t="4445" r="8890" b="7620"/>
            <wp:docPr id="39" name="图表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5767D1D">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图3-4 焦作市各县（市、区）旅游资源总量图</w:t>
      </w:r>
    </w:p>
    <w:p w14:paraId="65B4D2DF">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2"/>
        <w:rPr>
          <w:rFonts w:hint="default" w:ascii="宋体" w:hAnsi="宋体" w:cs="宋体"/>
          <w:b/>
          <w:bCs/>
          <w:color w:val="auto"/>
          <w:sz w:val="30"/>
          <w:szCs w:val="30"/>
          <w:lang w:val="en-US" w:eastAsia="zh-CN"/>
        </w:rPr>
      </w:pPr>
      <w:bookmarkStart w:id="62" w:name="_Toc23162"/>
      <w:r>
        <w:rPr>
          <w:rFonts w:hint="eastAsia" w:ascii="宋体" w:hAnsi="宋体" w:cs="宋体"/>
          <w:b/>
          <w:bCs/>
          <w:color w:val="auto"/>
          <w:sz w:val="30"/>
          <w:szCs w:val="30"/>
          <w:lang w:val="en-US" w:eastAsia="zh-CN"/>
        </w:rPr>
        <w:t>五、新发现旅游资源分析</w:t>
      </w:r>
      <w:bookmarkEnd w:id="62"/>
    </w:p>
    <w:p w14:paraId="38FA7E1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普查结果显示，全市新发现旅游资源单体1662处，占本次普查旅游资源单体总量的13.84%，其中五级资源8处，四级资源15处，三级资源151处，新发现优良级资源单体总计174处</w:t>
      </w:r>
      <w:r>
        <w:rPr>
          <w:rFonts w:hint="eastAsia" w:ascii="Times New Roman" w:hAnsi="Times New Roman" w:cs="Times New Roman"/>
          <w:color w:val="auto"/>
          <w:sz w:val="24"/>
          <w:lang w:val="en-US" w:eastAsia="zh-CN"/>
        </w:rPr>
        <w:t>，具体见表3-6。五级新发现资源为修武甲板创村荻池岭狮子岭、修武裴庄村台地、峰林峡天空之恋观景台、云台山云溪谷灯光秀、西大井1919文旅景区、温县蜜雪集团·大咖国际茶饮梦工厂、温县沉浸式演出《印象太极》、焦作猿仙通背拳。</w:t>
      </w:r>
    </w:p>
    <w:p w14:paraId="42052032">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表3-6  新发现旅游资源分类</w:t>
      </w:r>
    </w:p>
    <w:tbl>
      <w:tblPr>
        <w:tblStyle w:val="15"/>
        <w:tblW w:w="8519" w:type="dxa"/>
        <w:tblInd w:w="0" w:type="dxa"/>
        <w:shd w:val="clear" w:color="auto" w:fill="auto"/>
        <w:tblLayout w:type="autofit"/>
        <w:tblCellMar>
          <w:top w:w="0" w:type="dxa"/>
          <w:left w:w="0" w:type="dxa"/>
          <w:bottom w:w="0" w:type="dxa"/>
          <w:right w:w="0" w:type="dxa"/>
        </w:tblCellMar>
      </w:tblPr>
      <w:tblGrid>
        <w:gridCol w:w="1792"/>
        <w:gridCol w:w="961"/>
        <w:gridCol w:w="890"/>
        <w:gridCol w:w="890"/>
        <w:gridCol w:w="890"/>
        <w:gridCol w:w="890"/>
        <w:gridCol w:w="890"/>
        <w:gridCol w:w="1316"/>
      </w:tblGrid>
      <w:tr w14:paraId="7892C87E">
        <w:tblPrEx>
          <w:shd w:val="clear" w:color="auto" w:fill="auto"/>
          <w:tblCellMar>
            <w:top w:w="0" w:type="dxa"/>
            <w:left w:w="0" w:type="dxa"/>
            <w:bottom w:w="0" w:type="dxa"/>
            <w:right w:w="0" w:type="dxa"/>
          </w:tblCellMar>
        </w:tblPrEx>
        <w:trPr>
          <w:trHeight w:val="357" w:hRule="atLeast"/>
        </w:trPr>
        <w:tc>
          <w:tcPr>
            <w:tcW w:w="1792"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BD7182A">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资源类型</w:t>
            </w:r>
          </w:p>
        </w:tc>
        <w:tc>
          <w:tcPr>
            <w:tcW w:w="96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216E651">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总量</w:t>
            </w:r>
          </w:p>
        </w:tc>
        <w:tc>
          <w:tcPr>
            <w:tcW w:w="5766"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EBBED8A">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资源品级</w:t>
            </w:r>
          </w:p>
        </w:tc>
      </w:tr>
      <w:tr w14:paraId="004D26B2">
        <w:tblPrEx>
          <w:tblCellMar>
            <w:top w:w="0" w:type="dxa"/>
            <w:left w:w="0" w:type="dxa"/>
            <w:bottom w:w="0" w:type="dxa"/>
            <w:right w:w="0" w:type="dxa"/>
          </w:tblCellMar>
        </w:tblPrEx>
        <w:trPr>
          <w:trHeight w:val="357" w:hRule="atLeast"/>
        </w:trPr>
        <w:tc>
          <w:tcPr>
            <w:tcW w:w="179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52E285F">
            <w:pPr>
              <w:jc w:val="center"/>
              <w:rPr>
                <w:rFonts w:hint="eastAsia" w:ascii="仿宋" w:hAnsi="仿宋" w:eastAsia="仿宋" w:cs="仿宋"/>
                <w:b/>
                <w:bCs/>
                <w:i w:val="0"/>
                <w:color w:val="auto"/>
                <w:sz w:val="21"/>
                <w:szCs w:val="21"/>
                <w:u w:val="none"/>
              </w:rPr>
            </w:pPr>
          </w:p>
        </w:tc>
        <w:tc>
          <w:tcPr>
            <w:tcW w:w="96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4CBF1D8">
            <w:pPr>
              <w:jc w:val="center"/>
              <w:rPr>
                <w:rFonts w:hint="eastAsia" w:ascii="仿宋" w:hAnsi="仿宋" w:eastAsia="仿宋" w:cs="仿宋"/>
                <w:b/>
                <w:bCs/>
                <w:i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8F05F36">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五级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B31D0E1">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四级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DEADBD8">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三级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A6D860A">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二级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0778123">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一级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AD9E5DE">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未定级</w:t>
            </w:r>
          </w:p>
        </w:tc>
      </w:tr>
      <w:tr w14:paraId="2E4170EE">
        <w:tblPrEx>
          <w:tblCellMar>
            <w:top w:w="0" w:type="dxa"/>
            <w:left w:w="0" w:type="dxa"/>
            <w:bottom w:w="0" w:type="dxa"/>
            <w:right w:w="0" w:type="dxa"/>
          </w:tblCellMar>
        </w:tblPrEx>
        <w:trPr>
          <w:trHeight w:val="3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0251ED7">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地文景观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66B4331">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654C8A4">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334BDF1">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66B3E4A">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65D7B83">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07D31C1">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E50FE2F">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r>
      <w:tr w14:paraId="4247EC1A">
        <w:tblPrEx>
          <w:tblCellMar>
            <w:top w:w="0" w:type="dxa"/>
            <w:left w:w="0" w:type="dxa"/>
            <w:bottom w:w="0" w:type="dxa"/>
            <w:right w:w="0" w:type="dxa"/>
          </w:tblCellMar>
        </w:tblPrEx>
        <w:trPr>
          <w:trHeight w:val="3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B9650AC">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水域景观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194B3DE">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08EF0F3">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9DF175A">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81B4BFC">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AD78B9B">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57BAE26">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A673738">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r>
      <w:tr w14:paraId="3CE8F75E">
        <w:tblPrEx>
          <w:tblCellMar>
            <w:top w:w="0" w:type="dxa"/>
            <w:left w:w="0" w:type="dxa"/>
            <w:bottom w:w="0" w:type="dxa"/>
            <w:right w:w="0" w:type="dxa"/>
          </w:tblCellMar>
        </w:tblPrEx>
        <w:trPr>
          <w:trHeight w:val="3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1BBDCF8">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生物景观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30D4932">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BCE72FA">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C9D4EB3">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11B30F8">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4BB4A44">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32802C6">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2C38660">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6</w:t>
            </w:r>
          </w:p>
        </w:tc>
      </w:tr>
      <w:tr w14:paraId="5080513A">
        <w:tblPrEx>
          <w:tblCellMar>
            <w:top w:w="0" w:type="dxa"/>
            <w:left w:w="0" w:type="dxa"/>
            <w:bottom w:w="0" w:type="dxa"/>
            <w:right w:w="0" w:type="dxa"/>
          </w:tblCellMar>
        </w:tblPrEx>
        <w:trPr>
          <w:trHeight w:val="3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2FF3C74">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天象与气候景观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A2D90EE">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205C8C8">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96139EA">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16308F1">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7253D5C">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94AACCF">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3010694">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r>
      <w:tr w14:paraId="3358ED5C">
        <w:tblPrEx>
          <w:tblCellMar>
            <w:top w:w="0" w:type="dxa"/>
            <w:left w:w="0" w:type="dxa"/>
            <w:bottom w:w="0" w:type="dxa"/>
            <w:right w:w="0" w:type="dxa"/>
          </w:tblCellMar>
        </w:tblPrEx>
        <w:trPr>
          <w:trHeight w:val="3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7FBFD20">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建筑与设施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CBE64F2">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901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9E9C6B5">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E14DCDC">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A1F964E">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6D1DE71">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CF57F44">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563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8D3F5E3">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8</w:t>
            </w:r>
          </w:p>
        </w:tc>
      </w:tr>
      <w:tr w14:paraId="1C1FF27B">
        <w:tblPrEx>
          <w:tblCellMar>
            <w:top w:w="0" w:type="dxa"/>
            <w:left w:w="0" w:type="dxa"/>
            <w:bottom w:w="0" w:type="dxa"/>
            <w:right w:w="0" w:type="dxa"/>
          </w:tblCellMar>
        </w:tblPrEx>
        <w:trPr>
          <w:trHeight w:val="3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5A848A8">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历史遗迹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58E38E6">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E1A84AF">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9ABC15B">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6C49A90">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0BE5B66">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30E5A51">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2650894">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w:t>
            </w:r>
          </w:p>
        </w:tc>
      </w:tr>
      <w:tr w14:paraId="01E03CC3">
        <w:tblPrEx>
          <w:tblCellMar>
            <w:top w:w="0" w:type="dxa"/>
            <w:left w:w="0" w:type="dxa"/>
            <w:bottom w:w="0" w:type="dxa"/>
            <w:right w:w="0" w:type="dxa"/>
          </w:tblCellMar>
        </w:tblPrEx>
        <w:trPr>
          <w:trHeight w:val="3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93AA8A8">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旅游购品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2D2791E">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4B11D5C">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5202C68">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88E20EF">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BF550BF">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1CB41A0">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FCDDDEB">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w:t>
            </w:r>
          </w:p>
        </w:tc>
      </w:tr>
      <w:tr w14:paraId="726E536D">
        <w:tblPrEx>
          <w:tblCellMar>
            <w:top w:w="0" w:type="dxa"/>
            <w:left w:w="0" w:type="dxa"/>
            <w:bottom w:w="0" w:type="dxa"/>
            <w:right w:w="0" w:type="dxa"/>
          </w:tblCellMar>
        </w:tblPrEx>
        <w:trPr>
          <w:trHeight w:val="3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D2859A9">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人文活动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3794D1B">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D0D998E">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C1B9FA4">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3AC31A3">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4A7BA69">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C7E04A9">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A157C14">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r>
    </w:tbl>
    <w:p w14:paraId="7E35356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color w:val="auto"/>
        </w:rPr>
      </w:pPr>
      <w:r>
        <w:rPr>
          <w:rFonts w:hint="eastAsia" w:ascii="Times New Roman" w:hAnsi="Times New Roman" w:eastAsia="宋体" w:cs="Times New Roman"/>
          <w:color w:val="auto"/>
          <w:sz w:val="24"/>
          <w:lang w:val="en-US" w:eastAsia="zh-CN"/>
        </w:rPr>
        <w:t>新发现旅游资源中，地文景观187处，水域景观68处，生物景观202处，天象与气候景观5处，建筑与设施901处，历史遗迹141处，旅游购品110处，人文活动48处。其中，建筑与设施类资源总量远超其他类型，无论是绝对数量还是优良级数量均占据绝对优势，人文类为主导的资源结构性特征明显。</w:t>
      </w:r>
      <w:r>
        <w:rPr>
          <w:rFonts w:hint="eastAsia" w:ascii="Times New Roman" w:hAnsi="Times New Roman" w:cs="Times New Roman"/>
          <w:color w:val="auto"/>
          <w:sz w:val="24"/>
          <w:lang w:val="en-US" w:eastAsia="zh-CN"/>
        </w:rPr>
        <w:t>各类型数量和占比见图3-5。</w:t>
      </w:r>
    </w:p>
    <w:p w14:paraId="6FC489AA">
      <w:pPr>
        <w:keepNext w:val="0"/>
        <w:keepLines w:val="0"/>
        <w:pageBreakBefore w:val="0"/>
        <w:widowControl w:val="0"/>
        <w:kinsoku/>
        <w:wordWrap/>
        <w:overflowPunct/>
        <w:topLinePunct w:val="0"/>
        <w:autoSpaceDE/>
        <w:autoSpaceDN/>
        <w:bidi w:val="0"/>
        <w:adjustRightInd/>
        <w:snapToGrid/>
        <w:ind w:firstLine="420" w:firstLineChars="200"/>
        <w:textAlignment w:val="auto"/>
        <w:rPr>
          <w:color w:val="auto"/>
        </w:rPr>
      </w:pPr>
      <w:r>
        <w:rPr>
          <w:color w:val="auto"/>
        </w:rPr>
        <w:drawing>
          <wp:inline distT="0" distB="0" distL="114300" distR="114300">
            <wp:extent cx="4947285" cy="3371215"/>
            <wp:effectExtent l="4445" t="4445" r="20320" b="15240"/>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70BC8EDA">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图3-5  新发现资源分类占比</w:t>
      </w:r>
    </w:p>
    <w:p w14:paraId="2A59B1B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新发现资源的总量、构成及优良级资源聚集度在</w:t>
      </w:r>
      <w:r>
        <w:rPr>
          <w:rFonts w:hint="eastAsia" w:ascii="Times New Roman" w:hAnsi="Times New Roman" w:cs="Times New Roman"/>
          <w:color w:val="auto"/>
          <w:sz w:val="24"/>
          <w:lang w:val="en-US" w:eastAsia="zh-CN"/>
        </w:rPr>
        <w:t>市</w:t>
      </w:r>
      <w:r>
        <w:rPr>
          <w:rFonts w:hint="eastAsia" w:ascii="Times New Roman" w:hAnsi="Times New Roman" w:eastAsia="宋体" w:cs="Times New Roman"/>
          <w:color w:val="auto"/>
          <w:sz w:val="24"/>
          <w:lang w:val="en-US" w:eastAsia="zh-CN"/>
        </w:rPr>
        <w:t>内不同区域呈现出显著差异</w:t>
      </w:r>
      <w:r>
        <w:rPr>
          <w:rFonts w:hint="eastAsia" w:ascii="Times New Roman" w:hAnsi="Times New Roman" w:cs="Times New Roman"/>
          <w:color w:val="auto"/>
          <w:sz w:val="24"/>
          <w:lang w:val="en-US" w:eastAsia="zh-CN"/>
        </w:rPr>
        <w:t>，具体见表3-7。从总数来看，修武县、沁阳市、中站区位居前三名。按照新发现资源占当地资源总量的比例来看，中站区、沁阳市和解放区位居前三名。</w:t>
      </w:r>
    </w:p>
    <w:p w14:paraId="50220C25">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表3-7  新发现旅游资源区域分布</w:t>
      </w:r>
    </w:p>
    <w:tbl>
      <w:tblPr>
        <w:tblStyle w:val="15"/>
        <w:tblW w:w="8680" w:type="dxa"/>
        <w:tblInd w:w="0" w:type="dxa"/>
        <w:shd w:val="clear" w:color="auto" w:fill="auto"/>
        <w:tblLayout w:type="fixed"/>
        <w:tblCellMar>
          <w:top w:w="0" w:type="dxa"/>
          <w:left w:w="0" w:type="dxa"/>
          <w:bottom w:w="0" w:type="dxa"/>
          <w:right w:w="0" w:type="dxa"/>
        </w:tblCellMar>
      </w:tblPr>
      <w:tblGrid>
        <w:gridCol w:w="873"/>
        <w:gridCol w:w="843"/>
        <w:gridCol w:w="1576"/>
        <w:gridCol w:w="922"/>
        <w:gridCol w:w="898"/>
        <w:gridCol w:w="948"/>
        <w:gridCol w:w="879"/>
        <w:gridCol w:w="819"/>
        <w:gridCol w:w="922"/>
      </w:tblGrid>
      <w:tr w14:paraId="5B340395">
        <w:tblPrEx>
          <w:shd w:val="clear" w:color="auto" w:fill="auto"/>
          <w:tblCellMar>
            <w:top w:w="0" w:type="dxa"/>
            <w:left w:w="0" w:type="dxa"/>
            <w:bottom w:w="0" w:type="dxa"/>
            <w:right w:w="0" w:type="dxa"/>
          </w:tblCellMar>
        </w:tblPrEx>
        <w:trPr>
          <w:trHeight w:val="523" w:hRule="atLeast"/>
        </w:trPr>
        <w:tc>
          <w:tcPr>
            <w:tcW w:w="87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CCEDF48">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地市</w:t>
            </w:r>
          </w:p>
        </w:tc>
        <w:tc>
          <w:tcPr>
            <w:tcW w:w="2419"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8585314">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数量</w:t>
            </w:r>
          </w:p>
        </w:tc>
        <w:tc>
          <w:tcPr>
            <w:tcW w:w="5388"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92A3611">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资源等级</w:t>
            </w:r>
          </w:p>
        </w:tc>
      </w:tr>
      <w:tr w14:paraId="1A117153">
        <w:tblPrEx>
          <w:tblCellMar>
            <w:top w:w="0" w:type="dxa"/>
            <w:left w:w="0" w:type="dxa"/>
            <w:bottom w:w="0" w:type="dxa"/>
            <w:right w:w="0" w:type="dxa"/>
          </w:tblCellMar>
        </w:tblPrEx>
        <w:trPr>
          <w:trHeight w:val="572" w:hRule="atLeast"/>
        </w:trPr>
        <w:tc>
          <w:tcPr>
            <w:tcW w:w="87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F43B0A7">
            <w:pPr>
              <w:jc w:val="center"/>
              <w:rPr>
                <w:rFonts w:hint="eastAsia" w:ascii="仿宋" w:hAnsi="仿宋" w:eastAsia="仿宋" w:cs="仿宋"/>
                <w:b/>
                <w:bCs/>
                <w:i w:val="0"/>
                <w:color w:val="auto"/>
                <w:sz w:val="21"/>
                <w:szCs w:val="21"/>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85BDE31">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总量</w:t>
            </w:r>
          </w:p>
        </w:tc>
        <w:tc>
          <w:tcPr>
            <w:tcW w:w="157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3139108">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占本地资源总数比例（%）</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A063BB0">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五级</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FEA71EC">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四级</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5128028">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三级</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AF5346B">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二级</w:t>
            </w: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A1DF0B0">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一级</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349365D">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未定级</w:t>
            </w:r>
          </w:p>
        </w:tc>
      </w:tr>
      <w:tr w14:paraId="7BEFD6CD">
        <w:tblPrEx>
          <w:tblCellMar>
            <w:top w:w="0" w:type="dxa"/>
            <w:left w:w="0" w:type="dxa"/>
            <w:bottom w:w="0" w:type="dxa"/>
            <w:right w:w="0" w:type="dxa"/>
          </w:tblCellMar>
        </w:tblPrEx>
        <w:trPr>
          <w:trHeight w:val="523" w:hRule="atLeast"/>
        </w:trPr>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E021EB4">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博爱县</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0E0C068">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21</w:t>
            </w: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804FC9F">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1.28</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C8BB88A">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700F70A">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D955437">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3</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0F8B3A2">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w:t>
            </w: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DFA4532">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17</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5A821BB">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r>
      <w:tr w14:paraId="2A2AE2DC">
        <w:tblPrEx>
          <w:tblCellMar>
            <w:top w:w="0" w:type="dxa"/>
            <w:left w:w="0" w:type="dxa"/>
            <w:bottom w:w="0" w:type="dxa"/>
            <w:right w:w="0" w:type="dxa"/>
          </w:tblCellMar>
        </w:tblPrEx>
        <w:trPr>
          <w:trHeight w:val="523" w:hRule="atLeast"/>
        </w:trPr>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344F70E">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解放区</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7480A4D">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163</w:t>
            </w: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80A360B">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20.35</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27E50D8">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BF66B9A">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3</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DD73EAA">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42</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8E1E78D">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38</w:t>
            </w: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2690E67">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79</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6F6EA8E">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r>
      <w:tr w14:paraId="3039F77F">
        <w:tblPrEx>
          <w:tblCellMar>
            <w:top w:w="0" w:type="dxa"/>
            <w:left w:w="0" w:type="dxa"/>
            <w:bottom w:w="0" w:type="dxa"/>
            <w:right w:w="0" w:type="dxa"/>
          </w:tblCellMar>
        </w:tblPrEx>
        <w:trPr>
          <w:trHeight w:val="523" w:hRule="atLeast"/>
        </w:trPr>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9C1A9D8">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马村区</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BC8A364">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86</w:t>
            </w: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606AA05">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18.98</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2BF5F15">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39A3487">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9657B62">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6F32BFC">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9</w:t>
            </w: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6EF7478">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76</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A38E4CA">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r>
      <w:tr w14:paraId="54D18514">
        <w:tblPrEx>
          <w:tblCellMar>
            <w:top w:w="0" w:type="dxa"/>
            <w:left w:w="0" w:type="dxa"/>
            <w:bottom w:w="0" w:type="dxa"/>
            <w:right w:w="0" w:type="dxa"/>
          </w:tblCellMar>
        </w:tblPrEx>
        <w:trPr>
          <w:trHeight w:val="523" w:hRule="atLeast"/>
        </w:trPr>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69E5FE3">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孟州市</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1060214">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59</w:t>
            </w: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15C0262">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5.75</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18FD941">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D5D9B28">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D5B2749">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7</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D77EEB6">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33</w:t>
            </w: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89641A9">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18</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33AE2B0">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r>
      <w:tr w14:paraId="4BE3007B">
        <w:tblPrEx>
          <w:tblCellMar>
            <w:top w:w="0" w:type="dxa"/>
            <w:left w:w="0" w:type="dxa"/>
            <w:bottom w:w="0" w:type="dxa"/>
            <w:right w:w="0" w:type="dxa"/>
          </w:tblCellMar>
        </w:tblPrEx>
        <w:trPr>
          <w:trHeight w:val="523" w:hRule="atLeast"/>
        </w:trPr>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0A3A81F">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沁阳市</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D423503">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337</w:t>
            </w: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A9BB60A">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21.45</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C62822A">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377A83D">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6ED890F">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21</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8010263">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82</w:t>
            </w: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66577F9">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231</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7B2A4E6">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w:t>
            </w:r>
          </w:p>
        </w:tc>
      </w:tr>
      <w:tr w14:paraId="6CF717BE">
        <w:tblPrEx>
          <w:tblCellMar>
            <w:top w:w="0" w:type="dxa"/>
            <w:left w:w="0" w:type="dxa"/>
            <w:bottom w:w="0" w:type="dxa"/>
            <w:right w:w="0" w:type="dxa"/>
          </w:tblCellMar>
        </w:tblPrEx>
        <w:trPr>
          <w:trHeight w:val="523" w:hRule="atLeast"/>
        </w:trPr>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64FAD86">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山阳区</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AC67D53">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138</w:t>
            </w: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04A86CF">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13.11</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F667026">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A169F50">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04CFD95">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3</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684185D">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48</w:t>
            </w: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87DD588">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87</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B457728">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r>
      <w:tr w14:paraId="56645632">
        <w:tblPrEx>
          <w:tblCellMar>
            <w:top w:w="0" w:type="dxa"/>
            <w:left w:w="0" w:type="dxa"/>
            <w:bottom w:w="0" w:type="dxa"/>
            <w:right w:w="0" w:type="dxa"/>
          </w:tblCellMar>
        </w:tblPrEx>
        <w:trPr>
          <w:trHeight w:val="523" w:hRule="atLeast"/>
        </w:trPr>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857C407">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温县</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E0774D8">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20</w:t>
            </w: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DF08F1F">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1.94</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69D8934">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B7A5C7E">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467E4AF">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4200F2C">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7</w:t>
            </w: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9B15DBD">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10</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BE53D49">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r>
      <w:tr w14:paraId="423AD1C1">
        <w:tblPrEx>
          <w:tblCellMar>
            <w:top w:w="0" w:type="dxa"/>
            <w:left w:w="0" w:type="dxa"/>
            <w:bottom w:w="0" w:type="dxa"/>
            <w:right w:w="0" w:type="dxa"/>
          </w:tblCellMar>
        </w:tblPrEx>
        <w:trPr>
          <w:trHeight w:val="523" w:hRule="atLeast"/>
        </w:trPr>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889174E">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武陟县</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D7EB325">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89</w:t>
            </w: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14DB1DE">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9.97</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86007BD">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26E3884">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852E615">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CDD1351">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22</w:t>
            </w: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B21DED7">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66</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2B56CAD">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r>
      <w:tr w14:paraId="50CD3916">
        <w:tblPrEx>
          <w:tblCellMar>
            <w:top w:w="0" w:type="dxa"/>
            <w:left w:w="0" w:type="dxa"/>
            <w:bottom w:w="0" w:type="dxa"/>
            <w:right w:w="0" w:type="dxa"/>
          </w:tblCellMar>
        </w:tblPrEx>
        <w:trPr>
          <w:trHeight w:val="523" w:hRule="atLeast"/>
        </w:trPr>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2029CED">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修武县</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DD35638">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549</w:t>
            </w: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71FED96">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18.12</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DE3C4A2">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4</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BFB7A75">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9</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B6CD188">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57</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805E761">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182</w:t>
            </w: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003BCF4">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297</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464B5E3">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r>
      <w:tr w14:paraId="067F3B00">
        <w:tblPrEx>
          <w:tblCellMar>
            <w:top w:w="0" w:type="dxa"/>
            <w:left w:w="0" w:type="dxa"/>
            <w:bottom w:w="0" w:type="dxa"/>
            <w:right w:w="0" w:type="dxa"/>
          </w:tblCellMar>
        </w:tblPrEx>
        <w:trPr>
          <w:trHeight w:val="566" w:hRule="atLeast"/>
        </w:trPr>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A51748C">
            <w:pPr>
              <w:keepNext w:val="0"/>
              <w:keepLines w:val="0"/>
              <w:widowControl/>
              <w:suppressLineNumbers w:val="0"/>
              <w:jc w:val="center"/>
              <w:textAlignment w:val="center"/>
              <w:rPr>
                <w:rFonts w:hint="eastAsia" w:ascii="仿宋" w:hAnsi="仿宋" w:eastAsia="仿宋" w:cs="仿宋"/>
                <w:b/>
                <w:bCs/>
                <w:i w:val="0"/>
                <w:color w:val="auto"/>
                <w:sz w:val="21"/>
                <w:szCs w:val="21"/>
                <w:u w:val="none"/>
              </w:rPr>
            </w:pPr>
            <w:r>
              <w:rPr>
                <w:rFonts w:hint="eastAsia" w:ascii="仿宋" w:hAnsi="仿宋" w:eastAsia="仿宋" w:cs="仿宋"/>
                <w:b/>
                <w:bCs/>
                <w:i w:val="0"/>
                <w:color w:val="auto"/>
                <w:kern w:val="0"/>
                <w:sz w:val="21"/>
                <w:szCs w:val="21"/>
                <w:u w:val="none"/>
                <w:lang w:val="en-US" w:eastAsia="zh-CN" w:bidi="ar"/>
              </w:rPr>
              <w:t>中站区</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E7D13CA">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200</w:t>
            </w: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7B7E060">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39.68</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5E34F41">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w:t>
            </w:r>
          </w:p>
        </w:tc>
        <w:tc>
          <w:tcPr>
            <w:tcW w:w="89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0675CCC">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0</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F1C4D65">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15</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F2A711A">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47</w:t>
            </w: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C764F78">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121</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085AFE3">
            <w:pPr>
              <w:keepNext w:val="0"/>
              <w:keepLines w:val="0"/>
              <w:widowControl/>
              <w:suppressLineNumbers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16</w:t>
            </w:r>
          </w:p>
        </w:tc>
      </w:tr>
    </w:tbl>
    <w:p w14:paraId="687C3FD2">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宋体" w:hAnsi="宋体" w:eastAsia="宋体" w:cs="宋体"/>
          <w:b/>
          <w:bCs/>
          <w:color w:val="auto"/>
          <w:sz w:val="30"/>
          <w:szCs w:val="30"/>
          <w:lang w:val="en-US" w:eastAsia="zh-CN"/>
        </w:rPr>
      </w:pPr>
      <w:bookmarkStart w:id="63" w:name="_Toc1847"/>
      <w:r>
        <w:rPr>
          <w:rFonts w:hint="eastAsia" w:ascii="宋体" w:hAnsi="宋体" w:eastAsia="宋体" w:cs="宋体"/>
          <w:b/>
          <w:bCs/>
          <w:color w:val="auto"/>
          <w:sz w:val="30"/>
          <w:szCs w:val="30"/>
        </w:rPr>
        <w:t>第</w:t>
      </w:r>
      <w:r>
        <w:rPr>
          <w:rFonts w:hint="eastAsia" w:ascii="宋体" w:hAnsi="宋体" w:eastAsia="宋体" w:cs="宋体"/>
          <w:b/>
          <w:bCs/>
          <w:color w:val="auto"/>
          <w:sz w:val="30"/>
          <w:szCs w:val="30"/>
          <w:lang w:eastAsia="zh-CN"/>
        </w:rPr>
        <w:t>二</w:t>
      </w:r>
      <w:r>
        <w:rPr>
          <w:rFonts w:hint="eastAsia" w:ascii="宋体" w:hAnsi="宋体" w:eastAsia="宋体" w:cs="宋体"/>
          <w:b/>
          <w:bCs/>
          <w:color w:val="auto"/>
          <w:sz w:val="30"/>
          <w:szCs w:val="30"/>
        </w:rPr>
        <w:t>节</w:t>
      </w:r>
      <w:r>
        <w:rPr>
          <w:rFonts w:hint="eastAsia" w:ascii="宋体" w:hAnsi="宋体" w:eastAsia="宋体" w:cs="宋体"/>
          <w:b/>
          <w:bCs/>
          <w:color w:val="auto"/>
          <w:sz w:val="30"/>
          <w:szCs w:val="30"/>
          <w:lang w:val="en-US" w:eastAsia="zh-CN"/>
        </w:rPr>
        <w:t xml:space="preserve"> 旅游资源类型及特征</w:t>
      </w:r>
      <w:bookmarkEnd w:id="63"/>
    </w:p>
    <w:p w14:paraId="44E42E8D">
      <w:pPr>
        <w:keepNext w:val="0"/>
        <w:keepLines w:val="0"/>
        <w:pageBreakBefore w:val="0"/>
        <w:widowControl w:val="0"/>
        <w:kinsoku/>
        <w:wordWrap/>
        <w:overflowPunct/>
        <w:topLinePunct w:val="0"/>
        <w:autoSpaceDE/>
        <w:autoSpaceDN/>
        <w:bidi w:val="0"/>
        <w:adjustRightInd/>
        <w:snapToGrid/>
        <w:jc w:val="both"/>
        <w:textAlignment w:val="auto"/>
        <w:outlineLvl w:val="2"/>
        <w:rPr>
          <w:rFonts w:hint="eastAsia" w:ascii="宋体" w:hAnsi="宋体" w:eastAsia="宋体" w:cs="宋体"/>
          <w:b/>
          <w:bCs/>
          <w:color w:val="auto"/>
          <w:sz w:val="28"/>
          <w:szCs w:val="28"/>
          <w:lang w:val="en-US" w:eastAsia="zh-CN"/>
        </w:rPr>
      </w:pPr>
      <w:bookmarkStart w:id="64" w:name="_Toc11078"/>
      <w:r>
        <w:rPr>
          <w:rFonts w:hint="eastAsia" w:ascii="宋体" w:hAnsi="宋体" w:eastAsia="宋体" w:cs="宋体"/>
          <w:b/>
          <w:bCs/>
          <w:color w:val="auto"/>
          <w:sz w:val="28"/>
          <w:szCs w:val="28"/>
          <w:lang w:val="en-US" w:eastAsia="zh-CN"/>
        </w:rPr>
        <w:t>一、地文景观类</w:t>
      </w:r>
      <w:bookmarkEnd w:id="64"/>
    </w:p>
    <w:p w14:paraId="281D463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本次普查全市共查明地文景观类旅游资源940</w:t>
      </w:r>
      <w:r>
        <w:rPr>
          <w:rFonts w:hint="default" w:ascii="Times New Roman" w:hAnsi="Times New Roman" w:cs="Times New Roman"/>
          <w:color w:val="auto"/>
          <w:sz w:val="24"/>
          <w:lang w:val="en-US" w:eastAsia="zh-CN"/>
        </w:rPr>
        <w:t>处，占</w:t>
      </w:r>
      <w:r>
        <w:rPr>
          <w:rFonts w:hint="eastAsia" w:ascii="Times New Roman" w:hAnsi="Times New Roman" w:cs="Times New Roman"/>
          <w:color w:val="auto"/>
          <w:sz w:val="24"/>
          <w:lang w:val="en-US" w:eastAsia="zh-CN"/>
        </w:rPr>
        <w:t>全市</w:t>
      </w:r>
      <w:r>
        <w:rPr>
          <w:rFonts w:hint="default" w:ascii="Times New Roman" w:hAnsi="Times New Roman" w:cs="Times New Roman"/>
          <w:color w:val="auto"/>
          <w:sz w:val="24"/>
          <w:lang w:val="en-US" w:eastAsia="zh-CN"/>
        </w:rPr>
        <w:t>旅游</w:t>
      </w:r>
      <w:r>
        <w:rPr>
          <w:rFonts w:hint="eastAsia" w:ascii="Times New Roman" w:hAnsi="Times New Roman" w:cs="Times New Roman"/>
          <w:color w:val="auto"/>
          <w:sz w:val="24"/>
          <w:lang w:val="en-US" w:eastAsia="zh-CN"/>
        </w:rPr>
        <w:t>资源</w:t>
      </w:r>
      <w:r>
        <w:rPr>
          <w:rFonts w:hint="default" w:ascii="Times New Roman" w:hAnsi="Times New Roman" w:cs="Times New Roman"/>
          <w:color w:val="auto"/>
          <w:sz w:val="24"/>
          <w:lang w:val="en-US" w:eastAsia="zh-CN"/>
        </w:rPr>
        <w:t>总</w:t>
      </w:r>
      <w:r>
        <w:rPr>
          <w:rFonts w:hint="eastAsia" w:ascii="Times New Roman" w:hAnsi="Times New Roman" w:cs="Times New Roman"/>
          <w:color w:val="auto"/>
          <w:sz w:val="24"/>
          <w:lang w:val="en-US" w:eastAsia="zh-CN"/>
        </w:rPr>
        <w:t>量的7.83%，</w:t>
      </w:r>
      <w:r>
        <w:rPr>
          <w:rFonts w:hint="default" w:ascii="Times New Roman" w:hAnsi="Times New Roman" w:cs="Times New Roman"/>
          <w:color w:val="auto"/>
          <w:sz w:val="24"/>
          <w:lang w:val="en-US" w:eastAsia="zh-CN"/>
        </w:rPr>
        <w:t>其中新发现新认定资源</w:t>
      </w:r>
      <w:r>
        <w:rPr>
          <w:rFonts w:hint="eastAsia" w:ascii="Times New Roman" w:hAnsi="Times New Roman" w:cs="Times New Roman"/>
          <w:color w:val="auto"/>
          <w:sz w:val="24"/>
          <w:lang w:val="en-US" w:eastAsia="zh-CN"/>
        </w:rPr>
        <w:t>187</w:t>
      </w:r>
      <w:r>
        <w:rPr>
          <w:rFonts w:hint="default" w:ascii="Times New Roman" w:hAnsi="Times New Roman" w:cs="Times New Roman"/>
          <w:color w:val="auto"/>
          <w:sz w:val="24"/>
          <w:lang w:val="en-US" w:eastAsia="zh-CN"/>
        </w:rPr>
        <w:t>处，占地文景观总量</w:t>
      </w:r>
      <w:r>
        <w:rPr>
          <w:rFonts w:hint="eastAsia" w:ascii="Times New Roman" w:hAnsi="Times New Roman" w:cs="Times New Roman"/>
          <w:color w:val="auto"/>
          <w:sz w:val="24"/>
          <w:lang w:val="en-US" w:eastAsia="zh-CN"/>
        </w:rPr>
        <w:t>19.89</w:t>
      </w:r>
      <w:r>
        <w:rPr>
          <w:rFonts w:hint="default" w:ascii="Times New Roman" w:hAnsi="Times New Roman" w:cs="Times New Roman"/>
          <w:color w:val="auto"/>
          <w:sz w:val="24"/>
          <w:lang w:val="en-US" w:eastAsia="zh-CN"/>
        </w:rPr>
        <w:t>%，地文景观类旅</w:t>
      </w:r>
      <w:r>
        <w:rPr>
          <w:rFonts w:hint="eastAsia" w:ascii="Times New Roman" w:hAnsi="Times New Roman" w:cs="Times New Roman"/>
          <w:color w:val="auto"/>
          <w:sz w:val="24"/>
          <w:lang w:val="en-US" w:eastAsia="zh-CN"/>
        </w:rPr>
        <w:t>游资源分布于</w:t>
      </w:r>
      <w:r>
        <w:rPr>
          <w:rFonts w:hint="default" w:ascii="Times New Roman" w:hAnsi="Times New Roman" w:cs="Times New Roman"/>
          <w:color w:val="auto"/>
          <w:sz w:val="24"/>
          <w:lang w:val="en-US" w:eastAsia="zh-CN"/>
        </w:rPr>
        <w:t>4个亚类、</w:t>
      </w:r>
      <w:r>
        <w:rPr>
          <w:rFonts w:hint="eastAsia" w:ascii="Times New Roman" w:hAnsi="Times New Roman" w:cs="Times New Roman"/>
          <w:color w:val="auto"/>
          <w:sz w:val="24"/>
          <w:lang w:val="en-US" w:eastAsia="zh-CN"/>
        </w:rPr>
        <w:t>17</w:t>
      </w:r>
      <w:r>
        <w:rPr>
          <w:rFonts w:hint="default" w:ascii="Times New Roman" w:hAnsi="Times New Roman" w:cs="Times New Roman"/>
          <w:color w:val="auto"/>
          <w:sz w:val="24"/>
          <w:lang w:val="en-US" w:eastAsia="zh-CN"/>
        </w:rPr>
        <w:t>个基本类型。</w:t>
      </w:r>
      <w:r>
        <w:rPr>
          <w:rFonts w:hint="eastAsia" w:ascii="Times New Roman" w:hAnsi="Times New Roman" w:cs="Times New Roman"/>
          <w:color w:val="auto"/>
          <w:sz w:val="24"/>
          <w:lang w:val="en-US" w:eastAsia="zh-CN"/>
        </w:rPr>
        <w:t>各类型总量和新发现数量见表3-8所示。</w:t>
      </w:r>
    </w:p>
    <w:p w14:paraId="38888BDB">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表3-8 地文景观旅游资源分类统计表</w:t>
      </w:r>
    </w:p>
    <w:tbl>
      <w:tblPr>
        <w:tblStyle w:val="15"/>
        <w:tblW w:w="82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58"/>
        <w:gridCol w:w="670"/>
        <w:gridCol w:w="975"/>
        <w:gridCol w:w="743"/>
        <w:gridCol w:w="2075"/>
        <w:gridCol w:w="894"/>
        <w:gridCol w:w="913"/>
      </w:tblGrid>
      <w:tr w14:paraId="6520F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jc w:val="center"/>
        </w:trPr>
        <w:tc>
          <w:tcPr>
            <w:tcW w:w="195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8918535">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lang w:val="en-US"/>
              </w:rPr>
            </w:pPr>
            <w:r>
              <w:rPr>
                <w:rFonts w:hint="eastAsia" w:ascii="仿宋" w:hAnsi="仿宋" w:eastAsia="仿宋" w:cs="仿宋"/>
                <w:b/>
                <w:bCs/>
                <w:i w:val="0"/>
                <w:iCs w:val="0"/>
                <w:color w:val="auto"/>
                <w:kern w:val="0"/>
                <w:sz w:val="21"/>
                <w:szCs w:val="21"/>
                <w:u w:val="none"/>
                <w:lang w:val="en-US" w:eastAsia="zh-CN" w:bidi="ar"/>
              </w:rPr>
              <w:t>资源基本类型</w:t>
            </w:r>
          </w:p>
          <w:p w14:paraId="71BDF9E8">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lang w:val="en-US"/>
              </w:rPr>
            </w:pPr>
          </w:p>
        </w:tc>
        <w:tc>
          <w:tcPr>
            <w:tcW w:w="6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29EF02D">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r>
              <w:rPr>
                <w:rFonts w:hint="eastAsia" w:ascii="仿宋" w:hAnsi="仿宋" w:eastAsia="仿宋" w:cs="仿宋"/>
                <w:b/>
                <w:bCs/>
                <w:i w:val="0"/>
                <w:iCs w:val="0"/>
                <w:color w:val="auto"/>
                <w:kern w:val="0"/>
                <w:sz w:val="21"/>
                <w:szCs w:val="21"/>
                <w:u w:val="none"/>
                <w:lang w:val="en-US" w:eastAsia="zh-CN" w:bidi="ar"/>
              </w:rPr>
              <w:t>总量</w:t>
            </w:r>
          </w:p>
        </w:tc>
        <w:tc>
          <w:tcPr>
            <w:tcW w:w="97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FB372FA">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r>
              <w:rPr>
                <w:rFonts w:hint="eastAsia" w:ascii="仿宋" w:hAnsi="仿宋" w:eastAsia="仿宋" w:cs="仿宋"/>
                <w:b/>
                <w:bCs/>
                <w:i w:val="0"/>
                <w:iCs w:val="0"/>
                <w:color w:val="auto"/>
                <w:kern w:val="0"/>
                <w:sz w:val="21"/>
                <w:szCs w:val="21"/>
                <w:u w:val="none"/>
                <w:lang w:val="en-US" w:eastAsia="zh-CN" w:bidi="ar"/>
              </w:rPr>
              <w:t>新发现数量</w:t>
            </w:r>
          </w:p>
        </w:tc>
        <w:tc>
          <w:tcPr>
            <w:tcW w:w="743" w:type="dxa"/>
            <w:vMerge w:val="restart"/>
            <w:tcBorders>
              <w:top w:val="single" w:color="000000" w:sz="8" w:space="0"/>
              <w:left w:val="single" w:color="000000" w:sz="8" w:space="0"/>
              <w:right w:val="single" w:color="000000" w:sz="8" w:space="0"/>
            </w:tcBorders>
            <w:shd w:val="clear" w:color="auto" w:fill="auto"/>
            <w:vAlign w:val="center"/>
          </w:tcPr>
          <w:p w14:paraId="73400755">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p>
        </w:tc>
        <w:tc>
          <w:tcPr>
            <w:tcW w:w="207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25B0B1B">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资源基本类型</w:t>
            </w:r>
          </w:p>
        </w:tc>
        <w:tc>
          <w:tcPr>
            <w:tcW w:w="89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07CB4EB">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总量</w:t>
            </w:r>
          </w:p>
        </w:tc>
        <w:tc>
          <w:tcPr>
            <w:tcW w:w="91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0BE00EC">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新发现数量</w:t>
            </w:r>
          </w:p>
        </w:tc>
      </w:tr>
      <w:tr w14:paraId="7C32E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nil"/>
              <w:left w:val="single" w:color="000000" w:sz="8" w:space="0"/>
              <w:bottom w:val="single" w:color="000000" w:sz="8" w:space="0"/>
              <w:right w:val="single" w:color="000000" w:sz="8" w:space="0"/>
            </w:tcBorders>
            <w:shd w:val="clear" w:color="auto" w:fill="auto"/>
            <w:vAlign w:val="center"/>
          </w:tcPr>
          <w:p w14:paraId="5A769F5A">
            <w:pPr>
              <w:keepNext w:val="0"/>
              <w:keepLines w:val="0"/>
              <w:widowControl/>
              <w:suppressLineNumbers w:val="0"/>
              <w:jc w:val="both"/>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AA 自然景观综合体</w:t>
            </w:r>
          </w:p>
        </w:tc>
        <w:tc>
          <w:tcPr>
            <w:tcW w:w="670" w:type="dxa"/>
            <w:tcBorders>
              <w:top w:val="nil"/>
              <w:left w:val="single" w:color="000000" w:sz="8" w:space="0"/>
              <w:bottom w:val="single" w:color="000000" w:sz="8" w:space="0"/>
              <w:right w:val="single" w:color="000000" w:sz="8" w:space="0"/>
            </w:tcBorders>
            <w:shd w:val="clear" w:color="auto" w:fill="auto"/>
            <w:vAlign w:val="center"/>
          </w:tcPr>
          <w:p w14:paraId="1B0DF5C6">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200</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146EA8EE">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15</w:t>
            </w:r>
          </w:p>
        </w:tc>
        <w:tc>
          <w:tcPr>
            <w:tcW w:w="743" w:type="dxa"/>
            <w:vMerge w:val="continue"/>
            <w:tcBorders>
              <w:left w:val="single" w:color="000000" w:sz="8" w:space="0"/>
              <w:right w:val="single" w:color="000000" w:sz="8" w:space="0"/>
            </w:tcBorders>
            <w:shd w:val="clear" w:color="auto" w:fill="auto"/>
            <w:vAlign w:val="center"/>
          </w:tcPr>
          <w:p w14:paraId="37532FD8">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3E7EADA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AC  地表形态</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1517B9B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584</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45AAE460">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135</w:t>
            </w:r>
          </w:p>
        </w:tc>
      </w:tr>
      <w:tr w14:paraId="0A693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nil"/>
              <w:left w:val="single" w:color="000000" w:sz="8" w:space="0"/>
              <w:bottom w:val="single" w:color="auto" w:sz="4" w:space="0"/>
              <w:right w:val="single" w:color="000000" w:sz="8" w:space="0"/>
            </w:tcBorders>
            <w:shd w:val="clear" w:color="auto" w:fill="auto"/>
            <w:vAlign w:val="center"/>
          </w:tcPr>
          <w:p w14:paraId="7E5CCC1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AAA山丘型景观</w:t>
            </w:r>
          </w:p>
        </w:tc>
        <w:tc>
          <w:tcPr>
            <w:tcW w:w="670" w:type="dxa"/>
            <w:tcBorders>
              <w:top w:val="nil"/>
              <w:left w:val="single" w:color="000000" w:sz="8" w:space="0"/>
              <w:bottom w:val="single" w:color="auto" w:sz="4" w:space="0"/>
              <w:right w:val="single" w:color="000000" w:sz="8" w:space="0"/>
            </w:tcBorders>
            <w:shd w:val="clear" w:color="auto" w:fill="auto"/>
            <w:vAlign w:val="center"/>
          </w:tcPr>
          <w:p w14:paraId="27F350B3">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95</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6A06F710">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sz w:val="21"/>
                <w:szCs w:val="21"/>
                <w:u w:val="none"/>
                <w:lang w:val="en-US" w:eastAsia="zh-CN"/>
              </w:rPr>
              <w:t>3</w:t>
            </w:r>
          </w:p>
        </w:tc>
        <w:tc>
          <w:tcPr>
            <w:tcW w:w="743" w:type="dxa"/>
            <w:vMerge w:val="continue"/>
            <w:tcBorders>
              <w:left w:val="single" w:color="000000" w:sz="8" w:space="0"/>
              <w:right w:val="single" w:color="000000" w:sz="8" w:space="0"/>
            </w:tcBorders>
            <w:shd w:val="clear" w:color="auto" w:fill="auto"/>
            <w:vAlign w:val="center"/>
          </w:tcPr>
          <w:p w14:paraId="4C9FB4C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21CB688E">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ACA台丘状地景</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10466B26">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23</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02C0DEC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5</w:t>
            </w:r>
          </w:p>
        </w:tc>
      </w:tr>
      <w:tr w14:paraId="71C2B8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35B9CBC3">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AAB台地型景观</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7FD7D252">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30</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00EBD4B1">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sz w:val="21"/>
                <w:szCs w:val="21"/>
                <w:u w:val="none"/>
                <w:lang w:val="en-US" w:eastAsia="zh-CN"/>
              </w:rPr>
              <w:t>6</w:t>
            </w:r>
          </w:p>
        </w:tc>
        <w:tc>
          <w:tcPr>
            <w:tcW w:w="743" w:type="dxa"/>
            <w:vMerge w:val="continue"/>
            <w:tcBorders>
              <w:left w:val="single" w:color="000000" w:sz="8" w:space="0"/>
              <w:right w:val="single" w:color="000000" w:sz="8" w:space="0"/>
            </w:tcBorders>
            <w:shd w:val="clear" w:color="auto" w:fill="auto"/>
            <w:vAlign w:val="center"/>
          </w:tcPr>
          <w:p w14:paraId="6247F8B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047A25A8">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ACB峰柱状地景</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6F48433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149</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1F020E36">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35</w:t>
            </w:r>
          </w:p>
        </w:tc>
      </w:tr>
      <w:tr w14:paraId="36F4AF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08575A1F">
            <w:pPr>
              <w:jc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AAC沟谷型景观</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6C4D10FF">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68</w:t>
            </w:r>
          </w:p>
        </w:tc>
        <w:tc>
          <w:tcPr>
            <w:tcW w:w="975" w:type="dxa"/>
            <w:tcBorders>
              <w:top w:val="nil"/>
              <w:left w:val="single" w:color="000000" w:sz="8" w:space="0"/>
              <w:bottom w:val="single" w:color="auto" w:sz="4" w:space="0"/>
              <w:right w:val="single" w:color="000000" w:sz="8" w:space="0"/>
            </w:tcBorders>
            <w:shd w:val="clear" w:color="auto" w:fill="auto"/>
            <w:vAlign w:val="center"/>
          </w:tcPr>
          <w:p w14:paraId="60DED35E">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sz w:val="21"/>
                <w:szCs w:val="21"/>
                <w:u w:val="none"/>
                <w:lang w:val="en-US" w:eastAsia="zh-CN"/>
              </w:rPr>
              <w:t>6</w:t>
            </w:r>
          </w:p>
        </w:tc>
        <w:tc>
          <w:tcPr>
            <w:tcW w:w="743" w:type="dxa"/>
            <w:vMerge w:val="continue"/>
            <w:tcBorders>
              <w:left w:val="single" w:color="000000" w:sz="8" w:space="0"/>
              <w:right w:val="single" w:color="000000" w:sz="8" w:space="0"/>
            </w:tcBorders>
            <w:shd w:val="clear" w:color="auto" w:fill="auto"/>
            <w:vAlign w:val="center"/>
          </w:tcPr>
          <w:p w14:paraId="7832C78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auto" w:sz="4" w:space="0"/>
              <w:right w:val="single" w:color="000000" w:sz="8" w:space="0"/>
            </w:tcBorders>
            <w:shd w:val="clear" w:color="auto" w:fill="auto"/>
            <w:vAlign w:val="center"/>
          </w:tcPr>
          <w:p w14:paraId="3D7F5AE9">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ACC垄岗状地景</w:t>
            </w:r>
          </w:p>
        </w:tc>
        <w:tc>
          <w:tcPr>
            <w:tcW w:w="894" w:type="dxa"/>
            <w:tcBorders>
              <w:top w:val="nil"/>
              <w:left w:val="single" w:color="000000" w:sz="8" w:space="0"/>
              <w:bottom w:val="single" w:color="auto" w:sz="4" w:space="0"/>
              <w:right w:val="single" w:color="000000" w:sz="8" w:space="0"/>
            </w:tcBorders>
            <w:shd w:val="clear" w:color="auto" w:fill="auto"/>
            <w:vAlign w:val="center"/>
          </w:tcPr>
          <w:p w14:paraId="26A94B2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16</w:t>
            </w:r>
          </w:p>
        </w:tc>
        <w:tc>
          <w:tcPr>
            <w:tcW w:w="913" w:type="dxa"/>
            <w:tcBorders>
              <w:top w:val="nil"/>
              <w:left w:val="single" w:color="000000" w:sz="8" w:space="0"/>
              <w:bottom w:val="single" w:color="auto" w:sz="4" w:space="0"/>
              <w:right w:val="single" w:color="000000" w:sz="8" w:space="0"/>
            </w:tcBorders>
            <w:shd w:val="clear" w:color="auto" w:fill="auto"/>
            <w:vAlign w:val="center"/>
          </w:tcPr>
          <w:p w14:paraId="15B0338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6</w:t>
            </w:r>
          </w:p>
        </w:tc>
      </w:tr>
      <w:tr w14:paraId="24983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06332017">
            <w:pPr>
              <w:jc w:val="both"/>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AAD滩地型景观</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0864BA0C">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7</w:t>
            </w:r>
          </w:p>
        </w:tc>
        <w:tc>
          <w:tcPr>
            <w:tcW w:w="975" w:type="dxa"/>
            <w:tcBorders>
              <w:top w:val="single" w:color="auto" w:sz="4" w:space="0"/>
              <w:left w:val="single" w:color="000000" w:sz="8" w:space="0"/>
              <w:bottom w:val="single" w:color="000000" w:sz="8" w:space="0"/>
              <w:right w:val="single" w:color="000000" w:sz="8" w:space="0"/>
            </w:tcBorders>
            <w:shd w:val="clear" w:color="auto" w:fill="auto"/>
            <w:vAlign w:val="center"/>
          </w:tcPr>
          <w:p w14:paraId="33EAA49B">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sz w:val="21"/>
                <w:szCs w:val="21"/>
                <w:u w:val="none"/>
                <w:lang w:val="en-US" w:eastAsia="zh-CN"/>
              </w:rPr>
              <w:t>0</w:t>
            </w:r>
          </w:p>
        </w:tc>
        <w:tc>
          <w:tcPr>
            <w:tcW w:w="743" w:type="dxa"/>
            <w:vMerge w:val="continue"/>
            <w:tcBorders>
              <w:left w:val="single" w:color="000000" w:sz="8" w:space="0"/>
              <w:right w:val="single" w:color="000000" w:sz="8" w:space="0"/>
            </w:tcBorders>
            <w:shd w:val="clear" w:color="auto" w:fill="auto"/>
            <w:vAlign w:val="center"/>
          </w:tcPr>
          <w:p w14:paraId="39AF45EF">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single" w:color="auto" w:sz="4" w:space="0"/>
              <w:left w:val="single" w:color="000000" w:sz="8" w:space="0"/>
              <w:bottom w:val="single" w:color="000000" w:sz="8" w:space="0"/>
              <w:right w:val="single" w:color="000000" w:sz="8" w:space="0"/>
            </w:tcBorders>
            <w:shd w:val="clear" w:color="auto" w:fill="auto"/>
            <w:vAlign w:val="center"/>
          </w:tcPr>
          <w:p w14:paraId="6153D307">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ACD沟壑与洞穴</w:t>
            </w:r>
          </w:p>
        </w:tc>
        <w:tc>
          <w:tcPr>
            <w:tcW w:w="894" w:type="dxa"/>
            <w:tcBorders>
              <w:top w:val="single" w:color="auto" w:sz="4" w:space="0"/>
              <w:left w:val="single" w:color="000000" w:sz="8" w:space="0"/>
              <w:bottom w:val="single" w:color="000000" w:sz="8" w:space="0"/>
              <w:right w:val="single" w:color="000000" w:sz="8" w:space="0"/>
            </w:tcBorders>
            <w:shd w:val="clear" w:color="auto" w:fill="auto"/>
            <w:vAlign w:val="center"/>
          </w:tcPr>
          <w:p w14:paraId="2065280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44</w:t>
            </w:r>
          </w:p>
        </w:tc>
        <w:tc>
          <w:tcPr>
            <w:tcW w:w="913" w:type="dxa"/>
            <w:tcBorders>
              <w:top w:val="single" w:color="auto" w:sz="4" w:space="0"/>
              <w:left w:val="single" w:color="000000" w:sz="8" w:space="0"/>
              <w:bottom w:val="single" w:color="000000" w:sz="8" w:space="0"/>
              <w:right w:val="single" w:color="000000" w:sz="8" w:space="0"/>
            </w:tcBorders>
            <w:shd w:val="clear" w:color="auto" w:fill="auto"/>
            <w:vAlign w:val="center"/>
          </w:tcPr>
          <w:p w14:paraId="38ABE489">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8</w:t>
            </w:r>
          </w:p>
        </w:tc>
      </w:tr>
      <w:tr w14:paraId="765052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035C4C4F">
            <w:pPr>
              <w:keepNext w:val="0"/>
              <w:keepLines w:val="0"/>
              <w:widowControl/>
              <w:suppressLineNumbers w:val="0"/>
              <w:jc w:val="both"/>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AB地质与构造形迹</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456A6D3D">
            <w:pPr>
              <w:jc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b/>
                <w:bCs/>
                <w:i w:val="0"/>
                <w:iCs w:val="0"/>
                <w:color w:val="auto"/>
                <w:sz w:val="21"/>
                <w:szCs w:val="21"/>
                <w:u w:val="none"/>
                <w:lang w:val="en-US" w:eastAsia="zh-CN"/>
              </w:rPr>
              <w:t>143</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3ED2EE55">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b/>
                <w:bCs/>
                <w:i w:val="0"/>
                <w:iCs w:val="0"/>
                <w:color w:val="auto"/>
                <w:sz w:val="21"/>
                <w:szCs w:val="21"/>
                <w:u w:val="none"/>
                <w:lang w:val="en-US" w:eastAsia="zh-CN"/>
              </w:rPr>
              <w:t>37</w:t>
            </w:r>
          </w:p>
        </w:tc>
        <w:tc>
          <w:tcPr>
            <w:tcW w:w="743" w:type="dxa"/>
            <w:vMerge w:val="continue"/>
            <w:tcBorders>
              <w:left w:val="single" w:color="000000" w:sz="8" w:space="0"/>
              <w:right w:val="single" w:color="000000" w:sz="8" w:space="0"/>
            </w:tcBorders>
            <w:shd w:val="clear" w:color="auto" w:fill="auto"/>
            <w:vAlign w:val="center"/>
          </w:tcPr>
          <w:p w14:paraId="534ADFF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42EDD54E">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ACE奇特与象形山石</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43094F0E">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340</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1BE3C50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78</w:t>
            </w:r>
          </w:p>
        </w:tc>
      </w:tr>
      <w:tr w14:paraId="75BAC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auto" w:sz="4" w:space="0"/>
              <w:bottom w:val="single" w:color="auto" w:sz="4" w:space="0"/>
              <w:right w:val="single" w:color="000000" w:sz="8" w:space="0"/>
            </w:tcBorders>
            <w:shd w:val="clear" w:color="auto" w:fill="auto"/>
            <w:vAlign w:val="center"/>
          </w:tcPr>
          <w:p w14:paraId="4E267052">
            <w:pPr>
              <w:jc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ABA断裂景观</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3B7DAF53">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95</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6A15BE9B">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sz w:val="21"/>
                <w:szCs w:val="21"/>
                <w:u w:val="none"/>
                <w:lang w:val="en-US" w:eastAsia="zh-CN"/>
              </w:rPr>
              <w:t>25</w:t>
            </w:r>
          </w:p>
        </w:tc>
        <w:tc>
          <w:tcPr>
            <w:tcW w:w="743" w:type="dxa"/>
            <w:vMerge w:val="continue"/>
            <w:tcBorders>
              <w:left w:val="single" w:color="000000" w:sz="8" w:space="0"/>
              <w:right w:val="single" w:color="000000" w:sz="8" w:space="0"/>
            </w:tcBorders>
            <w:shd w:val="clear" w:color="auto" w:fill="auto"/>
            <w:vAlign w:val="center"/>
          </w:tcPr>
          <w:p w14:paraId="62F4E23E">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37806DB6">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ACF岩土圈灾变遗迹</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1CEDD72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12</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551F3D8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w:t>
            </w:r>
          </w:p>
        </w:tc>
      </w:tr>
      <w:tr w14:paraId="426DB1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4C81B136">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ABB褶曲景观</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34AE446B">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7</w:t>
            </w:r>
          </w:p>
        </w:tc>
        <w:tc>
          <w:tcPr>
            <w:tcW w:w="975" w:type="dxa"/>
            <w:tcBorders>
              <w:top w:val="nil"/>
              <w:left w:val="single" w:color="000000" w:sz="8" w:space="0"/>
              <w:bottom w:val="single" w:color="auto" w:sz="4" w:space="0"/>
              <w:right w:val="single" w:color="000000" w:sz="8" w:space="0"/>
            </w:tcBorders>
            <w:shd w:val="clear" w:color="auto" w:fill="auto"/>
            <w:vAlign w:val="center"/>
          </w:tcPr>
          <w:p w14:paraId="58C87DDE">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sz w:val="21"/>
                <w:szCs w:val="21"/>
                <w:u w:val="none"/>
                <w:lang w:val="en-US" w:eastAsia="zh-CN"/>
              </w:rPr>
              <w:t>5</w:t>
            </w:r>
          </w:p>
        </w:tc>
        <w:tc>
          <w:tcPr>
            <w:tcW w:w="743" w:type="dxa"/>
            <w:vMerge w:val="continue"/>
            <w:tcBorders>
              <w:left w:val="single" w:color="000000" w:sz="8" w:space="0"/>
              <w:right w:val="single" w:color="000000" w:sz="8" w:space="0"/>
            </w:tcBorders>
            <w:shd w:val="clear" w:color="auto" w:fill="auto"/>
            <w:vAlign w:val="center"/>
          </w:tcPr>
          <w:p w14:paraId="38A7A77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0E100578">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AD  自然标记与自然现象</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6104796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13</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7CF79926">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r>
      <w:tr w14:paraId="6A0F1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427DE20B">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ABC地层剖面</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05D607C7">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22</w:t>
            </w:r>
          </w:p>
        </w:tc>
        <w:tc>
          <w:tcPr>
            <w:tcW w:w="975" w:type="dxa"/>
            <w:tcBorders>
              <w:top w:val="single" w:color="auto" w:sz="4" w:space="0"/>
              <w:left w:val="single" w:color="000000" w:sz="8" w:space="0"/>
              <w:bottom w:val="single" w:color="000000" w:sz="8" w:space="0"/>
              <w:right w:val="single" w:color="000000" w:sz="8" w:space="0"/>
            </w:tcBorders>
            <w:shd w:val="clear" w:color="auto" w:fill="auto"/>
            <w:vAlign w:val="center"/>
          </w:tcPr>
          <w:p w14:paraId="3394FE2F">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sz w:val="21"/>
                <w:szCs w:val="21"/>
                <w:u w:val="none"/>
                <w:lang w:val="en-US" w:eastAsia="zh-CN"/>
              </w:rPr>
              <w:t>3</w:t>
            </w:r>
          </w:p>
        </w:tc>
        <w:tc>
          <w:tcPr>
            <w:tcW w:w="743" w:type="dxa"/>
            <w:vMerge w:val="continue"/>
            <w:tcBorders>
              <w:left w:val="single" w:color="000000" w:sz="8" w:space="0"/>
              <w:right w:val="single" w:color="000000" w:sz="8" w:space="0"/>
            </w:tcBorders>
            <w:shd w:val="clear" w:color="auto" w:fill="auto"/>
            <w:vAlign w:val="center"/>
          </w:tcPr>
          <w:p w14:paraId="398A486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45A5109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ADA奇异自然现象</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409F7326">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4</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758B265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r>
      <w:tr w14:paraId="53749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737B666A">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ABD生物化石点</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2C1404C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19</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4A287952">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sz w:val="21"/>
                <w:szCs w:val="21"/>
                <w:u w:val="none"/>
                <w:lang w:val="en-US" w:eastAsia="zh-CN"/>
              </w:rPr>
              <w:t>4</w:t>
            </w:r>
          </w:p>
        </w:tc>
        <w:tc>
          <w:tcPr>
            <w:tcW w:w="743" w:type="dxa"/>
            <w:vMerge w:val="continue"/>
            <w:tcBorders>
              <w:left w:val="single" w:color="000000" w:sz="8" w:space="0"/>
              <w:right w:val="single" w:color="000000" w:sz="8" w:space="0"/>
            </w:tcBorders>
            <w:shd w:val="clear" w:color="auto" w:fill="auto"/>
            <w:vAlign w:val="center"/>
          </w:tcPr>
          <w:p w14:paraId="3EAAB0B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02BB1E1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ADB自然标志地</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1A77371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6</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2487A60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r>
      <w:tr w14:paraId="0891D8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17C805E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569D1F3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975" w:type="dxa"/>
            <w:tcBorders>
              <w:top w:val="nil"/>
              <w:left w:val="single" w:color="000000" w:sz="8" w:space="0"/>
              <w:bottom w:val="single" w:color="000000" w:sz="8" w:space="0"/>
              <w:right w:val="single" w:color="000000" w:sz="8" w:space="0"/>
            </w:tcBorders>
            <w:shd w:val="clear" w:color="auto" w:fill="auto"/>
            <w:vAlign w:val="center"/>
          </w:tcPr>
          <w:p w14:paraId="11BA74D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743" w:type="dxa"/>
            <w:vMerge w:val="continue"/>
            <w:tcBorders>
              <w:left w:val="single" w:color="000000" w:sz="8" w:space="0"/>
              <w:bottom w:val="single" w:color="000000" w:sz="8" w:space="0"/>
              <w:right w:val="single" w:color="000000" w:sz="8" w:space="0"/>
            </w:tcBorders>
            <w:shd w:val="clear" w:color="auto" w:fill="auto"/>
            <w:vAlign w:val="center"/>
          </w:tcPr>
          <w:p w14:paraId="1290BFC1">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476DC52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ADC垂直自然带</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73C82BA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5432CE1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r>
    </w:tbl>
    <w:p w14:paraId="18813B07">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lang w:val="en-US" w:eastAsia="zh-CN"/>
        </w:rPr>
      </w:pPr>
    </w:p>
    <w:p w14:paraId="7FF26815">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从4个亚类资源数量来看，除自然标记与自然现象资源相对较少外，其余三个亚类资源量均较为丰富。新发现资源则主要集中分布于地表形态和地质与构造形迹亚类，分别</w:t>
      </w:r>
      <w:r>
        <w:rPr>
          <w:rFonts w:hint="eastAsia" w:ascii="Times New Roman" w:hAnsi="Times New Roman" w:cs="Times New Roman"/>
          <w:color w:val="auto"/>
          <w:sz w:val="24"/>
          <w:lang w:val="en-US" w:eastAsia="zh-CN"/>
        </w:rPr>
        <w:t>为135处和37处，</w:t>
      </w:r>
      <w:r>
        <w:rPr>
          <w:rFonts w:hint="default" w:ascii="Times New Roman" w:hAnsi="Times New Roman" w:cs="Times New Roman"/>
          <w:color w:val="auto"/>
          <w:sz w:val="24"/>
          <w:lang w:val="en-US" w:eastAsia="zh-CN"/>
        </w:rPr>
        <w:t>占地文景观主类新发现总量</w:t>
      </w:r>
      <w:r>
        <w:rPr>
          <w:rFonts w:hint="eastAsia" w:ascii="Times New Roman" w:hAnsi="Times New Roman" w:cs="Times New Roman"/>
          <w:color w:val="auto"/>
          <w:sz w:val="24"/>
          <w:lang w:val="en-US" w:eastAsia="zh-CN"/>
        </w:rPr>
        <w:t>72.19</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和19.79</w:t>
      </w:r>
      <w:r>
        <w:rPr>
          <w:rFonts w:hint="default" w:ascii="Times New Roman" w:hAnsi="Times New Roman" w:cs="Times New Roman"/>
          <w:color w:val="auto"/>
          <w:sz w:val="24"/>
          <w:lang w:val="en-US" w:eastAsia="zh-CN"/>
        </w:rPr>
        <w:t xml:space="preserve">%。 </w:t>
      </w:r>
      <w:r>
        <w:rPr>
          <w:rFonts w:hint="eastAsia" w:ascii="Times New Roman" w:hAnsi="Times New Roman" w:cs="Times New Roman"/>
          <w:color w:val="auto"/>
          <w:sz w:val="24"/>
          <w:lang w:val="en-US" w:eastAsia="zh-CN"/>
        </w:rPr>
        <w:t>其次为自然景观综合体，新发现总量为15处，占比8.02%，自然标记与自然现象亚类无新发现资源。</w:t>
      </w:r>
    </w:p>
    <w:p w14:paraId="6C126E71">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从</w:t>
      </w:r>
      <w:r>
        <w:rPr>
          <w:rFonts w:hint="eastAsia" w:ascii="Times New Roman" w:hAnsi="Times New Roman" w:cs="Times New Roman"/>
          <w:color w:val="auto"/>
          <w:sz w:val="24"/>
          <w:lang w:val="en-US" w:eastAsia="zh-CN"/>
        </w:rPr>
        <w:t>17</w:t>
      </w:r>
      <w:r>
        <w:rPr>
          <w:rFonts w:hint="default" w:ascii="Times New Roman" w:hAnsi="Times New Roman" w:cs="Times New Roman"/>
          <w:color w:val="auto"/>
          <w:sz w:val="24"/>
          <w:lang w:val="en-US" w:eastAsia="zh-CN"/>
        </w:rPr>
        <w:t>个基本类型资源</w:t>
      </w:r>
      <w:r>
        <w:rPr>
          <w:rFonts w:hint="eastAsia" w:ascii="Times New Roman" w:hAnsi="Times New Roman" w:cs="Times New Roman"/>
          <w:color w:val="auto"/>
          <w:sz w:val="24"/>
          <w:lang w:val="en-US" w:eastAsia="zh-CN"/>
        </w:rPr>
        <w:t>总</w:t>
      </w:r>
      <w:r>
        <w:rPr>
          <w:rFonts w:hint="default" w:ascii="Times New Roman" w:hAnsi="Times New Roman" w:cs="Times New Roman"/>
          <w:color w:val="auto"/>
          <w:sz w:val="24"/>
          <w:lang w:val="en-US" w:eastAsia="zh-CN"/>
        </w:rPr>
        <w:t>量来看，</w:t>
      </w:r>
      <w:r>
        <w:rPr>
          <w:rFonts w:hint="eastAsia" w:ascii="Times New Roman" w:hAnsi="Times New Roman" w:cs="Times New Roman"/>
          <w:color w:val="auto"/>
          <w:sz w:val="24"/>
          <w:lang w:val="en-US" w:eastAsia="zh-CN"/>
        </w:rPr>
        <w:t>主要集中在奇特与象形山石、峰柱状地景、山丘型景观、断裂景观和沟谷型景观，总数分别为340处、149处、95处、95处和68处。其余基本类型总量均小于50处。小于10处的有垂直自然带3处、奇异自然现象4处、自然标志地6处、褶曲景观和滩地型景观7处。</w:t>
      </w:r>
    </w:p>
    <w:p w14:paraId="6F3CE7B6">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新发现资源主要分布于奇特与象形山石、</w:t>
      </w:r>
      <w:r>
        <w:rPr>
          <w:rFonts w:hint="eastAsia" w:ascii="Times New Roman" w:hAnsi="Times New Roman" w:cs="Times New Roman"/>
          <w:color w:val="auto"/>
          <w:sz w:val="24"/>
          <w:lang w:val="en-US" w:eastAsia="zh-CN"/>
        </w:rPr>
        <w:t>峰柱状地景和断裂景观</w:t>
      </w:r>
      <w:r>
        <w:rPr>
          <w:rFonts w:hint="default" w:ascii="Times New Roman" w:hAnsi="Times New Roman" w:cs="Times New Roman"/>
          <w:color w:val="auto"/>
          <w:sz w:val="24"/>
          <w:lang w:val="en-US" w:eastAsia="zh-CN"/>
        </w:rPr>
        <w:t>等基本类型</w:t>
      </w:r>
      <w:r>
        <w:rPr>
          <w:rFonts w:hint="eastAsia" w:ascii="Times New Roman" w:hAnsi="Times New Roman" w:cs="Times New Roman"/>
          <w:color w:val="auto"/>
          <w:sz w:val="24"/>
          <w:lang w:val="en-US" w:eastAsia="zh-CN"/>
        </w:rPr>
        <w:t>。</w:t>
      </w:r>
      <w:r>
        <w:rPr>
          <w:rFonts w:hint="default" w:ascii="Times New Roman" w:hAnsi="Times New Roman" w:cs="Times New Roman"/>
          <w:color w:val="auto"/>
          <w:sz w:val="24"/>
          <w:lang w:val="en-US" w:eastAsia="zh-CN"/>
        </w:rPr>
        <w:t>奇特与象形山石数量最多，</w:t>
      </w:r>
      <w:r>
        <w:rPr>
          <w:rFonts w:hint="eastAsia" w:ascii="Times New Roman" w:hAnsi="Times New Roman" w:cs="Times New Roman"/>
          <w:color w:val="auto"/>
          <w:sz w:val="24"/>
          <w:lang w:val="en-US" w:eastAsia="zh-CN"/>
        </w:rPr>
        <w:t>为78处，</w:t>
      </w:r>
      <w:r>
        <w:rPr>
          <w:rFonts w:hint="default" w:ascii="Times New Roman" w:hAnsi="Times New Roman" w:cs="Times New Roman"/>
          <w:color w:val="auto"/>
          <w:sz w:val="24"/>
          <w:lang w:val="en-US" w:eastAsia="zh-CN"/>
        </w:rPr>
        <w:t>占地文景观类</w:t>
      </w:r>
      <w:r>
        <w:rPr>
          <w:rFonts w:hint="eastAsia" w:ascii="Times New Roman" w:hAnsi="Times New Roman" w:cs="Times New Roman"/>
          <w:color w:val="auto"/>
          <w:sz w:val="24"/>
          <w:lang w:val="en-US" w:eastAsia="zh-CN"/>
        </w:rPr>
        <w:t>新发现</w:t>
      </w:r>
      <w:r>
        <w:rPr>
          <w:rFonts w:hint="default" w:ascii="Times New Roman" w:hAnsi="Times New Roman" w:cs="Times New Roman"/>
          <w:color w:val="auto"/>
          <w:sz w:val="24"/>
          <w:lang w:val="en-US" w:eastAsia="zh-CN"/>
        </w:rPr>
        <w:t>总量的</w:t>
      </w:r>
      <w:r>
        <w:rPr>
          <w:rFonts w:hint="eastAsia" w:ascii="Times New Roman" w:hAnsi="Times New Roman" w:cs="Times New Roman"/>
          <w:color w:val="auto"/>
          <w:sz w:val="24"/>
          <w:lang w:val="en-US" w:eastAsia="zh-CN"/>
        </w:rPr>
        <w:t>41.71</w:t>
      </w:r>
      <w:r>
        <w:rPr>
          <w:rFonts w:hint="default" w:ascii="Times New Roman" w:hAnsi="Times New Roman" w:cs="Times New Roman"/>
          <w:color w:val="auto"/>
          <w:sz w:val="24"/>
          <w:lang w:val="en-US" w:eastAsia="zh-CN"/>
        </w:rPr>
        <w:t>%；其次为</w:t>
      </w:r>
      <w:r>
        <w:rPr>
          <w:rFonts w:hint="eastAsia" w:ascii="Times New Roman" w:hAnsi="Times New Roman" w:cs="Times New Roman"/>
          <w:color w:val="auto"/>
          <w:sz w:val="24"/>
          <w:lang w:val="en-US" w:eastAsia="zh-CN"/>
        </w:rPr>
        <w:t>峰柱状地景和断裂景观</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分别为35处和25处，</w:t>
      </w:r>
      <w:r>
        <w:rPr>
          <w:rFonts w:hint="default" w:ascii="Times New Roman" w:hAnsi="Times New Roman" w:cs="Times New Roman"/>
          <w:color w:val="auto"/>
          <w:sz w:val="24"/>
          <w:lang w:val="en-US" w:eastAsia="zh-CN"/>
        </w:rPr>
        <w:t>占地文景观类</w:t>
      </w:r>
      <w:r>
        <w:rPr>
          <w:rFonts w:hint="eastAsia" w:ascii="Times New Roman" w:hAnsi="Times New Roman" w:cs="Times New Roman"/>
          <w:color w:val="auto"/>
          <w:sz w:val="24"/>
          <w:lang w:val="en-US" w:eastAsia="zh-CN"/>
        </w:rPr>
        <w:t>新发现</w:t>
      </w:r>
      <w:r>
        <w:rPr>
          <w:rFonts w:hint="default" w:ascii="Times New Roman" w:hAnsi="Times New Roman" w:cs="Times New Roman"/>
          <w:color w:val="auto"/>
          <w:sz w:val="24"/>
          <w:lang w:val="en-US" w:eastAsia="zh-CN"/>
        </w:rPr>
        <w:t>总量</w:t>
      </w:r>
      <w:r>
        <w:rPr>
          <w:rFonts w:hint="eastAsia" w:ascii="Times New Roman" w:hAnsi="Times New Roman" w:cs="Times New Roman"/>
          <w:color w:val="auto"/>
          <w:sz w:val="24"/>
          <w:lang w:val="en-US" w:eastAsia="zh-CN"/>
        </w:rPr>
        <w:t>的</w:t>
      </w:r>
      <w:r>
        <w:rPr>
          <w:rFonts w:hint="default" w:ascii="Times New Roman" w:hAnsi="Times New Roman" w:cs="Times New Roman"/>
          <w:color w:val="auto"/>
          <w:sz w:val="24"/>
          <w:lang w:val="en-US" w:eastAsia="zh-CN"/>
        </w:rPr>
        <w:t xml:space="preserve"> 1</w:t>
      </w:r>
      <w:r>
        <w:rPr>
          <w:rFonts w:hint="eastAsia" w:ascii="Times New Roman" w:hAnsi="Times New Roman" w:cs="Times New Roman"/>
          <w:color w:val="auto"/>
          <w:sz w:val="24"/>
          <w:lang w:val="en-US" w:eastAsia="zh-CN"/>
        </w:rPr>
        <w:t>8.72</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和13.37%</w:t>
      </w:r>
      <w:r>
        <w:rPr>
          <w:rFonts w:hint="default" w:ascii="Times New Roman" w:hAnsi="Times New Roman" w:cs="Times New Roman"/>
          <w:color w:val="auto"/>
          <w:sz w:val="24"/>
          <w:lang w:val="en-US" w:eastAsia="zh-CN"/>
        </w:rPr>
        <w:t>。</w:t>
      </w:r>
    </w:p>
    <w:p w14:paraId="3C73CA63">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总体看来，全市地文景观资源具有分布广、类型全、数量多的特点，这与焦作市独特的地质构造背景、变化多样的地形地貌相吻合。</w:t>
      </w:r>
    </w:p>
    <w:p w14:paraId="4740AB0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3"/>
        <w:rPr>
          <w:rFonts w:hint="eastAsia" w:ascii="宋体" w:hAnsi="宋体" w:eastAsia="宋体" w:cs="宋体"/>
          <w:b/>
          <w:bCs/>
          <w:color w:val="auto"/>
          <w:sz w:val="24"/>
          <w:szCs w:val="24"/>
          <w:lang w:val="en-US" w:eastAsia="zh-CN"/>
        </w:rPr>
      </w:pPr>
      <w:r>
        <w:rPr>
          <w:rFonts w:hint="eastAsia" w:ascii="宋体" w:hAnsi="宋体" w:cs="宋体"/>
          <w:b/>
          <w:bCs/>
          <w:color w:val="auto"/>
          <w:sz w:val="24"/>
          <w:szCs w:val="24"/>
          <w:lang w:val="en-US" w:eastAsia="zh-CN"/>
        </w:rPr>
        <w:t>（一）</w:t>
      </w:r>
      <w:r>
        <w:rPr>
          <w:rFonts w:hint="eastAsia" w:ascii="宋体" w:hAnsi="宋体" w:eastAsia="宋体" w:cs="宋体"/>
          <w:b/>
          <w:bCs/>
          <w:color w:val="auto"/>
          <w:sz w:val="24"/>
          <w:szCs w:val="24"/>
          <w:lang w:val="en-US" w:eastAsia="zh-CN"/>
        </w:rPr>
        <w:t>自然景观综合体亚类</w:t>
      </w:r>
    </w:p>
    <w:p w14:paraId="59703E9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本次普查共查明自然景观综合体200处，其中，山丘型景观数量最多，占该亚类总量的47.5%，其次为沟谷型景观占该亚类总量的34%。台地型和滩地型景观相对较少，分别占该亚类的15%和3.5%。</w:t>
      </w:r>
    </w:p>
    <w:p w14:paraId="79639A4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自然景观综合体亚类中新发现资源15处，其中台地型景观和沟谷型景观数量最多，均占到该亚类新发现资源总量的40%，其次为山丘型景观，占比20%。</w:t>
      </w:r>
    </w:p>
    <w:p w14:paraId="648EDA86">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表3-9 自然景观综合体亚类典型资源名录</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2"/>
        <w:gridCol w:w="5980"/>
      </w:tblGrid>
      <w:tr w14:paraId="60160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tcPr>
          <w:p w14:paraId="553997A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资源类型</w:t>
            </w:r>
          </w:p>
        </w:tc>
        <w:tc>
          <w:tcPr>
            <w:tcW w:w="5980" w:type="dxa"/>
          </w:tcPr>
          <w:p w14:paraId="46F31AE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典型资源</w:t>
            </w:r>
          </w:p>
        </w:tc>
      </w:tr>
      <w:tr w14:paraId="6238E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234708AD">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AAA山丘型景观</w:t>
            </w:r>
          </w:p>
        </w:tc>
        <w:tc>
          <w:tcPr>
            <w:tcW w:w="5980" w:type="dxa"/>
          </w:tcPr>
          <w:p w14:paraId="06ECB4E9">
            <w:pPr>
              <w:keepNext w:val="0"/>
              <w:keepLines w:val="0"/>
              <w:widowControl/>
              <w:suppressLineNumbers w:val="0"/>
              <w:jc w:val="both"/>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修武净影寺莲花山、博爱靳家岭、博爱青天河峰林地貌、焦作云台山锯齿山、修武净影寺神镇山、修武净影寺睡佛山、博爱靳家岭游览区</w:t>
            </w:r>
          </w:p>
        </w:tc>
      </w:tr>
      <w:tr w14:paraId="4BC9D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0BCB8ECA">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AAB台地型景观</w:t>
            </w:r>
          </w:p>
        </w:tc>
        <w:tc>
          <w:tcPr>
            <w:tcW w:w="5980" w:type="dxa"/>
          </w:tcPr>
          <w:p w14:paraId="6111E87F">
            <w:pPr>
              <w:bidi w:val="0"/>
              <w:jc w:val="left"/>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lang w:val="en-US" w:eastAsia="zh-CN"/>
              </w:rPr>
              <w:t>焦作裴庄村台地、沁阳神农山紫金顶神农坛台地、焦作青龙峡台地型景观、焦作云台山百家岩玉皇顶、焦作云台山茱萸峰、焦作青龙峡青龙庙台地、博爱青天河靳家岭天钳岭、焦作青龙峡五彩台地型景观、焦作云台山百家岩玉皇山台地、焦作云台山百家岩玉皇顶东台地型景观、焦作云台山潭瀑峡龙蛇潭台地景观、沁阳神农山清歌台、焦作云台山百家岩城堡印月台地、焦作青龙峡台地景观</w:t>
            </w:r>
          </w:p>
        </w:tc>
      </w:tr>
      <w:tr w14:paraId="0F544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6F0CA07C">
            <w:pPr>
              <w:jc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AAC沟谷型景观</w:t>
            </w:r>
          </w:p>
        </w:tc>
        <w:tc>
          <w:tcPr>
            <w:tcW w:w="5980" w:type="dxa"/>
          </w:tcPr>
          <w:p w14:paraId="1340D5FC">
            <w:pPr>
              <w:bidi w:val="0"/>
              <w:jc w:val="left"/>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lang w:val="en-US" w:eastAsia="zh-CN"/>
              </w:rPr>
              <w:t>焦作青龙峡壶穴谷、修武净影大峡谷、焦作云台山潭瀑峡、焦作云台山潭瀑峡瓮谷、焦作云台山泉瀑峡、焦作云台山天瀑峡、焦作云台山云溪谷、沁阳神农山神女峡、焦作云台山红石峡、焦作青龙峡大峡谷、焦作峰林峡、博爱青天河峡谷、沁阳神农山神女峡嶂谷、沁阳神农山神女峡瓮谷、修武净影大峡谷叠石谷、焦作云台山藏翠沟、沁阳神农山窄涧谷围谷、修武净影大峡谷净影寺段、焦作云台山红石峡钟乳石裂隙谷、焦作云台山红石峡障谷、焦作青龙峡V型谷、焦作云台山红石峡围谷、修武片马村神羊峡、博爱青天河观音峡、修武黄龙峡、焦作云台山纸坊沟峡谷、焦作云台山瓦房沟大峡谷、博爱靳家岭环翠峪、博爱青天河佛耳峡、博爱丹河峡谷、沁阳丹河峡谷常九大峡谷、焦作云台山红石峡峡谷天堑通途桥南段、焦作云台山红石峡峡谷同心如意桥南段、焦作云台山红石峡峡谷同心如意桥北段、修武龙门河谷</w:t>
            </w:r>
          </w:p>
        </w:tc>
      </w:tr>
      <w:tr w14:paraId="5D2E9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7A0D301D">
            <w:pPr>
              <w:ind w:firstLine="420" w:firstLineChars="200"/>
              <w:jc w:val="both"/>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AAD滩地型景观</w:t>
            </w:r>
          </w:p>
        </w:tc>
        <w:tc>
          <w:tcPr>
            <w:tcW w:w="5980" w:type="dxa"/>
          </w:tcPr>
          <w:p w14:paraId="62426316">
            <w:pPr>
              <w:bidi w:val="0"/>
              <w:jc w:val="left"/>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lang w:val="en-US" w:eastAsia="zh-CN"/>
              </w:rPr>
              <w:t>修武碑桥村大沙河滩地、黄河武陟悬河头滩地、孟州黄河文化苑南侧黄河滩地、焦作白鹭湖湿地公园粉黛漫沙区、博爱青天河西峡怪石滩、博爱青天河西峡戏水滩、博爱青天河西峡龙吟滩</w:t>
            </w:r>
          </w:p>
        </w:tc>
      </w:tr>
    </w:tbl>
    <w:p w14:paraId="4DE17AC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imes New Roman" w:hAnsi="Times New Roman" w:cs="Times New Roman"/>
          <w:b/>
          <w:bCs/>
          <w:color w:val="auto"/>
          <w:sz w:val="24"/>
          <w:lang w:val="en-US" w:eastAsia="zh-CN"/>
        </w:rPr>
      </w:pPr>
    </w:p>
    <w:p w14:paraId="036DD85C">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0" w:firstLineChars="0"/>
        <w:jc w:val="both"/>
        <w:textAlignment w:val="auto"/>
        <w:outlineLvl w:val="3"/>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地质与构造形迹</w:t>
      </w:r>
    </w:p>
    <w:p w14:paraId="6D151DF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本次普查共查明地质与构造形迹143处，其中，断裂景观数量最多，占该亚类总量的66.43%，其次为地层刨面景观占该亚类总量的15.38%。褶曲景观和生物化石点相对较少，分别占该亚类的4.90%和13.29%。</w:t>
      </w:r>
    </w:p>
    <w:p w14:paraId="444AB9A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bCs/>
          <w:color w:val="auto"/>
          <w:sz w:val="24"/>
          <w:szCs w:val="24"/>
          <w:lang w:val="en-US" w:eastAsia="zh-CN"/>
        </w:rPr>
      </w:pPr>
      <w:r>
        <w:rPr>
          <w:rFonts w:hint="eastAsia" w:ascii="Times New Roman" w:hAnsi="Times New Roman" w:cs="Times New Roman"/>
          <w:color w:val="auto"/>
          <w:sz w:val="24"/>
          <w:lang w:val="en-US" w:eastAsia="zh-CN"/>
        </w:rPr>
        <w:t>地质与构造形态亚类中新发现资源37处，其中断裂景观数量最多，占到该亚类新发现资源总量的67.57%，其次为褶曲景观，占比13.51%。</w:t>
      </w:r>
    </w:p>
    <w:p w14:paraId="0BF98890">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表3-10 地质与构造形迹亚类典型资源名录</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2"/>
        <w:gridCol w:w="5980"/>
      </w:tblGrid>
      <w:tr w14:paraId="747B6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tcPr>
          <w:p w14:paraId="6547BBC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资源类型</w:t>
            </w:r>
          </w:p>
        </w:tc>
        <w:tc>
          <w:tcPr>
            <w:tcW w:w="5980" w:type="dxa"/>
          </w:tcPr>
          <w:p w14:paraId="3A00930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典型资源</w:t>
            </w:r>
          </w:p>
        </w:tc>
      </w:tr>
      <w:tr w14:paraId="1BF63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485064CE">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ABA断裂景观</w:t>
            </w:r>
          </w:p>
        </w:tc>
        <w:tc>
          <w:tcPr>
            <w:tcW w:w="5980" w:type="dxa"/>
          </w:tcPr>
          <w:p w14:paraId="34BF59A0">
            <w:pPr>
              <w:bidi w:val="0"/>
              <w:jc w:val="left"/>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lang w:val="en-US" w:eastAsia="zh-CN"/>
              </w:rPr>
              <w:t>焦作云台山凤凰岭玻璃栈道崖壁、焦作云台山山前大绝壁、焦作云台山红石峡万泉崖、焦作青龙峡五彩长崖、焦作云台山黑龙王庙断层红石峡段、焦作云台山红石峡一线天、焦作云台山红石峡赤壁丹崖、修武净影大峡谷悬崖、焦作云台山凤凰岭波浪形长崖、焦作云台山凤凰岭围谷、焦作云台山潭瀑峡西岸长崖、焦作云台山潭瀑峡卧龙长崖、焦作云台山天瀑峡U形陡崖、修武净影大峡谷豫晋之门、修武净影大峡谷U形陡崖、修武峰林峡二王峰崖墙、焦作云台山百家岩V形长崖、沁阳神农山一线天、焦作云台山百家岩手掌峰、焦作云台红石峡棋盘山峰墙、博爱青天河崖壁、焦作云台山翠屏峰、焦作青龙峡青龙壁、焦作云台山潭瀑峡红页岩崖壁、沁阳神农山龙子门龙线、焦作云台山小寨沟天阶崖、修武净影大峡谷书册崖、修武净影大峡谷天阶崖、修武净影大峡谷石门崖、修武兴隆掌神狼陡崖、修武兴隆掌山枪裂隙、焦作青龙峡叠翠瀑断裂缝、焦作青龙峡大钟崖壁、焦作青龙峡倒Ω长崖、焦作青龙峡仙桃崖壁、修武净影大峡谷神笔崖、修武净影大峡谷雄鹰展翅崖、修武甲板创村地缝、焦作龙翔山一线天</w:t>
            </w:r>
          </w:p>
        </w:tc>
      </w:tr>
      <w:tr w14:paraId="47656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58E67963">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ABB褶曲景观</w:t>
            </w:r>
          </w:p>
        </w:tc>
        <w:tc>
          <w:tcPr>
            <w:tcW w:w="5980" w:type="dxa"/>
          </w:tcPr>
          <w:p w14:paraId="6D172B2E">
            <w:pPr>
              <w:bidi w:val="0"/>
              <w:jc w:val="left"/>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lang w:val="en-US" w:eastAsia="zh-CN"/>
              </w:rPr>
              <w:t>沁阳神农山沐涧寺缝合线石灰岩、博爱青天河泉华壁、沁阳山神农山阳洛岭峰墙列屏、修武净影大峡谷神龟山、沁阳神农山一天门褶曲景观、修武一斗水村褶皱、修武叠彩洞褶皱</w:t>
            </w:r>
          </w:p>
        </w:tc>
      </w:tr>
      <w:tr w14:paraId="7B5AC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6E92F253">
            <w:pPr>
              <w:jc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ABC地层刨面</w:t>
            </w:r>
          </w:p>
        </w:tc>
        <w:tc>
          <w:tcPr>
            <w:tcW w:w="5980" w:type="dxa"/>
          </w:tcPr>
          <w:p w14:paraId="49847187">
            <w:pPr>
              <w:bidi w:val="0"/>
              <w:jc w:val="left"/>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lang w:val="en-US" w:eastAsia="zh-CN"/>
              </w:rPr>
              <w:t>沁阳神农山绝壁断层崖、修武净影寺龙门崖壁、焦作云台山白龙潭角度不整合面、焦作云台山34亿年锆石采集地、焦作青龙峡寒武系地层剖面、焦作云台山12亿年前的海洋遗迹、焦作云台山茱萸峰平行不整合面、焦作云台山红石峡平行不整合面</w:t>
            </w:r>
          </w:p>
        </w:tc>
      </w:tr>
      <w:tr w14:paraId="7FCFE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44B3D313">
            <w:pPr>
              <w:ind w:firstLine="420" w:firstLineChars="200"/>
              <w:jc w:val="both"/>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ABD生物化石点</w:t>
            </w:r>
          </w:p>
        </w:tc>
        <w:tc>
          <w:tcPr>
            <w:tcW w:w="5980" w:type="dxa"/>
          </w:tcPr>
          <w:p w14:paraId="1B6A63A2">
            <w:pPr>
              <w:bidi w:val="0"/>
              <w:jc w:val="left"/>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lang w:val="en-US" w:eastAsia="zh-CN"/>
              </w:rPr>
              <w:t>沁阳神农山34亿年锆石采集地、沁阳神农山紫金顶生物化石点、焦作青龙峡叠层石化石、沁阳神农山沐涧寺虫迹灰岩、沁阳和湾化石地</w:t>
            </w:r>
          </w:p>
        </w:tc>
      </w:tr>
    </w:tbl>
    <w:p w14:paraId="12B6D2F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9"/>
        <w:rPr>
          <w:rFonts w:hint="eastAsia" w:ascii="宋体" w:hAnsi="宋体" w:eastAsia="宋体" w:cs="宋体"/>
          <w:b/>
          <w:bCs/>
          <w:color w:val="auto"/>
          <w:sz w:val="24"/>
          <w:szCs w:val="24"/>
          <w:lang w:val="en-US" w:eastAsia="zh-CN"/>
        </w:rPr>
      </w:pPr>
    </w:p>
    <w:p w14:paraId="0DF3BB28">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0" w:firstLineChars="0"/>
        <w:jc w:val="both"/>
        <w:textAlignment w:val="auto"/>
        <w:outlineLvl w:val="3"/>
        <w:rPr>
          <w:rFonts w:hint="default" w:ascii="宋体" w:hAnsi="宋体" w:eastAsia="宋体" w:cs="宋体"/>
          <w:b/>
          <w:bCs/>
          <w:color w:val="auto"/>
          <w:sz w:val="24"/>
          <w:szCs w:val="24"/>
          <w:lang w:val="en-US" w:eastAsia="zh-CN"/>
        </w:rPr>
      </w:pPr>
      <w:r>
        <w:rPr>
          <w:rFonts w:hint="eastAsia" w:ascii="宋体" w:hAnsi="宋体" w:cs="宋体"/>
          <w:b/>
          <w:bCs/>
          <w:color w:val="auto"/>
          <w:sz w:val="24"/>
          <w:szCs w:val="24"/>
          <w:lang w:val="en-US" w:eastAsia="zh-CN"/>
        </w:rPr>
        <w:t>地表形态</w:t>
      </w:r>
    </w:p>
    <w:p w14:paraId="754D75A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本次普查共查明地表形态584处，其中，奇特与象形山石数量最多，占该亚类总量的58.22%，其次为峰柱状地景占该亚类总量的25.51%。垄岗状地景和岩石圈灾变迹象相对较少，分别占该亚类的2.74%和2.05%。</w:t>
      </w:r>
    </w:p>
    <w:p w14:paraId="08A7AB0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地表形态亚类中新发现资源135处，其中奇特与象形山石数量最多，占到该亚类新发现资源总量的57.78%，其次为峰柱状地景，占比25.93%。</w:t>
      </w:r>
    </w:p>
    <w:p w14:paraId="6E7FB13B">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表3-11 地表形态亚类典型资源名录</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2"/>
        <w:gridCol w:w="5980"/>
      </w:tblGrid>
      <w:tr w14:paraId="7C350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tcPr>
          <w:p w14:paraId="7FF9F72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资源类型</w:t>
            </w:r>
          </w:p>
        </w:tc>
        <w:tc>
          <w:tcPr>
            <w:tcW w:w="5980" w:type="dxa"/>
          </w:tcPr>
          <w:p w14:paraId="0A4A907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典型资源</w:t>
            </w:r>
          </w:p>
        </w:tc>
      </w:tr>
      <w:tr w14:paraId="2EC5A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2F1FDC97">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ACA台丘状地景</w:t>
            </w:r>
          </w:p>
        </w:tc>
        <w:tc>
          <w:tcPr>
            <w:tcW w:w="5980" w:type="dxa"/>
          </w:tcPr>
          <w:p w14:paraId="3D32A2A6">
            <w:pPr>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rPr>
              <w:t>沁阳神农山紫金顶龙首台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沁阳神农山紫金顶</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修武长岭村长岭山</w:t>
            </w:r>
          </w:p>
        </w:tc>
      </w:tr>
      <w:tr w14:paraId="5AE9E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02342020">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ACB峰柱状地景</w:t>
            </w:r>
          </w:p>
        </w:tc>
        <w:tc>
          <w:tcPr>
            <w:tcW w:w="5980" w:type="dxa"/>
          </w:tcPr>
          <w:p w14:paraId="02A386A3">
            <w:pPr>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rPr>
              <w:t>焦作云台山凤凰岭峰林地貌</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沁阳神农山仙神谷峰柱林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焦作云台山凤凰岭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焦作云台山黄楝沟佛掌峰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焦作云台山张良峰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焦作云台山百家岩金刚峰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焦作云台山三秀峰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焦作云台山潭瀑峡W山峰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沁阳神农山猕猴苑始祖峰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沁阳神农山一天门九龙峰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焦作云台山小寨沟缥缈峰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焦作云台山凤凰岭神龟望天峰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焦作云台山红石峡三剑峰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修武净影大峡谷擎山峰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修武净影大峡谷笔架山</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焦作云台山凤凰岭观音讲经峰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焦作云台山凤凰岭仙悟峰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焦作云台山凤凰岭相依峰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焦作云台山百家岩玉皇峰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焦作峰林峡天王峰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焦作净影寺双姑峰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焦作云台山黄楝沟莽汉峰峰丛</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焦作峰林峡二王峰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博爱青天河鲸鱼湾峰林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修武净影大峡谷白虎峰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焦作云台山瓦房沟坐佛峰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焦作云台山黄楝沟卧虎峰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修武纸浆庄宝塔峰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修武纸浆庄影壁峰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焦作云台山凤凰岭兄弟峰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修武净影寺元宝山</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修武兴隆掌山枪峰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焦作云台山瓦房沟达摩峰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焦作青龙峡三秀川山峰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焦作云台山青檀峰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焦作云台山卧犬峰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焦作云台山披头峰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焦作青龙峡宝塔峰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修武净影大峡谷秀壁峰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焦作青龙峡仙桃峰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修武净影寺鸳鸯峰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焦作云台山凤凰岭望乡峰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焦作云台山凤凰岭大将峰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焦作云台山佛龛峰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修武净影大峡谷雄鸡报晓峰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修武净影大峡谷姊妹峰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孟州美丽源沟景区母子峰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修武净影寺夫妻峰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孟州美丽源沟景区佛祖峰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孟州美丽源沟景区骆驼峰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焦作云台山百家岩一指峰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修武净影大峡谷兄弟峰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焦作云台山百家岩母子猴峰</w:t>
            </w:r>
          </w:p>
        </w:tc>
      </w:tr>
      <w:tr w14:paraId="1DEDB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51FD6081">
            <w:pPr>
              <w:jc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ACC垄岗状地景</w:t>
            </w:r>
          </w:p>
        </w:tc>
        <w:tc>
          <w:tcPr>
            <w:tcW w:w="5980" w:type="dxa"/>
          </w:tcPr>
          <w:p w14:paraId="4CD63275">
            <w:pPr>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rPr>
              <w:t>沁阳神农山龙脊长</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修武甲板创村荻池岭狮子岭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修武喜尖顶</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焦作青龙峡东岸大绝壁</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焦作云台山凤凰岭梦仙岭</w:t>
            </w:r>
          </w:p>
        </w:tc>
      </w:tr>
      <w:tr w14:paraId="17D58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247F05CC">
            <w:pPr>
              <w:ind w:firstLine="420" w:firstLineChars="200"/>
              <w:jc w:val="both"/>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ACD沟壑与洞穴</w:t>
            </w:r>
          </w:p>
        </w:tc>
        <w:tc>
          <w:tcPr>
            <w:tcW w:w="5980" w:type="dxa"/>
          </w:tcPr>
          <w:p w14:paraId="19F27F59">
            <w:pPr>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rPr>
              <w:t>沁阳神农山龙子</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焦作北业盘古洞</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焦作青龙峡青龙洞</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焦作青龙峡黄龙洞</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修武云台溶洞</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焦作云台山天瀑峡围谷</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焦作云台山潭瀑峡水蚀钙华</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焦作青龙峡两亲家洞</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焦作云台山红石峡白龙潭北壶穴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修武甲板创村天堂窑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沁阳神农山沐涧寺朝阳洞</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修武净影寺黄龙洞</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焦作云台山茱萸峰药王洞</w:t>
            </w:r>
          </w:p>
        </w:tc>
      </w:tr>
      <w:tr w14:paraId="0A7C5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3BD2855A">
            <w:pPr>
              <w:ind w:firstLine="420" w:firstLineChars="200"/>
              <w:jc w:val="both"/>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ACE奇特与象形山石</w:t>
            </w:r>
          </w:p>
        </w:tc>
        <w:tc>
          <w:tcPr>
            <w:tcW w:w="5980" w:type="dxa"/>
          </w:tcPr>
          <w:p w14:paraId="47E287E9">
            <w:pPr>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rPr>
              <w:t>焦作云台山潭瀑峡龙凤壁</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焦作盘古洞百松顶</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博爱青天河景区天然长城</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沁阳丹河峡谷三佛峰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沁阳神农山风雨石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焦作云台山凤凰岭金蟾峰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焦作云台山凤凰岭定海神针</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焦作云台山凤凰岭万寿峰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焦作青龙峡绵羊渡水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焦作青龙峡狐面崖</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修武净影大峡谷阶瀑钙华体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焦作云台山黄楝沟飞来石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焦作青龙峡乌龟石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修武兴隆掌神狼</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焦作云台山泉瀑峡大型波痕石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焦作青龙峡钙华龙头石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焦作青龙峡泉华阶梯</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焦作云台山凤凰岭佛手峰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焦作青龙峡三角峰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焦作云台山百家岩“金”字山</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修武云台溶洞驼峰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修武云台溶洞壁虎漫步</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修武云台溶洞中石笋</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修武云台溶洞壁琴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修武云台溶洞追逐</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修武云台溶洞孔丘龛</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修武云台溶洞荔枝园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焦作云台山潭瀑峡试剑石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焦作云台山玉面大佛</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焦作云台山红石峡龟背石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焦作青龙峡豹子头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焦作青龙峡神龟回首</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焦作盘古洞盘古石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焦作盘古洞佛耳山</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焦作盘古洞海底世界</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焦作盘古洞石瀑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焦作盘古洞石佛壁</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焦作云台山凤凰岭山神石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沁阳神农山仙神谷狮虎峰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焦作青龙峡天鼎石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焦作云台山凤凰岭佛祖石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沁阳神农山窄涧谷钙化扇</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修武云台溶洞高山飞瀑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孟州韩园陨石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焦作青龙峡石人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焦作盘古洞顶天柱</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焦作云台山小寨沟狮虎相争</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焦作云台山泉瀑峡孔雀石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焦作云台山泉瀑峡佛脚推山</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焦作云台山小寨沟天狗吞月石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焦作盘古洞石笋林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焦作盘古洞千年一吻</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焦作盘古洞荔枝壁</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修武龙门村伟人峰</w:t>
            </w:r>
          </w:p>
        </w:tc>
      </w:tr>
      <w:tr w14:paraId="6872F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5E858614">
            <w:pPr>
              <w:ind w:firstLine="420" w:firstLineChars="200"/>
              <w:jc w:val="both"/>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ACF岩石圈灾变遗迹</w:t>
            </w:r>
          </w:p>
        </w:tc>
        <w:tc>
          <w:tcPr>
            <w:tcW w:w="5980" w:type="dxa"/>
          </w:tcPr>
          <w:p w14:paraId="2C8E91B5">
            <w:pPr>
              <w:bidi w:val="0"/>
              <w:jc w:val="left"/>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rPr>
              <w:t>沁阳神农山窄涧谷步道旁冲洪积层</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焦作云台山凤凰岭崩塌点</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焦作云台山潭瀑峡山门崩塌石堆</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焦作云台山潭瀑峡龙凤壁崩塌岩块</w:t>
            </w:r>
          </w:p>
        </w:tc>
      </w:tr>
    </w:tbl>
    <w:p w14:paraId="712A8B0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color w:val="auto"/>
          <w:sz w:val="24"/>
          <w:lang w:val="en-US" w:eastAsia="zh-CN"/>
        </w:rPr>
      </w:pPr>
    </w:p>
    <w:p w14:paraId="5911338F">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0" w:firstLineChars="0"/>
        <w:jc w:val="both"/>
        <w:textAlignment w:val="auto"/>
        <w:outlineLvl w:val="3"/>
        <w:rPr>
          <w:rFonts w:hint="default" w:ascii="宋体" w:hAnsi="宋体" w:eastAsia="宋体" w:cs="宋体"/>
          <w:b/>
          <w:bCs/>
          <w:color w:val="auto"/>
          <w:sz w:val="24"/>
          <w:szCs w:val="24"/>
          <w:lang w:val="en-US" w:eastAsia="zh-CN"/>
        </w:rPr>
      </w:pPr>
      <w:r>
        <w:rPr>
          <w:rFonts w:hint="eastAsia" w:ascii="宋体" w:hAnsi="宋体" w:cs="宋体"/>
          <w:b/>
          <w:bCs/>
          <w:color w:val="auto"/>
          <w:sz w:val="24"/>
          <w:szCs w:val="24"/>
          <w:lang w:val="en-US" w:eastAsia="zh-CN"/>
        </w:rPr>
        <w:t>自然标记与自然现象</w:t>
      </w:r>
    </w:p>
    <w:p w14:paraId="2F52A2B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本次普查共查明自然标记与自然现象13处，其中，自然标志地数量较多，占该亚类总量的46.15%，其次为奇异自然现象占该亚类总量的30.77%。垂直自然带相对较少，占该亚类的23.08%。</w:t>
      </w:r>
    </w:p>
    <w:p w14:paraId="79B7398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outlineLvl w:val="9"/>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自然标记与自然现象亚类中无新发现资源。</w:t>
      </w:r>
    </w:p>
    <w:p w14:paraId="38F200F0">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表3-12 自然标记与自然现象亚类典型资源名录</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2"/>
        <w:gridCol w:w="5980"/>
      </w:tblGrid>
      <w:tr w14:paraId="4D676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tcPr>
          <w:p w14:paraId="0009436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资源类型</w:t>
            </w:r>
          </w:p>
        </w:tc>
        <w:tc>
          <w:tcPr>
            <w:tcW w:w="5980" w:type="dxa"/>
          </w:tcPr>
          <w:p w14:paraId="5171BE4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典型资源</w:t>
            </w:r>
          </w:p>
        </w:tc>
      </w:tr>
      <w:tr w14:paraId="13DB9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3F1B15B2">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ADA奇异自然现象</w:t>
            </w:r>
          </w:p>
        </w:tc>
        <w:tc>
          <w:tcPr>
            <w:tcW w:w="5980" w:type="dxa"/>
          </w:tcPr>
          <w:p w14:paraId="149AF82F">
            <w:pPr>
              <w:bidi w:val="0"/>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沁阳神农山一天门“咬定青山”景观</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沁阳神农山窄涧谷药师佛龛小像</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沁阳神农山龙子门双色崖壁</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焦作云台山红石峡白龙潭水流消失</w:t>
            </w:r>
          </w:p>
        </w:tc>
      </w:tr>
      <w:tr w14:paraId="1467A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19630FE8">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ADB自然标志地</w:t>
            </w:r>
          </w:p>
        </w:tc>
        <w:tc>
          <w:tcPr>
            <w:tcW w:w="5980" w:type="dxa"/>
          </w:tcPr>
          <w:p w14:paraId="6CDF8E59">
            <w:pPr>
              <w:bidi w:val="0"/>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博爱下期城下秦河与幸福河交汇水域</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焦作云台山红石峡中山与低山分界</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温县河洛交汇处</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武陟御坝黄河左岸中下游分界线</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博爱发展大道明河交汇处</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博爱石飞天源</w:t>
            </w:r>
          </w:p>
        </w:tc>
      </w:tr>
      <w:tr w14:paraId="49DF9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5736FAE4">
            <w:pPr>
              <w:jc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ADC垂直自然带</w:t>
            </w:r>
          </w:p>
        </w:tc>
        <w:tc>
          <w:tcPr>
            <w:tcW w:w="5980" w:type="dxa"/>
          </w:tcPr>
          <w:p w14:paraId="6C426407">
            <w:pPr>
              <w:bidi w:val="0"/>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焦作云台山百家岩垂直自然地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焦作云台山凤凰岭垂直自然带</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焦作云台山红石峡地形垂直变化</w:t>
            </w:r>
          </w:p>
        </w:tc>
      </w:tr>
    </w:tbl>
    <w:p w14:paraId="7DCB347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9"/>
        <w:rPr>
          <w:rFonts w:hint="default" w:ascii="Times New Roman" w:hAnsi="Times New Roman" w:cs="Times New Roman"/>
          <w:color w:val="auto"/>
          <w:sz w:val="24"/>
          <w:lang w:val="en-US" w:eastAsia="zh-CN"/>
        </w:rPr>
      </w:pPr>
    </w:p>
    <w:p w14:paraId="0C586446">
      <w:pPr>
        <w:keepNext w:val="0"/>
        <w:keepLines w:val="0"/>
        <w:pageBreakBefore w:val="0"/>
        <w:widowControl w:val="0"/>
        <w:numPr>
          <w:ilvl w:val="0"/>
          <w:numId w:val="6"/>
        </w:numPr>
        <w:kinsoku/>
        <w:wordWrap/>
        <w:overflowPunct/>
        <w:topLinePunct w:val="0"/>
        <w:autoSpaceDE/>
        <w:autoSpaceDN/>
        <w:bidi w:val="0"/>
        <w:adjustRightInd/>
        <w:snapToGrid/>
        <w:spacing w:line="360" w:lineRule="auto"/>
        <w:jc w:val="both"/>
        <w:textAlignment w:val="auto"/>
        <w:outlineLvl w:val="2"/>
        <w:rPr>
          <w:rFonts w:hint="eastAsia" w:ascii="宋体" w:hAnsi="宋体" w:cs="宋体"/>
          <w:b/>
          <w:bCs/>
          <w:color w:val="auto"/>
          <w:sz w:val="28"/>
          <w:szCs w:val="28"/>
          <w:lang w:val="en-US" w:eastAsia="zh-CN"/>
        </w:rPr>
      </w:pPr>
      <w:bookmarkStart w:id="65" w:name="_Toc21297"/>
      <w:r>
        <w:rPr>
          <w:rFonts w:hint="eastAsia" w:ascii="宋体" w:hAnsi="宋体" w:cs="宋体"/>
          <w:b/>
          <w:bCs/>
          <w:color w:val="auto"/>
          <w:sz w:val="28"/>
          <w:szCs w:val="28"/>
          <w:lang w:val="en-US" w:eastAsia="zh-CN"/>
        </w:rPr>
        <w:t>水域景观类</w:t>
      </w:r>
      <w:bookmarkEnd w:id="65"/>
    </w:p>
    <w:p w14:paraId="2621010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本次普查全市共查明水域景观类旅游资源611处，占全市旅游资源总量的5.09%，其中新发现新认定资源68处，占水域景观总量11.13%，水域景观类旅游资源分布于4个亚类、8个基本类型。各类型总量和新发现数量见表3-13所示。</w:t>
      </w:r>
    </w:p>
    <w:p w14:paraId="4D864CE0">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表3-13 水域景观旅游资源分类统计表</w:t>
      </w:r>
    </w:p>
    <w:tbl>
      <w:tblPr>
        <w:tblStyle w:val="15"/>
        <w:tblW w:w="82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58"/>
        <w:gridCol w:w="670"/>
        <w:gridCol w:w="975"/>
        <w:gridCol w:w="743"/>
        <w:gridCol w:w="2075"/>
        <w:gridCol w:w="894"/>
        <w:gridCol w:w="913"/>
      </w:tblGrid>
      <w:tr w14:paraId="32ED4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jc w:val="center"/>
        </w:trPr>
        <w:tc>
          <w:tcPr>
            <w:tcW w:w="195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710131F">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lang w:val="en-US"/>
              </w:rPr>
            </w:pPr>
            <w:r>
              <w:rPr>
                <w:rFonts w:hint="eastAsia" w:ascii="仿宋" w:hAnsi="仿宋" w:eastAsia="仿宋" w:cs="仿宋"/>
                <w:b/>
                <w:bCs/>
                <w:i w:val="0"/>
                <w:iCs w:val="0"/>
                <w:color w:val="auto"/>
                <w:kern w:val="0"/>
                <w:sz w:val="21"/>
                <w:szCs w:val="21"/>
                <w:u w:val="none"/>
                <w:lang w:val="en-US" w:eastAsia="zh-CN" w:bidi="ar"/>
              </w:rPr>
              <w:t>资源基本类型</w:t>
            </w:r>
          </w:p>
          <w:p w14:paraId="77E11A78">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lang w:val="en-US"/>
              </w:rPr>
            </w:pPr>
          </w:p>
        </w:tc>
        <w:tc>
          <w:tcPr>
            <w:tcW w:w="6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1EB5844">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r>
              <w:rPr>
                <w:rFonts w:hint="eastAsia" w:ascii="仿宋" w:hAnsi="仿宋" w:eastAsia="仿宋" w:cs="仿宋"/>
                <w:b/>
                <w:bCs/>
                <w:i w:val="0"/>
                <w:iCs w:val="0"/>
                <w:color w:val="auto"/>
                <w:kern w:val="0"/>
                <w:sz w:val="21"/>
                <w:szCs w:val="21"/>
                <w:u w:val="none"/>
                <w:lang w:val="en-US" w:eastAsia="zh-CN" w:bidi="ar"/>
              </w:rPr>
              <w:t>总量</w:t>
            </w:r>
          </w:p>
        </w:tc>
        <w:tc>
          <w:tcPr>
            <w:tcW w:w="97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CBD5D5F">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r>
              <w:rPr>
                <w:rFonts w:hint="eastAsia" w:ascii="仿宋" w:hAnsi="仿宋" w:eastAsia="仿宋" w:cs="仿宋"/>
                <w:b/>
                <w:bCs/>
                <w:i w:val="0"/>
                <w:iCs w:val="0"/>
                <w:color w:val="auto"/>
                <w:kern w:val="0"/>
                <w:sz w:val="21"/>
                <w:szCs w:val="21"/>
                <w:u w:val="none"/>
                <w:lang w:val="en-US" w:eastAsia="zh-CN" w:bidi="ar"/>
              </w:rPr>
              <w:t>新发现数量</w:t>
            </w:r>
          </w:p>
        </w:tc>
        <w:tc>
          <w:tcPr>
            <w:tcW w:w="743" w:type="dxa"/>
            <w:vMerge w:val="restart"/>
            <w:tcBorders>
              <w:top w:val="single" w:color="000000" w:sz="8" w:space="0"/>
              <w:left w:val="single" w:color="000000" w:sz="8" w:space="0"/>
              <w:right w:val="single" w:color="000000" w:sz="8" w:space="0"/>
            </w:tcBorders>
            <w:shd w:val="clear" w:color="auto" w:fill="auto"/>
            <w:vAlign w:val="center"/>
          </w:tcPr>
          <w:p w14:paraId="2808C9B9">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p>
        </w:tc>
        <w:tc>
          <w:tcPr>
            <w:tcW w:w="207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C2563FF">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资源基本类型</w:t>
            </w:r>
          </w:p>
        </w:tc>
        <w:tc>
          <w:tcPr>
            <w:tcW w:w="89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E7F3014">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总量</w:t>
            </w:r>
          </w:p>
        </w:tc>
        <w:tc>
          <w:tcPr>
            <w:tcW w:w="91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5F907E6">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新发现数量</w:t>
            </w:r>
          </w:p>
        </w:tc>
      </w:tr>
      <w:tr w14:paraId="73C119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nil"/>
              <w:left w:val="single" w:color="000000" w:sz="8" w:space="0"/>
              <w:bottom w:val="single" w:color="000000" w:sz="8" w:space="0"/>
              <w:right w:val="single" w:color="000000" w:sz="8" w:space="0"/>
            </w:tcBorders>
            <w:shd w:val="clear" w:color="auto" w:fill="auto"/>
            <w:vAlign w:val="center"/>
          </w:tcPr>
          <w:p w14:paraId="65337C11">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BA  河系</w:t>
            </w:r>
          </w:p>
        </w:tc>
        <w:tc>
          <w:tcPr>
            <w:tcW w:w="670" w:type="dxa"/>
            <w:tcBorders>
              <w:top w:val="nil"/>
              <w:left w:val="single" w:color="000000" w:sz="8" w:space="0"/>
              <w:bottom w:val="single" w:color="000000" w:sz="8" w:space="0"/>
              <w:right w:val="single" w:color="000000" w:sz="8" w:space="0"/>
            </w:tcBorders>
            <w:shd w:val="clear" w:color="auto" w:fill="auto"/>
            <w:vAlign w:val="center"/>
          </w:tcPr>
          <w:p w14:paraId="69B0345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362</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0085E1DF">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23</w:t>
            </w:r>
          </w:p>
        </w:tc>
        <w:tc>
          <w:tcPr>
            <w:tcW w:w="743" w:type="dxa"/>
            <w:vMerge w:val="continue"/>
            <w:tcBorders>
              <w:left w:val="single" w:color="000000" w:sz="8" w:space="0"/>
              <w:right w:val="single" w:color="000000" w:sz="8" w:space="0"/>
            </w:tcBorders>
            <w:shd w:val="clear" w:color="auto" w:fill="auto"/>
            <w:vAlign w:val="center"/>
          </w:tcPr>
          <w:p w14:paraId="307EEF7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649E3631">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BC  地下水</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625F504E">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27</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52722B51">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4</w:t>
            </w:r>
          </w:p>
        </w:tc>
      </w:tr>
      <w:tr w14:paraId="52416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nil"/>
              <w:left w:val="single" w:color="000000" w:sz="8" w:space="0"/>
              <w:bottom w:val="single" w:color="auto" w:sz="4" w:space="0"/>
              <w:right w:val="single" w:color="000000" w:sz="8" w:space="0"/>
            </w:tcBorders>
            <w:shd w:val="clear" w:color="auto" w:fill="auto"/>
            <w:vAlign w:val="center"/>
          </w:tcPr>
          <w:p w14:paraId="24BF54A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BAA游憩河段</w:t>
            </w:r>
          </w:p>
        </w:tc>
        <w:tc>
          <w:tcPr>
            <w:tcW w:w="670" w:type="dxa"/>
            <w:tcBorders>
              <w:top w:val="nil"/>
              <w:left w:val="single" w:color="000000" w:sz="8" w:space="0"/>
              <w:bottom w:val="single" w:color="auto" w:sz="4" w:space="0"/>
              <w:right w:val="single" w:color="000000" w:sz="8" w:space="0"/>
            </w:tcBorders>
            <w:shd w:val="clear" w:color="auto" w:fill="auto"/>
            <w:vAlign w:val="center"/>
          </w:tcPr>
          <w:p w14:paraId="1C30B105">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250</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65D8E76C">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kern w:val="0"/>
                <w:sz w:val="21"/>
                <w:szCs w:val="21"/>
                <w:u w:val="none"/>
                <w:lang w:val="en-US" w:eastAsia="zh-CN" w:bidi="ar"/>
              </w:rPr>
              <w:t>6</w:t>
            </w:r>
          </w:p>
        </w:tc>
        <w:tc>
          <w:tcPr>
            <w:tcW w:w="743" w:type="dxa"/>
            <w:vMerge w:val="continue"/>
            <w:tcBorders>
              <w:left w:val="single" w:color="000000" w:sz="8" w:space="0"/>
              <w:right w:val="single" w:color="000000" w:sz="8" w:space="0"/>
            </w:tcBorders>
            <w:shd w:val="clear" w:color="auto" w:fill="auto"/>
            <w:vAlign w:val="center"/>
          </w:tcPr>
          <w:p w14:paraId="7F75F43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15F277BD">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BCA泉</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57C694D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25</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30D33EF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4</w:t>
            </w:r>
          </w:p>
        </w:tc>
      </w:tr>
      <w:tr w14:paraId="57B7C6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406E15C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BAB瀑布</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674528E7">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107</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490E2F23">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kern w:val="0"/>
                <w:sz w:val="21"/>
                <w:szCs w:val="21"/>
                <w:u w:val="none"/>
                <w:lang w:val="en-US" w:eastAsia="zh-CN" w:bidi="ar"/>
              </w:rPr>
              <w:t>17</w:t>
            </w:r>
          </w:p>
        </w:tc>
        <w:tc>
          <w:tcPr>
            <w:tcW w:w="743" w:type="dxa"/>
            <w:vMerge w:val="continue"/>
            <w:tcBorders>
              <w:left w:val="single" w:color="000000" w:sz="8" w:space="0"/>
              <w:right w:val="single" w:color="000000" w:sz="8" w:space="0"/>
            </w:tcBorders>
            <w:shd w:val="clear" w:color="auto" w:fill="auto"/>
            <w:vAlign w:val="center"/>
          </w:tcPr>
          <w:p w14:paraId="48FA7775">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72DD9D7F">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BCB埋藏水体</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67E8589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6EC3C9D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r>
      <w:tr w14:paraId="53DD7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5A7B09A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BAC古河道段落</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7277E8E8">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5</w:t>
            </w:r>
          </w:p>
        </w:tc>
        <w:tc>
          <w:tcPr>
            <w:tcW w:w="975" w:type="dxa"/>
            <w:tcBorders>
              <w:top w:val="nil"/>
              <w:left w:val="single" w:color="000000" w:sz="8" w:space="0"/>
              <w:bottom w:val="single" w:color="auto" w:sz="4" w:space="0"/>
              <w:right w:val="single" w:color="000000" w:sz="8" w:space="0"/>
            </w:tcBorders>
            <w:shd w:val="clear" w:color="auto" w:fill="auto"/>
            <w:vAlign w:val="center"/>
          </w:tcPr>
          <w:p w14:paraId="1C87B42B">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kern w:val="0"/>
                <w:sz w:val="21"/>
                <w:szCs w:val="21"/>
                <w:u w:val="none"/>
                <w:lang w:val="en-US" w:eastAsia="zh-CN" w:bidi="ar"/>
              </w:rPr>
              <w:t>0</w:t>
            </w:r>
          </w:p>
        </w:tc>
        <w:tc>
          <w:tcPr>
            <w:tcW w:w="743" w:type="dxa"/>
            <w:vMerge w:val="continue"/>
            <w:tcBorders>
              <w:left w:val="single" w:color="000000" w:sz="8" w:space="0"/>
              <w:right w:val="single" w:color="000000" w:sz="8" w:space="0"/>
            </w:tcBorders>
            <w:shd w:val="clear" w:color="auto" w:fill="auto"/>
            <w:vAlign w:val="center"/>
          </w:tcPr>
          <w:p w14:paraId="7AB87CF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auto" w:sz="4" w:space="0"/>
              <w:right w:val="single" w:color="000000" w:sz="8" w:space="0"/>
            </w:tcBorders>
            <w:shd w:val="clear" w:color="auto" w:fill="auto"/>
            <w:vAlign w:val="center"/>
          </w:tcPr>
          <w:p w14:paraId="5F1E98A9">
            <w:pPr>
              <w:keepNext w:val="0"/>
              <w:keepLines w:val="0"/>
              <w:widowControl/>
              <w:suppressLineNumbers w:val="0"/>
              <w:jc w:val="center"/>
              <w:textAlignment w:val="center"/>
              <w:rPr>
                <w:rFonts w:hint="default" w:ascii="仿宋" w:hAnsi="仿宋" w:eastAsia="仿宋" w:cs="仿宋"/>
                <w:b/>
                <w:bCs/>
                <w:i w:val="0"/>
                <w:iCs w:val="0"/>
                <w:color w:val="auto"/>
                <w:kern w:val="2"/>
                <w:sz w:val="21"/>
                <w:szCs w:val="21"/>
                <w:u w:val="none"/>
                <w:lang w:val="en-US" w:eastAsia="zh-CN" w:bidi="ar-SA"/>
              </w:rPr>
            </w:pPr>
            <w:r>
              <w:rPr>
                <w:rFonts w:hint="eastAsia" w:ascii="仿宋" w:hAnsi="仿宋" w:eastAsia="仿宋" w:cs="仿宋"/>
                <w:b/>
                <w:bCs/>
                <w:i w:val="0"/>
                <w:iCs w:val="0"/>
                <w:color w:val="auto"/>
                <w:kern w:val="2"/>
                <w:sz w:val="21"/>
                <w:szCs w:val="21"/>
                <w:u w:val="none"/>
                <w:lang w:val="en-US" w:eastAsia="zh-CN" w:bidi="ar-SA"/>
              </w:rPr>
              <w:t>BD冰雪地</w:t>
            </w:r>
          </w:p>
        </w:tc>
        <w:tc>
          <w:tcPr>
            <w:tcW w:w="894" w:type="dxa"/>
            <w:tcBorders>
              <w:top w:val="nil"/>
              <w:left w:val="single" w:color="000000" w:sz="8" w:space="0"/>
              <w:bottom w:val="single" w:color="auto" w:sz="4" w:space="0"/>
              <w:right w:val="single" w:color="000000" w:sz="8" w:space="0"/>
            </w:tcBorders>
            <w:shd w:val="clear" w:color="auto" w:fill="auto"/>
            <w:vAlign w:val="center"/>
          </w:tcPr>
          <w:p w14:paraId="5BC4FF99">
            <w:pPr>
              <w:keepNext w:val="0"/>
              <w:keepLines w:val="0"/>
              <w:widowControl/>
              <w:suppressLineNumbers w:val="0"/>
              <w:jc w:val="center"/>
              <w:textAlignment w:val="center"/>
              <w:rPr>
                <w:rFonts w:hint="default"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2</w:t>
            </w:r>
          </w:p>
        </w:tc>
        <w:tc>
          <w:tcPr>
            <w:tcW w:w="913" w:type="dxa"/>
            <w:tcBorders>
              <w:top w:val="nil"/>
              <w:left w:val="single" w:color="000000" w:sz="8" w:space="0"/>
              <w:bottom w:val="single" w:color="auto" w:sz="4" w:space="0"/>
              <w:right w:val="single" w:color="000000" w:sz="8" w:space="0"/>
            </w:tcBorders>
            <w:shd w:val="clear" w:color="auto" w:fill="auto"/>
            <w:vAlign w:val="center"/>
          </w:tcPr>
          <w:p w14:paraId="5FD25BCA">
            <w:pPr>
              <w:keepNext w:val="0"/>
              <w:keepLines w:val="0"/>
              <w:widowControl/>
              <w:suppressLineNumbers w:val="0"/>
              <w:jc w:val="center"/>
              <w:textAlignment w:val="center"/>
              <w:rPr>
                <w:rFonts w:hint="default"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0</w:t>
            </w:r>
          </w:p>
        </w:tc>
      </w:tr>
      <w:tr w14:paraId="132EF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3528B7E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BB  湖沼</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1E02B1CE">
            <w:pPr>
              <w:jc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b/>
                <w:bCs/>
                <w:i w:val="0"/>
                <w:iCs w:val="0"/>
                <w:color w:val="auto"/>
                <w:sz w:val="21"/>
                <w:szCs w:val="21"/>
                <w:u w:val="none"/>
                <w:lang w:val="en-US" w:eastAsia="zh-CN"/>
              </w:rPr>
              <w:t>222</w:t>
            </w:r>
          </w:p>
        </w:tc>
        <w:tc>
          <w:tcPr>
            <w:tcW w:w="975" w:type="dxa"/>
            <w:tcBorders>
              <w:top w:val="nil"/>
              <w:left w:val="single" w:color="000000" w:sz="8" w:space="0"/>
              <w:bottom w:val="single" w:color="auto" w:sz="4" w:space="0"/>
              <w:right w:val="single" w:color="000000" w:sz="8" w:space="0"/>
            </w:tcBorders>
            <w:shd w:val="clear" w:color="auto" w:fill="auto"/>
            <w:vAlign w:val="center"/>
          </w:tcPr>
          <w:p w14:paraId="33AE927A">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b/>
                <w:bCs/>
                <w:i w:val="0"/>
                <w:iCs w:val="0"/>
                <w:color w:val="auto"/>
                <w:sz w:val="21"/>
                <w:szCs w:val="21"/>
                <w:u w:val="none"/>
                <w:lang w:val="en-US" w:eastAsia="zh-CN"/>
              </w:rPr>
              <w:t>41</w:t>
            </w:r>
          </w:p>
        </w:tc>
        <w:tc>
          <w:tcPr>
            <w:tcW w:w="743" w:type="dxa"/>
            <w:vMerge w:val="continue"/>
            <w:tcBorders>
              <w:left w:val="single" w:color="000000" w:sz="8" w:space="0"/>
              <w:right w:val="single" w:color="000000" w:sz="8" w:space="0"/>
            </w:tcBorders>
            <w:shd w:val="clear" w:color="auto" w:fill="auto"/>
            <w:vAlign w:val="center"/>
          </w:tcPr>
          <w:p w14:paraId="011B74FA">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auto" w:sz="4" w:space="0"/>
              <w:right w:val="single" w:color="000000" w:sz="8" w:space="0"/>
            </w:tcBorders>
            <w:shd w:val="clear" w:color="auto" w:fill="auto"/>
            <w:vAlign w:val="center"/>
          </w:tcPr>
          <w:p w14:paraId="2EA7F3D3">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BDA积雪地</w:t>
            </w:r>
          </w:p>
        </w:tc>
        <w:tc>
          <w:tcPr>
            <w:tcW w:w="894" w:type="dxa"/>
            <w:tcBorders>
              <w:top w:val="nil"/>
              <w:left w:val="single" w:color="000000" w:sz="8" w:space="0"/>
              <w:bottom w:val="single" w:color="auto" w:sz="4" w:space="0"/>
              <w:right w:val="single" w:color="000000" w:sz="8" w:space="0"/>
            </w:tcBorders>
            <w:shd w:val="clear" w:color="auto" w:fill="auto"/>
            <w:vAlign w:val="center"/>
          </w:tcPr>
          <w:p w14:paraId="33C3A05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w:t>
            </w:r>
          </w:p>
        </w:tc>
        <w:tc>
          <w:tcPr>
            <w:tcW w:w="913" w:type="dxa"/>
            <w:tcBorders>
              <w:top w:val="nil"/>
              <w:left w:val="single" w:color="000000" w:sz="8" w:space="0"/>
              <w:bottom w:val="single" w:color="auto" w:sz="4" w:space="0"/>
              <w:right w:val="single" w:color="000000" w:sz="8" w:space="0"/>
            </w:tcBorders>
            <w:shd w:val="clear" w:color="auto" w:fill="auto"/>
            <w:vAlign w:val="center"/>
          </w:tcPr>
          <w:p w14:paraId="52459236">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r>
      <w:tr w14:paraId="714DF7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4AAD6CF4">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BBA游憩湖区</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1EC4FC5D">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84</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1E256B53">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8</w:t>
            </w:r>
          </w:p>
        </w:tc>
        <w:tc>
          <w:tcPr>
            <w:tcW w:w="743" w:type="dxa"/>
            <w:vMerge w:val="continue"/>
            <w:tcBorders>
              <w:left w:val="single" w:color="000000" w:sz="8" w:space="0"/>
              <w:right w:val="single" w:color="000000" w:sz="8" w:space="0"/>
            </w:tcBorders>
            <w:shd w:val="clear" w:color="auto" w:fill="auto"/>
            <w:vAlign w:val="center"/>
          </w:tcPr>
          <w:p w14:paraId="744AD1BB">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323FBE12">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BDB现代冰川</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29B00CC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57160BF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r>
      <w:tr w14:paraId="037AF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auto" w:sz="4" w:space="0"/>
              <w:bottom w:val="single" w:color="auto" w:sz="4" w:space="0"/>
              <w:right w:val="single" w:color="000000" w:sz="8" w:space="0"/>
            </w:tcBorders>
            <w:shd w:val="clear" w:color="auto" w:fill="auto"/>
            <w:vAlign w:val="center"/>
          </w:tcPr>
          <w:p w14:paraId="76FAA87D">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BBB潭池</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78A89874">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121</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6FFC4965">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33</w:t>
            </w:r>
          </w:p>
        </w:tc>
        <w:tc>
          <w:tcPr>
            <w:tcW w:w="743" w:type="dxa"/>
            <w:vMerge w:val="continue"/>
            <w:tcBorders>
              <w:left w:val="single" w:color="000000" w:sz="8" w:space="0"/>
              <w:right w:val="single" w:color="000000" w:sz="8" w:space="0"/>
            </w:tcBorders>
            <w:shd w:val="clear" w:color="auto" w:fill="auto"/>
            <w:vAlign w:val="center"/>
          </w:tcPr>
          <w:p w14:paraId="0E43FCF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2357E9FD">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b/>
                <w:bCs/>
                <w:i w:val="0"/>
                <w:iCs w:val="0"/>
                <w:color w:val="auto"/>
                <w:kern w:val="0"/>
                <w:sz w:val="21"/>
                <w:szCs w:val="21"/>
                <w:u w:val="none"/>
                <w:lang w:val="en-US" w:eastAsia="zh-CN" w:bidi="ar"/>
              </w:rPr>
              <w:t>BE  海面</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3A38C07F">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38DE634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r>
      <w:tr w14:paraId="21F93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36A87CED">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BBC湿地</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7D9DCEB6">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17</w:t>
            </w:r>
          </w:p>
        </w:tc>
        <w:tc>
          <w:tcPr>
            <w:tcW w:w="975" w:type="dxa"/>
            <w:tcBorders>
              <w:top w:val="nil"/>
              <w:left w:val="single" w:color="000000" w:sz="8" w:space="0"/>
              <w:bottom w:val="single" w:color="auto" w:sz="4" w:space="0"/>
              <w:right w:val="single" w:color="000000" w:sz="8" w:space="0"/>
            </w:tcBorders>
            <w:shd w:val="clear" w:color="auto" w:fill="auto"/>
            <w:vAlign w:val="center"/>
          </w:tcPr>
          <w:p w14:paraId="6D4B0A6B">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0</w:t>
            </w:r>
          </w:p>
        </w:tc>
        <w:tc>
          <w:tcPr>
            <w:tcW w:w="743" w:type="dxa"/>
            <w:vMerge w:val="continue"/>
            <w:tcBorders>
              <w:left w:val="single" w:color="000000" w:sz="8" w:space="0"/>
              <w:right w:val="single" w:color="000000" w:sz="8" w:space="0"/>
            </w:tcBorders>
            <w:shd w:val="clear" w:color="auto" w:fill="auto"/>
            <w:vAlign w:val="center"/>
          </w:tcPr>
          <w:p w14:paraId="59E44FDF">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3DDA2281">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BEA游憩海域</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5E588B6E">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6FB7CC0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r>
      <w:tr w14:paraId="7058D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46E06270">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1B85EE6E">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975" w:type="dxa"/>
            <w:tcBorders>
              <w:top w:val="single" w:color="auto" w:sz="4" w:space="0"/>
              <w:left w:val="single" w:color="000000" w:sz="8" w:space="0"/>
              <w:bottom w:val="single" w:color="000000" w:sz="8" w:space="0"/>
              <w:right w:val="single" w:color="000000" w:sz="8" w:space="0"/>
            </w:tcBorders>
            <w:shd w:val="clear" w:color="auto" w:fill="auto"/>
            <w:vAlign w:val="center"/>
          </w:tcPr>
          <w:p w14:paraId="5983506D">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p>
        </w:tc>
        <w:tc>
          <w:tcPr>
            <w:tcW w:w="743" w:type="dxa"/>
            <w:vMerge w:val="continue"/>
            <w:tcBorders>
              <w:left w:val="single" w:color="000000" w:sz="8" w:space="0"/>
              <w:right w:val="single" w:color="000000" w:sz="8" w:space="0"/>
            </w:tcBorders>
            <w:shd w:val="clear" w:color="auto" w:fill="auto"/>
            <w:vAlign w:val="center"/>
          </w:tcPr>
          <w:p w14:paraId="63BB5473">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2A4C2A7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BEB涌潮与击浪现象</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10C1F51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3145709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r>
      <w:tr w14:paraId="6F298D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1E35272B">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5E73AC4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975" w:type="dxa"/>
            <w:tcBorders>
              <w:top w:val="nil"/>
              <w:left w:val="single" w:color="000000" w:sz="8" w:space="0"/>
              <w:bottom w:val="single" w:color="000000" w:sz="8" w:space="0"/>
              <w:right w:val="single" w:color="000000" w:sz="8" w:space="0"/>
            </w:tcBorders>
            <w:shd w:val="clear" w:color="auto" w:fill="auto"/>
            <w:vAlign w:val="center"/>
          </w:tcPr>
          <w:p w14:paraId="4792C674">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p>
        </w:tc>
        <w:tc>
          <w:tcPr>
            <w:tcW w:w="743" w:type="dxa"/>
            <w:vMerge w:val="continue"/>
            <w:tcBorders>
              <w:left w:val="single" w:color="000000" w:sz="8" w:space="0"/>
              <w:right w:val="single" w:color="000000" w:sz="8" w:space="0"/>
            </w:tcBorders>
            <w:shd w:val="clear" w:color="auto" w:fill="auto"/>
            <w:vAlign w:val="center"/>
          </w:tcPr>
          <w:p w14:paraId="1E9FE047">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4FEE91F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BEC小型岛礁</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7018C35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493B779F">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r>
    </w:tbl>
    <w:p w14:paraId="076CD63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从5个亚类资源数量来看，除海面类型外，其余河系、湖沼、地下水和积雪地四个亚类均有资源单体。其中河系和湖沼类资源量较为丰富，单体数量分别为362处和222处。地下水数量较少，为25处。新发现资源主要集中分布于湖沼和河系亚类，分别为41处和23处，占水域景观主类新发现总量的60.29%和33.82%。其次为自地下水，新发现总量为4处，占水域景观主类新发现总量的5.88%。</w:t>
      </w:r>
    </w:p>
    <w:p w14:paraId="496B153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从</w:t>
      </w:r>
      <w:r>
        <w:rPr>
          <w:rFonts w:hint="eastAsia" w:ascii="Times New Roman" w:hAnsi="Times New Roman" w:cs="Times New Roman"/>
          <w:color w:val="auto"/>
          <w:sz w:val="24"/>
          <w:lang w:val="en-US" w:eastAsia="zh-CN"/>
        </w:rPr>
        <w:t>13</w:t>
      </w:r>
      <w:r>
        <w:rPr>
          <w:rFonts w:hint="default" w:ascii="Times New Roman" w:hAnsi="Times New Roman" w:cs="Times New Roman"/>
          <w:color w:val="auto"/>
          <w:sz w:val="24"/>
          <w:lang w:val="en-US" w:eastAsia="zh-CN"/>
        </w:rPr>
        <w:t>个基本类型资源</w:t>
      </w:r>
      <w:r>
        <w:rPr>
          <w:rFonts w:hint="eastAsia" w:ascii="Times New Roman" w:hAnsi="Times New Roman" w:cs="Times New Roman"/>
          <w:color w:val="auto"/>
          <w:sz w:val="24"/>
          <w:lang w:val="en-US" w:eastAsia="zh-CN"/>
        </w:rPr>
        <w:t>总</w:t>
      </w:r>
      <w:r>
        <w:rPr>
          <w:rFonts w:hint="default" w:ascii="Times New Roman" w:hAnsi="Times New Roman" w:cs="Times New Roman"/>
          <w:color w:val="auto"/>
          <w:sz w:val="24"/>
          <w:lang w:val="en-US" w:eastAsia="zh-CN"/>
        </w:rPr>
        <w:t>量来看，</w:t>
      </w:r>
      <w:r>
        <w:rPr>
          <w:rFonts w:hint="eastAsia" w:ascii="Times New Roman" w:hAnsi="Times New Roman" w:cs="Times New Roman"/>
          <w:color w:val="auto"/>
          <w:sz w:val="24"/>
          <w:lang w:val="en-US" w:eastAsia="zh-CN"/>
        </w:rPr>
        <w:t>无游憩海域、涌潮与击浪现象、小型岛礁、埋藏水体、现代冰川5个基本类型。主要集中在游憩河段、潭池、瀑布、游憩湖区，总数分别为250处、121处、107处和84处。其余基本类型总量均小于50处。小于10处的有古河道段落5处、积雪地2处。</w:t>
      </w:r>
    </w:p>
    <w:p w14:paraId="72F8EF9E">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新发现资源主要分布于</w:t>
      </w:r>
      <w:r>
        <w:rPr>
          <w:rFonts w:hint="eastAsia" w:ascii="Times New Roman" w:hAnsi="Times New Roman" w:cs="Times New Roman"/>
          <w:color w:val="auto"/>
          <w:sz w:val="24"/>
          <w:lang w:val="en-US" w:eastAsia="zh-CN"/>
        </w:rPr>
        <w:t>潭池、瀑布、游憩湖区</w:t>
      </w:r>
      <w:r>
        <w:rPr>
          <w:rFonts w:hint="default" w:ascii="Times New Roman" w:hAnsi="Times New Roman" w:cs="Times New Roman"/>
          <w:color w:val="auto"/>
          <w:sz w:val="24"/>
          <w:lang w:val="en-US" w:eastAsia="zh-CN"/>
        </w:rPr>
        <w:t>等基本类型</w:t>
      </w:r>
      <w:r>
        <w:rPr>
          <w:rFonts w:hint="eastAsia" w:ascii="Times New Roman" w:hAnsi="Times New Roman" w:cs="Times New Roman"/>
          <w:color w:val="auto"/>
          <w:sz w:val="24"/>
          <w:lang w:val="en-US" w:eastAsia="zh-CN"/>
        </w:rPr>
        <w:t>。潭池</w:t>
      </w:r>
      <w:r>
        <w:rPr>
          <w:rFonts w:hint="default" w:ascii="Times New Roman" w:hAnsi="Times New Roman" w:cs="Times New Roman"/>
          <w:color w:val="auto"/>
          <w:sz w:val="24"/>
          <w:lang w:val="en-US" w:eastAsia="zh-CN"/>
        </w:rPr>
        <w:t>数量最多，</w:t>
      </w:r>
      <w:r>
        <w:rPr>
          <w:rFonts w:hint="eastAsia" w:ascii="Times New Roman" w:hAnsi="Times New Roman" w:cs="Times New Roman"/>
          <w:color w:val="auto"/>
          <w:sz w:val="24"/>
          <w:lang w:val="en-US" w:eastAsia="zh-CN"/>
        </w:rPr>
        <w:t>为33处，</w:t>
      </w:r>
      <w:r>
        <w:rPr>
          <w:rFonts w:hint="default" w:ascii="Times New Roman" w:hAnsi="Times New Roman" w:cs="Times New Roman"/>
          <w:color w:val="auto"/>
          <w:sz w:val="24"/>
          <w:lang w:val="en-US" w:eastAsia="zh-CN"/>
        </w:rPr>
        <w:t>占</w:t>
      </w:r>
      <w:r>
        <w:rPr>
          <w:rFonts w:hint="eastAsia" w:ascii="Times New Roman" w:hAnsi="Times New Roman" w:cs="Times New Roman"/>
          <w:color w:val="auto"/>
          <w:sz w:val="24"/>
          <w:lang w:val="en-US" w:eastAsia="zh-CN"/>
        </w:rPr>
        <w:t>水域</w:t>
      </w:r>
      <w:r>
        <w:rPr>
          <w:rFonts w:hint="default" w:ascii="Times New Roman" w:hAnsi="Times New Roman" w:cs="Times New Roman"/>
          <w:color w:val="auto"/>
          <w:sz w:val="24"/>
          <w:lang w:val="en-US" w:eastAsia="zh-CN"/>
        </w:rPr>
        <w:t>景观</w:t>
      </w:r>
      <w:r>
        <w:rPr>
          <w:rFonts w:hint="eastAsia" w:ascii="Times New Roman" w:hAnsi="Times New Roman" w:cs="Times New Roman"/>
          <w:color w:val="auto"/>
          <w:sz w:val="24"/>
          <w:lang w:val="en-US" w:eastAsia="zh-CN"/>
        </w:rPr>
        <w:t>新发现总量</w:t>
      </w:r>
      <w:r>
        <w:rPr>
          <w:rFonts w:hint="default" w:ascii="Times New Roman" w:hAnsi="Times New Roman" w:cs="Times New Roman"/>
          <w:color w:val="auto"/>
          <w:sz w:val="24"/>
          <w:lang w:val="en-US" w:eastAsia="zh-CN"/>
        </w:rPr>
        <w:t>的</w:t>
      </w:r>
      <w:r>
        <w:rPr>
          <w:rFonts w:hint="eastAsia" w:ascii="Times New Roman" w:hAnsi="Times New Roman" w:cs="Times New Roman"/>
          <w:color w:val="auto"/>
          <w:sz w:val="24"/>
          <w:lang w:val="en-US" w:eastAsia="zh-CN"/>
        </w:rPr>
        <w:t>48.53</w:t>
      </w:r>
      <w:r>
        <w:rPr>
          <w:rFonts w:hint="default" w:ascii="Times New Roman" w:hAnsi="Times New Roman" w:cs="Times New Roman"/>
          <w:color w:val="auto"/>
          <w:sz w:val="24"/>
          <w:lang w:val="en-US" w:eastAsia="zh-CN"/>
        </w:rPr>
        <w:t>%；其次为</w:t>
      </w:r>
      <w:r>
        <w:rPr>
          <w:rFonts w:hint="eastAsia" w:ascii="Times New Roman" w:hAnsi="Times New Roman" w:cs="Times New Roman"/>
          <w:color w:val="auto"/>
          <w:sz w:val="24"/>
          <w:lang w:val="en-US" w:eastAsia="zh-CN"/>
        </w:rPr>
        <w:t>瀑布和游憩湖区</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分别为17处和8处，</w:t>
      </w:r>
      <w:r>
        <w:rPr>
          <w:rFonts w:hint="default" w:ascii="Times New Roman" w:hAnsi="Times New Roman" w:cs="Times New Roman"/>
          <w:color w:val="auto"/>
          <w:sz w:val="24"/>
          <w:lang w:val="en-US" w:eastAsia="zh-CN"/>
        </w:rPr>
        <w:t>占</w:t>
      </w:r>
      <w:r>
        <w:rPr>
          <w:rFonts w:hint="eastAsia" w:ascii="Times New Roman" w:hAnsi="Times New Roman" w:cs="Times New Roman"/>
          <w:color w:val="auto"/>
          <w:sz w:val="24"/>
          <w:lang w:val="en-US" w:eastAsia="zh-CN"/>
        </w:rPr>
        <w:t>水域</w:t>
      </w:r>
      <w:r>
        <w:rPr>
          <w:rFonts w:hint="default" w:ascii="Times New Roman" w:hAnsi="Times New Roman" w:cs="Times New Roman"/>
          <w:color w:val="auto"/>
          <w:sz w:val="24"/>
          <w:lang w:val="en-US" w:eastAsia="zh-CN"/>
        </w:rPr>
        <w:t>景观</w:t>
      </w:r>
      <w:r>
        <w:rPr>
          <w:rFonts w:hint="eastAsia" w:ascii="Times New Roman" w:hAnsi="Times New Roman" w:cs="Times New Roman"/>
          <w:color w:val="auto"/>
          <w:sz w:val="24"/>
          <w:lang w:val="en-US" w:eastAsia="zh-CN"/>
        </w:rPr>
        <w:t>新发现总量</w:t>
      </w:r>
      <w:r>
        <w:rPr>
          <w:rFonts w:hint="default" w:ascii="Times New Roman" w:hAnsi="Times New Roman" w:cs="Times New Roman"/>
          <w:color w:val="auto"/>
          <w:sz w:val="24"/>
          <w:lang w:val="en-US" w:eastAsia="zh-CN"/>
        </w:rPr>
        <w:t xml:space="preserve">分别为 </w:t>
      </w:r>
      <w:r>
        <w:rPr>
          <w:rFonts w:hint="eastAsia" w:ascii="Times New Roman" w:hAnsi="Times New Roman" w:cs="Times New Roman"/>
          <w:color w:val="auto"/>
          <w:sz w:val="24"/>
          <w:lang w:val="en-US" w:eastAsia="zh-CN"/>
        </w:rPr>
        <w:t>25</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和11.76%</w:t>
      </w:r>
      <w:r>
        <w:rPr>
          <w:rFonts w:hint="default" w:ascii="Times New Roman" w:hAnsi="Times New Roman" w:cs="Times New Roman"/>
          <w:color w:val="auto"/>
          <w:sz w:val="24"/>
          <w:lang w:val="en-US" w:eastAsia="zh-CN"/>
        </w:rPr>
        <w:t>；最少的为</w:t>
      </w:r>
      <w:r>
        <w:rPr>
          <w:rFonts w:hint="eastAsia" w:ascii="Times New Roman" w:hAnsi="Times New Roman" w:cs="Times New Roman"/>
          <w:color w:val="auto"/>
          <w:sz w:val="24"/>
          <w:lang w:val="en-US" w:eastAsia="zh-CN"/>
        </w:rPr>
        <w:t>泉仅有4处</w:t>
      </w:r>
      <w:r>
        <w:rPr>
          <w:rFonts w:hint="default" w:ascii="Times New Roman" w:hAnsi="Times New Roman" w:cs="Times New Roman"/>
          <w:color w:val="auto"/>
          <w:sz w:val="24"/>
          <w:lang w:val="en-US" w:eastAsia="zh-CN"/>
        </w:rPr>
        <w:t>，占</w:t>
      </w:r>
      <w:r>
        <w:rPr>
          <w:rFonts w:hint="eastAsia" w:ascii="Times New Roman" w:hAnsi="Times New Roman" w:cs="Times New Roman"/>
          <w:color w:val="auto"/>
          <w:sz w:val="24"/>
          <w:lang w:val="en-US" w:eastAsia="zh-CN"/>
        </w:rPr>
        <w:t>水域</w:t>
      </w:r>
      <w:r>
        <w:rPr>
          <w:rFonts w:hint="default" w:ascii="Times New Roman" w:hAnsi="Times New Roman" w:cs="Times New Roman"/>
          <w:color w:val="auto"/>
          <w:sz w:val="24"/>
          <w:lang w:val="en-US" w:eastAsia="zh-CN"/>
        </w:rPr>
        <w:t>景观</w:t>
      </w:r>
      <w:r>
        <w:rPr>
          <w:rFonts w:hint="eastAsia" w:ascii="Times New Roman" w:hAnsi="Times New Roman" w:cs="Times New Roman"/>
          <w:color w:val="auto"/>
          <w:sz w:val="24"/>
          <w:lang w:val="en-US" w:eastAsia="zh-CN"/>
        </w:rPr>
        <w:t>新发现总量的5.88</w:t>
      </w:r>
      <w:r>
        <w:rPr>
          <w:rFonts w:hint="default" w:ascii="Times New Roman" w:hAnsi="Times New Roman" w:cs="Times New Roman"/>
          <w:color w:val="auto"/>
          <w:sz w:val="24"/>
          <w:lang w:val="en-US" w:eastAsia="zh-CN"/>
        </w:rPr>
        <w:t>%。</w:t>
      </w:r>
    </w:p>
    <w:p w14:paraId="04FAECC3">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总体来看，焦作市山川纵横，江河较多，湖泊千姿百态</w:t>
      </w:r>
      <w:r>
        <w:rPr>
          <w:rFonts w:hint="default" w:ascii="Times New Roman" w:hAnsi="Times New Roman" w:cs="Times New Roman"/>
          <w:color w:val="auto"/>
          <w:sz w:val="24"/>
          <w:lang w:val="en-US" w:eastAsia="zh-CN"/>
        </w:rPr>
        <w:t>，水域景观资源类型</w:t>
      </w:r>
      <w:r>
        <w:rPr>
          <w:rFonts w:hint="eastAsia" w:ascii="Times New Roman" w:hAnsi="Times New Roman" w:cs="Times New Roman"/>
          <w:color w:val="auto"/>
          <w:sz w:val="24"/>
          <w:lang w:val="en-US" w:eastAsia="zh-CN"/>
        </w:rPr>
        <w:t>较</w:t>
      </w:r>
      <w:r>
        <w:rPr>
          <w:rFonts w:hint="default" w:ascii="Times New Roman" w:hAnsi="Times New Roman" w:cs="Times New Roman"/>
          <w:color w:val="auto"/>
          <w:sz w:val="24"/>
          <w:lang w:val="en-US" w:eastAsia="zh-CN"/>
        </w:rPr>
        <w:t>多样</w:t>
      </w:r>
      <w:r>
        <w:rPr>
          <w:rFonts w:hint="eastAsia" w:ascii="Times New Roman" w:hAnsi="Times New Roman" w:cs="Times New Roman"/>
          <w:color w:val="auto"/>
          <w:sz w:val="24"/>
          <w:lang w:val="en-US" w:eastAsia="zh-CN"/>
        </w:rPr>
        <w:t>。</w:t>
      </w:r>
    </w:p>
    <w:p w14:paraId="58F5F2D4">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（一）河系</w:t>
      </w:r>
    </w:p>
    <w:p w14:paraId="19B97C2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本次普查共查明河系362处，其中，游憩河段数量最多，占该亚类总量的69.06%，其次为瀑布占该亚类总量的29.56%。古河道段落相对较少，占该亚类的1.38%。</w:t>
      </w:r>
    </w:p>
    <w:p w14:paraId="37FB6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河系亚类中新发现资源23处，其中瀑布数量最多，占到该亚类新发现资源总量的57.78%，其次为游憩河段，占比26.09%。</w:t>
      </w:r>
    </w:p>
    <w:p w14:paraId="279E688B">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表3-14 河系亚类典型资源名录</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2"/>
        <w:gridCol w:w="5980"/>
      </w:tblGrid>
      <w:tr w14:paraId="46319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tcPr>
          <w:p w14:paraId="35C27B7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资源类型</w:t>
            </w:r>
          </w:p>
        </w:tc>
        <w:tc>
          <w:tcPr>
            <w:tcW w:w="5980" w:type="dxa"/>
          </w:tcPr>
          <w:p w14:paraId="784FB02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典型资源</w:t>
            </w:r>
          </w:p>
        </w:tc>
      </w:tr>
      <w:tr w14:paraId="2552B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7A85DE0E">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BAA游憩河段</w:t>
            </w:r>
          </w:p>
        </w:tc>
        <w:tc>
          <w:tcPr>
            <w:tcW w:w="5980" w:type="dxa"/>
          </w:tcPr>
          <w:p w14:paraId="6AB600C9">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博爱青天河观音峡游憩河段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焦作云台山泉瀑峡河段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焦作云台山小寨沟服务区游憩河段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博爱丹河峡谷游憩河段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焦作青龙峡游憩河段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焦作云台山红石峡游憩河段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博爱青天河游憩河段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黄河武陟悬河头游憩河段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修武青龙峡游憩河段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焦作云台山潭瀑峡游憩河段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焦作青龙峡壶穴滩</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黄河孟州段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武陟人民胜利渠</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焦作青龙峡花海游憩河段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博爱丹河许湾段游憩河段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博爱丹河下伏头段游憩河段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修武净影大峡谷游憩河段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南水北调中线工程解放区段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博爱丹河于庄段游憩河段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焦作云台山潭瀑峡漫水滩</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焦作青龙峡九曲溪</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丹河沁阳段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焦作云台山纸坊河云溪谷段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焦作青龙峡索道下站至三秀川游憩河段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沁阳丹河九渡段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修武大沙河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焦作青龙峡九连潭游憩河段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焦作青龙峡金银滩</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博爱运粮河太子庄水域</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博爱丹河小东庄段游憩河段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博爱丹河吴窑段游憩河段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沁阳沁河北孔村游憩河段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博爱北横河鼎基新城水域</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沁阳丹河杨庄河段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博爱北横河马营水域景观河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博爱北横河与幸福河分流水域</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博爱勒马河南岳村水域</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博爱湿地公园内河水域</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博爱勒马河景观水域</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博爱公园内湖水域</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博爱发展大道景观河流</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博爱北横河鸿昌街道水城</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博爱幸福河拦河坝水域</w:t>
            </w:r>
          </w:p>
        </w:tc>
      </w:tr>
      <w:tr w14:paraId="24B3F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608F9848">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BAB瀑布</w:t>
            </w:r>
          </w:p>
        </w:tc>
        <w:tc>
          <w:tcPr>
            <w:tcW w:w="5980" w:type="dxa"/>
          </w:tcPr>
          <w:p w14:paraId="3795472E">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焦作云台山红石峡首龙瀑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焦作云台山潭瀑峡钙华坝和水帘瀑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焦作青龙峡青龙瀑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焦作青龙峡九连瀑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焦作青龙峡叠翠瀑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焦作云台山百家岩天门瀑布</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焦作云台山白龙瀑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焦作云台山云台天瀑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焦作云台山潭瀑峡情人瀑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焦作青龙峡望龙瀑布</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焦作云台山红石峡黄龙瀑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焦作云台山潭瀑峡"Y"字瀑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焦作云台山云溪谷云溪瀑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焦作云台山泉瀑峡幽瀑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焦作青龙峡凤尾瀑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焦作云台山红石峡九叠瀑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修武净影大峡谷天梯瀑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焦作云台山潭瀑峡金龙卧波瀑布</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沁阳神农山神女峡神女飞瀑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修武净影大峡谷石根瀑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修武净影大峡阶瀑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焦作云台山红石峡黑龙瀑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焦作云台山百家岩王烈泉瀑布</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博爱青天河戏水瀑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焦作青龙峡三秀川</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修武龙门村转泉瀑布</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焦作云台山云溪谷凝翠瀑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焦作云台山泉瀑峡青苔瀑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焦作云台山黄龙瀑珠帘壁挂瀑布</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焦作青龙峡盘龙瀑布</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焦作云台山云溪谷奔流瀑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焦作云台山云溪谷龙腾瀑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焦作云台山红石峡黑龙瀑珠帘壁挂瀑布</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焦作云台山潭瀑峡壶口瀑布</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焦作青龙峡凝翠瀑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沁阳神农山沐涧寺沐涧飞瀑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焦作青龙峡幽瀑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修武兴隆掌瀑布</w:t>
            </w:r>
          </w:p>
        </w:tc>
      </w:tr>
      <w:tr w14:paraId="02A93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1E754D34">
            <w:pPr>
              <w:jc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BAC古河道段落</w:t>
            </w:r>
          </w:p>
        </w:tc>
        <w:tc>
          <w:tcPr>
            <w:tcW w:w="5980" w:type="dxa"/>
          </w:tcPr>
          <w:p w14:paraId="295ECE59">
            <w:pPr>
              <w:bidi w:val="0"/>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修武运粮河城区段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武陟运粮河河道遗址</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修武隋唐大运河修武常桥村段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武陟永济渠河道遗址博爱青天河丹河古道</w:t>
            </w:r>
          </w:p>
        </w:tc>
      </w:tr>
    </w:tbl>
    <w:p w14:paraId="53A61CE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cs="宋体"/>
          <w:b/>
          <w:bCs/>
          <w:color w:val="auto"/>
          <w:sz w:val="24"/>
          <w:szCs w:val="24"/>
          <w:lang w:val="en-US" w:eastAsia="zh-CN"/>
        </w:rPr>
      </w:pPr>
    </w:p>
    <w:p w14:paraId="6BFEB147">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（二）湖沼</w:t>
      </w:r>
    </w:p>
    <w:p w14:paraId="4D6DA6B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本次普查共查明湖沼222处，其中，潭池数量最多，占该亚类总量的54.50%，其次为游憩湖区占该亚类总量的37.84%。湿地相对较少，占该亚类的7.66%。</w:t>
      </w:r>
    </w:p>
    <w:p w14:paraId="6944658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湖沼亚类中新发现资源41处，其中潭池数量最多，占到该亚类新发现资源总量的80.49%，其次为游憩湖区，占比19.51%。</w:t>
      </w:r>
    </w:p>
    <w:p w14:paraId="1E0F7D18">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表3-15 湖沼亚类典型资源名录</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2"/>
        <w:gridCol w:w="5980"/>
      </w:tblGrid>
      <w:tr w14:paraId="7A068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tcPr>
          <w:p w14:paraId="0FD1BDA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资源类型</w:t>
            </w:r>
          </w:p>
        </w:tc>
        <w:tc>
          <w:tcPr>
            <w:tcW w:w="5980" w:type="dxa"/>
          </w:tcPr>
          <w:p w14:paraId="1D48636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典型资源</w:t>
            </w:r>
          </w:p>
        </w:tc>
      </w:tr>
      <w:tr w14:paraId="2A988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0A0EFF73">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BBA游憩湖区</w:t>
            </w:r>
          </w:p>
        </w:tc>
        <w:tc>
          <w:tcPr>
            <w:tcW w:w="5980" w:type="dxa"/>
          </w:tcPr>
          <w:p w14:paraId="7B23C833">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博爱青天河大泉湖坝区段游憩湖区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焦作峰林峡翡翠湖</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焦作云台山子房湖</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焦作龙翔山孤山湖水库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沁阳神农山仙神谷静应湖</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沁阳逍遥湖</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修武净影寺净影湖</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沁阳怀府恐龙园主题湖</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修武青龙洞水库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焦作云台山百家岩未名湖</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孟州白墙水库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博爱幸福湖公园幸福湖</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孟州吉祥湖</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孟州引沁渠</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沁阳天鹅湖</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孟州顺涧湖</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孟州美丽源沟景区水系</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孟州老家莫沟景区汶水湖</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焦作缝山针公园西子湖</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焦作云台山百家岩百家岩水库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孟州焦庄水库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温县子夏湖</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修武人民公园人工湖</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孟州洞流沟水库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孟州范庄水库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孟州刘雷水库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孟州西孟庄水库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孟州顺涧水库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孟州小柴河水库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修武宁城公园宁湖</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焦作人民公园翠月湖</w:t>
            </w:r>
          </w:p>
        </w:tc>
      </w:tr>
      <w:tr w14:paraId="53EAE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0378B5E5">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BBB潭池</w:t>
            </w:r>
          </w:p>
        </w:tc>
        <w:tc>
          <w:tcPr>
            <w:tcW w:w="5980" w:type="dxa"/>
          </w:tcPr>
          <w:p w14:paraId="6B1656B6">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焦作云台山红石峡黄龙潭、焦作云台山泉瀑峡天瀑潭、焦作云台山红石峡白龙潭、焦作青龙峡龙槽潭、焦作青龙峡同心潭、修武净影大峡谷翠潭、焦作云台山潭瀑峡洗砚池、焦作云台山泉瀑峡幽潭、修武净影大峡谷神龙摆尾潭、焦作青龙峡青龙潭、焦作云台山潭瀑峡清漪池、焦作云台山红石峡黑龙潭、焦作云台山红石峡青龙潭、焦作青龙峡月牙潭、修武净影大峡谷天梯潭、焦作云台山潭瀑峡龙蛇潭、焦作云台山潭瀑峡金龙卧波潭池、修武龙门村转泉潭、修武净影大峡谷月牙潭、焦作青龙峡凤尾潭、修武净影大峡谷神笔潭、焦作青龙峡转运湾潭、博爱李商隐公园荷花池、焦作云台山潭瀑峡翡翠潭、焦作云台山潭瀑峡玉坠潭、焦作云台山潭瀑峡孔雀开屏潭、焦作青龙峡叠翠潭、焦作青龙峡龙泉湖、焦作云台山潭瀑峡"丫"字潭、博爱公园荷花池、修武净影大峡谷转运潭、修武横河云台天瀑源头、焦作青龙峡象潭、焦作青龙峡凝翠潭、修武净影大峡谷静水潭、焦作云台山潭瀑峡心型潭、焦作云台山云溪谷春秋池、焦作云台山云溪谷凝翠池、焦作云台山云溪谷静心池、焦作云台山云溪谷晓月池、修武净影大峡谷天阶潭、修武净影大峡谷藏翠潭</w:t>
            </w:r>
          </w:p>
        </w:tc>
      </w:tr>
      <w:tr w14:paraId="530BD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2276D77B">
            <w:pPr>
              <w:jc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BBC湿地</w:t>
            </w:r>
          </w:p>
        </w:tc>
        <w:tc>
          <w:tcPr>
            <w:tcW w:w="5980" w:type="dxa"/>
          </w:tcPr>
          <w:p w14:paraId="48120A01">
            <w:pPr>
              <w:bidi w:val="0"/>
              <w:jc w:val="left"/>
              <w:rPr>
                <w:rFonts w:hint="eastAsia" w:ascii="仿宋" w:hAnsi="仿宋" w:eastAsia="仿宋" w:cs="仿宋"/>
                <w:i w:val="0"/>
                <w:caps w:val="0"/>
                <w:color w:val="auto"/>
                <w:spacing w:val="0"/>
                <w:sz w:val="21"/>
                <w:szCs w:val="21"/>
                <w:shd w:val="clear" w:fill="E6F7FF"/>
                <w:lang w:val="en-US" w:eastAsia="zh-CN"/>
              </w:rPr>
            </w:pPr>
            <w:r>
              <w:rPr>
                <w:rFonts w:hint="eastAsia" w:ascii="仿宋" w:hAnsi="仿宋" w:eastAsia="仿宋" w:cs="仿宋"/>
                <w:color w:val="auto"/>
                <w:sz w:val="21"/>
                <w:szCs w:val="21"/>
              </w:rPr>
              <w:t>孟州黄河湿地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温县黄河滩湿地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沁阳龙门河湿地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孟州白墙水库湿地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焦作白鹭湖湿地公园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焦作大沙河生态公园湿地</w:t>
            </w:r>
          </w:p>
        </w:tc>
      </w:tr>
    </w:tbl>
    <w:p w14:paraId="285F860F">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default" w:ascii="宋体" w:hAnsi="宋体" w:cs="宋体"/>
          <w:b/>
          <w:bCs/>
          <w:color w:val="auto"/>
          <w:sz w:val="24"/>
          <w:szCs w:val="24"/>
          <w:lang w:val="en-US" w:eastAsia="zh-CN"/>
        </w:rPr>
      </w:pPr>
    </w:p>
    <w:p w14:paraId="03EE794F">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（三）地下水</w:t>
      </w:r>
    </w:p>
    <w:p w14:paraId="33E95CF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本次普查共查明地下水27处，其中，泉数量最多，占该亚类总量的92.59%，其次为积雪地占该亚类总量的7.41%。无埋藏水体。</w:t>
      </w:r>
    </w:p>
    <w:p w14:paraId="122A9A6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地下水亚类中新发现资源4处，均属于泉这一基本类型，其余基本类型均无新发现资源。</w:t>
      </w:r>
    </w:p>
    <w:p w14:paraId="58B5CC0E">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表3-16 地下水亚类典型资源名录</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2"/>
        <w:gridCol w:w="5980"/>
      </w:tblGrid>
      <w:tr w14:paraId="4079E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tcPr>
          <w:p w14:paraId="57534D3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资源类型</w:t>
            </w:r>
          </w:p>
        </w:tc>
        <w:tc>
          <w:tcPr>
            <w:tcW w:w="5980" w:type="dxa"/>
          </w:tcPr>
          <w:p w14:paraId="06A6DDD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典型资源</w:t>
            </w:r>
          </w:p>
        </w:tc>
      </w:tr>
      <w:tr w14:paraId="2AE1E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51D8C511">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BCA泉</w:t>
            </w:r>
          </w:p>
        </w:tc>
        <w:tc>
          <w:tcPr>
            <w:tcW w:w="5980" w:type="dxa"/>
          </w:tcPr>
          <w:p w14:paraId="1F1BD9E0">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焦作云台山潭瀑峡不老泉</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博爱三姑泉</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焦作云台山泉瀑峡孔雀泉</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焦作云台山潭瀑峡龙凤泉</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修武一斗水泉</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修武净影大峡谷裂隙泉眼</w:t>
            </w:r>
          </w:p>
        </w:tc>
      </w:tr>
      <w:tr w14:paraId="1845C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14FD417C">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BCB埋藏水体</w:t>
            </w:r>
          </w:p>
        </w:tc>
        <w:tc>
          <w:tcPr>
            <w:tcW w:w="5980" w:type="dxa"/>
          </w:tcPr>
          <w:p w14:paraId="0215EF3E">
            <w:pPr>
              <w:rPr>
                <w:rFonts w:hint="eastAsia" w:ascii="仿宋" w:hAnsi="仿宋" w:eastAsia="仿宋" w:cs="仿宋"/>
                <w:color w:val="auto"/>
                <w:sz w:val="21"/>
                <w:szCs w:val="21"/>
                <w:lang w:val="en-US" w:eastAsia="zh-CN"/>
              </w:rPr>
            </w:pPr>
          </w:p>
        </w:tc>
      </w:tr>
      <w:tr w14:paraId="58095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086AA183">
            <w:pPr>
              <w:jc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BDA积雪地</w:t>
            </w:r>
          </w:p>
        </w:tc>
        <w:tc>
          <w:tcPr>
            <w:tcW w:w="5980" w:type="dxa"/>
          </w:tcPr>
          <w:p w14:paraId="5F458E0A">
            <w:pPr>
              <w:bidi w:val="0"/>
              <w:jc w:val="left"/>
              <w:rPr>
                <w:rFonts w:hint="eastAsia" w:ascii="仿宋" w:hAnsi="仿宋" w:eastAsia="仿宋" w:cs="仿宋"/>
                <w:i w:val="0"/>
                <w:caps w:val="0"/>
                <w:color w:val="auto"/>
                <w:spacing w:val="0"/>
                <w:sz w:val="21"/>
                <w:szCs w:val="21"/>
                <w:shd w:val="clear" w:fill="E6F7FF"/>
                <w:lang w:val="en-US" w:eastAsia="zh-CN"/>
              </w:rPr>
            </w:pPr>
            <w:r>
              <w:rPr>
                <w:rFonts w:hint="eastAsia" w:ascii="仿宋" w:hAnsi="仿宋" w:eastAsia="仿宋" w:cs="仿宋"/>
                <w:color w:val="auto"/>
                <w:sz w:val="21"/>
                <w:szCs w:val="21"/>
              </w:rPr>
              <w:t>焦作云台山小寨沟积雪地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博爱青天河太行雪景</w:t>
            </w:r>
          </w:p>
        </w:tc>
      </w:tr>
      <w:tr w14:paraId="0F492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426D3E28">
            <w:pPr>
              <w:jc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BDB现代冰川</w:t>
            </w:r>
          </w:p>
        </w:tc>
        <w:tc>
          <w:tcPr>
            <w:tcW w:w="5980" w:type="dxa"/>
          </w:tcPr>
          <w:p w14:paraId="6E597F61">
            <w:pPr>
              <w:bidi w:val="0"/>
              <w:jc w:val="left"/>
              <w:rPr>
                <w:rFonts w:hint="eastAsia" w:ascii="仿宋" w:hAnsi="仿宋" w:eastAsia="仿宋" w:cs="仿宋"/>
                <w:i w:val="0"/>
                <w:caps w:val="0"/>
                <w:color w:val="auto"/>
                <w:spacing w:val="0"/>
                <w:sz w:val="21"/>
                <w:szCs w:val="21"/>
                <w:shd w:val="clear" w:fill="E6F7FF"/>
                <w:lang w:val="en-US" w:eastAsia="zh-CN"/>
              </w:rPr>
            </w:pPr>
          </w:p>
        </w:tc>
      </w:tr>
    </w:tbl>
    <w:p w14:paraId="3639843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9"/>
        <w:rPr>
          <w:rFonts w:hint="default" w:ascii="宋体" w:hAnsi="宋体" w:cs="宋体"/>
          <w:b/>
          <w:bCs/>
          <w:color w:val="auto"/>
          <w:sz w:val="24"/>
          <w:szCs w:val="24"/>
          <w:lang w:val="en-US" w:eastAsia="zh-CN"/>
        </w:rPr>
      </w:pPr>
    </w:p>
    <w:p w14:paraId="7C2C46DA">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0" w:firstLineChars="0"/>
        <w:jc w:val="both"/>
        <w:textAlignment w:val="auto"/>
        <w:outlineLvl w:val="2"/>
        <w:rPr>
          <w:rFonts w:hint="eastAsia" w:ascii="宋体" w:hAnsi="宋体" w:cs="宋体"/>
          <w:b/>
          <w:bCs/>
          <w:color w:val="auto"/>
          <w:sz w:val="28"/>
          <w:szCs w:val="28"/>
          <w:lang w:val="en-US" w:eastAsia="zh-CN"/>
        </w:rPr>
      </w:pPr>
      <w:bookmarkStart w:id="66" w:name="_Toc9817"/>
      <w:r>
        <w:rPr>
          <w:rFonts w:hint="eastAsia" w:ascii="宋体" w:hAnsi="宋体" w:cs="宋体"/>
          <w:b/>
          <w:bCs/>
          <w:color w:val="auto"/>
          <w:sz w:val="28"/>
          <w:szCs w:val="28"/>
          <w:lang w:val="en-US" w:eastAsia="zh-CN"/>
        </w:rPr>
        <w:t>生物景观类</w:t>
      </w:r>
      <w:bookmarkEnd w:id="66"/>
    </w:p>
    <w:p w14:paraId="4413D23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本次普查全市共查明生物景观类旅游资源1075</w:t>
      </w:r>
      <w:r>
        <w:rPr>
          <w:rFonts w:hint="default" w:ascii="Times New Roman" w:hAnsi="Times New Roman" w:cs="Times New Roman"/>
          <w:color w:val="auto"/>
          <w:sz w:val="24"/>
          <w:lang w:val="en-US" w:eastAsia="zh-CN"/>
        </w:rPr>
        <w:t>处，占</w:t>
      </w:r>
      <w:r>
        <w:rPr>
          <w:rFonts w:hint="eastAsia" w:ascii="Times New Roman" w:hAnsi="Times New Roman" w:cs="Times New Roman"/>
          <w:color w:val="auto"/>
          <w:sz w:val="24"/>
          <w:lang w:val="en-US" w:eastAsia="zh-CN"/>
        </w:rPr>
        <w:t>全市</w:t>
      </w:r>
      <w:r>
        <w:rPr>
          <w:rFonts w:hint="default" w:ascii="Times New Roman" w:hAnsi="Times New Roman" w:cs="Times New Roman"/>
          <w:color w:val="auto"/>
          <w:sz w:val="24"/>
          <w:lang w:val="en-US" w:eastAsia="zh-CN"/>
        </w:rPr>
        <w:t>旅游</w:t>
      </w:r>
      <w:r>
        <w:rPr>
          <w:rFonts w:hint="eastAsia" w:ascii="Times New Roman" w:hAnsi="Times New Roman" w:cs="Times New Roman"/>
          <w:color w:val="auto"/>
          <w:sz w:val="24"/>
          <w:lang w:val="en-US" w:eastAsia="zh-CN"/>
        </w:rPr>
        <w:t>资源</w:t>
      </w:r>
      <w:r>
        <w:rPr>
          <w:rFonts w:hint="default" w:ascii="Times New Roman" w:hAnsi="Times New Roman" w:cs="Times New Roman"/>
          <w:color w:val="auto"/>
          <w:sz w:val="24"/>
          <w:lang w:val="en-US" w:eastAsia="zh-CN"/>
        </w:rPr>
        <w:t>总</w:t>
      </w:r>
      <w:r>
        <w:rPr>
          <w:rFonts w:hint="eastAsia" w:ascii="Times New Roman" w:hAnsi="Times New Roman" w:cs="Times New Roman"/>
          <w:color w:val="auto"/>
          <w:sz w:val="24"/>
          <w:lang w:val="en-US" w:eastAsia="zh-CN"/>
        </w:rPr>
        <w:t>量的8.95%，</w:t>
      </w:r>
      <w:r>
        <w:rPr>
          <w:rFonts w:hint="default" w:ascii="Times New Roman" w:hAnsi="Times New Roman" w:cs="Times New Roman"/>
          <w:color w:val="auto"/>
          <w:sz w:val="24"/>
          <w:lang w:val="en-US" w:eastAsia="zh-CN"/>
        </w:rPr>
        <w:t>其中新发现新认定资源</w:t>
      </w:r>
      <w:r>
        <w:rPr>
          <w:rFonts w:hint="eastAsia" w:ascii="Times New Roman" w:hAnsi="Times New Roman" w:cs="Times New Roman"/>
          <w:color w:val="auto"/>
          <w:sz w:val="24"/>
          <w:lang w:val="en-US" w:eastAsia="zh-CN"/>
        </w:rPr>
        <w:t>202</w:t>
      </w:r>
      <w:r>
        <w:rPr>
          <w:rFonts w:hint="default" w:ascii="Times New Roman" w:hAnsi="Times New Roman" w:cs="Times New Roman"/>
          <w:color w:val="auto"/>
          <w:sz w:val="24"/>
          <w:lang w:val="en-US" w:eastAsia="zh-CN"/>
        </w:rPr>
        <w:t>处，占</w:t>
      </w:r>
      <w:r>
        <w:rPr>
          <w:rFonts w:hint="eastAsia" w:ascii="Times New Roman" w:hAnsi="Times New Roman" w:cs="Times New Roman"/>
          <w:color w:val="auto"/>
          <w:sz w:val="24"/>
          <w:lang w:val="en-US" w:eastAsia="zh-CN"/>
        </w:rPr>
        <w:t>生物</w:t>
      </w:r>
      <w:r>
        <w:rPr>
          <w:rFonts w:hint="default" w:ascii="Times New Roman" w:hAnsi="Times New Roman" w:cs="Times New Roman"/>
          <w:color w:val="auto"/>
          <w:sz w:val="24"/>
          <w:lang w:val="en-US" w:eastAsia="zh-CN"/>
        </w:rPr>
        <w:t>景观总量</w:t>
      </w:r>
      <w:r>
        <w:rPr>
          <w:rFonts w:hint="eastAsia" w:ascii="Times New Roman" w:hAnsi="Times New Roman" w:cs="Times New Roman"/>
          <w:color w:val="auto"/>
          <w:sz w:val="24"/>
          <w:lang w:val="en-US" w:eastAsia="zh-CN"/>
        </w:rPr>
        <w:t>18.79</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，生物</w:t>
      </w:r>
      <w:r>
        <w:rPr>
          <w:rFonts w:hint="default" w:ascii="Times New Roman" w:hAnsi="Times New Roman" w:cs="Times New Roman"/>
          <w:color w:val="auto"/>
          <w:sz w:val="24"/>
          <w:lang w:val="en-US" w:eastAsia="zh-CN"/>
        </w:rPr>
        <w:t>景观类旅游</w:t>
      </w:r>
      <w:r>
        <w:rPr>
          <w:rFonts w:hint="eastAsia" w:ascii="Times New Roman" w:hAnsi="Times New Roman" w:cs="Times New Roman"/>
          <w:color w:val="auto"/>
          <w:sz w:val="24"/>
          <w:lang w:val="en-US" w:eastAsia="zh-CN"/>
        </w:rPr>
        <w:t>资源分布于2</w:t>
      </w:r>
      <w:r>
        <w:rPr>
          <w:rFonts w:hint="default" w:ascii="Times New Roman" w:hAnsi="Times New Roman" w:cs="Times New Roman"/>
          <w:color w:val="auto"/>
          <w:sz w:val="24"/>
          <w:lang w:val="en-US" w:eastAsia="zh-CN"/>
        </w:rPr>
        <w:t>个亚类、</w:t>
      </w:r>
      <w:r>
        <w:rPr>
          <w:rFonts w:hint="eastAsia" w:ascii="Times New Roman" w:hAnsi="Times New Roman" w:cs="Times New Roman"/>
          <w:color w:val="auto"/>
          <w:sz w:val="24"/>
          <w:lang w:val="en-US" w:eastAsia="zh-CN"/>
        </w:rPr>
        <w:t>7</w:t>
      </w:r>
      <w:r>
        <w:rPr>
          <w:rFonts w:hint="default" w:ascii="Times New Roman" w:hAnsi="Times New Roman" w:cs="Times New Roman"/>
          <w:color w:val="auto"/>
          <w:sz w:val="24"/>
          <w:lang w:val="en-US" w:eastAsia="zh-CN"/>
        </w:rPr>
        <w:t>个基本类型。</w:t>
      </w:r>
      <w:r>
        <w:rPr>
          <w:rFonts w:hint="eastAsia" w:ascii="Times New Roman" w:hAnsi="Times New Roman" w:cs="Times New Roman"/>
          <w:color w:val="auto"/>
          <w:sz w:val="24"/>
          <w:lang w:val="en-US" w:eastAsia="zh-CN"/>
        </w:rPr>
        <w:t>各类型总量和新发现数量见表3-17所示。</w:t>
      </w:r>
    </w:p>
    <w:p w14:paraId="1A4C12DD">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表3-17 生物景观旅游资源分类统计表</w:t>
      </w:r>
    </w:p>
    <w:tbl>
      <w:tblPr>
        <w:tblStyle w:val="15"/>
        <w:tblW w:w="82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58"/>
        <w:gridCol w:w="670"/>
        <w:gridCol w:w="975"/>
        <w:gridCol w:w="743"/>
        <w:gridCol w:w="2075"/>
        <w:gridCol w:w="894"/>
        <w:gridCol w:w="913"/>
      </w:tblGrid>
      <w:tr w14:paraId="5FCC1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jc w:val="center"/>
        </w:trPr>
        <w:tc>
          <w:tcPr>
            <w:tcW w:w="195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E68AA89">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lang w:val="en-US"/>
              </w:rPr>
            </w:pPr>
            <w:r>
              <w:rPr>
                <w:rFonts w:hint="eastAsia" w:ascii="仿宋" w:hAnsi="仿宋" w:eastAsia="仿宋" w:cs="仿宋"/>
                <w:b/>
                <w:bCs/>
                <w:i w:val="0"/>
                <w:iCs w:val="0"/>
                <w:color w:val="auto"/>
                <w:kern w:val="0"/>
                <w:sz w:val="21"/>
                <w:szCs w:val="21"/>
                <w:u w:val="none"/>
                <w:lang w:val="en-US" w:eastAsia="zh-CN" w:bidi="ar"/>
              </w:rPr>
              <w:t>资源基本类型</w:t>
            </w:r>
          </w:p>
          <w:p w14:paraId="20B635EE">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lang w:val="en-US"/>
              </w:rPr>
            </w:pPr>
          </w:p>
        </w:tc>
        <w:tc>
          <w:tcPr>
            <w:tcW w:w="6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757327D">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r>
              <w:rPr>
                <w:rFonts w:hint="eastAsia" w:ascii="仿宋" w:hAnsi="仿宋" w:eastAsia="仿宋" w:cs="仿宋"/>
                <w:b/>
                <w:bCs/>
                <w:i w:val="0"/>
                <w:iCs w:val="0"/>
                <w:color w:val="auto"/>
                <w:kern w:val="0"/>
                <w:sz w:val="21"/>
                <w:szCs w:val="21"/>
                <w:u w:val="none"/>
                <w:lang w:val="en-US" w:eastAsia="zh-CN" w:bidi="ar"/>
              </w:rPr>
              <w:t>总量</w:t>
            </w:r>
          </w:p>
        </w:tc>
        <w:tc>
          <w:tcPr>
            <w:tcW w:w="97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605A187">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r>
              <w:rPr>
                <w:rFonts w:hint="eastAsia" w:ascii="仿宋" w:hAnsi="仿宋" w:eastAsia="仿宋" w:cs="仿宋"/>
                <w:b/>
                <w:bCs/>
                <w:i w:val="0"/>
                <w:iCs w:val="0"/>
                <w:color w:val="auto"/>
                <w:kern w:val="0"/>
                <w:sz w:val="21"/>
                <w:szCs w:val="21"/>
                <w:u w:val="none"/>
                <w:lang w:val="en-US" w:eastAsia="zh-CN" w:bidi="ar"/>
              </w:rPr>
              <w:t>新发现数量</w:t>
            </w:r>
          </w:p>
        </w:tc>
        <w:tc>
          <w:tcPr>
            <w:tcW w:w="743" w:type="dxa"/>
            <w:vMerge w:val="restart"/>
            <w:tcBorders>
              <w:top w:val="single" w:color="000000" w:sz="8" w:space="0"/>
              <w:left w:val="single" w:color="000000" w:sz="8" w:space="0"/>
              <w:right w:val="single" w:color="000000" w:sz="8" w:space="0"/>
            </w:tcBorders>
            <w:shd w:val="clear" w:color="auto" w:fill="auto"/>
            <w:vAlign w:val="center"/>
          </w:tcPr>
          <w:p w14:paraId="5D86034E">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p>
        </w:tc>
        <w:tc>
          <w:tcPr>
            <w:tcW w:w="207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9B67EC9">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资源基本类型</w:t>
            </w:r>
          </w:p>
        </w:tc>
        <w:tc>
          <w:tcPr>
            <w:tcW w:w="89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AE9B749">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总量</w:t>
            </w:r>
          </w:p>
        </w:tc>
        <w:tc>
          <w:tcPr>
            <w:tcW w:w="91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401B99D">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新发现数量</w:t>
            </w:r>
          </w:p>
        </w:tc>
      </w:tr>
      <w:tr w14:paraId="4507F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nil"/>
              <w:left w:val="single" w:color="000000" w:sz="8" w:space="0"/>
              <w:bottom w:val="single" w:color="000000" w:sz="8" w:space="0"/>
              <w:right w:val="single" w:color="000000" w:sz="8" w:space="0"/>
            </w:tcBorders>
            <w:shd w:val="clear" w:color="auto" w:fill="auto"/>
            <w:vAlign w:val="center"/>
          </w:tcPr>
          <w:p w14:paraId="6529F07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CA  植被景观</w:t>
            </w:r>
          </w:p>
        </w:tc>
        <w:tc>
          <w:tcPr>
            <w:tcW w:w="670" w:type="dxa"/>
            <w:tcBorders>
              <w:top w:val="nil"/>
              <w:left w:val="single" w:color="000000" w:sz="8" w:space="0"/>
              <w:bottom w:val="single" w:color="000000" w:sz="8" w:space="0"/>
              <w:right w:val="single" w:color="000000" w:sz="8" w:space="0"/>
            </w:tcBorders>
            <w:shd w:val="clear" w:color="auto" w:fill="auto"/>
            <w:vAlign w:val="center"/>
          </w:tcPr>
          <w:p w14:paraId="4C7A0F6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1059</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3DBE449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202</w:t>
            </w:r>
          </w:p>
        </w:tc>
        <w:tc>
          <w:tcPr>
            <w:tcW w:w="743" w:type="dxa"/>
            <w:vMerge w:val="continue"/>
            <w:tcBorders>
              <w:left w:val="single" w:color="000000" w:sz="8" w:space="0"/>
              <w:right w:val="single" w:color="000000" w:sz="8" w:space="0"/>
            </w:tcBorders>
            <w:shd w:val="clear" w:color="auto" w:fill="auto"/>
            <w:vAlign w:val="center"/>
          </w:tcPr>
          <w:p w14:paraId="4E339071">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05C19101">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CB  野生动物栖息地（16）</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028FBAE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16</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566083AB">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0</w:t>
            </w:r>
          </w:p>
        </w:tc>
      </w:tr>
      <w:tr w14:paraId="0E2FC5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nil"/>
              <w:left w:val="single" w:color="000000" w:sz="8" w:space="0"/>
              <w:bottom w:val="single" w:color="auto" w:sz="4" w:space="0"/>
              <w:right w:val="single" w:color="000000" w:sz="8" w:space="0"/>
            </w:tcBorders>
            <w:shd w:val="clear" w:color="auto" w:fill="auto"/>
            <w:vAlign w:val="center"/>
          </w:tcPr>
          <w:p w14:paraId="1AD6C2E1">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CAA林地</w:t>
            </w:r>
          </w:p>
        </w:tc>
        <w:tc>
          <w:tcPr>
            <w:tcW w:w="670" w:type="dxa"/>
            <w:tcBorders>
              <w:top w:val="nil"/>
              <w:left w:val="single" w:color="000000" w:sz="8" w:space="0"/>
              <w:bottom w:val="single" w:color="auto" w:sz="4" w:space="0"/>
              <w:right w:val="single" w:color="000000" w:sz="8" w:space="0"/>
            </w:tcBorders>
            <w:shd w:val="clear" w:color="auto" w:fill="auto"/>
            <w:vAlign w:val="center"/>
          </w:tcPr>
          <w:p w14:paraId="2CCFEC3D">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130</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52B9D43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21</w:t>
            </w:r>
          </w:p>
        </w:tc>
        <w:tc>
          <w:tcPr>
            <w:tcW w:w="743" w:type="dxa"/>
            <w:vMerge w:val="continue"/>
            <w:tcBorders>
              <w:left w:val="single" w:color="000000" w:sz="8" w:space="0"/>
              <w:right w:val="single" w:color="000000" w:sz="8" w:space="0"/>
            </w:tcBorders>
            <w:shd w:val="clear" w:color="auto" w:fill="auto"/>
            <w:vAlign w:val="center"/>
          </w:tcPr>
          <w:p w14:paraId="07275BC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41E0EDF2">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CBA水生动物栖息地</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27EA3D0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42FCBAA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r>
      <w:tr w14:paraId="3C60F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31C69A38">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CAB独树与丛树</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5606268C">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875</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17BBB5F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171</w:t>
            </w:r>
          </w:p>
        </w:tc>
        <w:tc>
          <w:tcPr>
            <w:tcW w:w="743" w:type="dxa"/>
            <w:vMerge w:val="continue"/>
            <w:tcBorders>
              <w:left w:val="single" w:color="000000" w:sz="8" w:space="0"/>
              <w:right w:val="single" w:color="000000" w:sz="8" w:space="0"/>
            </w:tcBorders>
            <w:shd w:val="clear" w:color="auto" w:fill="auto"/>
            <w:vAlign w:val="center"/>
          </w:tcPr>
          <w:p w14:paraId="75D8B24F">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10FC5558">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CBB陆地动物栖息地</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59083A3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6</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282AD3B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r>
      <w:tr w14:paraId="64645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4F289D7E">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CAC草地</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59D3E206">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19</w:t>
            </w:r>
          </w:p>
        </w:tc>
        <w:tc>
          <w:tcPr>
            <w:tcW w:w="975" w:type="dxa"/>
            <w:tcBorders>
              <w:top w:val="nil"/>
              <w:left w:val="single" w:color="000000" w:sz="8" w:space="0"/>
              <w:bottom w:val="single" w:color="auto" w:sz="4" w:space="0"/>
              <w:right w:val="single" w:color="000000" w:sz="8" w:space="0"/>
            </w:tcBorders>
            <w:shd w:val="clear" w:color="auto" w:fill="auto"/>
            <w:vAlign w:val="center"/>
          </w:tcPr>
          <w:p w14:paraId="78A02C2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5</w:t>
            </w:r>
          </w:p>
        </w:tc>
        <w:tc>
          <w:tcPr>
            <w:tcW w:w="743" w:type="dxa"/>
            <w:vMerge w:val="continue"/>
            <w:tcBorders>
              <w:left w:val="single" w:color="000000" w:sz="8" w:space="0"/>
              <w:right w:val="single" w:color="000000" w:sz="8" w:space="0"/>
            </w:tcBorders>
            <w:shd w:val="clear" w:color="auto" w:fill="auto"/>
            <w:vAlign w:val="center"/>
          </w:tcPr>
          <w:p w14:paraId="01321BC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auto" w:sz="4" w:space="0"/>
              <w:right w:val="single" w:color="000000" w:sz="8" w:space="0"/>
            </w:tcBorders>
            <w:shd w:val="clear" w:color="auto" w:fill="auto"/>
            <w:vAlign w:val="center"/>
          </w:tcPr>
          <w:p w14:paraId="3FFFCC6D">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CBC鸟类栖息地</w:t>
            </w:r>
          </w:p>
        </w:tc>
        <w:tc>
          <w:tcPr>
            <w:tcW w:w="894" w:type="dxa"/>
            <w:tcBorders>
              <w:top w:val="nil"/>
              <w:left w:val="single" w:color="000000" w:sz="8" w:space="0"/>
              <w:bottom w:val="single" w:color="auto" w:sz="4" w:space="0"/>
              <w:right w:val="single" w:color="000000" w:sz="8" w:space="0"/>
            </w:tcBorders>
            <w:shd w:val="clear" w:color="auto" w:fill="auto"/>
            <w:vAlign w:val="center"/>
          </w:tcPr>
          <w:p w14:paraId="484CD52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w:t>
            </w:r>
          </w:p>
        </w:tc>
        <w:tc>
          <w:tcPr>
            <w:tcW w:w="913" w:type="dxa"/>
            <w:tcBorders>
              <w:top w:val="nil"/>
              <w:left w:val="single" w:color="000000" w:sz="8" w:space="0"/>
              <w:bottom w:val="single" w:color="auto" w:sz="4" w:space="0"/>
              <w:right w:val="single" w:color="000000" w:sz="8" w:space="0"/>
            </w:tcBorders>
            <w:shd w:val="clear" w:color="auto" w:fill="auto"/>
            <w:vAlign w:val="center"/>
          </w:tcPr>
          <w:p w14:paraId="5F6EDDD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r>
      <w:tr w14:paraId="317E41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4CCCD16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CAD花卉地</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1F0698DC">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kern w:val="0"/>
                <w:sz w:val="21"/>
                <w:szCs w:val="21"/>
                <w:u w:val="none"/>
                <w:lang w:val="en-US" w:eastAsia="zh-CN" w:bidi="ar"/>
              </w:rPr>
              <w:t>35</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6C39233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5</w:t>
            </w:r>
          </w:p>
        </w:tc>
        <w:tc>
          <w:tcPr>
            <w:tcW w:w="743" w:type="dxa"/>
            <w:vMerge w:val="continue"/>
            <w:tcBorders>
              <w:left w:val="single" w:color="000000" w:sz="8" w:space="0"/>
              <w:right w:val="single" w:color="000000" w:sz="8" w:space="0"/>
            </w:tcBorders>
            <w:shd w:val="clear" w:color="auto" w:fill="auto"/>
            <w:vAlign w:val="center"/>
          </w:tcPr>
          <w:p w14:paraId="1A9A02D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15AF0305">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CBD蝶类等昆虫栖息地</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226C65E8">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6CD6E8F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r>
    </w:tbl>
    <w:p w14:paraId="68A475E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从</w:t>
      </w:r>
      <w:r>
        <w:rPr>
          <w:rFonts w:hint="eastAsia" w:ascii="Times New Roman" w:hAnsi="Times New Roman" w:cs="Times New Roman"/>
          <w:color w:val="auto"/>
          <w:sz w:val="24"/>
          <w:lang w:val="en-US" w:eastAsia="zh-CN"/>
        </w:rPr>
        <w:t>2</w:t>
      </w:r>
      <w:r>
        <w:rPr>
          <w:rFonts w:hint="default" w:ascii="Times New Roman" w:hAnsi="Times New Roman" w:cs="Times New Roman"/>
          <w:color w:val="auto"/>
          <w:sz w:val="24"/>
          <w:lang w:val="en-US" w:eastAsia="zh-CN"/>
        </w:rPr>
        <w:t>个亚类资源数量来看，</w:t>
      </w:r>
      <w:r>
        <w:rPr>
          <w:rFonts w:hint="eastAsia" w:ascii="Times New Roman" w:hAnsi="Times New Roman" w:cs="Times New Roman"/>
          <w:color w:val="auto"/>
          <w:sz w:val="24"/>
          <w:lang w:val="en-US" w:eastAsia="zh-CN"/>
        </w:rPr>
        <w:t>植被景观数量明显多于野生动物栖息地，分别为1059处和16处。基本类型分布方面，独树与丛树</w:t>
      </w:r>
      <w:r>
        <w:rPr>
          <w:rFonts w:hint="default" w:ascii="Times New Roman" w:hAnsi="Times New Roman" w:cs="Times New Roman"/>
          <w:color w:val="auto"/>
          <w:sz w:val="24"/>
          <w:lang w:val="en-US" w:eastAsia="zh-CN"/>
        </w:rPr>
        <w:t>资源量</w:t>
      </w:r>
      <w:r>
        <w:rPr>
          <w:rFonts w:hint="eastAsia" w:ascii="Times New Roman" w:hAnsi="Times New Roman" w:cs="Times New Roman"/>
          <w:color w:val="auto"/>
          <w:sz w:val="24"/>
          <w:lang w:val="en-US" w:eastAsia="zh-CN"/>
        </w:rPr>
        <w:t>最</w:t>
      </w:r>
      <w:r>
        <w:rPr>
          <w:rFonts w:hint="default" w:ascii="Times New Roman" w:hAnsi="Times New Roman" w:cs="Times New Roman"/>
          <w:color w:val="auto"/>
          <w:sz w:val="24"/>
          <w:lang w:val="en-US" w:eastAsia="zh-CN"/>
        </w:rPr>
        <w:t>为丰富</w:t>
      </w:r>
      <w:r>
        <w:rPr>
          <w:rFonts w:hint="eastAsia" w:ascii="Times New Roman" w:hAnsi="Times New Roman" w:cs="Times New Roman"/>
          <w:color w:val="auto"/>
          <w:sz w:val="24"/>
          <w:lang w:val="en-US" w:eastAsia="zh-CN"/>
        </w:rPr>
        <w:t>，单体数量为875处</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其次为林地，共130处。再次为花卉地和草地，数量分别为35处和19处。鸟类栖息地9处，陆地动物栖息地6处。水生动物栖息地1处。</w:t>
      </w:r>
    </w:p>
    <w:p w14:paraId="5675BCA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新发现资源主要集中分布于</w:t>
      </w:r>
      <w:r>
        <w:rPr>
          <w:rFonts w:hint="eastAsia" w:ascii="Times New Roman" w:hAnsi="Times New Roman" w:cs="Times New Roman"/>
          <w:color w:val="auto"/>
          <w:sz w:val="24"/>
          <w:lang w:val="en-US" w:eastAsia="zh-CN"/>
        </w:rPr>
        <w:t>独树与丛树、林地</w:t>
      </w:r>
      <w:r>
        <w:rPr>
          <w:rFonts w:hint="default" w:ascii="Times New Roman" w:hAnsi="Times New Roman" w:cs="Times New Roman"/>
          <w:color w:val="auto"/>
          <w:sz w:val="24"/>
          <w:lang w:val="en-US" w:eastAsia="zh-CN"/>
        </w:rPr>
        <w:t>，分别</w:t>
      </w:r>
      <w:r>
        <w:rPr>
          <w:rFonts w:hint="eastAsia" w:ascii="Times New Roman" w:hAnsi="Times New Roman" w:cs="Times New Roman"/>
          <w:color w:val="auto"/>
          <w:sz w:val="24"/>
          <w:lang w:val="en-US" w:eastAsia="zh-CN"/>
        </w:rPr>
        <w:t>为171处和21处，</w:t>
      </w:r>
      <w:r>
        <w:rPr>
          <w:rFonts w:hint="default" w:ascii="Times New Roman" w:hAnsi="Times New Roman" w:cs="Times New Roman"/>
          <w:color w:val="auto"/>
          <w:sz w:val="24"/>
          <w:lang w:val="en-US" w:eastAsia="zh-CN"/>
        </w:rPr>
        <w:t>占</w:t>
      </w:r>
      <w:r>
        <w:rPr>
          <w:rFonts w:hint="eastAsia" w:ascii="Times New Roman" w:hAnsi="Times New Roman" w:cs="Times New Roman"/>
          <w:color w:val="auto"/>
          <w:sz w:val="24"/>
          <w:lang w:val="en-US" w:eastAsia="zh-CN"/>
        </w:rPr>
        <w:t>生物</w:t>
      </w:r>
      <w:r>
        <w:rPr>
          <w:rFonts w:hint="default" w:ascii="Times New Roman" w:hAnsi="Times New Roman" w:cs="Times New Roman"/>
          <w:color w:val="auto"/>
          <w:sz w:val="24"/>
          <w:lang w:val="en-US" w:eastAsia="zh-CN"/>
        </w:rPr>
        <w:t>景观主类新发现总量</w:t>
      </w:r>
      <w:r>
        <w:rPr>
          <w:rFonts w:hint="eastAsia" w:ascii="Times New Roman" w:hAnsi="Times New Roman" w:cs="Times New Roman"/>
          <w:color w:val="auto"/>
          <w:sz w:val="24"/>
          <w:lang w:val="en-US" w:eastAsia="zh-CN"/>
        </w:rPr>
        <w:t>的84.65</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和10.40</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其次为草地和花卉地，新发现总量均为5处，均</w:t>
      </w:r>
      <w:r>
        <w:rPr>
          <w:rFonts w:hint="default" w:ascii="Times New Roman" w:hAnsi="Times New Roman" w:cs="Times New Roman"/>
          <w:color w:val="auto"/>
          <w:sz w:val="24"/>
          <w:lang w:val="en-US" w:eastAsia="zh-CN"/>
        </w:rPr>
        <w:t>占</w:t>
      </w:r>
      <w:r>
        <w:rPr>
          <w:rFonts w:hint="eastAsia" w:ascii="Times New Roman" w:hAnsi="Times New Roman" w:cs="Times New Roman"/>
          <w:color w:val="auto"/>
          <w:sz w:val="24"/>
          <w:lang w:val="en-US" w:eastAsia="zh-CN"/>
        </w:rPr>
        <w:t>水域</w:t>
      </w:r>
      <w:r>
        <w:rPr>
          <w:rFonts w:hint="default" w:ascii="Times New Roman" w:hAnsi="Times New Roman" w:cs="Times New Roman"/>
          <w:color w:val="auto"/>
          <w:sz w:val="24"/>
          <w:lang w:val="en-US" w:eastAsia="zh-CN"/>
        </w:rPr>
        <w:t>景观主类新发现总量</w:t>
      </w:r>
      <w:r>
        <w:rPr>
          <w:rFonts w:hint="eastAsia" w:ascii="Times New Roman" w:hAnsi="Times New Roman" w:cs="Times New Roman"/>
          <w:color w:val="auto"/>
          <w:sz w:val="24"/>
          <w:lang w:val="en-US" w:eastAsia="zh-CN"/>
        </w:rPr>
        <w:t>的2.48%。</w:t>
      </w:r>
    </w:p>
    <w:p w14:paraId="12529359">
      <w:pPr>
        <w:keepNext w:val="0"/>
        <w:keepLines w:val="0"/>
        <w:pageBreakBefore w:val="0"/>
        <w:widowControl w:val="0"/>
        <w:numPr>
          <w:ilvl w:val="0"/>
          <w:numId w:val="7"/>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植被景观</w:t>
      </w:r>
    </w:p>
    <w:p w14:paraId="3D6108F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本次普查共查明植被景观1059处，其中，独树与丛树数量最多，占该亚类总量的82.63%，其次为林地占该亚类总量的12.28%。花卉地和草地相对较少，分别占该亚类的3.31%和1.79%。</w:t>
      </w:r>
    </w:p>
    <w:p w14:paraId="50D3FED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植被景观亚类中新发现资源202处，其中独树与丛树数量最多，占到该亚类新发现资源总量的84.65%，其次为林地，占比10.40%。</w:t>
      </w:r>
    </w:p>
    <w:p w14:paraId="7401FF14">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表3-18 植被景观亚类典型资源名录</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2"/>
        <w:gridCol w:w="5980"/>
      </w:tblGrid>
      <w:tr w14:paraId="248E2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tcPr>
          <w:p w14:paraId="3F06A03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资源类型</w:t>
            </w:r>
          </w:p>
        </w:tc>
        <w:tc>
          <w:tcPr>
            <w:tcW w:w="5980" w:type="dxa"/>
          </w:tcPr>
          <w:p w14:paraId="7FC0BD3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典型资源</w:t>
            </w:r>
          </w:p>
        </w:tc>
      </w:tr>
      <w:tr w14:paraId="3449E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6EC5BB03">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CAA林地</w:t>
            </w:r>
          </w:p>
        </w:tc>
        <w:tc>
          <w:tcPr>
            <w:tcW w:w="5980" w:type="dxa"/>
          </w:tcPr>
          <w:p w14:paraId="0059CE29">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博爱竹林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博爱西张赶竹林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博爱竹林七贤生态文化园竹林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博爱竹浪岛生态竹林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博爱竹子基因库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博爱泗沟生态竹林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修武锯齿山林场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焦作缝山针公园森林修武兴隆掌村鹅耳枥树林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温县湿地丛林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博爱泗沟东园竹坞</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焦作南水北调天河公园（玉花承泽游园）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焦作南水北调天河公园（踏雪寻梅游园）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焦作南水北调天河公园（千里云梦游园）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焦作南水北调天河公园（临山印水游园）</w:t>
            </w:r>
          </w:p>
        </w:tc>
      </w:tr>
      <w:tr w14:paraId="3F6CB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661A4E5B">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CAB独树与丛树</w:t>
            </w:r>
          </w:p>
        </w:tc>
        <w:tc>
          <w:tcPr>
            <w:tcW w:w="5980" w:type="dxa"/>
          </w:tcPr>
          <w:p w14:paraId="029115EE">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沁阳神农山白松岭白皮松群、沁阳神农山白松岭帝王松、沁阳神农山白松岭长寿松、修武陪嫁妆村大果榉木古树群、博爱青天河靳家岭千年黄栌、博爱青天河东汉古槐、焦作云台山凤凰岭凤求凰、孟州韩园景区唐柏双奇、博爱江岭村太行第一槐、温县陈家沟皂角树、博爱下伏头古槐、修武大南坡村国槐41082100120、焦作青龙峡石上春秋、沁阳神农山一天门拜客松、沁阳黄花岭黄刺玫、沁阳神农山白松岭伞松、孟州老家莫沟景区古槐树、沁阳檀溪堂产业园漆树林、孟州韩园景区侧柏41088300045、孟州韩园景区侧柏41088300046、孟州老家莫沟景区皂角树jzmz157、孟州涧西村皂角树41088300048、沁阳捏掌国槐1、孟州老家莫沟景区国槐41088300159、温县清凉寺柏树、焦作赵庄流苏树、沁阳捏掌国槐2、孟州明代古槐、孟州美丽源沟景区古槐树、孟州美丽源沟景区古皂角树、修武大南坡村国槐41082100121、孟州老家莫沟景区香椿树、修武岸上村古槐树</w:t>
            </w:r>
          </w:p>
        </w:tc>
      </w:tr>
      <w:tr w14:paraId="4D4CF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6D3949D4">
            <w:pPr>
              <w:jc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CAC草地</w:t>
            </w:r>
          </w:p>
        </w:tc>
        <w:tc>
          <w:tcPr>
            <w:tcW w:w="5980" w:type="dxa"/>
          </w:tcPr>
          <w:p w14:paraId="53EBAFD0">
            <w:pPr>
              <w:bidi w:val="0"/>
              <w:jc w:val="left"/>
              <w:rPr>
                <w:rFonts w:hint="eastAsia" w:ascii="仿宋" w:hAnsi="仿宋" w:eastAsia="仿宋" w:cs="仿宋"/>
                <w:i w:val="0"/>
                <w:caps w:val="0"/>
                <w:color w:val="auto"/>
                <w:spacing w:val="0"/>
                <w:sz w:val="21"/>
                <w:szCs w:val="21"/>
                <w:shd w:val="clear" w:fill="E6F7FF"/>
                <w:lang w:val="en-US" w:eastAsia="zh-CN"/>
              </w:rPr>
            </w:pPr>
            <w:r>
              <w:rPr>
                <w:rFonts w:hint="eastAsia" w:ascii="仿宋" w:hAnsi="仿宋" w:eastAsia="仿宋" w:cs="仿宋"/>
                <w:color w:val="auto"/>
                <w:sz w:val="21"/>
                <w:szCs w:val="21"/>
                <w:lang w:val="en-US" w:eastAsia="zh-CN"/>
              </w:rPr>
              <w:t>修武韩庄村高山大草甸、修武净影大峡谷天梯瀑青苔壁、焦作龙翔山芦苇荡、修武磨石坡村天然草地、焦作云台山泉瀑峡青苔地</w:t>
            </w:r>
          </w:p>
        </w:tc>
      </w:tr>
      <w:tr w14:paraId="5FB53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4ACE97A9">
            <w:pPr>
              <w:jc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CAD花卉地</w:t>
            </w:r>
          </w:p>
        </w:tc>
        <w:tc>
          <w:tcPr>
            <w:tcW w:w="5980" w:type="dxa"/>
          </w:tcPr>
          <w:p w14:paraId="2480F071">
            <w:pPr>
              <w:rPr>
                <w:rFonts w:hint="eastAsia" w:ascii="仿宋" w:hAnsi="仿宋" w:eastAsia="仿宋" w:cs="仿宋"/>
                <w:i w:val="0"/>
                <w:caps w:val="0"/>
                <w:color w:val="auto"/>
                <w:spacing w:val="0"/>
                <w:sz w:val="21"/>
                <w:szCs w:val="21"/>
                <w:shd w:val="clear" w:fill="E6F7FF"/>
                <w:lang w:val="en-US" w:eastAsia="zh-CN"/>
              </w:rPr>
            </w:pPr>
            <w:r>
              <w:rPr>
                <w:rFonts w:hint="eastAsia" w:ascii="仿宋" w:hAnsi="仿宋" w:eastAsia="仿宋" w:cs="仿宋"/>
                <w:color w:val="auto"/>
                <w:sz w:val="21"/>
                <w:szCs w:val="21"/>
              </w:rPr>
              <w:t>温县滨河公园荷花</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温县南渠河村荷花</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温县环城水系十里荷花</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温县郭熙公园荷花</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焦作云台山太行菊</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修武云台冰菊绿色种植基地观光园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博爱青天河二月兰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焦作白鹭湖湿地公园花卉地</w:t>
            </w:r>
          </w:p>
        </w:tc>
      </w:tr>
    </w:tbl>
    <w:p w14:paraId="3F27BB4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9"/>
        <w:rPr>
          <w:rFonts w:hint="eastAsia" w:ascii="宋体" w:hAnsi="宋体" w:cs="宋体"/>
          <w:b/>
          <w:bCs/>
          <w:color w:val="auto"/>
          <w:sz w:val="24"/>
          <w:szCs w:val="24"/>
          <w:lang w:val="en-US" w:eastAsia="zh-CN"/>
        </w:rPr>
      </w:pPr>
    </w:p>
    <w:p w14:paraId="7F65A7AD">
      <w:pPr>
        <w:keepNext w:val="0"/>
        <w:keepLines w:val="0"/>
        <w:pageBreakBefore w:val="0"/>
        <w:widowControl w:val="0"/>
        <w:numPr>
          <w:ilvl w:val="0"/>
          <w:numId w:val="7"/>
        </w:numPr>
        <w:kinsoku/>
        <w:wordWrap/>
        <w:overflowPunct/>
        <w:topLinePunct w:val="0"/>
        <w:autoSpaceDE/>
        <w:autoSpaceDN/>
        <w:bidi w:val="0"/>
        <w:adjustRightInd/>
        <w:snapToGrid/>
        <w:spacing w:line="360" w:lineRule="auto"/>
        <w:jc w:val="both"/>
        <w:textAlignment w:val="auto"/>
        <w:outlineLvl w:val="3"/>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野生动物栖息地</w:t>
      </w:r>
    </w:p>
    <w:p w14:paraId="5350F32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本次普查共查明野生动物栖息地16处，其中，鸟类栖息地数量最多，占该亚类总量的56.25%，其次为陆地动物栖息地占该亚类总量的37.50%。水生动物栖息地数量较少，占比为6.25%。无蝶类等昆虫栖息地。</w:t>
      </w:r>
    </w:p>
    <w:p w14:paraId="570DC42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野生动物栖息地亚类中无新发现资源。</w:t>
      </w:r>
    </w:p>
    <w:p w14:paraId="1C6B28BB">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表3-19 植被景观亚类典型资源名录</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2"/>
        <w:gridCol w:w="5980"/>
      </w:tblGrid>
      <w:tr w14:paraId="2006F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tcPr>
          <w:p w14:paraId="5E10491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资源类型</w:t>
            </w:r>
          </w:p>
        </w:tc>
        <w:tc>
          <w:tcPr>
            <w:tcW w:w="5980" w:type="dxa"/>
          </w:tcPr>
          <w:p w14:paraId="42BD348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典型资源</w:t>
            </w:r>
          </w:p>
        </w:tc>
      </w:tr>
      <w:tr w14:paraId="5FDF0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772DB19B">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CBA水生动物栖息地</w:t>
            </w:r>
          </w:p>
        </w:tc>
        <w:tc>
          <w:tcPr>
            <w:tcW w:w="5980" w:type="dxa"/>
          </w:tcPr>
          <w:p w14:paraId="35AD79C4">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焦作云台山子房湖桃花水母栖息地</w:t>
            </w:r>
          </w:p>
        </w:tc>
      </w:tr>
      <w:tr w14:paraId="4C7B2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44930C1C">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CBB陆地动物栖息地</w:t>
            </w:r>
          </w:p>
        </w:tc>
        <w:tc>
          <w:tcPr>
            <w:tcW w:w="5980" w:type="dxa"/>
          </w:tcPr>
          <w:p w14:paraId="76577979">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焦作云台山猕猴栖息地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修武净影寺猕猴栖息地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博爱青天河猕猴谷</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博爱靳家岭太行猕猴自然保护区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焦作葫芦寺爬行动物栖息地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沁阳太行山猕猴栖息地</w:t>
            </w:r>
          </w:p>
        </w:tc>
      </w:tr>
      <w:tr w14:paraId="6C9A0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0C6CC07F">
            <w:pPr>
              <w:jc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CBC鸟类栖息地</w:t>
            </w:r>
          </w:p>
        </w:tc>
        <w:tc>
          <w:tcPr>
            <w:tcW w:w="5980" w:type="dxa"/>
          </w:tcPr>
          <w:p w14:paraId="39E7F5FF">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孟州黄河滩区野生动物鸟类栖息地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孟州白墙水库鸟类栖息地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温县黄河滩候鸟栖息地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焦作白鹭湖湿地公园白鹭栖息地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博爱月山寺鸽子广场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博爱青天河百鸟林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博爱青天河野鸭栖息地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博爱青天河百鸟巢</w:t>
            </w:r>
          </w:p>
        </w:tc>
      </w:tr>
      <w:tr w14:paraId="492C3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0D6DC8BE">
            <w:pPr>
              <w:jc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CBD蝶类等昆虫栖息地</w:t>
            </w:r>
          </w:p>
        </w:tc>
        <w:tc>
          <w:tcPr>
            <w:tcW w:w="5980" w:type="dxa"/>
          </w:tcPr>
          <w:p w14:paraId="044235FD">
            <w:pPr>
              <w:rPr>
                <w:rFonts w:hint="default" w:ascii="仿宋" w:hAnsi="仿宋" w:eastAsia="仿宋" w:cs="仿宋"/>
                <w:i w:val="0"/>
                <w:caps w:val="0"/>
                <w:color w:val="auto"/>
                <w:spacing w:val="0"/>
                <w:sz w:val="21"/>
                <w:szCs w:val="21"/>
                <w:shd w:val="clear" w:fill="E6F7FF"/>
                <w:lang w:val="en-US" w:eastAsia="zh-CN"/>
              </w:rPr>
            </w:pPr>
            <w:r>
              <w:rPr>
                <w:rFonts w:hint="eastAsia" w:ascii="仿宋" w:hAnsi="仿宋" w:eastAsia="仿宋" w:cs="仿宋"/>
                <w:color w:val="auto"/>
                <w:sz w:val="21"/>
                <w:szCs w:val="21"/>
                <w:lang w:val="en-US" w:eastAsia="zh-CN"/>
              </w:rPr>
              <w:t>无</w:t>
            </w:r>
          </w:p>
        </w:tc>
      </w:tr>
    </w:tbl>
    <w:p w14:paraId="1FB1B5DF">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default" w:ascii="宋体" w:hAnsi="宋体" w:cs="宋体"/>
          <w:b/>
          <w:bCs/>
          <w:color w:val="auto"/>
          <w:sz w:val="24"/>
          <w:szCs w:val="24"/>
          <w:lang w:val="en-US" w:eastAsia="zh-CN"/>
        </w:rPr>
      </w:pPr>
    </w:p>
    <w:p w14:paraId="55FD51D9">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0" w:firstLineChars="0"/>
        <w:jc w:val="both"/>
        <w:textAlignment w:val="auto"/>
        <w:outlineLvl w:val="2"/>
        <w:rPr>
          <w:rFonts w:hint="eastAsia" w:ascii="宋体" w:hAnsi="宋体" w:cs="宋体"/>
          <w:b/>
          <w:bCs/>
          <w:color w:val="auto"/>
          <w:sz w:val="28"/>
          <w:szCs w:val="28"/>
          <w:lang w:val="en-US" w:eastAsia="zh-CN"/>
        </w:rPr>
      </w:pPr>
      <w:bookmarkStart w:id="67" w:name="_Toc30361"/>
      <w:r>
        <w:rPr>
          <w:rFonts w:hint="eastAsia" w:ascii="宋体" w:hAnsi="宋体" w:cs="宋体"/>
          <w:b/>
          <w:bCs/>
          <w:color w:val="auto"/>
          <w:sz w:val="28"/>
          <w:szCs w:val="28"/>
          <w:lang w:val="en-US" w:eastAsia="zh-CN"/>
        </w:rPr>
        <w:t>天象与气候景观</w:t>
      </w:r>
      <w:bookmarkEnd w:id="67"/>
    </w:p>
    <w:p w14:paraId="19D668A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本次普查全市共查明天象与气候景观类旅游资源80</w:t>
      </w:r>
      <w:r>
        <w:rPr>
          <w:rFonts w:hint="default" w:ascii="Times New Roman" w:hAnsi="Times New Roman" w:cs="Times New Roman"/>
          <w:color w:val="auto"/>
          <w:sz w:val="24"/>
          <w:lang w:val="en-US" w:eastAsia="zh-CN"/>
        </w:rPr>
        <w:t>处，占</w:t>
      </w:r>
      <w:r>
        <w:rPr>
          <w:rFonts w:hint="eastAsia" w:ascii="Times New Roman" w:hAnsi="Times New Roman" w:cs="Times New Roman"/>
          <w:color w:val="auto"/>
          <w:sz w:val="24"/>
          <w:lang w:val="en-US" w:eastAsia="zh-CN"/>
        </w:rPr>
        <w:t>全市</w:t>
      </w:r>
      <w:r>
        <w:rPr>
          <w:rFonts w:hint="default" w:ascii="Times New Roman" w:hAnsi="Times New Roman" w:cs="Times New Roman"/>
          <w:color w:val="auto"/>
          <w:sz w:val="24"/>
          <w:lang w:val="en-US" w:eastAsia="zh-CN"/>
        </w:rPr>
        <w:t>旅游</w:t>
      </w:r>
      <w:r>
        <w:rPr>
          <w:rFonts w:hint="eastAsia" w:ascii="Times New Roman" w:hAnsi="Times New Roman" w:cs="Times New Roman"/>
          <w:color w:val="auto"/>
          <w:sz w:val="24"/>
          <w:lang w:val="en-US" w:eastAsia="zh-CN"/>
        </w:rPr>
        <w:t>资源</w:t>
      </w:r>
      <w:r>
        <w:rPr>
          <w:rFonts w:hint="default" w:ascii="Times New Roman" w:hAnsi="Times New Roman" w:cs="Times New Roman"/>
          <w:color w:val="auto"/>
          <w:sz w:val="24"/>
          <w:lang w:val="en-US" w:eastAsia="zh-CN"/>
        </w:rPr>
        <w:t>总</w:t>
      </w:r>
      <w:r>
        <w:rPr>
          <w:rFonts w:hint="eastAsia" w:ascii="Times New Roman" w:hAnsi="Times New Roman" w:cs="Times New Roman"/>
          <w:color w:val="auto"/>
          <w:sz w:val="24"/>
          <w:lang w:val="en-US" w:eastAsia="zh-CN"/>
        </w:rPr>
        <w:t>量的0.67%，</w:t>
      </w:r>
      <w:r>
        <w:rPr>
          <w:rFonts w:hint="default" w:ascii="Times New Roman" w:hAnsi="Times New Roman" w:cs="Times New Roman"/>
          <w:color w:val="auto"/>
          <w:sz w:val="24"/>
          <w:lang w:val="en-US" w:eastAsia="zh-CN"/>
        </w:rPr>
        <w:t>其中新发现新认定资源</w:t>
      </w:r>
      <w:r>
        <w:rPr>
          <w:rFonts w:hint="eastAsia" w:ascii="Times New Roman" w:hAnsi="Times New Roman" w:cs="Times New Roman"/>
          <w:color w:val="auto"/>
          <w:sz w:val="24"/>
          <w:lang w:val="en-US" w:eastAsia="zh-CN"/>
        </w:rPr>
        <w:t>5</w:t>
      </w:r>
      <w:r>
        <w:rPr>
          <w:rFonts w:hint="default" w:ascii="Times New Roman" w:hAnsi="Times New Roman" w:cs="Times New Roman"/>
          <w:color w:val="auto"/>
          <w:sz w:val="24"/>
          <w:lang w:val="en-US" w:eastAsia="zh-CN"/>
        </w:rPr>
        <w:t>处，占</w:t>
      </w:r>
      <w:r>
        <w:rPr>
          <w:rFonts w:hint="eastAsia" w:ascii="Times New Roman" w:hAnsi="Times New Roman" w:cs="Times New Roman"/>
          <w:color w:val="auto"/>
          <w:sz w:val="24"/>
          <w:lang w:val="en-US" w:eastAsia="zh-CN"/>
        </w:rPr>
        <w:t>天象与气候</w:t>
      </w:r>
      <w:r>
        <w:rPr>
          <w:rFonts w:hint="default" w:ascii="Times New Roman" w:hAnsi="Times New Roman" w:cs="Times New Roman"/>
          <w:color w:val="auto"/>
          <w:sz w:val="24"/>
          <w:lang w:val="en-US" w:eastAsia="zh-CN"/>
        </w:rPr>
        <w:t>景观总量</w:t>
      </w:r>
      <w:r>
        <w:rPr>
          <w:rFonts w:hint="eastAsia" w:ascii="Times New Roman" w:hAnsi="Times New Roman" w:cs="Times New Roman"/>
          <w:color w:val="auto"/>
          <w:sz w:val="24"/>
          <w:lang w:val="en-US" w:eastAsia="zh-CN"/>
        </w:rPr>
        <w:t>6.25</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。天象与气候景观类资源分布于2</w:t>
      </w:r>
      <w:r>
        <w:rPr>
          <w:rFonts w:hint="default" w:ascii="Times New Roman" w:hAnsi="Times New Roman" w:cs="Times New Roman"/>
          <w:color w:val="auto"/>
          <w:sz w:val="24"/>
          <w:lang w:val="en-US" w:eastAsia="zh-CN"/>
        </w:rPr>
        <w:t>个亚类、</w:t>
      </w:r>
      <w:r>
        <w:rPr>
          <w:rFonts w:hint="eastAsia" w:ascii="Times New Roman" w:hAnsi="Times New Roman" w:cs="Times New Roman"/>
          <w:color w:val="auto"/>
          <w:sz w:val="24"/>
          <w:lang w:val="en-US" w:eastAsia="zh-CN"/>
        </w:rPr>
        <w:t>5</w:t>
      </w:r>
      <w:r>
        <w:rPr>
          <w:rFonts w:hint="default" w:ascii="Times New Roman" w:hAnsi="Times New Roman" w:cs="Times New Roman"/>
          <w:color w:val="auto"/>
          <w:sz w:val="24"/>
          <w:lang w:val="en-US" w:eastAsia="zh-CN"/>
        </w:rPr>
        <w:t>个基本类型。</w:t>
      </w:r>
      <w:r>
        <w:rPr>
          <w:rFonts w:hint="eastAsia" w:ascii="Times New Roman" w:hAnsi="Times New Roman" w:cs="Times New Roman"/>
          <w:color w:val="auto"/>
          <w:sz w:val="24"/>
          <w:lang w:val="en-US" w:eastAsia="zh-CN"/>
        </w:rPr>
        <w:t>各类型总量和新发现数量见表3-20所示。</w:t>
      </w:r>
    </w:p>
    <w:p w14:paraId="2C6493F0">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表3-20天象与气候景观旅游资源分类统计表</w:t>
      </w:r>
    </w:p>
    <w:tbl>
      <w:tblPr>
        <w:tblStyle w:val="15"/>
        <w:tblW w:w="82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58"/>
        <w:gridCol w:w="670"/>
        <w:gridCol w:w="975"/>
        <w:gridCol w:w="743"/>
        <w:gridCol w:w="2075"/>
        <w:gridCol w:w="894"/>
        <w:gridCol w:w="913"/>
      </w:tblGrid>
      <w:tr w14:paraId="5630D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jc w:val="center"/>
        </w:trPr>
        <w:tc>
          <w:tcPr>
            <w:tcW w:w="195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DA0F03B">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lang w:val="en-US"/>
              </w:rPr>
            </w:pPr>
            <w:r>
              <w:rPr>
                <w:rFonts w:hint="eastAsia" w:ascii="仿宋" w:hAnsi="仿宋" w:eastAsia="仿宋" w:cs="仿宋"/>
                <w:b/>
                <w:bCs/>
                <w:i w:val="0"/>
                <w:iCs w:val="0"/>
                <w:color w:val="auto"/>
                <w:kern w:val="0"/>
                <w:sz w:val="21"/>
                <w:szCs w:val="21"/>
                <w:u w:val="none"/>
                <w:lang w:val="en-US" w:eastAsia="zh-CN" w:bidi="ar"/>
              </w:rPr>
              <w:t>资源基本类型</w:t>
            </w:r>
          </w:p>
          <w:p w14:paraId="10191C16">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lang w:val="en-US"/>
              </w:rPr>
            </w:pPr>
          </w:p>
        </w:tc>
        <w:tc>
          <w:tcPr>
            <w:tcW w:w="6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513CBD7">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r>
              <w:rPr>
                <w:rFonts w:hint="eastAsia" w:ascii="仿宋" w:hAnsi="仿宋" w:eastAsia="仿宋" w:cs="仿宋"/>
                <w:b/>
                <w:bCs/>
                <w:i w:val="0"/>
                <w:iCs w:val="0"/>
                <w:color w:val="auto"/>
                <w:kern w:val="0"/>
                <w:sz w:val="21"/>
                <w:szCs w:val="21"/>
                <w:u w:val="none"/>
                <w:lang w:val="en-US" w:eastAsia="zh-CN" w:bidi="ar"/>
              </w:rPr>
              <w:t>总量</w:t>
            </w:r>
          </w:p>
        </w:tc>
        <w:tc>
          <w:tcPr>
            <w:tcW w:w="97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BD40FE0">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r>
              <w:rPr>
                <w:rFonts w:hint="eastAsia" w:ascii="仿宋" w:hAnsi="仿宋" w:eastAsia="仿宋" w:cs="仿宋"/>
                <w:b/>
                <w:bCs/>
                <w:i w:val="0"/>
                <w:iCs w:val="0"/>
                <w:color w:val="auto"/>
                <w:kern w:val="0"/>
                <w:sz w:val="21"/>
                <w:szCs w:val="21"/>
                <w:u w:val="none"/>
                <w:lang w:val="en-US" w:eastAsia="zh-CN" w:bidi="ar"/>
              </w:rPr>
              <w:t>新发现数量</w:t>
            </w:r>
          </w:p>
        </w:tc>
        <w:tc>
          <w:tcPr>
            <w:tcW w:w="743" w:type="dxa"/>
            <w:vMerge w:val="restart"/>
            <w:tcBorders>
              <w:top w:val="single" w:color="000000" w:sz="8" w:space="0"/>
              <w:left w:val="single" w:color="000000" w:sz="8" w:space="0"/>
              <w:right w:val="single" w:color="000000" w:sz="8" w:space="0"/>
            </w:tcBorders>
            <w:shd w:val="clear" w:color="auto" w:fill="auto"/>
            <w:vAlign w:val="center"/>
          </w:tcPr>
          <w:p w14:paraId="10CBC3CD">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p>
        </w:tc>
        <w:tc>
          <w:tcPr>
            <w:tcW w:w="207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6BF76D2">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资源基本类型</w:t>
            </w:r>
          </w:p>
        </w:tc>
        <w:tc>
          <w:tcPr>
            <w:tcW w:w="89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12EACC7">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总量</w:t>
            </w:r>
          </w:p>
        </w:tc>
        <w:tc>
          <w:tcPr>
            <w:tcW w:w="91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628F8B5">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新发现数量</w:t>
            </w:r>
          </w:p>
        </w:tc>
      </w:tr>
      <w:tr w14:paraId="55B7D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nil"/>
              <w:left w:val="single" w:color="000000" w:sz="8" w:space="0"/>
              <w:bottom w:val="single" w:color="000000" w:sz="8" w:space="0"/>
              <w:right w:val="single" w:color="000000" w:sz="8" w:space="0"/>
            </w:tcBorders>
            <w:shd w:val="clear" w:color="auto" w:fill="auto"/>
            <w:vAlign w:val="center"/>
          </w:tcPr>
          <w:p w14:paraId="1B593FD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DA  天象景观</w:t>
            </w:r>
          </w:p>
        </w:tc>
        <w:tc>
          <w:tcPr>
            <w:tcW w:w="670" w:type="dxa"/>
            <w:tcBorders>
              <w:top w:val="nil"/>
              <w:left w:val="single" w:color="000000" w:sz="8" w:space="0"/>
              <w:bottom w:val="single" w:color="000000" w:sz="8" w:space="0"/>
              <w:right w:val="single" w:color="000000" w:sz="8" w:space="0"/>
            </w:tcBorders>
            <w:shd w:val="clear" w:color="auto" w:fill="auto"/>
            <w:vAlign w:val="center"/>
          </w:tcPr>
          <w:p w14:paraId="397AB37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28</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31C1812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1</w:t>
            </w:r>
          </w:p>
        </w:tc>
        <w:tc>
          <w:tcPr>
            <w:tcW w:w="743" w:type="dxa"/>
            <w:vMerge w:val="continue"/>
            <w:tcBorders>
              <w:left w:val="single" w:color="000000" w:sz="8" w:space="0"/>
              <w:right w:val="single" w:color="000000" w:sz="8" w:space="0"/>
            </w:tcBorders>
            <w:shd w:val="clear" w:color="auto" w:fill="auto"/>
            <w:vAlign w:val="center"/>
          </w:tcPr>
          <w:p w14:paraId="713A306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5878CB4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DB  天气与气候现象</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3A5DEB1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52</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44EFE90A">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4</w:t>
            </w:r>
          </w:p>
        </w:tc>
      </w:tr>
      <w:tr w14:paraId="2EB8E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nil"/>
              <w:left w:val="single" w:color="000000" w:sz="8" w:space="0"/>
              <w:bottom w:val="single" w:color="auto" w:sz="4" w:space="0"/>
              <w:right w:val="single" w:color="000000" w:sz="8" w:space="0"/>
            </w:tcBorders>
            <w:shd w:val="clear" w:color="auto" w:fill="auto"/>
            <w:vAlign w:val="center"/>
          </w:tcPr>
          <w:p w14:paraId="5F301A3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DAA太空景象观赏地</w:t>
            </w:r>
          </w:p>
        </w:tc>
        <w:tc>
          <w:tcPr>
            <w:tcW w:w="670" w:type="dxa"/>
            <w:tcBorders>
              <w:top w:val="nil"/>
              <w:left w:val="single" w:color="000000" w:sz="8" w:space="0"/>
              <w:bottom w:val="single" w:color="auto" w:sz="4" w:space="0"/>
              <w:right w:val="single" w:color="000000" w:sz="8" w:space="0"/>
            </w:tcBorders>
            <w:shd w:val="clear" w:color="auto" w:fill="auto"/>
            <w:vAlign w:val="center"/>
          </w:tcPr>
          <w:p w14:paraId="60856D91">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2"/>
                <w:sz w:val="21"/>
                <w:szCs w:val="21"/>
                <w:u w:val="none"/>
                <w:lang w:val="en-US" w:eastAsia="zh-CN" w:bidi="ar-SA"/>
              </w:rPr>
              <w:t>14</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4231AF76">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c>
          <w:tcPr>
            <w:tcW w:w="743" w:type="dxa"/>
            <w:vMerge w:val="continue"/>
            <w:tcBorders>
              <w:left w:val="single" w:color="000000" w:sz="8" w:space="0"/>
              <w:right w:val="single" w:color="000000" w:sz="8" w:space="0"/>
            </w:tcBorders>
            <w:shd w:val="clear" w:color="auto" w:fill="auto"/>
            <w:vAlign w:val="center"/>
          </w:tcPr>
          <w:p w14:paraId="2FF3428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17E51A5F">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DBA云雾多发区</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50A47EF8">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10</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118D933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w:t>
            </w:r>
          </w:p>
        </w:tc>
      </w:tr>
      <w:tr w14:paraId="08BE1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7465DF0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DAB地表光现象</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1AC6FC29">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2"/>
                <w:sz w:val="21"/>
                <w:szCs w:val="21"/>
                <w:u w:val="none"/>
                <w:lang w:val="en-US" w:eastAsia="zh-CN" w:bidi="ar-SA"/>
              </w:rPr>
              <w:t>14</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4358A7D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w:t>
            </w:r>
          </w:p>
        </w:tc>
        <w:tc>
          <w:tcPr>
            <w:tcW w:w="743" w:type="dxa"/>
            <w:vMerge w:val="continue"/>
            <w:tcBorders>
              <w:left w:val="single" w:color="000000" w:sz="8" w:space="0"/>
              <w:right w:val="single" w:color="000000" w:sz="8" w:space="0"/>
            </w:tcBorders>
            <w:shd w:val="clear" w:color="auto" w:fill="auto"/>
            <w:vAlign w:val="center"/>
          </w:tcPr>
          <w:p w14:paraId="717CF630">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19C989B0">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DBB极端与特殊气候显示地</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3E27658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35141466">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r>
      <w:tr w14:paraId="5DB59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419BB57B">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55A449B5">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p>
        </w:tc>
        <w:tc>
          <w:tcPr>
            <w:tcW w:w="975" w:type="dxa"/>
            <w:tcBorders>
              <w:top w:val="nil"/>
              <w:left w:val="single" w:color="000000" w:sz="8" w:space="0"/>
              <w:bottom w:val="single" w:color="auto" w:sz="4" w:space="0"/>
              <w:right w:val="single" w:color="000000" w:sz="8" w:space="0"/>
            </w:tcBorders>
            <w:shd w:val="clear" w:color="auto" w:fill="auto"/>
            <w:vAlign w:val="center"/>
          </w:tcPr>
          <w:p w14:paraId="660DB736">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743" w:type="dxa"/>
            <w:vMerge w:val="continue"/>
            <w:tcBorders>
              <w:left w:val="single" w:color="000000" w:sz="8" w:space="0"/>
              <w:right w:val="single" w:color="000000" w:sz="8" w:space="0"/>
            </w:tcBorders>
            <w:shd w:val="clear" w:color="auto" w:fill="auto"/>
            <w:vAlign w:val="center"/>
          </w:tcPr>
          <w:p w14:paraId="6B829A9F">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auto" w:sz="4" w:space="0"/>
              <w:right w:val="single" w:color="000000" w:sz="8" w:space="0"/>
            </w:tcBorders>
            <w:shd w:val="clear" w:color="auto" w:fill="auto"/>
            <w:vAlign w:val="center"/>
          </w:tcPr>
          <w:p w14:paraId="717DD49B">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DBC物候景象</w:t>
            </w:r>
          </w:p>
        </w:tc>
        <w:tc>
          <w:tcPr>
            <w:tcW w:w="894" w:type="dxa"/>
            <w:tcBorders>
              <w:top w:val="nil"/>
              <w:left w:val="single" w:color="000000" w:sz="8" w:space="0"/>
              <w:bottom w:val="single" w:color="auto" w:sz="4" w:space="0"/>
              <w:right w:val="single" w:color="000000" w:sz="8" w:space="0"/>
            </w:tcBorders>
            <w:shd w:val="clear" w:color="auto" w:fill="auto"/>
            <w:vAlign w:val="center"/>
          </w:tcPr>
          <w:p w14:paraId="5D88D0C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41</w:t>
            </w:r>
          </w:p>
        </w:tc>
        <w:tc>
          <w:tcPr>
            <w:tcW w:w="913" w:type="dxa"/>
            <w:tcBorders>
              <w:top w:val="nil"/>
              <w:left w:val="single" w:color="000000" w:sz="8" w:space="0"/>
              <w:bottom w:val="single" w:color="auto" w:sz="4" w:space="0"/>
              <w:right w:val="single" w:color="000000" w:sz="8" w:space="0"/>
            </w:tcBorders>
            <w:shd w:val="clear" w:color="auto" w:fill="auto"/>
            <w:vAlign w:val="center"/>
          </w:tcPr>
          <w:p w14:paraId="319BA86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w:t>
            </w:r>
          </w:p>
        </w:tc>
      </w:tr>
    </w:tbl>
    <w:p w14:paraId="2A228B2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从</w:t>
      </w:r>
      <w:r>
        <w:rPr>
          <w:rFonts w:hint="eastAsia" w:ascii="Times New Roman" w:hAnsi="Times New Roman" w:cs="Times New Roman"/>
          <w:color w:val="auto"/>
          <w:sz w:val="24"/>
          <w:lang w:val="en-US" w:eastAsia="zh-CN"/>
        </w:rPr>
        <w:t>2</w:t>
      </w:r>
      <w:r>
        <w:rPr>
          <w:rFonts w:hint="default" w:ascii="Times New Roman" w:hAnsi="Times New Roman" w:cs="Times New Roman"/>
          <w:color w:val="auto"/>
          <w:sz w:val="24"/>
          <w:lang w:val="en-US" w:eastAsia="zh-CN"/>
        </w:rPr>
        <w:t>个亚类资源数量来看，</w:t>
      </w:r>
      <w:r>
        <w:rPr>
          <w:rFonts w:hint="eastAsia" w:ascii="Times New Roman" w:hAnsi="Times New Roman" w:cs="Times New Roman"/>
          <w:color w:val="auto"/>
          <w:sz w:val="24"/>
          <w:lang w:val="en-US" w:eastAsia="zh-CN"/>
        </w:rPr>
        <w:t>天气与气候现象数量明显多于天象景观，分别为52处和28处。基本类型分布方面，物候景象</w:t>
      </w:r>
      <w:r>
        <w:rPr>
          <w:rFonts w:hint="default" w:ascii="Times New Roman" w:hAnsi="Times New Roman" w:cs="Times New Roman"/>
          <w:color w:val="auto"/>
          <w:sz w:val="24"/>
          <w:lang w:val="en-US" w:eastAsia="zh-CN"/>
        </w:rPr>
        <w:t>资源量</w:t>
      </w:r>
      <w:r>
        <w:rPr>
          <w:rFonts w:hint="eastAsia" w:ascii="Times New Roman" w:hAnsi="Times New Roman" w:cs="Times New Roman"/>
          <w:color w:val="auto"/>
          <w:sz w:val="24"/>
          <w:lang w:val="en-US" w:eastAsia="zh-CN"/>
        </w:rPr>
        <w:t>最</w:t>
      </w:r>
      <w:r>
        <w:rPr>
          <w:rFonts w:hint="default" w:ascii="Times New Roman" w:hAnsi="Times New Roman" w:cs="Times New Roman"/>
          <w:color w:val="auto"/>
          <w:sz w:val="24"/>
          <w:lang w:val="en-US" w:eastAsia="zh-CN"/>
        </w:rPr>
        <w:t>为丰富</w:t>
      </w:r>
      <w:r>
        <w:rPr>
          <w:rFonts w:hint="eastAsia" w:ascii="Times New Roman" w:hAnsi="Times New Roman" w:cs="Times New Roman"/>
          <w:color w:val="auto"/>
          <w:sz w:val="24"/>
          <w:lang w:val="en-US" w:eastAsia="zh-CN"/>
        </w:rPr>
        <w:t>，单体数量为41处</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其次为太空景象观赏地和地表光现象，都为14处。再次为云雾多发区10处，极端与特殊气候显示地为1处。</w:t>
      </w:r>
    </w:p>
    <w:p w14:paraId="271F0CF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新发现资源主要集中分布于</w:t>
      </w:r>
      <w:r>
        <w:rPr>
          <w:rFonts w:hint="eastAsia" w:ascii="Times New Roman" w:hAnsi="Times New Roman" w:cs="Times New Roman"/>
          <w:color w:val="auto"/>
          <w:sz w:val="24"/>
          <w:lang w:val="en-US" w:eastAsia="zh-CN"/>
        </w:rPr>
        <w:t>云雾多发区、物候景象</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均为2处，均</w:t>
      </w:r>
      <w:r>
        <w:rPr>
          <w:rFonts w:hint="default" w:ascii="Times New Roman" w:hAnsi="Times New Roman" w:cs="Times New Roman"/>
          <w:color w:val="auto"/>
          <w:sz w:val="24"/>
          <w:lang w:val="en-US" w:eastAsia="zh-CN"/>
        </w:rPr>
        <w:t>占</w:t>
      </w:r>
      <w:r>
        <w:rPr>
          <w:rFonts w:hint="eastAsia" w:ascii="Times New Roman" w:hAnsi="Times New Roman" w:cs="Times New Roman"/>
          <w:color w:val="auto"/>
          <w:sz w:val="24"/>
          <w:lang w:val="en-US" w:eastAsia="zh-CN"/>
        </w:rPr>
        <w:t>天象与气候</w:t>
      </w:r>
      <w:r>
        <w:rPr>
          <w:rFonts w:hint="default" w:ascii="Times New Roman" w:hAnsi="Times New Roman" w:cs="Times New Roman"/>
          <w:color w:val="auto"/>
          <w:sz w:val="24"/>
          <w:lang w:val="en-US" w:eastAsia="zh-CN"/>
        </w:rPr>
        <w:t>景观主类新发现总量</w:t>
      </w:r>
      <w:r>
        <w:rPr>
          <w:rFonts w:hint="eastAsia" w:ascii="Times New Roman" w:hAnsi="Times New Roman" w:cs="Times New Roman"/>
          <w:color w:val="auto"/>
          <w:sz w:val="24"/>
          <w:lang w:val="en-US" w:eastAsia="zh-CN"/>
        </w:rPr>
        <w:t>的40</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其次为地表光现象，新发现总量均为1处，均</w:t>
      </w:r>
      <w:r>
        <w:rPr>
          <w:rFonts w:hint="default" w:ascii="Times New Roman" w:hAnsi="Times New Roman" w:cs="Times New Roman"/>
          <w:color w:val="auto"/>
          <w:sz w:val="24"/>
          <w:lang w:val="en-US" w:eastAsia="zh-CN"/>
        </w:rPr>
        <w:t>占</w:t>
      </w:r>
      <w:r>
        <w:rPr>
          <w:rFonts w:hint="eastAsia" w:ascii="Times New Roman" w:hAnsi="Times New Roman" w:cs="Times New Roman"/>
          <w:color w:val="auto"/>
          <w:sz w:val="24"/>
          <w:lang w:val="en-US" w:eastAsia="zh-CN"/>
        </w:rPr>
        <w:t>天象与气候</w:t>
      </w:r>
      <w:r>
        <w:rPr>
          <w:rFonts w:hint="default" w:ascii="Times New Roman" w:hAnsi="Times New Roman" w:cs="Times New Roman"/>
          <w:color w:val="auto"/>
          <w:sz w:val="24"/>
          <w:lang w:val="en-US" w:eastAsia="zh-CN"/>
        </w:rPr>
        <w:t>景观主类新发现总量</w:t>
      </w:r>
      <w:r>
        <w:rPr>
          <w:rFonts w:hint="eastAsia" w:ascii="Times New Roman" w:hAnsi="Times New Roman" w:cs="Times New Roman"/>
          <w:color w:val="auto"/>
          <w:sz w:val="24"/>
          <w:lang w:val="en-US" w:eastAsia="zh-CN"/>
        </w:rPr>
        <w:t>的20%。</w:t>
      </w:r>
    </w:p>
    <w:p w14:paraId="533219A2">
      <w:pPr>
        <w:keepNext w:val="0"/>
        <w:keepLines w:val="0"/>
        <w:pageBreakBefore w:val="0"/>
        <w:widowControl w:val="0"/>
        <w:numPr>
          <w:ilvl w:val="0"/>
          <w:numId w:val="8"/>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天象景观</w:t>
      </w:r>
    </w:p>
    <w:p w14:paraId="137074C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本次普查共查明天象景观28处，其中，太空景象观赏地和地表光现象的资源数量，均占该亚类总量的50%。</w:t>
      </w:r>
    </w:p>
    <w:p w14:paraId="4934003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天象景观亚类中新发现资源1处，为地表光现象这一基本类型，太空景象观赏地这一基本类型无新发现资源。</w:t>
      </w:r>
    </w:p>
    <w:p w14:paraId="618A0A4B">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表3-21 天象景观亚类典型资源名录</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2"/>
        <w:gridCol w:w="5980"/>
      </w:tblGrid>
      <w:tr w14:paraId="31778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tcPr>
          <w:p w14:paraId="6B109FD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资源类型</w:t>
            </w:r>
          </w:p>
        </w:tc>
        <w:tc>
          <w:tcPr>
            <w:tcW w:w="5980" w:type="dxa"/>
          </w:tcPr>
          <w:p w14:paraId="2EAD1B0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典型资源</w:t>
            </w:r>
          </w:p>
        </w:tc>
      </w:tr>
      <w:tr w14:paraId="6189C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0D746643">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DAA太空景象观赏地</w:t>
            </w:r>
          </w:p>
        </w:tc>
        <w:tc>
          <w:tcPr>
            <w:tcW w:w="5980" w:type="dxa"/>
          </w:tcPr>
          <w:p w14:paraId="55621731">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焦作云台山茱萸峰日出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焦作青龙峡日出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孟州黄河日出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焦作云台山茱萸峰日落</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孟州白墙水库日出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孟州白墙水库落日</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孟州黄河落日</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修武净影寺日落</w:t>
            </w:r>
          </w:p>
        </w:tc>
      </w:tr>
      <w:tr w14:paraId="7CD2E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6CE45CAC">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DAB地表光现象</w:t>
            </w:r>
          </w:p>
        </w:tc>
        <w:tc>
          <w:tcPr>
            <w:tcW w:w="5980" w:type="dxa"/>
          </w:tcPr>
          <w:p w14:paraId="694E534C">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焦作云台山云溪谷灯光秀</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沁阳神农山朝霞</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沁阳香港街特色餐饮街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沁阳滨河溢彩夜景</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沁阳七彩柱夜景</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修武云台古镇灯光秀</w:t>
            </w:r>
          </w:p>
        </w:tc>
      </w:tr>
    </w:tbl>
    <w:p w14:paraId="2AA561C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cs="宋体"/>
          <w:b/>
          <w:bCs/>
          <w:color w:val="auto"/>
          <w:sz w:val="24"/>
          <w:szCs w:val="24"/>
          <w:lang w:val="en-US" w:eastAsia="zh-CN"/>
        </w:rPr>
      </w:pPr>
    </w:p>
    <w:p w14:paraId="727CE921">
      <w:pPr>
        <w:keepNext w:val="0"/>
        <w:keepLines w:val="0"/>
        <w:pageBreakBefore w:val="0"/>
        <w:widowControl w:val="0"/>
        <w:numPr>
          <w:ilvl w:val="0"/>
          <w:numId w:val="8"/>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天气与气候现象</w:t>
      </w:r>
    </w:p>
    <w:p w14:paraId="1FD32DC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本次普查共查明天气与气候现象52处，其中，物候景象数量最多，占该亚类总量的56.25%，其次为云雾多发区占该亚类总量的37.50%。极端与特殊气候显示地数量较少，占比为6.25%。</w:t>
      </w:r>
    </w:p>
    <w:p w14:paraId="20CA242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天气与气候现象亚类中新发现资源4处，云雾多发区和物候景象数量均占该亚类的50%，极端与特殊气候显示地无新发现资源。</w:t>
      </w:r>
    </w:p>
    <w:p w14:paraId="40FE51E0">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表3-22 天气与气候现象亚类典型资源名录</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2"/>
        <w:gridCol w:w="5980"/>
      </w:tblGrid>
      <w:tr w14:paraId="60623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tcPr>
          <w:p w14:paraId="1971AF9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资源类型</w:t>
            </w:r>
          </w:p>
        </w:tc>
        <w:tc>
          <w:tcPr>
            <w:tcW w:w="5980" w:type="dxa"/>
          </w:tcPr>
          <w:p w14:paraId="2ADB991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典型资源</w:t>
            </w:r>
          </w:p>
        </w:tc>
      </w:tr>
      <w:tr w14:paraId="3B714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73F4A975">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DBA云雾多发区</w:t>
            </w:r>
          </w:p>
        </w:tc>
        <w:tc>
          <w:tcPr>
            <w:tcW w:w="5980" w:type="dxa"/>
          </w:tcPr>
          <w:p w14:paraId="66516AA8">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焦作云台山冰挂雾凇</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焦作云台山茱萸峰云海</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沁阳神农山神农云海</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修武净影寺云海</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焦作峰林峡云海</w:t>
            </w:r>
          </w:p>
        </w:tc>
      </w:tr>
      <w:tr w14:paraId="75A1A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78177B3D">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DBB极端与特殊气候显示地</w:t>
            </w:r>
          </w:p>
        </w:tc>
        <w:tc>
          <w:tcPr>
            <w:tcW w:w="5980" w:type="dxa"/>
          </w:tcPr>
          <w:p w14:paraId="7765EDF8">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焦作云台山红石峡冬暖夏凉</w:t>
            </w:r>
          </w:p>
        </w:tc>
      </w:tr>
      <w:tr w14:paraId="04829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41B0C336">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DBC物候景象</w:t>
            </w:r>
          </w:p>
        </w:tc>
        <w:tc>
          <w:tcPr>
            <w:tcW w:w="5980" w:type="dxa"/>
          </w:tcPr>
          <w:p w14:paraId="1CFDDCD2">
            <w:pPr>
              <w:rPr>
                <w:rFonts w:hint="eastAsia" w:ascii="仿宋" w:hAnsi="仿宋" w:eastAsia="仿宋" w:cs="仿宋"/>
                <w:color w:val="auto"/>
                <w:sz w:val="21"/>
                <w:szCs w:val="21"/>
              </w:rPr>
            </w:pPr>
            <w:r>
              <w:rPr>
                <w:rFonts w:hint="eastAsia" w:ascii="仿宋" w:hAnsi="仿宋" w:eastAsia="仿宋" w:cs="仿宋"/>
                <w:color w:val="auto"/>
                <w:sz w:val="21"/>
                <w:szCs w:val="21"/>
              </w:rPr>
              <w:t>博爱青天河靳家岭红叶</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沁阳神农山红叶</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焦作云台山峰林峡红叶</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焦作青龙峡红叶</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焦作云台山云台春韵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修武平顶窑村红叶</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修武长岭村红叶</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焦作云台山云台秋色</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博爱寨豁大底村漫山红叶</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焦作洪河村秋赏金叶</w:t>
            </w:r>
          </w:p>
        </w:tc>
      </w:tr>
    </w:tbl>
    <w:p w14:paraId="634A034A">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0" w:firstLineChars="0"/>
        <w:jc w:val="both"/>
        <w:textAlignment w:val="auto"/>
        <w:outlineLvl w:val="2"/>
        <w:rPr>
          <w:rFonts w:hint="eastAsia" w:ascii="宋体" w:hAnsi="宋体" w:cs="宋体"/>
          <w:b/>
          <w:bCs/>
          <w:color w:val="auto"/>
          <w:sz w:val="28"/>
          <w:szCs w:val="28"/>
          <w:lang w:val="en-US" w:eastAsia="zh-CN"/>
        </w:rPr>
      </w:pPr>
      <w:bookmarkStart w:id="68" w:name="_Toc26977"/>
      <w:r>
        <w:rPr>
          <w:rFonts w:hint="eastAsia" w:ascii="宋体" w:hAnsi="宋体" w:cs="宋体"/>
          <w:b/>
          <w:bCs/>
          <w:color w:val="auto"/>
          <w:sz w:val="28"/>
          <w:szCs w:val="28"/>
          <w:lang w:val="en-US" w:eastAsia="zh-CN"/>
        </w:rPr>
        <w:t>建筑与设施类</w:t>
      </w:r>
      <w:bookmarkEnd w:id="68"/>
    </w:p>
    <w:p w14:paraId="4D374EE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本次普查全市共查明建筑与设施类旅游资源6265</w:t>
      </w:r>
      <w:r>
        <w:rPr>
          <w:rFonts w:hint="default" w:ascii="Times New Roman" w:hAnsi="Times New Roman" w:cs="Times New Roman"/>
          <w:color w:val="auto"/>
          <w:sz w:val="24"/>
          <w:lang w:val="en-US" w:eastAsia="zh-CN"/>
        </w:rPr>
        <w:t>处，占</w:t>
      </w:r>
      <w:r>
        <w:rPr>
          <w:rFonts w:hint="eastAsia" w:ascii="Times New Roman" w:hAnsi="Times New Roman" w:cs="Times New Roman"/>
          <w:color w:val="auto"/>
          <w:sz w:val="24"/>
          <w:lang w:val="en-US" w:eastAsia="zh-CN"/>
        </w:rPr>
        <w:t>全市</w:t>
      </w:r>
      <w:r>
        <w:rPr>
          <w:rFonts w:hint="default" w:ascii="Times New Roman" w:hAnsi="Times New Roman" w:cs="Times New Roman"/>
          <w:color w:val="auto"/>
          <w:sz w:val="24"/>
          <w:lang w:val="en-US" w:eastAsia="zh-CN"/>
        </w:rPr>
        <w:t>旅游</w:t>
      </w:r>
      <w:r>
        <w:rPr>
          <w:rFonts w:hint="eastAsia" w:ascii="Times New Roman" w:hAnsi="Times New Roman" w:cs="Times New Roman"/>
          <w:color w:val="auto"/>
          <w:sz w:val="24"/>
          <w:lang w:val="en-US" w:eastAsia="zh-CN"/>
        </w:rPr>
        <w:t>资源</w:t>
      </w:r>
      <w:r>
        <w:rPr>
          <w:rFonts w:hint="default" w:ascii="Times New Roman" w:hAnsi="Times New Roman" w:cs="Times New Roman"/>
          <w:color w:val="auto"/>
          <w:sz w:val="24"/>
          <w:lang w:val="en-US" w:eastAsia="zh-CN"/>
        </w:rPr>
        <w:t>总</w:t>
      </w:r>
      <w:r>
        <w:rPr>
          <w:rFonts w:hint="eastAsia" w:ascii="Times New Roman" w:hAnsi="Times New Roman" w:cs="Times New Roman"/>
          <w:color w:val="auto"/>
          <w:sz w:val="24"/>
          <w:lang w:val="en-US" w:eastAsia="zh-CN"/>
        </w:rPr>
        <w:t>量的52.17%，</w:t>
      </w:r>
      <w:r>
        <w:rPr>
          <w:rFonts w:hint="default" w:ascii="Times New Roman" w:hAnsi="Times New Roman" w:cs="Times New Roman"/>
          <w:color w:val="auto"/>
          <w:sz w:val="24"/>
          <w:lang w:val="en-US" w:eastAsia="zh-CN"/>
        </w:rPr>
        <w:t>其中新发现新认定资源</w:t>
      </w:r>
      <w:r>
        <w:rPr>
          <w:rFonts w:hint="eastAsia" w:ascii="Times New Roman" w:hAnsi="Times New Roman" w:cs="Times New Roman"/>
          <w:color w:val="auto"/>
          <w:sz w:val="24"/>
          <w:lang w:val="en-US" w:eastAsia="zh-CN"/>
        </w:rPr>
        <w:t>901</w:t>
      </w:r>
      <w:r>
        <w:rPr>
          <w:rFonts w:hint="default" w:ascii="Times New Roman" w:hAnsi="Times New Roman" w:cs="Times New Roman"/>
          <w:color w:val="auto"/>
          <w:sz w:val="24"/>
          <w:lang w:val="en-US" w:eastAsia="zh-CN"/>
        </w:rPr>
        <w:t>处，占</w:t>
      </w:r>
      <w:r>
        <w:rPr>
          <w:rFonts w:hint="eastAsia" w:ascii="Times New Roman" w:hAnsi="Times New Roman" w:cs="Times New Roman"/>
          <w:color w:val="auto"/>
          <w:sz w:val="24"/>
          <w:lang w:val="en-US" w:eastAsia="zh-CN"/>
        </w:rPr>
        <w:t>建筑与设施总</w:t>
      </w:r>
      <w:r>
        <w:rPr>
          <w:rFonts w:hint="default" w:ascii="Times New Roman" w:hAnsi="Times New Roman" w:cs="Times New Roman"/>
          <w:color w:val="auto"/>
          <w:sz w:val="24"/>
          <w:lang w:val="en-US" w:eastAsia="zh-CN"/>
        </w:rPr>
        <w:t>量</w:t>
      </w:r>
      <w:r>
        <w:rPr>
          <w:rFonts w:hint="eastAsia" w:ascii="Times New Roman" w:hAnsi="Times New Roman" w:cs="Times New Roman"/>
          <w:color w:val="auto"/>
          <w:sz w:val="24"/>
          <w:lang w:val="en-US" w:eastAsia="zh-CN"/>
        </w:rPr>
        <w:t>14.38</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。建筑与设施</w:t>
      </w:r>
      <w:r>
        <w:rPr>
          <w:rFonts w:hint="default" w:ascii="Times New Roman" w:hAnsi="Times New Roman" w:cs="Times New Roman"/>
          <w:color w:val="auto"/>
          <w:sz w:val="24"/>
          <w:lang w:val="en-US" w:eastAsia="zh-CN"/>
        </w:rPr>
        <w:t>类旅</w:t>
      </w:r>
      <w:r>
        <w:rPr>
          <w:rFonts w:hint="eastAsia" w:ascii="Times New Roman" w:hAnsi="Times New Roman" w:cs="Times New Roman"/>
          <w:color w:val="auto"/>
          <w:sz w:val="24"/>
          <w:lang w:val="en-US" w:eastAsia="zh-CN"/>
        </w:rPr>
        <w:t>游资源分布于3</w:t>
      </w:r>
      <w:r>
        <w:rPr>
          <w:rFonts w:hint="default" w:ascii="Times New Roman" w:hAnsi="Times New Roman" w:cs="Times New Roman"/>
          <w:color w:val="auto"/>
          <w:sz w:val="24"/>
          <w:lang w:val="en-US" w:eastAsia="zh-CN"/>
        </w:rPr>
        <w:t>个亚类、</w:t>
      </w:r>
      <w:r>
        <w:rPr>
          <w:rFonts w:hint="eastAsia" w:ascii="Times New Roman" w:hAnsi="Times New Roman" w:cs="Times New Roman"/>
          <w:color w:val="auto"/>
          <w:sz w:val="24"/>
          <w:lang w:val="en-US" w:eastAsia="zh-CN"/>
        </w:rPr>
        <w:t>38</w:t>
      </w:r>
      <w:r>
        <w:rPr>
          <w:rFonts w:hint="default" w:ascii="Times New Roman" w:hAnsi="Times New Roman" w:cs="Times New Roman"/>
          <w:color w:val="auto"/>
          <w:sz w:val="24"/>
          <w:lang w:val="en-US" w:eastAsia="zh-CN"/>
        </w:rPr>
        <w:t>个基本类型。</w:t>
      </w:r>
      <w:r>
        <w:rPr>
          <w:rFonts w:hint="eastAsia" w:ascii="Times New Roman" w:hAnsi="Times New Roman" w:cs="Times New Roman"/>
          <w:color w:val="auto"/>
          <w:sz w:val="24"/>
          <w:lang w:val="en-US" w:eastAsia="zh-CN"/>
        </w:rPr>
        <w:t>各类型总量和新发现数量见表3-23所示。</w:t>
      </w:r>
    </w:p>
    <w:p w14:paraId="39E1F077">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表3-23 建筑与设施景观旅游资源分类统计表</w:t>
      </w:r>
    </w:p>
    <w:tbl>
      <w:tblPr>
        <w:tblStyle w:val="15"/>
        <w:tblW w:w="8228" w:type="dxa"/>
        <w:jc w:val="center"/>
        <w:tblBorders>
          <w:top w:val="none" w:color="auto" w:sz="0" w:space="0"/>
          <w:left w:val="none" w:color="auto" w:sz="0" w:space="0"/>
          <w:bottom w:val="none" w:color="auto" w:sz="0" w:space="0"/>
          <w:right w:val="none" w:color="auto" w:sz="0" w:space="0"/>
          <w:insideH w:val="single" w:color="auto" w:sz="4" w:space="0"/>
          <w:insideV w:val="none" w:color="auto" w:sz="0" w:space="0"/>
        </w:tblBorders>
        <w:shd w:val="clear" w:color="auto" w:fill="auto"/>
        <w:tblLayout w:type="autofit"/>
        <w:tblCellMar>
          <w:top w:w="0" w:type="dxa"/>
          <w:left w:w="108" w:type="dxa"/>
          <w:bottom w:w="0" w:type="dxa"/>
          <w:right w:w="108" w:type="dxa"/>
        </w:tblCellMar>
      </w:tblPr>
      <w:tblGrid>
        <w:gridCol w:w="1958"/>
        <w:gridCol w:w="670"/>
        <w:gridCol w:w="975"/>
        <w:gridCol w:w="743"/>
        <w:gridCol w:w="2075"/>
        <w:gridCol w:w="894"/>
        <w:gridCol w:w="913"/>
      </w:tblGrid>
      <w:tr w14:paraId="58B894E6">
        <w:tblPrEx>
          <w:tblBorders>
            <w:top w:val="none" w:color="auto" w:sz="0" w:space="0"/>
            <w:left w:val="none" w:color="auto" w:sz="0" w:space="0"/>
            <w:bottom w:val="none" w:color="auto" w:sz="0" w:space="0"/>
            <w:right w:val="none" w:color="auto" w:sz="0" w:space="0"/>
            <w:insideH w:val="single" w:color="auto" w:sz="4" w:space="0"/>
            <w:insideV w:val="none" w:color="auto" w:sz="0" w:space="0"/>
          </w:tblBorders>
          <w:shd w:val="clear" w:color="auto" w:fill="auto"/>
          <w:tblCellMar>
            <w:top w:w="0" w:type="dxa"/>
            <w:left w:w="108" w:type="dxa"/>
            <w:bottom w:w="0" w:type="dxa"/>
            <w:right w:w="108" w:type="dxa"/>
          </w:tblCellMar>
        </w:tblPrEx>
        <w:trPr>
          <w:trHeight w:val="170" w:hRule="atLeast"/>
          <w:jc w:val="center"/>
        </w:trPr>
        <w:tc>
          <w:tcPr>
            <w:tcW w:w="1958" w:type="dxa"/>
            <w:tcBorders>
              <w:top w:val="single" w:color="000000" w:sz="8" w:space="0"/>
              <w:left w:val="single" w:color="000000" w:sz="8" w:space="0"/>
              <w:right w:val="single" w:color="000000" w:sz="8" w:space="0"/>
            </w:tcBorders>
            <w:shd w:val="clear" w:color="auto" w:fill="auto"/>
            <w:vAlign w:val="center"/>
          </w:tcPr>
          <w:p w14:paraId="1AC86D10">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lang w:val="en-US"/>
              </w:rPr>
            </w:pPr>
            <w:r>
              <w:rPr>
                <w:rFonts w:hint="eastAsia" w:ascii="仿宋" w:hAnsi="仿宋" w:eastAsia="仿宋" w:cs="仿宋"/>
                <w:b/>
                <w:bCs/>
                <w:i w:val="0"/>
                <w:iCs w:val="0"/>
                <w:color w:val="auto"/>
                <w:kern w:val="0"/>
                <w:sz w:val="21"/>
                <w:szCs w:val="21"/>
                <w:u w:val="none"/>
                <w:lang w:val="en-US" w:eastAsia="zh-CN" w:bidi="ar"/>
              </w:rPr>
              <w:t>资源基本类型</w:t>
            </w:r>
          </w:p>
          <w:p w14:paraId="0824913A">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lang w:val="en-US"/>
              </w:rPr>
            </w:pPr>
          </w:p>
        </w:tc>
        <w:tc>
          <w:tcPr>
            <w:tcW w:w="670" w:type="dxa"/>
            <w:tcBorders>
              <w:top w:val="single" w:color="000000" w:sz="8" w:space="0"/>
              <w:left w:val="single" w:color="000000" w:sz="8" w:space="0"/>
              <w:right w:val="single" w:color="000000" w:sz="8" w:space="0"/>
            </w:tcBorders>
            <w:shd w:val="clear" w:color="auto" w:fill="auto"/>
            <w:vAlign w:val="center"/>
          </w:tcPr>
          <w:p w14:paraId="40AEAAE4">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r>
              <w:rPr>
                <w:rFonts w:hint="eastAsia" w:ascii="仿宋" w:hAnsi="仿宋" w:eastAsia="仿宋" w:cs="仿宋"/>
                <w:b/>
                <w:bCs/>
                <w:i w:val="0"/>
                <w:iCs w:val="0"/>
                <w:color w:val="auto"/>
                <w:kern w:val="0"/>
                <w:sz w:val="21"/>
                <w:szCs w:val="21"/>
                <w:u w:val="none"/>
                <w:lang w:val="en-US" w:eastAsia="zh-CN" w:bidi="ar"/>
              </w:rPr>
              <w:t>总量</w:t>
            </w:r>
          </w:p>
        </w:tc>
        <w:tc>
          <w:tcPr>
            <w:tcW w:w="975" w:type="dxa"/>
            <w:tcBorders>
              <w:top w:val="single" w:color="000000" w:sz="8" w:space="0"/>
              <w:left w:val="single" w:color="000000" w:sz="8" w:space="0"/>
              <w:right w:val="single" w:color="auto" w:sz="4" w:space="0"/>
            </w:tcBorders>
            <w:shd w:val="clear" w:color="auto" w:fill="auto"/>
            <w:vAlign w:val="center"/>
          </w:tcPr>
          <w:p w14:paraId="4C146321">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r>
              <w:rPr>
                <w:rFonts w:hint="eastAsia" w:ascii="仿宋" w:hAnsi="仿宋" w:eastAsia="仿宋" w:cs="仿宋"/>
                <w:b/>
                <w:bCs/>
                <w:i w:val="0"/>
                <w:iCs w:val="0"/>
                <w:color w:val="auto"/>
                <w:kern w:val="0"/>
                <w:sz w:val="21"/>
                <w:szCs w:val="21"/>
                <w:u w:val="none"/>
                <w:lang w:val="en-US" w:eastAsia="zh-CN" w:bidi="ar"/>
              </w:rPr>
              <w:t>新发现数量</w:t>
            </w:r>
          </w:p>
        </w:tc>
        <w:tc>
          <w:tcPr>
            <w:tcW w:w="743" w:type="dxa"/>
            <w:vMerge w:val="restart"/>
            <w:tcBorders>
              <w:top w:val="single" w:color="auto" w:sz="4" w:space="0"/>
              <w:left w:val="single" w:color="auto" w:sz="4" w:space="0"/>
              <w:bottom w:val="nil"/>
              <w:right w:val="single" w:color="auto" w:sz="4" w:space="0"/>
            </w:tcBorders>
            <w:shd w:val="clear" w:color="auto" w:fill="auto"/>
            <w:vAlign w:val="center"/>
          </w:tcPr>
          <w:p w14:paraId="5DF706A2">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p>
        </w:tc>
        <w:tc>
          <w:tcPr>
            <w:tcW w:w="2075" w:type="dxa"/>
            <w:tcBorders>
              <w:top w:val="single" w:color="000000" w:sz="8" w:space="0"/>
              <w:left w:val="single" w:color="auto" w:sz="4" w:space="0"/>
              <w:right w:val="single" w:color="000000" w:sz="8" w:space="0"/>
            </w:tcBorders>
            <w:shd w:val="clear" w:color="auto" w:fill="auto"/>
            <w:vAlign w:val="center"/>
          </w:tcPr>
          <w:p w14:paraId="377D31D6">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资源基本类型</w:t>
            </w:r>
          </w:p>
        </w:tc>
        <w:tc>
          <w:tcPr>
            <w:tcW w:w="894" w:type="dxa"/>
            <w:tcBorders>
              <w:top w:val="single" w:color="000000" w:sz="8" w:space="0"/>
              <w:left w:val="single" w:color="000000" w:sz="8" w:space="0"/>
              <w:right w:val="single" w:color="000000" w:sz="8" w:space="0"/>
            </w:tcBorders>
            <w:shd w:val="clear" w:color="auto" w:fill="auto"/>
            <w:vAlign w:val="center"/>
          </w:tcPr>
          <w:p w14:paraId="3BDDF99A">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总量</w:t>
            </w:r>
          </w:p>
        </w:tc>
        <w:tc>
          <w:tcPr>
            <w:tcW w:w="913" w:type="dxa"/>
            <w:tcBorders>
              <w:top w:val="single" w:color="000000" w:sz="8" w:space="0"/>
              <w:left w:val="single" w:color="000000" w:sz="8" w:space="0"/>
              <w:right w:val="single" w:color="000000" w:sz="8" w:space="0"/>
            </w:tcBorders>
            <w:shd w:val="clear" w:color="auto" w:fill="auto"/>
            <w:vAlign w:val="center"/>
          </w:tcPr>
          <w:p w14:paraId="254FA72D">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新发现数量</w:t>
            </w:r>
          </w:p>
        </w:tc>
      </w:tr>
      <w:tr w14:paraId="155778D4">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left w:val="single" w:color="000000" w:sz="8" w:space="0"/>
              <w:right w:val="single" w:color="000000" w:sz="8" w:space="0"/>
            </w:tcBorders>
            <w:shd w:val="clear" w:color="auto" w:fill="auto"/>
            <w:vAlign w:val="center"/>
          </w:tcPr>
          <w:p w14:paraId="319170DA">
            <w:pPr>
              <w:keepNext w:val="0"/>
              <w:keepLines w:val="0"/>
              <w:widowControl/>
              <w:suppressLineNumbers w:val="0"/>
              <w:jc w:val="center"/>
              <w:textAlignment w:val="center"/>
              <w:rPr>
                <w:rFonts w:hint="eastAsia" w:ascii="仿宋" w:hAnsi="仿宋" w:eastAsia="仿宋" w:cs="仿宋"/>
                <w:b w:val="0"/>
                <w:bCs w:val="0"/>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EA  人文景观综合体</w:t>
            </w:r>
          </w:p>
        </w:tc>
        <w:tc>
          <w:tcPr>
            <w:tcW w:w="670" w:type="dxa"/>
            <w:tcBorders>
              <w:left w:val="single" w:color="000000" w:sz="8" w:space="0"/>
              <w:right w:val="single" w:color="000000" w:sz="8" w:space="0"/>
            </w:tcBorders>
            <w:shd w:val="clear" w:color="auto" w:fill="auto"/>
            <w:vAlign w:val="center"/>
          </w:tcPr>
          <w:p w14:paraId="720A9A02">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2549</w:t>
            </w:r>
          </w:p>
        </w:tc>
        <w:tc>
          <w:tcPr>
            <w:tcW w:w="975" w:type="dxa"/>
            <w:tcBorders>
              <w:left w:val="single" w:color="000000" w:sz="8" w:space="0"/>
              <w:right w:val="single" w:color="auto" w:sz="4" w:space="0"/>
            </w:tcBorders>
            <w:shd w:val="clear" w:color="auto" w:fill="auto"/>
            <w:vAlign w:val="center"/>
          </w:tcPr>
          <w:p w14:paraId="6D52D967">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332</w:t>
            </w:r>
          </w:p>
        </w:tc>
        <w:tc>
          <w:tcPr>
            <w:tcW w:w="743" w:type="dxa"/>
            <w:vMerge w:val="continue"/>
            <w:tcBorders>
              <w:top w:val="nil"/>
              <w:left w:val="single" w:color="auto" w:sz="4" w:space="0"/>
              <w:bottom w:val="nil"/>
              <w:right w:val="single" w:color="auto" w:sz="4" w:space="0"/>
            </w:tcBorders>
            <w:shd w:val="clear" w:color="auto" w:fill="auto"/>
            <w:vAlign w:val="center"/>
          </w:tcPr>
          <w:p w14:paraId="53B6844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left w:val="single" w:color="auto" w:sz="4" w:space="0"/>
              <w:right w:val="single" w:color="000000" w:sz="8" w:space="0"/>
            </w:tcBorders>
            <w:shd w:val="clear" w:color="auto" w:fill="auto"/>
            <w:vAlign w:val="center"/>
          </w:tcPr>
          <w:p w14:paraId="78CA6951">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EBK景观农田</w:t>
            </w:r>
          </w:p>
        </w:tc>
        <w:tc>
          <w:tcPr>
            <w:tcW w:w="894" w:type="dxa"/>
            <w:tcBorders>
              <w:left w:val="single" w:color="000000" w:sz="8" w:space="0"/>
              <w:right w:val="single" w:color="000000" w:sz="8" w:space="0"/>
            </w:tcBorders>
            <w:shd w:val="clear" w:color="auto" w:fill="auto"/>
            <w:vAlign w:val="center"/>
          </w:tcPr>
          <w:p w14:paraId="354F40C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66</w:t>
            </w:r>
          </w:p>
        </w:tc>
        <w:tc>
          <w:tcPr>
            <w:tcW w:w="913" w:type="dxa"/>
            <w:tcBorders>
              <w:left w:val="single" w:color="000000" w:sz="8" w:space="0"/>
              <w:right w:val="single" w:color="000000" w:sz="8" w:space="0"/>
            </w:tcBorders>
            <w:shd w:val="clear" w:color="auto" w:fill="auto"/>
            <w:vAlign w:val="center"/>
          </w:tcPr>
          <w:p w14:paraId="24BE653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14</w:t>
            </w:r>
          </w:p>
        </w:tc>
      </w:tr>
      <w:tr w14:paraId="0CF62542">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00" w:hRule="atLeast"/>
          <w:jc w:val="center"/>
        </w:trPr>
        <w:tc>
          <w:tcPr>
            <w:tcW w:w="1958" w:type="dxa"/>
            <w:tcBorders>
              <w:left w:val="single" w:color="000000" w:sz="8" w:space="0"/>
              <w:right w:val="single" w:color="000000" w:sz="8" w:space="0"/>
            </w:tcBorders>
            <w:shd w:val="clear" w:color="auto" w:fill="auto"/>
            <w:vAlign w:val="center"/>
          </w:tcPr>
          <w:p w14:paraId="1F3CD169">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EAA社会与商贸活动场所</w:t>
            </w:r>
          </w:p>
        </w:tc>
        <w:tc>
          <w:tcPr>
            <w:tcW w:w="670" w:type="dxa"/>
            <w:tcBorders>
              <w:left w:val="single" w:color="000000" w:sz="8" w:space="0"/>
              <w:right w:val="single" w:color="000000" w:sz="8" w:space="0"/>
            </w:tcBorders>
            <w:shd w:val="clear" w:color="auto" w:fill="auto"/>
            <w:vAlign w:val="center"/>
          </w:tcPr>
          <w:p w14:paraId="77486CA3">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66</w:t>
            </w:r>
          </w:p>
        </w:tc>
        <w:tc>
          <w:tcPr>
            <w:tcW w:w="975" w:type="dxa"/>
            <w:tcBorders>
              <w:left w:val="single" w:color="000000" w:sz="8" w:space="0"/>
              <w:right w:val="single" w:color="auto" w:sz="4" w:space="0"/>
            </w:tcBorders>
            <w:shd w:val="clear" w:color="auto" w:fill="auto"/>
            <w:vAlign w:val="center"/>
          </w:tcPr>
          <w:p w14:paraId="5C7F4F3F">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19</w:t>
            </w:r>
          </w:p>
        </w:tc>
        <w:tc>
          <w:tcPr>
            <w:tcW w:w="743" w:type="dxa"/>
            <w:vMerge w:val="continue"/>
            <w:tcBorders>
              <w:top w:val="nil"/>
              <w:left w:val="single" w:color="auto" w:sz="4" w:space="0"/>
              <w:bottom w:val="nil"/>
              <w:right w:val="single" w:color="auto" w:sz="4" w:space="0"/>
            </w:tcBorders>
            <w:shd w:val="clear" w:color="auto" w:fill="auto"/>
            <w:vAlign w:val="center"/>
          </w:tcPr>
          <w:p w14:paraId="59019DB1">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left w:val="single" w:color="auto" w:sz="4" w:space="0"/>
              <w:right w:val="single" w:color="000000" w:sz="8" w:space="0"/>
            </w:tcBorders>
            <w:shd w:val="clear" w:color="auto" w:fill="auto"/>
            <w:vAlign w:val="center"/>
          </w:tcPr>
          <w:p w14:paraId="1208B7C8">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EBL景观牧场</w:t>
            </w:r>
          </w:p>
        </w:tc>
        <w:tc>
          <w:tcPr>
            <w:tcW w:w="894" w:type="dxa"/>
            <w:tcBorders>
              <w:left w:val="single" w:color="000000" w:sz="8" w:space="0"/>
              <w:right w:val="single" w:color="000000" w:sz="8" w:space="0"/>
            </w:tcBorders>
            <w:shd w:val="clear" w:color="auto" w:fill="auto"/>
            <w:vAlign w:val="center"/>
          </w:tcPr>
          <w:p w14:paraId="1B9F00D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c>
          <w:tcPr>
            <w:tcW w:w="913" w:type="dxa"/>
            <w:tcBorders>
              <w:left w:val="single" w:color="000000" w:sz="8" w:space="0"/>
              <w:right w:val="single" w:color="000000" w:sz="8" w:space="0"/>
            </w:tcBorders>
            <w:shd w:val="clear" w:color="auto" w:fill="auto"/>
            <w:vAlign w:val="center"/>
          </w:tcPr>
          <w:p w14:paraId="72AE6AE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r>
      <w:tr w14:paraId="612872FC">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left w:val="single" w:color="000000" w:sz="8" w:space="0"/>
              <w:right w:val="single" w:color="000000" w:sz="8" w:space="0"/>
            </w:tcBorders>
            <w:shd w:val="clear" w:color="auto" w:fill="auto"/>
            <w:vAlign w:val="center"/>
          </w:tcPr>
          <w:p w14:paraId="7E66D483">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EAB军事遗址与古战场</w:t>
            </w:r>
          </w:p>
        </w:tc>
        <w:tc>
          <w:tcPr>
            <w:tcW w:w="670" w:type="dxa"/>
            <w:tcBorders>
              <w:left w:val="single" w:color="000000" w:sz="8" w:space="0"/>
              <w:right w:val="single" w:color="000000" w:sz="8" w:space="0"/>
            </w:tcBorders>
            <w:shd w:val="clear" w:color="auto" w:fill="auto"/>
            <w:vAlign w:val="center"/>
          </w:tcPr>
          <w:p w14:paraId="0668272E">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34</w:t>
            </w:r>
          </w:p>
        </w:tc>
        <w:tc>
          <w:tcPr>
            <w:tcW w:w="975" w:type="dxa"/>
            <w:tcBorders>
              <w:left w:val="single" w:color="000000" w:sz="8" w:space="0"/>
              <w:right w:val="single" w:color="auto" w:sz="4" w:space="0"/>
            </w:tcBorders>
            <w:shd w:val="clear" w:color="auto" w:fill="auto"/>
            <w:vAlign w:val="center"/>
          </w:tcPr>
          <w:p w14:paraId="4CD99A1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w:t>
            </w:r>
          </w:p>
        </w:tc>
        <w:tc>
          <w:tcPr>
            <w:tcW w:w="743" w:type="dxa"/>
            <w:vMerge w:val="continue"/>
            <w:tcBorders>
              <w:top w:val="nil"/>
              <w:left w:val="single" w:color="auto" w:sz="4" w:space="0"/>
              <w:bottom w:val="nil"/>
              <w:right w:val="single" w:color="auto" w:sz="4" w:space="0"/>
            </w:tcBorders>
            <w:shd w:val="clear" w:color="auto" w:fill="auto"/>
            <w:vAlign w:val="center"/>
          </w:tcPr>
          <w:p w14:paraId="5776A853">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left w:val="single" w:color="auto" w:sz="4" w:space="0"/>
              <w:right w:val="single" w:color="000000" w:sz="8" w:space="0"/>
            </w:tcBorders>
            <w:shd w:val="clear" w:color="auto" w:fill="auto"/>
            <w:vAlign w:val="center"/>
          </w:tcPr>
          <w:p w14:paraId="4D503BFF">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EBM景观林场</w:t>
            </w:r>
          </w:p>
        </w:tc>
        <w:tc>
          <w:tcPr>
            <w:tcW w:w="894" w:type="dxa"/>
            <w:tcBorders>
              <w:left w:val="single" w:color="000000" w:sz="8" w:space="0"/>
              <w:right w:val="single" w:color="000000" w:sz="8" w:space="0"/>
            </w:tcBorders>
            <w:shd w:val="clear" w:color="auto" w:fill="auto"/>
            <w:vAlign w:val="center"/>
          </w:tcPr>
          <w:p w14:paraId="42AFEE36">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15</w:t>
            </w:r>
          </w:p>
        </w:tc>
        <w:tc>
          <w:tcPr>
            <w:tcW w:w="913" w:type="dxa"/>
            <w:tcBorders>
              <w:left w:val="single" w:color="000000" w:sz="8" w:space="0"/>
              <w:right w:val="single" w:color="000000" w:sz="8" w:space="0"/>
            </w:tcBorders>
            <w:shd w:val="clear" w:color="auto" w:fill="auto"/>
            <w:vAlign w:val="center"/>
          </w:tcPr>
          <w:p w14:paraId="49D9048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r>
      <w:tr w14:paraId="03B5789F">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left w:val="single" w:color="000000" w:sz="8" w:space="0"/>
              <w:right w:val="single" w:color="000000" w:sz="8" w:space="0"/>
            </w:tcBorders>
            <w:shd w:val="clear" w:color="auto" w:fill="auto"/>
            <w:vAlign w:val="center"/>
          </w:tcPr>
          <w:p w14:paraId="07F627A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EAC教学科研实验场所</w:t>
            </w:r>
          </w:p>
        </w:tc>
        <w:tc>
          <w:tcPr>
            <w:tcW w:w="670" w:type="dxa"/>
            <w:tcBorders>
              <w:left w:val="single" w:color="000000" w:sz="8" w:space="0"/>
              <w:right w:val="single" w:color="000000" w:sz="8" w:space="0"/>
            </w:tcBorders>
            <w:shd w:val="clear" w:color="auto" w:fill="auto"/>
            <w:vAlign w:val="center"/>
          </w:tcPr>
          <w:p w14:paraId="684F7219">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35</w:t>
            </w:r>
          </w:p>
        </w:tc>
        <w:tc>
          <w:tcPr>
            <w:tcW w:w="975" w:type="dxa"/>
            <w:tcBorders>
              <w:left w:val="single" w:color="000000" w:sz="8" w:space="0"/>
              <w:right w:val="single" w:color="auto" w:sz="4" w:space="0"/>
            </w:tcBorders>
            <w:shd w:val="clear" w:color="auto" w:fill="auto"/>
            <w:vAlign w:val="center"/>
          </w:tcPr>
          <w:p w14:paraId="165033C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4</w:t>
            </w:r>
          </w:p>
        </w:tc>
        <w:tc>
          <w:tcPr>
            <w:tcW w:w="743" w:type="dxa"/>
            <w:vMerge w:val="continue"/>
            <w:tcBorders>
              <w:top w:val="nil"/>
              <w:left w:val="single" w:color="auto" w:sz="4" w:space="0"/>
              <w:bottom w:val="nil"/>
              <w:right w:val="single" w:color="auto" w:sz="4" w:space="0"/>
            </w:tcBorders>
            <w:shd w:val="clear" w:color="auto" w:fill="auto"/>
            <w:vAlign w:val="center"/>
          </w:tcPr>
          <w:p w14:paraId="640219F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left w:val="single" w:color="auto" w:sz="4" w:space="0"/>
              <w:right w:val="single" w:color="000000" w:sz="8" w:space="0"/>
            </w:tcBorders>
            <w:shd w:val="clear" w:color="auto" w:fill="auto"/>
            <w:vAlign w:val="center"/>
          </w:tcPr>
          <w:p w14:paraId="21096E7A">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EBN景观养殖场</w:t>
            </w:r>
          </w:p>
        </w:tc>
        <w:tc>
          <w:tcPr>
            <w:tcW w:w="894" w:type="dxa"/>
            <w:tcBorders>
              <w:left w:val="single" w:color="000000" w:sz="8" w:space="0"/>
              <w:right w:val="single" w:color="000000" w:sz="8" w:space="0"/>
            </w:tcBorders>
            <w:shd w:val="clear" w:color="auto" w:fill="auto"/>
            <w:vAlign w:val="center"/>
          </w:tcPr>
          <w:p w14:paraId="5C1939B9">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w:t>
            </w:r>
          </w:p>
        </w:tc>
        <w:tc>
          <w:tcPr>
            <w:tcW w:w="913" w:type="dxa"/>
            <w:tcBorders>
              <w:left w:val="single" w:color="000000" w:sz="8" w:space="0"/>
              <w:right w:val="single" w:color="000000" w:sz="8" w:space="0"/>
            </w:tcBorders>
            <w:shd w:val="clear" w:color="auto" w:fill="auto"/>
            <w:vAlign w:val="center"/>
          </w:tcPr>
          <w:p w14:paraId="08744F76">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w:t>
            </w:r>
          </w:p>
        </w:tc>
      </w:tr>
      <w:tr w14:paraId="7A679CA4">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left w:val="single" w:color="000000" w:sz="8" w:space="0"/>
              <w:right w:val="single" w:color="000000" w:sz="8" w:space="0"/>
            </w:tcBorders>
            <w:shd w:val="clear" w:color="auto" w:fill="auto"/>
            <w:vAlign w:val="center"/>
          </w:tcPr>
          <w:p w14:paraId="1982A17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EAD建设工程与生产地</w:t>
            </w:r>
          </w:p>
        </w:tc>
        <w:tc>
          <w:tcPr>
            <w:tcW w:w="670" w:type="dxa"/>
            <w:tcBorders>
              <w:left w:val="single" w:color="000000" w:sz="8" w:space="0"/>
              <w:right w:val="single" w:color="000000" w:sz="8" w:space="0"/>
            </w:tcBorders>
            <w:shd w:val="clear" w:color="auto" w:fill="auto"/>
            <w:vAlign w:val="center"/>
          </w:tcPr>
          <w:p w14:paraId="05B656A2">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101</w:t>
            </w:r>
          </w:p>
        </w:tc>
        <w:tc>
          <w:tcPr>
            <w:tcW w:w="975" w:type="dxa"/>
            <w:tcBorders>
              <w:left w:val="single" w:color="000000" w:sz="8" w:space="0"/>
              <w:right w:val="single" w:color="auto" w:sz="4" w:space="0"/>
            </w:tcBorders>
            <w:shd w:val="clear" w:color="auto" w:fill="auto"/>
            <w:vAlign w:val="center"/>
          </w:tcPr>
          <w:p w14:paraId="2264043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22</w:t>
            </w:r>
          </w:p>
        </w:tc>
        <w:tc>
          <w:tcPr>
            <w:tcW w:w="743" w:type="dxa"/>
            <w:vMerge w:val="continue"/>
            <w:tcBorders>
              <w:top w:val="nil"/>
              <w:left w:val="single" w:color="auto" w:sz="4" w:space="0"/>
              <w:bottom w:val="nil"/>
              <w:right w:val="single" w:color="auto" w:sz="4" w:space="0"/>
            </w:tcBorders>
            <w:shd w:val="clear" w:color="auto" w:fill="auto"/>
            <w:vAlign w:val="center"/>
          </w:tcPr>
          <w:p w14:paraId="2C3C48E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left w:val="single" w:color="auto" w:sz="4" w:space="0"/>
              <w:right w:val="single" w:color="000000" w:sz="8" w:space="0"/>
            </w:tcBorders>
            <w:shd w:val="clear" w:color="auto" w:fill="auto"/>
            <w:vAlign w:val="center"/>
          </w:tcPr>
          <w:p w14:paraId="14AAA530">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EBO特色店铺</w:t>
            </w:r>
          </w:p>
        </w:tc>
        <w:tc>
          <w:tcPr>
            <w:tcW w:w="894" w:type="dxa"/>
            <w:tcBorders>
              <w:left w:val="single" w:color="000000" w:sz="8" w:space="0"/>
              <w:right w:val="single" w:color="000000" w:sz="8" w:space="0"/>
            </w:tcBorders>
            <w:shd w:val="clear" w:color="auto" w:fill="auto"/>
            <w:vAlign w:val="center"/>
          </w:tcPr>
          <w:p w14:paraId="149A265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387</w:t>
            </w:r>
          </w:p>
        </w:tc>
        <w:tc>
          <w:tcPr>
            <w:tcW w:w="913" w:type="dxa"/>
            <w:tcBorders>
              <w:left w:val="single" w:color="000000" w:sz="8" w:space="0"/>
              <w:right w:val="single" w:color="000000" w:sz="8" w:space="0"/>
            </w:tcBorders>
            <w:shd w:val="clear" w:color="auto" w:fill="auto"/>
            <w:vAlign w:val="center"/>
          </w:tcPr>
          <w:p w14:paraId="2C0E00B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33</w:t>
            </w:r>
          </w:p>
        </w:tc>
      </w:tr>
      <w:tr w14:paraId="4A278DB7">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left w:val="single" w:color="000000" w:sz="8" w:space="0"/>
              <w:right w:val="single" w:color="000000" w:sz="8" w:space="0"/>
            </w:tcBorders>
            <w:shd w:val="clear" w:color="auto" w:fill="auto"/>
            <w:vAlign w:val="center"/>
          </w:tcPr>
          <w:p w14:paraId="06ECE71F">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EAE文化活动场所</w:t>
            </w:r>
          </w:p>
        </w:tc>
        <w:tc>
          <w:tcPr>
            <w:tcW w:w="670" w:type="dxa"/>
            <w:tcBorders>
              <w:left w:val="single" w:color="000000" w:sz="8" w:space="0"/>
              <w:right w:val="single" w:color="000000" w:sz="8" w:space="0"/>
            </w:tcBorders>
            <w:shd w:val="clear" w:color="auto" w:fill="auto"/>
            <w:vAlign w:val="center"/>
          </w:tcPr>
          <w:p w14:paraId="4F8B456F">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kern w:val="0"/>
                <w:sz w:val="21"/>
                <w:szCs w:val="21"/>
                <w:u w:val="none"/>
                <w:lang w:val="en-US" w:eastAsia="zh-CN" w:bidi="ar"/>
              </w:rPr>
              <w:t>819</w:t>
            </w:r>
          </w:p>
        </w:tc>
        <w:tc>
          <w:tcPr>
            <w:tcW w:w="975" w:type="dxa"/>
            <w:tcBorders>
              <w:left w:val="single" w:color="000000" w:sz="8" w:space="0"/>
              <w:right w:val="single" w:color="auto" w:sz="4" w:space="0"/>
            </w:tcBorders>
            <w:shd w:val="clear" w:color="auto" w:fill="auto"/>
            <w:vAlign w:val="center"/>
          </w:tcPr>
          <w:p w14:paraId="08101E4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130</w:t>
            </w:r>
          </w:p>
        </w:tc>
        <w:tc>
          <w:tcPr>
            <w:tcW w:w="743" w:type="dxa"/>
            <w:vMerge w:val="continue"/>
            <w:tcBorders>
              <w:top w:val="nil"/>
              <w:left w:val="single" w:color="auto" w:sz="4" w:space="0"/>
              <w:bottom w:val="nil"/>
              <w:right w:val="single" w:color="auto" w:sz="4" w:space="0"/>
            </w:tcBorders>
            <w:shd w:val="clear" w:color="auto" w:fill="auto"/>
            <w:vAlign w:val="center"/>
          </w:tcPr>
          <w:p w14:paraId="117BB68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left w:val="single" w:color="auto" w:sz="4" w:space="0"/>
              <w:right w:val="single" w:color="000000" w:sz="8" w:space="0"/>
            </w:tcBorders>
            <w:shd w:val="clear" w:color="auto" w:fill="auto"/>
            <w:vAlign w:val="center"/>
          </w:tcPr>
          <w:p w14:paraId="1B951226">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EBP特色市场</w:t>
            </w:r>
          </w:p>
        </w:tc>
        <w:tc>
          <w:tcPr>
            <w:tcW w:w="894" w:type="dxa"/>
            <w:tcBorders>
              <w:left w:val="single" w:color="000000" w:sz="8" w:space="0"/>
              <w:right w:val="single" w:color="000000" w:sz="8" w:space="0"/>
            </w:tcBorders>
            <w:shd w:val="clear" w:color="auto" w:fill="auto"/>
            <w:vAlign w:val="center"/>
          </w:tcPr>
          <w:p w14:paraId="1DD336C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15</w:t>
            </w:r>
          </w:p>
        </w:tc>
        <w:tc>
          <w:tcPr>
            <w:tcW w:w="913" w:type="dxa"/>
            <w:tcBorders>
              <w:left w:val="single" w:color="000000" w:sz="8" w:space="0"/>
              <w:right w:val="single" w:color="000000" w:sz="8" w:space="0"/>
            </w:tcBorders>
            <w:shd w:val="clear" w:color="auto" w:fill="auto"/>
            <w:vAlign w:val="center"/>
          </w:tcPr>
          <w:p w14:paraId="0EAA1E5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4</w:t>
            </w:r>
          </w:p>
        </w:tc>
      </w:tr>
      <w:tr w14:paraId="38A39EDB">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left w:val="single" w:color="auto" w:sz="4" w:space="0"/>
              <w:right w:val="single" w:color="000000" w:sz="8" w:space="0"/>
            </w:tcBorders>
            <w:shd w:val="clear" w:color="auto" w:fill="auto"/>
            <w:vAlign w:val="center"/>
          </w:tcPr>
          <w:p w14:paraId="54A5B1B7">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EAF康体游乐休闲度假地</w:t>
            </w:r>
          </w:p>
        </w:tc>
        <w:tc>
          <w:tcPr>
            <w:tcW w:w="670" w:type="dxa"/>
            <w:tcBorders>
              <w:left w:val="single" w:color="000000" w:sz="8" w:space="0"/>
              <w:right w:val="single" w:color="000000" w:sz="8" w:space="0"/>
            </w:tcBorders>
            <w:shd w:val="clear" w:color="auto" w:fill="auto"/>
            <w:vAlign w:val="center"/>
          </w:tcPr>
          <w:p w14:paraId="17B518C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665</w:t>
            </w:r>
          </w:p>
        </w:tc>
        <w:tc>
          <w:tcPr>
            <w:tcW w:w="975" w:type="dxa"/>
            <w:tcBorders>
              <w:left w:val="single" w:color="000000" w:sz="8" w:space="0"/>
              <w:right w:val="single" w:color="auto" w:sz="4" w:space="0"/>
            </w:tcBorders>
            <w:shd w:val="clear" w:color="auto" w:fill="auto"/>
            <w:vAlign w:val="center"/>
          </w:tcPr>
          <w:p w14:paraId="5B58B23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82</w:t>
            </w:r>
          </w:p>
        </w:tc>
        <w:tc>
          <w:tcPr>
            <w:tcW w:w="743" w:type="dxa"/>
            <w:vMerge w:val="continue"/>
            <w:tcBorders>
              <w:top w:val="nil"/>
              <w:left w:val="single" w:color="auto" w:sz="4" w:space="0"/>
              <w:bottom w:val="nil"/>
              <w:right w:val="single" w:color="auto" w:sz="4" w:space="0"/>
            </w:tcBorders>
            <w:shd w:val="clear" w:color="auto" w:fill="auto"/>
            <w:vAlign w:val="center"/>
          </w:tcPr>
          <w:p w14:paraId="7C8604B6">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left w:val="single" w:color="auto" w:sz="4" w:space="0"/>
              <w:right w:val="single" w:color="000000" w:sz="8" w:space="0"/>
            </w:tcBorders>
            <w:shd w:val="clear" w:color="auto" w:fill="auto"/>
            <w:vAlign w:val="center"/>
          </w:tcPr>
          <w:p w14:paraId="76384C66">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b/>
                <w:bCs/>
                <w:i w:val="0"/>
                <w:iCs w:val="0"/>
                <w:color w:val="auto"/>
                <w:kern w:val="0"/>
                <w:sz w:val="21"/>
                <w:szCs w:val="21"/>
                <w:u w:val="none"/>
                <w:lang w:val="en-US" w:eastAsia="zh-CN" w:bidi="ar"/>
              </w:rPr>
              <w:t>EC  景观与小品建筑</w:t>
            </w:r>
          </w:p>
        </w:tc>
        <w:tc>
          <w:tcPr>
            <w:tcW w:w="894" w:type="dxa"/>
            <w:tcBorders>
              <w:left w:val="single" w:color="000000" w:sz="8" w:space="0"/>
              <w:right w:val="single" w:color="000000" w:sz="8" w:space="0"/>
            </w:tcBorders>
            <w:shd w:val="clear" w:color="auto" w:fill="auto"/>
            <w:vAlign w:val="center"/>
          </w:tcPr>
          <w:p w14:paraId="26D646AB">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1664</w:t>
            </w:r>
          </w:p>
        </w:tc>
        <w:tc>
          <w:tcPr>
            <w:tcW w:w="913" w:type="dxa"/>
            <w:tcBorders>
              <w:left w:val="single" w:color="000000" w:sz="8" w:space="0"/>
              <w:right w:val="single" w:color="000000" w:sz="8" w:space="0"/>
            </w:tcBorders>
            <w:shd w:val="clear" w:color="auto" w:fill="auto"/>
            <w:vAlign w:val="center"/>
          </w:tcPr>
          <w:p w14:paraId="6C3D0D13">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290</w:t>
            </w:r>
          </w:p>
        </w:tc>
      </w:tr>
      <w:tr w14:paraId="1C1F78D9">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left w:val="single" w:color="000000" w:sz="8" w:space="0"/>
              <w:right w:val="single" w:color="000000" w:sz="8" w:space="0"/>
            </w:tcBorders>
            <w:shd w:val="clear" w:color="auto" w:fill="auto"/>
            <w:vAlign w:val="center"/>
          </w:tcPr>
          <w:p w14:paraId="787E82F6">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EAG宗教与祭祀活动场所</w:t>
            </w:r>
          </w:p>
        </w:tc>
        <w:tc>
          <w:tcPr>
            <w:tcW w:w="670" w:type="dxa"/>
            <w:tcBorders>
              <w:left w:val="single" w:color="000000" w:sz="8" w:space="0"/>
              <w:right w:val="single" w:color="000000" w:sz="8" w:space="0"/>
            </w:tcBorders>
            <w:shd w:val="clear" w:color="auto" w:fill="auto"/>
            <w:vAlign w:val="center"/>
          </w:tcPr>
          <w:p w14:paraId="132203DB">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473</w:t>
            </w:r>
          </w:p>
        </w:tc>
        <w:tc>
          <w:tcPr>
            <w:tcW w:w="975" w:type="dxa"/>
            <w:tcBorders>
              <w:left w:val="single" w:color="000000" w:sz="8" w:space="0"/>
              <w:right w:val="single" w:color="auto" w:sz="4" w:space="0"/>
            </w:tcBorders>
            <w:shd w:val="clear" w:color="auto" w:fill="auto"/>
            <w:vAlign w:val="center"/>
          </w:tcPr>
          <w:p w14:paraId="6DADF7F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49</w:t>
            </w:r>
          </w:p>
        </w:tc>
        <w:tc>
          <w:tcPr>
            <w:tcW w:w="743" w:type="dxa"/>
            <w:vMerge w:val="continue"/>
            <w:tcBorders>
              <w:top w:val="nil"/>
              <w:left w:val="single" w:color="auto" w:sz="4" w:space="0"/>
              <w:bottom w:val="nil"/>
              <w:right w:val="single" w:color="auto" w:sz="4" w:space="0"/>
            </w:tcBorders>
            <w:shd w:val="clear" w:color="auto" w:fill="auto"/>
            <w:vAlign w:val="center"/>
          </w:tcPr>
          <w:p w14:paraId="39A8110F">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left w:val="single" w:color="auto" w:sz="4" w:space="0"/>
              <w:right w:val="single" w:color="000000" w:sz="8" w:space="0"/>
            </w:tcBorders>
            <w:shd w:val="clear" w:color="auto" w:fill="auto"/>
            <w:vAlign w:val="center"/>
          </w:tcPr>
          <w:p w14:paraId="1D0EA54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ECA形象标志物</w:t>
            </w:r>
          </w:p>
        </w:tc>
        <w:tc>
          <w:tcPr>
            <w:tcW w:w="894" w:type="dxa"/>
            <w:tcBorders>
              <w:left w:val="single" w:color="000000" w:sz="8" w:space="0"/>
              <w:right w:val="single" w:color="000000" w:sz="8" w:space="0"/>
            </w:tcBorders>
            <w:shd w:val="clear" w:color="auto" w:fill="auto"/>
            <w:vAlign w:val="center"/>
          </w:tcPr>
          <w:p w14:paraId="0AA9E8F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67</w:t>
            </w:r>
          </w:p>
        </w:tc>
        <w:tc>
          <w:tcPr>
            <w:tcW w:w="913" w:type="dxa"/>
            <w:tcBorders>
              <w:left w:val="single" w:color="000000" w:sz="8" w:space="0"/>
              <w:right w:val="single" w:color="000000" w:sz="8" w:space="0"/>
            </w:tcBorders>
            <w:shd w:val="clear" w:color="auto" w:fill="auto"/>
            <w:vAlign w:val="center"/>
          </w:tcPr>
          <w:p w14:paraId="50F8C68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w:t>
            </w:r>
          </w:p>
        </w:tc>
      </w:tr>
      <w:tr w14:paraId="4C6294F7">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left w:val="single" w:color="000000" w:sz="8" w:space="0"/>
              <w:right w:val="single" w:color="000000" w:sz="8" w:space="0"/>
            </w:tcBorders>
            <w:shd w:val="clear" w:color="auto" w:fill="auto"/>
            <w:vAlign w:val="center"/>
          </w:tcPr>
          <w:p w14:paraId="5FADBA2E">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EAH交通运输场站</w:t>
            </w:r>
          </w:p>
        </w:tc>
        <w:tc>
          <w:tcPr>
            <w:tcW w:w="670" w:type="dxa"/>
            <w:tcBorders>
              <w:left w:val="single" w:color="000000" w:sz="8" w:space="0"/>
              <w:right w:val="single" w:color="000000" w:sz="8" w:space="0"/>
            </w:tcBorders>
            <w:shd w:val="clear" w:color="auto" w:fill="auto"/>
            <w:vAlign w:val="center"/>
          </w:tcPr>
          <w:p w14:paraId="6FDA974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70</w:t>
            </w:r>
          </w:p>
        </w:tc>
        <w:tc>
          <w:tcPr>
            <w:tcW w:w="975" w:type="dxa"/>
            <w:tcBorders>
              <w:left w:val="single" w:color="000000" w:sz="8" w:space="0"/>
              <w:right w:val="single" w:color="auto" w:sz="4" w:space="0"/>
            </w:tcBorders>
            <w:shd w:val="clear" w:color="auto" w:fill="auto"/>
            <w:vAlign w:val="center"/>
          </w:tcPr>
          <w:p w14:paraId="016EFE3F">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7</w:t>
            </w:r>
          </w:p>
        </w:tc>
        <w:tc>
          <w:tcPr>
            <w:tcW w:w="743" w:type="dxa"/>
            <w:vMerge w:val="continue"/>
            <w:tcBorders>
              <w:top w:val="nil"/>
              <w:left w:val="single" w:color="auto" w:sz="4" w:space="0"/>
              <w:bottom w:val="nil"/>
              <w:right w:val="single" w:color="auto" w:sz="4" w:space="0"/>
            </w:tcBorders>
            <w:shd w:val="clear" w:color="auto" w:fill="auto"/>
            <w:vAlign w:val="center"/>
          </w:tcPr>
          <w:p w14:paraId="73511DE0">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left w:val="single" w:color="auto" w:sz="4" w:space="0"/>
              <w:right w:val="single" w:color="000000" w:sz="8" w:space="0"/>
            </w:tcBorders>
            <w:shd w:val="clear" w:color="auto" w:fill="auto"/>
            <w:vAlign w:val="center"/>
          </w:tcPr>
          <w:p w14:paraId="163C7C8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ECB观景点</w:t>
            </w:r>
          </w:p>
        </w:tc>
        <w:tc>
          <w:tcPr>
            <w:tcW w:w="894" w:type="dxa"/>
            <w:tcBorders>
              <w:left w:val="single" w:color="000000" w:sz="8" w:space="0"/>
              <w:right w:val="single" w:color="000000" w:sz="8" w:space="0"/>
            </w:tcBorders>
            <w:shd w:val="clear" w:color="auto" w:fill="auto"/>
            <w:vAlign w:val="center"/>
          </w:tcPr>
          <w:p w14:paraId="2921E42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90</w:t>
            </w:r>
          </w:p>
        </w:tc>
        <w:tc>
          <w:tcPr>
            <w:tcW w:w="913" w:type="dxa"/>
            <w:tcBorders>
              <w:left w:val="single" w:color="000000" w:sz="8" w:space="0"/>
              <w:right w:val="single" w:color="000000" w:sz="8" w:space="0"/>
            </w:tcBorders>
            <w:shd w:val="clear" w:color="auto" w:fill="auto"/>
            <w:vAlign w:val="center"/>
          </w:tcPr>
          <w:p w14:paraId="72FD134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8</w:t>
            </w:r>
          </w:p>
        </w:tc>
      </w:tr>
      <w:tr w14:paraId="0B6A56E6">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left w:val="single" w:color="000000" w:sz="8" w:space="0"/>
              <w:right w:val="single" w:color="000000" w:sz="8" w:space="0"/>
            </w:tcBorders>
            <w:shd w:val="clear" w:color="auto" w:fill="auto"/>
            <w:vAlign w:val="center"/>
          </w:tcPr>
          <w:p w14:paraId="396244E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EAI纪念地与纪念活动场所</w:t>
            </w:r>
          </w:p>
        </w:tc>
        <w:tc>
          <w:tcPr>
            <w:tcW w:w="670" w:type="dxa"/>
            <w:tcBorders>
              <w:left w:val="single" w:color="000000" w:sz="8" w:space="0"/>
              <w:right w:val="single" w:color="000000" w:sz="8" w:space="0"/>
            </w:tcBorders>
            <w:shd w:val="clear" w:color="auto" w:fill="auto"/>
            <w:vAlign w:val="center"/>
          </w:tcPr>
          <w:p w14:paraId="52157217">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286</w:t>
            </w:r>
          </w:p>
        </w:tc>
        <w:tc>
          <w:tcPr>
            <w:tcW w:w="975" w:type="dxa"/>
            <w:tcBorders>
              <w:left w:val="single" w:color="000000" w:sz="8" w:space="0"/>
              <w:right w:val="single" w:color="auto" w:sz="4" w:space="0"/>
            </w:tcBorders>
            <w:shd w:val="clear" w:color="auto" w:fill="auto"/>
            <w:vAlign w:val="center"/>
          </w:tcPr>
          <w:p w14:paraId="4178129E">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18</w:t>
            </w:r>
          </w:p>
        </w:tc>
        <w:tc>
          <w:tcPr>
            <w:tcW w:w="743" w:type="dxa"/>
            <w:vMerge w:val="continue"/>
            <w:tcBorders>
              <w:top w:val="nil"/>
              <w:left w:val="single" w:color="auto" w:sz="4" w:space="0"/>
              <w:bottom w:val="nil"/>
              <w:right w:val="single" w:color="auto" w:sz="4" w:space="0"/>
            </w:tcBorders>
            <w:shd w:val="clear" w:color="auto" w:fill="auto"/>
            <w:vAlign w:val="center"/>
          </w:tcPr>
          <w:p w14:paraId="6FF9BEC7">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left w:val="single" w:color="auto" w:sz="4" w:space="0"/>
              <w:right w:val="single" w:color="000000" w:sz="8" w:space="0"/>
            </w:tcBorders>
            <w:shd w:val="clear" w:color="auto" w:fill="auto"/>
            <w:vAlign w:val="center"/>
          </w:tcPr>
          <w:p w14:paraId="0E6090C9">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ECC亭、台、楼、阁</w:t>
            </w:r>
          </w:p>
        </w:tc>
        <w:tc>
          <w:tcPr>
            <w:tcW w:w="894" w:type="dxa"/>
            <w:tcBorders>
              <w:left w:val="single" w:color="000000" w:sz="8" w:space="0"/>
              <w:right w:val="single" w:color="000000" w:sz="8" w:space="0"/>
            </w:tcBorders>
            <w:shd w:val="clear" w:color="auto" w:fill="auto"/>
            <w:vAlign w:val="center"/>
          </w:tcPr>
          <w:p w14:paraId="243B2D0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208</w:t>
            </w:r>
          </w:p>
        </w:tc>
        <w:tc>
          <w:tcPr>
            <w:tcW w:w="913" w:type="dxa"/>
            <w:tcBorders>
              <w:left w:val="single" w:color="000000" w:sz="8" w:space="0"/>
              <w:right w:val="single" w:color="000000" w:sz="8" w:space="0"/>
            </w:tcBorders>
            <w:shd w:val="clear" w:color="auto" w:fill="auto"/>
            <w:vAlign w:val="center"/>
          </w:tcPr>
          <w:p w14:paraId="2226FDE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25</w:t>
            </w:r>
          </w:p>
        </w:tc>
      </w:tr>
      <w:tr w14:paraId="4FFEF0F5">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left w:val="single" w:color="000000" w:sz="8" w:space="0"/>
              <w:right w:val="single" w:color="000000" w:sz="8" w:space="0"/>
            </w:tcBorders>
            <w:shd w:val="clear" w:color="auto" w:fill="auto"/>
            <w:vAlign w:val="center"/>
          </w:tcPr>
          <w:p w14:paraId="12E4EE45">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EB  实用建筑与核心设施</w:t>
            </w:r>
          </w:p>
        </w:tc>
        <w:tc>
          <w:tcPr>
            <w:tcW w:w="670" w:type="dxa"/>
            <w:tcBorders>
              <w:left w:val="single" w:color="000000" w:sz="8" w:space="0"/>
              <w:right w:val="single" w:color="000000" w:sz="8" w:space="0"/>
            </w:tcBorders>
            <w:shd w:val="clear" w:color="auto" w:fill="auto"/>
            <w:vAlign w:val="center"/>
          </w:tcPr>
          <w:p w14:paraId="72002A34">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2052</w:t>
            </w:r>
          </w:p>
        </w:tc>
        <w:tc>
          <w:tcPr>
            <w:tcW w:w="975" w:type="dxa"/>
            <w:tcBorders>
              <w:left w:val="single" w:color="000000" w:sz="8" w:space="0"/>
              <w:right w:val="single" w:color="auto" w:sz="4" w:space="0"/>
            </w:tcBorders>
            <w:shd w:val="clear" w:color="auto" w:fill="auto"/>
            <w:vAlign w:val="center"/>
          </w:tcPr>
          <w:p w14:paraId="67F4190C">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279</w:t>
            </w:r>
          </w:p>
        </w:tc>
        <w:tc>
          <w:tcPr>
            <w:tcW w:w="743" w:type="dxa"/>
            <w:vMerge w:val="continue"/>
            <w:tcBorders>
              <w:top w:val="nil"/>
              <w:left w:val="single" w:color="auto" w:sz="4" w:space="0"/>
              <w:bottom w:val="nil"/>
              <w:right w:val="single" w:color="auto" w:sz="4" w:space="0"/>
            </w:tcBorders>
            <w:shd w:val="clear" w:color="auto" w:fill="auto"/>
            <w:vAlign w:val="center"/>
          </w:tcPr>
          <w:p w14:paraId="03F9DDE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left w:val="single" w:color="auto" w:sz="4" w:space="0"/>
              <w:right w:val="single" w:color="000000" w:sz="8" w:space="0"/>
            </w:tcBorders>
            <w:shd w:val="clear" w:color="auto" w:fill="auto"/>
            <w:vAlign w:val="center"/>
          </w:tcPr>
          <w:p w14:paraId="4937B3B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ECD书画作</w:t>
            </w:r>
          </w:p>
        </w:tc>
        <w:tc>
          <w:tcPr>
            <w:tcW w:w="894" w:type="dxa"/>
            <w:tcBorders>
              <w:left w:val="single" w:color="000000" w:sz="8" w:space="0"/>
              <w:right w:val="single" w:color="000000" w:sz="8" w:space="0"/>
            </w:tcBorders>
            <w:shd w:val="clear" w:color="auto" w:fill="auto"/>
            <w:vAlign w:val="center"/>
          </w:tcPr>
          <w:p w14:paraId="23BA2A1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63</w:t>
            </w:r>
          </w:p>
        </w:tc>
        <w:tc>
          <w:tcPr>
            <w:tcW w:w="913" w:type="dxa"/>
            <w:tcBorders>
              <w:left w:val="single" w:color="000000" w:sz="8" w:space="0"/>
              <w:right w:val="single" w:color="000000" w:sz="8" w:space="0"/>
            </w:tcBorders>
            <w:shd w:val="clear" w:color="auto" w:fill="auto"/>
            <w:vAlign w:val="center"/>
          </w:tcPr>
          <w:p w14:paraId="3F510F8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w:t>
            </w:r>
          </w:p>
        </w:tc>
      </w:tr>
      <w:tr w14:paraId="067CB199">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90" w:hRule="atLeast"/>
          <w:jc w:val="center"/>
        </w:trPr>
        <w:tc>
          <w:tcPr>
            <w:tcW w:w="1958" w:type="dxa"/>
            <w:tcBorders>
              <w:left w:val="single" w:color="000000" w:sz="8" w:space="0"/>
              <w:right w:val="single" w:color="000000" w:sz="8" w:space="0"/>
            </w:tcBorders>
            <w:shd w:val="clear" w:color="auto" w:fill="auto"/>
            <w:vAlign w:val="center"/>
          </w:tcPr>
          <w:p w14:paraId="11A2287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EBA特色街区</w:t>
            </w:r>
          </w:p>
        </w:tc>
        <w:tc>
          <w:tcPr>
            <w:tcW w:w="670" w:type="dxa"/>
            <w:tcBorders>
              <w:left w:val="single" w:color="000000" w:sz="8" w:space="0"/>
              <w:right w:val="single" w:color="000000" w:sz="8" w:space="0"/>
            </w:tcBorders>
            <w:shd w:val="clear" w:color="auto" w:fill="auto"/>
            <w:vAlign w:val="center"/>
          </w:tcPr>
          <w:p w14:paraId="1EBA7DA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88</w:t>
            </w:r>
          </w:p>
        </w:tc>
        <w:tc>
          <w:tcPr>
            <w:tcW w:w="975" w:type="dxa"/>
            <w:tcBorders>
              <w:left w:val="single" w:color="000000" w:sz="8" w:space="0"/>
              <w:right w:val="single" w:color="auto" w:sz="4" w:space="0"/>
            </w:tcBorders>
            <w:shd w:val="clear" w:color="auto" w:fill="auto"/>
            <w:vAlign w:val="center"/>
          </w:tcPr>
          <w:p w14:paraId="3FCF520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18</w:t>
            </w:r>
          </w:p>
        </w:tc>
        <w:tc>
          <w:tcPr>
            <w:tcW w:w="743" w:type="dxa"/>
            <w:tcBorders>
              <w:top w:val="nil"/>
              <w:left w:val="single" w:color="auto" w:sz="4" w:space="0"/>
              <w:bottom w:val="nil"/>
              <w:right w:val="single" w:color="auto" w:sz="4" w:space="0"/>
            </w:tcBorders>
            <w:shd w:val="clear" w:color="auto" w:fill="auto"/>
            <w:vAlign w:val="center"/>
          </w:tcPr>
          <w:p w14:paraId="2ACAA4E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left w:val="single" w:color="auto" w:sz="4" w:space="0"/>
              <w:right w:val="single" w:color="000000" w:sz="8" w:space="0"/>
            </w:tcBorders>
            <w:shd w:val="clear" w:color="auto" w:fill="auto"/>
            <w:vAlign w:val="center"/>
          </w:tcPr>
          <w:p w14:paraId="18E244C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ECE雕塑</w:t>
            </w:r>
          </w:p>
        </w:tc>
        <w:tc>
          <w:tcPr>
            <w:tcW w:w="894" w:type="dxa"/>
            <w:tcBorders>
              <w:left w:val="single" w:color="000000" w:sz="8" w:space="0"/>
              <w:right w:val="single" w:color="000000" w:sz="8" w:space="0"/>
            </w:tcBorders>
            <w:shd w:val="clear" w:color="auto" w:fill="auto"/>
            <w:vAlign w:val="center"/>
          </w:tcPr>
          <w:p w14:paraId="781042C8">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350</w:t>
            </w:r>
          </w:p>
        </w:tc>
        <w:tc>
          <w:tcPr>
            <w:tcW w:w="913" w:type="dxa"/>
            <w:tcBorders>
              <w:left w:val="single" w:color="000000" w:sz="8" w:space="0"/>
              <w:right w:val="single" w:color="000000" w:sz="8" w:space="0"/>
            </w:tcBorders>
            <w:shd w:val="clear" w:color="auto" w:fill="auto"/>
            <w:vAlign w:val="center"/>
          </w:tcPr>
          <w:p w14:paraId="55556A99">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88</w:t>
            </w:r>
          </w:p>
        </w:tc>
      </w:tr>
      <w:tr w14:paraId="598C6E88">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left w:val="single" w:color="000000" w:sz="8" w:space="0"/>
              <w:right w:val="single" w:color="000000" w:sz="8" w:space="0"/>
            </w:tcBorders>
            <w:shd w:val="clear" w:color="auto" w:fill="auto"/>
            <w:vAlign w:val="center"/>
          </w:tcPr>
          <w:p w14:paraId="0A85362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EBB特性屋舍</w:t>
            </w:r>
          </w:p>
        </w:tc>
        <w:tc>
          <w:tcPr>
            <w:tcW w:w="670" w:type="dxa"/>
            <w:tcBorders>
              <w:left w:val="single" w:color="000000" w:sz="8" w:space="0"/>
              <w:right w:val="single" w:color="000000" w:sz="8" w:space="0"/>
            </w:tcBorders>
            <w:shd w:val="clear" w:color="auto" w:fill="auto"/>
            <w:vAlign w:val="center"/>
          </w:tcPr>
          <w:p w14:paraId="176D8844">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250</w:t>
            </w:r>
          </w:p>
        </w:tc>
        <w:tc>
          <w:tcPr>
            <w:tcW w:w="975" w:type="dxa"/>
            <w:tcBorders>
              <w:left w:val="single" w:color="000000" w:sz="8" w:space="0"/>
              <w:right w:val="single" w:color="auto" w:sz="4" w:space="0"/>
            </w:tcBorders>
            <w:shd w:val="clear" w:color="auto" w:fill="auto"/>
            <w:vAlign w:val="center"/>
          </w:tcPr>
          <w:p w14:paraId="1AF760B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36</w:t>
            </w:r>
          </w:p>
        </w:tc>
        <w:tc>
          <w:tcPr>
            <w:tcW w:w="743" w:type="dxa"/>
            <w:tcBorders>
              <w:top w:val="nil"/>
              <w:left w:val="single" w:color="auto" w:sz="4" w:space="0"/>
              <w:bottom w:val="nil"/>
              <w:right w:val="single" w:color="auto" w:sz="4" w:space="0"/>
            </w:tcBorders>
            <w:shd w:val="clear" w:color="auto" w:fill="auto"/>
            <w:vAlign w:val="center"/>
          </w:tcPr>
          <w:p w14:paraId="1E687B8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left w:val="single" w:color="auto" w:sz="4" w:space="0"/>
              <w:right w:val="single" w:color="000000" w:sz="8" w:space="0"/>
            </w:tcBorders>
            <w:shd w:val="clear" w:color="auto" w:fill="auto"/>
            <w:vAlign w:val="center"/>
          </w:tcPr>
          <w:p w14:paraId="790C7DC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ECF碑碣、碑林、经幢</w:t>
            </w:r>
          </w:p>
        </w:tc>
        <w:tc>
          <w:tcPr>
            <w:tcW w:w="894" w:type="dxa"/>
            <w:tcBorders>
              <w:left w:val="single" w:color="000000" w:sz="8" w:space="0"/>
              <w:right w:val="single" w:color="000000" w:sz="8" w:space="0"/>
            </w:tcBorders>
            <w:shd w:val="clear" w:color="auto" w:fill="auto"/>
            <w:vAlign w:val="center"/>
          </w:tcPr>
          <w:p w14:paraId="39C0AE31">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390</w:t>
            </w:r>
          </w:p>
        </w:tc>
        <w:tc>
          <w:tcPr>
            <w:tcW w:w="913" w:type="dxa"/>
            <w:tcBorders>
              <w:left w:val="single" w:color="000000" w:sz="8" w:space="0"/>
              <w:right w:val="single" w:color="000000" w:sz="8" w:space="0"/>
            </w:tcBorders>
            <w:shd w:val="clear" w:color="auto" w:fill="auto"/>
            <w:vAlign w:val="center"/>
          </w:tcPr>
          <w:p w14:paraId="42EE813F">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51</w:t>
            </w:r>
          </w:p>
        </w:tc>
      </w:tr>
      <w:tr w14:paraId="672958BA">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left w:val="single" w:color="000000" w:sz="8" w:space="0"/>
              <w:right w:val="single" w:color="000000" w:sz="8" w:space="0"/>
            </w:tcBorders>
            <w:shd w:val="clear" w:color="auto" w:fill="auto"/>
            <w:vAlign w:val="center"/>
          </w:tcPr>
          <w:p w14:paraId="486BB2F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EBC独立厅、室、馆</w:t>
            </w:r>
          </w:p>
        </w:tc>
        <w:tc>
          <w:tcPr>
            <w:tcW w:w="670" w:type="dxa"/>
            <w:tcBorders>
              <w:left w:val="single" w:color="000000" w:sz="8" w:space="0"/>
              <w:right w:val="single" w:color="000000" w:sz="8" w:space="0"/>
            </w:tcBorders>
            <w:shd w:val="clear" w:color="auto" w:fill="auto"/>
            <w:vAlign w:val="center"/>
          </w:tcPr>
          <w:p w14:paraId="338C4EE8">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459</w:t>
            </w:r>
          </w:p>
        </w:tc>
        <w:tc>
          <w:tcPr>
            <w:tcW w:w="975" w:type="dxa"/>
            <w:tcBorders>
              <w:left w:val="single" w:color="000000" w:sz="8" w:space="0"/>
              <w:right w:val="single" w:color="auto" w:sz="4" w:space="0"/>
            </w:tcBorders>
            <w:shd w:val="clear" w:color="auto" w:fill="auto"/>
            <w:vAlign w:val="center"/>
          </w:tcPr>
          <w:p w14:paraId="1001F7C6">
            <w:pPr>
              <w:keepNext w:val="0"/>
              <w:keepLines w:val="0"/>
              <w:widowControl/>
              <w:suppressLineNumbers w:val="0"/>
              <w:jc w:val="center"/>
              <w:textAlignment w:val="center"/>
              <w:rPr>
                <w:rFonts w:hint="default"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66</w:t>
            </w:r>
          </w:p>
        </w:tc>
        <w:tc>
          <w:tcPr>
            <w:tcW w:w="743" w:type="dxa"/>
            <w:tcBorders>
              <w:top w:val="nil"/>
              <w:left w:val="single" w:color="auto" w:sz="4" w:space="0"/>
              <w:bottom w:val="nil"/>
              <w:right w:val="single" w:color="auto" w:sz="4" w:space="0"/>
            </w:tcBorders>
            <w:shd w:val="clear" w:color="auto" w:fill="auto"/>
            <w:vAlign w:val="center"/>
          </w:tcPr>
          <w:p w14:paraId="18A54698">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left w:val="single" w:color="auto" w:sz="4" w:space="0"/>
              <w:right w:val="single" w:color="000000" w:sz="8" w:space="0"/>
            </w:tcBorders>
            <w:shd w:val="clear" w:color="auto" w:fill="auto"/>
            <w:vAlign w:val="center"/>
          </w:tcPr>
          <w:p w14:paraId="395E4BBF">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ECG牌坊牌楼、影壁</w:t>
            </w:r>
          </w:p>
        </w:tc>
        <w:tc>
          <w:tcPr>
            <w:tcW w:w="894" w:type="dxa"/>
            <w:tcBorders>
              <w:left w:val="single" w:color="000000" w:sz="8" w:space="0"/>
              <w:right w:val="single" w:color="000000" w:sz="8" w:space="0"/>
            </w:tcBorders>
            <w:shd w:val="clear" w:color="auto" w:fill="auto"/>
            <w:vAlign w:val="center"/>
          </w:tcPr>
          <w:p w14:paraId="7F1374AF">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93</w:t>
            </w:r>
          </w:p>
        </w:tc>
        <w:tc>
          <w:tcPr>
            <w:tcW w:w="913" w:type="dxa"/>
            <w:tcBorders>
              <w:left w:val="single" w:color="000000" w:sz="8" w:space="0"/>
              <w:right w:val="single" w:color="000000" w:sz="8" w:space="0"/>
            </w:tcBorders>
            <w:shd w:val="clear" w:color="auto" w:fill="auto"/>
            <w:vAlign w:val="center"/>
          </w:tcPr>
          <w:p w14:paraId="7088996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23</w:t>
            </w:r>
          </w:p>
        </w:tc>
      </w:tr>
      <w:tr w14:paraId="2E340246">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left w:val="single" w:color="000000" w:sz="8" w:space="0"/>
              <w:right w:val="single" w:color="000000" w:sz="8" w:space="0"/>
            </w:tcBorders>
            <w:shd w:val="clear" w:color="auto" w:fill="auto"/>
            <w:vAlign w:val="center"/>
          </w:tcPr>
          <w:p w14:paraId="41474EF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EBD独立场、所</w:t>
            </w:r>
          </w:p>
        </w:tc>
        <w:tc>
          <w:tcPr>
            <w:tcW w:w="670" w:type="dxa"/>
            <w:tcBorders>
              <w:left w:val="single" w:color="000000" w:sz="8" w:space="0"/>
              <w:right w:val="single" w:color="000000" w:sz="8" w:space="0"/>
            </w:tcBorders>
            <w:shd w:val="clear" w:color="auto" w:fill="auto"/>
            <w:vAlign w:val="center"/>
          </w:tcPr>
          <w:p w14:paraId="7770961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322</w:t>
            </w:r>
          </w:p>
        </w:tc>
        <w:tc>
          <w:tcPr>
            <w:tcW w:w="975" w:type="dxa"/>
            <w:tcBorders>
              <w:left w:val="single" w:color="000000" w:sz="8" w:space="0"/>
              <w:right w:val="single" w:color="auto" w:sz="4" w:space="0"/>
            </w:tcBorders>
            <w:shd w:val="clear" w:color="auto" w:fill="auto"/>
            <w:vAlign w:val="center"/>
          </w:tcPr>
          <w:p w14:paraId="40147EA8">
            <w:pPr>
              <w:keepNext w:val="0"/>
              <w:keepLines w:val="0"/>
              <w:widowControl/>
              <w:suppressLineNumbers w:val="0"/>
              <w:jc w:val="center"/>
              <w:textAlignment w:val="center"/>
              <w:rPr>
                <w:rFonts w:hint="default"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46</w:t>
            </w:r>
          </w:p>
        </w:tc>
        <w:tc>
          <w:tcPr>
            <w:tcW w:w="743" w:type="dxa"/>
            <w:tcBorders>
              <w:top w:val="nil"/>
              <w:left w:val="single" w:color="auto" w:sz="4" w:space="0"/>
              <w:bottom w:val="nil"/>
              <w:right w:val="single" w:color="auto" w:sz="4" w:space="0"/>
            </w:tcBorders>
            <w:shd w:val="clear" w:color="auto" w:fill="auto"/>
            <w:vAlign w:val="center"/>
          </w:tcPr>
          <w:p w14:paraId="1631F6B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left w:val="single" w:color="auto" w:sz="4" w:space="0"/>
              <w:right w:val="single" w:color="000000" w:sz="8" w:space="0"/>
            </w:tcBorders>
            <w:shd w:val="clear" w:color="auto" w:fill="auto"/>
            <w:vAlign w:val="center"/>
          </w:tcPr>
          <w:p w14:paraId="5A7FC878">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ECH门廓、廊道</w:t>
            </w:r>
          </w:p>
        </w:tc>
        <w:tc>
          <w:tcPr>
            <w:tcW w:w="894" w:type="dxa"/>
            <w:tcBorders>
              <w:left w:val="single" w:color="000000" w:sz="8" w:space="0"/>
              <w:right w:val="single" w:color="000000" w:sz="8" w:space="0"/>
            </w:tcBorders>
            <w:shd w:val="clear" w:color="auto" w:fill="auto"/>
            <w:vAlign w:val="center"/>
          </w:tcPr>
          <w:p w14:paraId="7BA1EFB8">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91</w:t>
            </w:r>
          </w:p>
        </w:tc>
        <w:tc>
          <w:tcPr>
            <w:tcW w:w="913" w:type="dxa"/>
            <w:tcBorders>
              <w:left w:val="single" w:color="000000" w:sz="8" w:space="0"/>
              <w:right w:val="single" w:color="000000" w:sz="8" w:space="0"/>
            </w:tcBorders>
            <w:shd w:val="clear" w:color="auto" w:fill="auto"/>
            <w:vAlign w:val="center"/>
          </w:tcPr>
          <w:p w14:paraId="443548E9">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6</w:t>
            </w:r>
          </w:p>
        </w:tc>
      </w:tr>
      <w:tr w14:paraId="2D7F721D">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left w:val="single" w:color="000000" w:sz="8" w:space="0"/>
              <w:right w:val="single" w:color="000000" w:sz="8" w:space="0"/>
            </w:tcBorders>
            <w:shd w:val="clear" w:color="auto" w:fill="auto"/>
            <w:vAlign w:val="center"/>
          </w:tcPr>
          <w:p w14:paraId="2FEEED21">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EBE桥梁</w:t>
            </w:r>
          </w:p>
        </w:tc>
        <w:tc>
          <w:tcPr>
            <w:tcW w:w="670" w:type="dxa"/>
            <w:tcBorders>
              <w:left w:val="single" w:color="000000" w:sz="8" w:space="0"/>
              <w:right w:val="single" w:color="000000" w:sz="8" w:space="0"/>
            </w:tcBorders>
            <w:shd w:val="clear" w:color="auto" w:fill="auto"/>
            <w:vAlign w:val="center"/>
          </w:tcPr>
          <w:p w14:paraId="018E1F8E">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155</w:t>
            </w:r>
          </w:p>
        </w:tc>
        <w:tc>
          <w:tcPr>
            <w:tcW w:w="975" w:type="dxa"/>
            <w:tcBorders>
              <w:left w:val="single" w:color="000000" w:sz="8" w:space="0"/>
              <w:right w:val="single" w:color="auto" w:sz="4" w:space="0"/>
            </w:tcBorders>
            <w:shd w:val="clear" w:color="auto" w:fill="auto"/>
            <w:vAlign w:val="center"/>
          </w:tcPr>
          <w:p w14:paraId="277E2E0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17</w:t>
            </w:r>
          </w:p>
        </w:tc>
        <w:tc>
          <w:tcPr>
            <w:tcW w:w="743" w:type="dxa"/>
            <w:tcBorders>
              <w:top w:val="nil"/>
              <w:left w:val="single" w:color="auto" w:sz="4" w:space="0"/>
              <w:bottom w:val="nil"/>
              <w:right w:val="single" w:color="auto" w:sz="4" w:space="0"/>
            </w:tcBorders>
            <w:shd w:val="clear" w:color="auto" w:fill="auto"/>
            <w:vAlign w:val="center"/>
          </w:tcPr>
          <w:p w14:paraId="11A9434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left w:val="single" w:color="auto" w:sz="4" w:space="0"/>
              <w:right w:val="single" w:color="000000" w:sz="8" w:space="0"/>
            </w:tcBorders>
            <w:shd w:val="clear" w:color="auto" w:fill="auto"/>
            <w:vAlign w:val="center"/>
          </w:tcPr>
          <w:p w14:paraId="06889BE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ECI塔形建筑</w:t>
            </w:r>
          </w:p>
        </w:tc>
        <w:tc>
          <w:tcPr>
            <w:tcW w:w="894" w:type="dxa"/>
            <w:tcBorders>
              <w:left w:val="single" w:color="000000" w:sz="8" w:space="0"/>
              <w:right w:val="single" w:color="000000" w:sz="8" w:space="0"/>
            </w:tcBorders>
            <w:shd w:val="clear" w:color="auto" w:fill="auto"/>
            <w:vAlign w:val="center"/>
          </w:tcPr>
          <w:p w14:paraId="36D637A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37</w:t>
            </w:r>
          </w:p>
        </w:tc>
        <w:tc>
          <w:tcPr>
            <w:tcW w:w="913" w:type="dxa"/>
            <w:tcBorders>
              <w:left w:val="single" w:color="000000" w:sz="8" w:space="0"/>
              <w:right w:val="single" w:color="000000" w:sz="8" w:space="0"/>
            </w:tcBorders>
            <w:shd w:val="clear" w:color="auto" w:fill="auto"/>
            <w:vAlign w:val="center"/>
          </w:tcPr>
          <w:p w14:paraId="461931F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w:t>
            </w:r>
          </w:p>
        </w:tc>
      </w:tr>
      <w:tr w14:paraId="6BB82AD1">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left w:val="single" w:color="000000" w:sz="8" w:space="0"/>
              <w:right w:val="single" w:color="000000" w:sz="8" w:space="0"/>
            </w:tcBorders>
            <w:shd w:val="clear" w:color="auto" w:fill="auto"/>
            <w:vAlign w:val="center"/>
          </w:tcPr>
          <w:p w14:paraId="46B78AA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EBF渠道、运河段落</w:t>
            </w:r>
          </w:p>
        </w:tc>
        <w:tc>
          <w:tcPr>
            <w:tcW w:w="670" w:type="dxa"/>
            <w:tcBorders>
              <w:left w:val="single" w:color="000000" w:sz="8" w:space="0"/>
              <w:right w:val="single" w:color="000000" w:sz="8" w:space="0"/>
            </w:tcBorders>
            <w:shd w:val="clear" w:color="auto" w:fill="auto"/>
            <w:vAlign w:val="center"/>
          </w:tcPr>
          <w:p w14:paraId="566B5CA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28</w:t>
            </w:r>
          </w:p>
        </w:tc>
        <w:tc>
          <w:tcPr>
            <w:tcW w:w="975" w:type="dxa"/>
            <w:tcBorders>
              <w:left w:val="single" w:color="000000" w:sz="8" w:space="0"/>
              <w:right w:val="single" w:color="auto" w:sz="4" w:space="0"/>
            </w:tcBorders>
            <w:shd w:val="clear" w:color="auto" w:fill="auto"/>
            <w:vAlign w:val="center"/>
          </w:tcPr>
          <w:p w14:paraId="2D58665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7</w:t>
            </w:r>
          </w:p>
        </w:tc>
        <w:tc>
          <w:tcPr>
            <w:tcW w:w="743" w:type="dxa"/>
            <w:tcBorders>
              <w:top w:val="nil"/>
              <w:left w:val="single" w:color="auto" w:sz="4" w:space="0"/>
              <w:bottom w:val="nil"/>
              <w:right w:val="single" w:color="auto" w:sz="4" w:space="0"/>
            </w:tcBorders>
            <w:shd w:val="clear" w:color="auto" w:fill="auto"/>
            <w:vAlign w:val="center"/>
          </w:tcPr>
          <w:p w14:paraId="25BC811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left w:val="single" w:color="auto" w:sz="4" w:space="0"/>
              <w:right w:val="single" w:color="000000" w:sz="8" w:space="0"/>
            </w:tcBorders>
            <w:shd w:val="clear" w:color="auto" w:fill="auto"/>
            <w:vAlign w:val="center"/>
          </w:tcPr>
          <w:p w14:paraId="7C08428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ECJ景观步道、甬路</w:t>
            </w:r>
          </w:p>
        </w:tc>
        <w:tc>
          <w:tcPr>
            <w:tcW w:w="894" w:type="dxa"/>
            <w:tcBorders>
              <w:left w:val="single" w:color="000000" w:sz="8" w:space="0"/>
              <w:right w:val="single" w:color="000000" w:sz="8" w:space="0"/>
            </w:tcBorders>
            <w:shd w:val="clear" w:color="auto" w:fill="auto"/>
            <w:vAlign w:val="center"/>
          </w:tcPr>
          <w:p w14:paraId="5A1D43E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149</w:t>
            </w:r>
          </w:p>
        </w:tc>
        <w:tc>
          <w:tcPr>
            <w:tcW w:w="913" w:type="dxa"/>
            <w:tcBorders>
              <w:left w:val="single" w:color="000000" w:sz="8" w:space="0"/>
              <w:right w:val="single" w:color="000000" w:sz="8" w:space="0"/>
            </w:tcBorders>
            <w:shd w:val="clear" w:color="auto" w:fill="auto"/>
            <w:vAlign w:val="center"/>
          </w:tcPr>
          <w:p w14:paraId="0883148E">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23</w:t>
            </w:r>
          </w:p>
        </w:tc>
      </w:tr>
      <w:tr w14:paraId="33894BD8">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left w:val="single" w:color="000000" w:sz="8" w:space="0"/>
              <w:right w:val="single" w:color="000000" w:sz="8" w:space="0"/>
            </w:tcBorders>
            <w:shd w:val="clear" w:color="auto" w:fill="auto"/>
            <w:vAlign w:val="center"/>
          </w:tcPr>
          <w:p w14:paraId="7194191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EBG堤坝段落</w:t>
            </w:r>
          </w:p>
        </w:tc>
        <w:tc>
          <w:tcPr>
            <w:tcW w:w="670" w:type="dxa"/>
            <w:tcBorders>
              <w:left w:val="single" w:color="000000" w:sz="8" w:space="0"/>
              <w:right w:val="single" w:color="000000" w:sz="8" w:space="0"/>
            </w:tcBorders>
            <w:shd w:val="clear" w:color="auto" w:fill="auto"/>
            <w:vAlign w:val="center"/>
          </w:tcPr>
          <w:p w14:paraId="7647831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44</w:t>
            </w:r>
          </w:p>
        </w:tc>
        <w:tc>
          <w:tcPr>
            <w:tcW w:w="975" w:type="dxa"/>
            <w:tcBorders>
              <w:left w:val="single" w:color="000000" w:sz="8" w:space="0"/>
              <w:right w:val="single" w:color="auto" w:sz="4" w:space="0"/>
            </w:tcBorders>
            <w:shd w:val="clear" w:color="auto" w:fill="auto"/>
            <w:vAlign w:val="center"/>
          </w:tcPr>
          <w:p w14:paraId="71CB6C2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7</w:t>
            </w:r>
          </w:p>
        </w:tc>
        <w:tc>
          <w:tcPr>
            <w:tcW w:w="743" w:type="dxa"/>
            <w:tcBorders>
              <w:top w:val="nil"/>
              <w:left w:val="single" w:color="auto" w:sz="4" w:space="0"/>
              <w:bottom w:val="nil"/>
              <w:right w:val="single" w:color="auto" w:sz="4" w:space="0"/>
            </w:tcBorders>
            <w:shd w:val="clear" w:color="auto" w:fill="auto"/>
            <w:vAlign w:val="center"/>
          </w:tcPr>
          <w:p w14:paraId="5332D96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left w:val="single" w:color="auto" w:sz="4" w:space="0"/>
              <w:right w:val="single" w:color="000000" w:sz="8" w:space="0"/>
            </w:tcBorders>
            <w:shd w:val="clear" w:color="auto" w:fill="auto"/>
            <w:vAlign w:val="center"/>
          </w:tcPr>
          <w:p w14:paraId="607B8F5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ECK花草坪</w:t>
            </w:r>
          </w:p>
        </w:tc>
        <w:tc>
          <w:tcPr>
            <w:tcW w:w="894" w:type="dxa"/>
            <w:tcBorders>
              <w:left w:val="single" w:color="000000" w:sz="8" w:space="0"/>
              <w:right w:val="single" w:color="000000" w:sz="8" w:space="0"/>
            </w:tcBorders>
            <w:shd w:val="clear" w:color="auto" w:fill="auto"/>
            <w:vAlign w:val="center"/>
          </w:tcPr>
          <w:p w14:paraId="1BE4C09F">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25</w:t>
            </w:r>
          </w:p>
        </w:tc>
        <w:tc>
          <w:tcPr>
            <w:tcW w:w="913" w:type="dxa"/>
            <w:tcBorders>
              <w:left w:val="single" w:color="000000" w:sz="8" w:space="0"/>
              <w:right w:val="single" w:color="000000" w:sz="8" w:space="0"/>
            </w:tcBorders>
            <w:shd w:val="clear" w:color="auto" w:fill="auto"/>
            <w:vAlign w:val="center"/>
          </w:tcPr>
          <w:p w14:paraId="0842D1A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10</w:t>
            </w:r>
          </w:p>
        </w:tc>
      </w:tr>
      <w:tr w14:paraId="6AA3D131">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left w:val="single" w:color="000000" w:sz="8" w:space="0"/>
              <w:right w:val="single" w:color="000000" w:sz="8" w:space="0"/>
            </w:tcBorders>
            <w:shd w:val="clear" w:color="auto" w:fill="auto"/>
            <w:vAlign w:val="center"/>
          </w:tcPr>
          <w:p w14:paraId="19C2C4A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EBH港口、渡口与码头</w:t>
            </w:r>
          </w:p>
        </w:tc>
        <w:tc>
          <w:tcPr>
            <w:tcW w:w="670" w:type="dxa"/>
            <w:tcBorders>
              <w:left w:val="single" w:color="000000" w:sz="8" w:space="0"/>
              <w:right w:val="single" w:color="000000" w:sz="8" w:space="0"/>
            </w:tcBorders>
            <w:shd w:val="clear" w:color="auto" w:fill="auto"/>
            <w:vAlign w:val="center"/>
          </w:tcPr>
          <w:p w14:paraId="7C457EA8">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12</w:t>
            </w:r>
          </w:p>
        </w:tc>
        <w:tc>
          <w:tcPr>
            <w:tcW w:w="975" w:type="dxa"/>
            <w:tcBorders>
              <w:left w:val="single" w:color="000000" w:sz="8" w:space="0"/>
              <w:right w:val="single" w:color="auto" w:sz="4" w:space="0"/>
            </w:tcBorders>
            <w:shd w:val="clear" w:color="auto" w:fill="auto"/>
            <w:vAlign w:val="center"/>
          </w:tcPr>
          <w:p w14:paraId="4E03CA3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4</w:t>
            </w:r>
          </w:p>
        </w:tc>
        <w:tc>
          <w:tcPr>
            <w:tcW w:w="743" w:type="dxa"/>
            <w:tcBorders>
              <w:top w:val="nil"/>
              <w:left w:val="single" w:color="auto" w:sz="4" w:space="0"/>
              <w:bottom w:val="nil"/>
              <w:right w:val="single" w:color="auto" w:sz="4" w:space="0"/>
            </w:tcBorders>
            <w:shd w:val="clear" w:color="auto" w:fill="auto"/>
            <w:vAlign w:val="center"/>
          </w:tcPr>
          <w:p w14:paraId="00C71CC8">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left w:val="single" w:color="auto" w:sz="4" w:space="0"/>
              <w:right w:val="single" w:color="000000" w:sz="8" w:space="0"/>
            </w:tcBorders>
            <w:shd w:val="clear" w:color="auto" w:fill="auto"/>
            <w:vAlign w:val="center"/>
          </w:tcPr>
          <w:p w14:paraId="0B05DD9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ECL水井</w:t>
            </w:r>
          </w:p>
        </w:tc>
        <w:tc>
          <w:tcPr>
            <w:tcW w:w="894" w:type="dxa"/>
            <w:tcBorders>
              <w:left w:val="single" w:color="000000" w:sz="8" w:space="0"/>
              <w:right w:val="single" w:color="000000" w:sz="8" w:space="0"/>
            </w:tcBorders>
            <w:shd w:val="clear" w:color="auto" w:fill="auto"/>
            <w:vAlign w:val="center"/>
          </w:tcPr>
          <w:p w14:paraId="5508A20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31</w:t>
            </w:r>
          </w:p>
        </w:tc>
        <w:tc>
          <w:tcPr>
            <w:tcW w:w="913" w:type="dxa"/>
            <w:tcBorders>
              <w:left w:val="single" w:color="000000" w:sz="8" w:space="0"/>
              <w:right w:val="single" w:color="000000" w:sz="8" w:space="0"/>
            </w:tcBorders>
            <w:shd w:val="clear" w:color="auto" w:fill="auto"/>
            <w:vAlign w:val="center"/>
          </w:tcPr>
          <w:p w14:paraId="53EA74C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4</w:t>
            </w:r>
          </w:p>
        </w:tc>
      </w:tr>
      <w:tr w14:paraId="0C3FF5F7">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left w:val="single" w:color="000000" w:sz="8" w:space="0"/>
              <w:right w:val="single" w:color="000000" w:sz="8" w:space="0"/>
            </w:tcBorders>
            <w:shd w:val="clear" w:color="auto" w:fill="auto"/>
            <w:vAlign w:val="center"/>
          </w:tcPr>
          <w:p w14:paraId="5A42864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EBI洞窟</w:t>
            </w:r>
          </w:p>
        </w:tc>
        <w:tc>
          <w:tcPr>
            <w:tcW w:w="670" w:type="dxa"/>
            <w:tcBorders>
              <w:left w:val="single" w:color="000000" w:sz="8" w:space="0"/>
              <w:right w:val="single" w:color="000000" w:sz="8" w:space="0"/>
            </w:tcBorders>
            <w:shd w:val="clear" w:color="auto" w:fill="auto"/>
            <w:vAlign w:val="center"/>
          </w:tcPr>
          <w:p w14:paraId="573F764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55</w:t>
            </w:r>
          </w:p>
        </w:tc>
        <w:tc>
          <w:tcPr>
            <w:tcW w:w="975" w:type="dxa"/>
            <w:tcBorders>
              <w:left w:val="single" w:color="000000" w:sz="8" w:space="0"/>
              <w:right w:val="single" w:color="auto" w:sz="4" w:space="0"/>
            </w:tcBorders>
            <w:shd w:val="clear" w:color="auto" w:fill="auto"/>
            <w:vAlign w:val="center"/>
          </w:tcPr>
          <w:p w14:paraId="5ECE219F">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w:t>
            </w:r>
          </w:p>
        </w:tc>
        <w:tc>
          <w:tcPr>
            <w:tcW w:w="743" w:type="dxa"/>
            <w:tcBorders>
              <w:top w:val="nil"/>
              <w:left w:val="single" w:color="auto" w:sz="4" w:space="0"/>
              <w:bottom w:val="nil"/>
              <w:right w:val="single" w:color="auto" w:sz="4" w:space="0"/>
            </w:tcBorders>
            <w:shd w:val="clear" w:color="auto" w:fill="auto"/>
            <w:vAlign w:val="center"/>
          </w:tcPr>
          <w:p w14:paraId="76207F5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left w:val="single" w:color="auto" w:sz="4" w:space="0"/>
              <w:right w:val="single" w:color="000000" w:sz="8" w:space="0"/>
            </w:tcBorders>
            <w:shd w:val="clear" w:color="auto" w:fill="auto"/>
            <w:vAlign w:val="center"/>
          </w:tcPr>
          <w:p w14:paraId="3BD9878F">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ECM喷泉</w:t>
            </w:r>
          </w:p>
        </w:tc>
        <w:tc>
          <w:tcPr>
            <w:tcW w:w="894" w:type="dxa"/>
            <w:tcBorders>
              <w:left w:val="single" w:color="000000" w:sz="8" w:space="0"/>
              <w:right w:val="single" w:color="000000" w:sz="8" w:space="0"/>
            </w:tcBorders>
            <w:shd w:val="clear" w:color="auto" w:fill="auto"/>
            <w:vAlign w:val="center"/>
          </w:tcPr>
          <w:p w14:paraId="6E35594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17</w:t>
            </w:r>
          </w:p>
        </w:tc>
        <w:tc>
          <w:tcPr>
            <w:tcW w:w="913" w:type="dxa"/>
            <w:tcBorders>
              <w:left w:val="single" w:color="000000" w:sz="8" w:space="0"/>
              <w:right w:val="single" w:color="000000" w:sz="8" w:space="0"/>
            </w:tcBorders>
            <w:shd w:val="clear" w:color="auto" w:fill="auto"/>
            <w:vAlign w:val="center"/>
          </w:tcPr>
          <w:p w14:paraId="3DC6A106">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4</w:t>
            </w:r>
          </w:p>
        </w:tc>
      </w:tr>
      <w:tr w14:paraId="1D3338E8">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left w:val="single" w:color="000000" w:sz="8" w:space="0"/>
              <w:bottom w:val="single" w:color="auto" w:sz="4" w:space="0"/>
              <w:right w:val="single" w:color="000000" w:sz="8" w:space="0"/>
            </w:tcBorders>
            <w:shd w:val="clear" w:color="auto" w:fill="auto"/>
            <w:vAlign w:val="center"/>
          </w:tcPr>
          <w:p w14:paraId="2402A9C8">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EBJ陵墓</w:t>
            </w:r>
          </w:p>
        </w:tc>
        <w:tc>
          <w:tcPr>
            <w:tcW w:w="670" w:type="dxa"/>
            <w:tcBorders>
              <w:left w:val="single" w:color="000000" w:sz="8" w:space="0"/>
              <w:bottom w:val="single" w:color="auto" w:sz="4" w:space="0"/>
              <w:right w:val="single" w:color="000000" w:sz="8" w:space="0"/>
            </w:tcBorders>
            <w:shd w:val="clear" w:color="auto" w:fill="auto"/>
            <w:vAlign w:val="center"/>
          </w:tcPr>
          <w:p w14:paraId="2652C9B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154</w:t>
            </w:r>
          </w:p>
        </w:tc>
        <w:tc>
          <w:tcPr>
            <w:tcW w:w="975" w:type="dxa"/>
            <w:tcBorders>
              <w:left w:val="single" w:color="000000" w:sz="8" w:space="0"/>
              <w:bottom w:val="single" w:color="000000" w:sz="8" w:space="0"/>
              <w:right w:val="single" w:color="auto" w:sz="4" w:space="0"/>
            </w:tcBorders>
            <w:shd w:val="clear" w:color="auto" w:fill="auto"/>
            <w:vAlign w:val="center"/>
          </w:tcPr>
          <w:p w14:paraId="6125290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16</w:t>
            </w:r>
          </w:p>
        </w:tc>
        <w:tc>
          <w:tcPr>
            <w:tcW w:w="743" w:type="dxa"/>
            <w:tcBorders>
              <w:top w:val="nil"/>
              <w:left w:val="single" w:color="auto" w:sz="4" w:space="0"/>
              <w:bottom w:val="single" w:color="auto" w:sz="4" w:space="0"/>
              <w:right w:val="single" w:color="auto" w:sz="4" w:space="0"/>
            </w:tcBorders>
            <w:shd w:val="clear" w:color="auto" w:fill="auto"/>
            <w:vAlign w:val="center"/>
          </w:tcPr>
          <w:p w14:paraId="44E2E266">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left w:val="single" w:color="auto" w:sz="4" w:space="0"/>
              <w:bottom w:val="single" w:color="000000" w:sz="8" w:space="0"/>
              <w:right w:val="single" w:color="000000" w:sz="8" w:space="0"/>
            </w:tcBorders>
            <w:shd w:val="clear" w:color="auto" w:fill="auto"/>
            <w:vAlign w:val="center"/>
          </w:tcPr>
          <w:p w14:paraId="00E667E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ECN堆石</w:t>
            </w:r>
          </w:p>
        </w:tc>
        <w:tc>
          <w:tcPr>
            <w:tcW w:w="894" w:type="dxa"/>
            <w:tcBorders>
              <w:left w:val="single" w:color="000000" w:sz="8" w:space="0"/>
              <w:bottom w:val="single" w:color="000000" w:sz="8" w:space="0"/>
              <w:right w:val="single" w:color="000000" w:sz="8" w:space="0"/>
            </w:tcBorders>
            <w:shd w:val="clear" w:color="auto" w:fill="auto"/>
            <w:vAlign w:val="center"/>
          </w:tcPr>
          <w:p w14:paraId="142C0711">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53</w:t>
            </w:r>
          </w:p>
        </w:tc>
        <w:tc>
          <w:tcPr>
            <w:tcW w:w="913" w:type="dxa"/>
            <w:tcBorders>
              <w:left w:val="single" w:color="000000" w:sz="8" w:space="0"/>
              <w:bottom w:val="single" w:color="000000" w:sz="8" w:space="0"/>
              <w:right w:val="single" w:color="000000" w:sz="8" w:space="0"/>
            </w:tcBorders>
            <w:shd w:val="clear" w:color="auto" w:fill="auto"/>
            <w:vAlign w:val="center"/>
          </w:tcPr>
          <w:p w14:paraId="3920B2D9">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16</w:t>
            </w:r>
          </w:p>
        </w:tc>
      </w:tr>
    </w:tbl>
    <w:p w14:paraId="5BABF36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从</w:t>
      </w:r>
      <w:r>
        <w:rPr>
          <w:rFonts w:hint="eastAsia" w:ascii="Times New Roman" w:hAnsi="Times New Roman" w:cs="Times New Roman"/>
          <w:color w:val="auto"/>
          <w:sz w:val="24"/>
          <w:lang w:val="en-US" w:eastAsia="zh-CN"/>
        </w:rPr>
        <w:t>3</w:t>
      </w:r>
      <w:r>
        <w:rPr>
          <w:rFonts w:hint="default" w:ascii="Times New Roman" w:hAnsi="Times New Roman" w:cs="Times New Roman"/>
          <w:color w:val="auto"/>
          <w:sz w:val="24"/>
          <w:lang w:val="en-US" w:eastAsia="zh-CN"/>
        </w:rPr>
        <w:t>个亚类资源数量来看，</w:t>
      </w:r>
      <w:r>
        <w:rPr>
          <w:rFonts w:hint="eastAsia" w:ascii="Times New Roman" w:hAnsi="Times New Roman" w:cs="Times New Roman"/>
          <w:color w:val="auto"/>
          <w:sz w:val="24"/>
          <w:lang w:val="en-US" w:eastAsia="zh-CN"/>
        </w:rPr>
        <w:t>人文景观综合体和实用建筑与核心设施类</w:t>
      </w:r>
      <w:r>
        <w:rPr>
          <w:rFonts w:hint="default" w:ascii="Times New Roman" w:hAnsi="Times New Roman" w:cs="Times New Roman"/>
          <w:color w:val="auto"/>
          <w:sz w:val="24"/>
          <w:lang w:val="en-US" w:eastAsia="zh-CN"/>
        </w:rPr>
        <w:t>资源量较为丰富</w:t>
      </w:r>
      <w:r>
        <w:rPr>
          <w:rFonts w:hint="eastAsia" w:ascii="Times New Roman" w:hAnsi="Times New Roman" w:cs="Times New Roman"/>
          <w:color w:val="auto"/>
          <w:sz w:val="24"/>
          <w:lang w:val="en-US" w:eastAsia="zh-CN"/>
        </w:rPr>
        <w:t>，单体数量分别为2549处和2052处</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景观与小品建筑相对数量较少，为1664处。</w:t>
      </w:r>
      <w:r>
        <w:rPr>
          <w:rFonts w:hint="default" w:ascii="Times New Roman" w:hAnsi="Times New Roman" w:cs="Times New Roman"/>
          <w:color w:val="auto"/>
          <w:sz w:val="24"/>
          <w:lang w:val="en-US" w:eastAsia="zh-CN"/>
        </w:rPr>
        <w:t>新发现资源主要集中分布于</w:t>
      </w:r>
      <w:r>
        <w:rPr>
          <w:rFonts w:hint="eastAsia" w:ascii="Times New Roman" w:hAnsi="Times New Roman" w:cs="Times New Roman"/>
          <w:color w:val="auto"/>
          <w:sz w:val="24"/>
          <w:lang w:val="en-US" w:eastAsia="zh-CN"/>
        </w:rPr>
        <w:t>人文景观综合体和景观与小品建筑</w:t>
      </w:r>
      <w:r>
        <w:rPr>
          <w:rFonts w:hint="default" w:ascii="Times New Roman" w:hAnsi="Times New Roman" w:cs="Times New Roman"/>
          <w:color w:val="auto"/>
          <w:sz w:val="24"/>
          <w:lang w:val="en-US" w:eastAsia="zh-CN"/>
        </w:rPr>
        <w:t>亚类，分别</w:t>
      </w:r>
      <w:r>
        <w:rPr>
          <w:rFonts w:hint="eastAsia" w:ascii="Times New Roman" w:hAnsi="Times New Roman" w:cs="Times New Roman"/>
          <w:color w:val="auto"/>
          <w:sz w:val="24"/>
          <w:lang w:val="en-US" w:eastAsia="zh-CN"/>
        </w:rPr>
        <w:t>为332处和290处，</w:t>
      </w:r>
      <w:r>
        <w:rPr>
          <w:rFonts w:hint="default" w:ascii="Times New Roman" w:hAnsi="Times New Roman" w:cs="Times New Roman"/>
          <w:color w:val="auto"/>
          <w:sz w:val="24"/>
          <w:lang w:val="en-US" w:eastAsia="zh-CN"/>
        </w:rPr>
        <w:t>占</w:t>
      </w:r>
      <w:r>
        <w:rPr>
          <w:rFonts w:hint="eastAsia" w:ascii="Times New Roman" w:hAnsi="Times New Roman" w:cs="Times New Roman"/>
          <w:color w:val="auto"/>
          <w:sz w:val="24"/>
          <w:lang w:val="en-US" w:eastAsia="zh-CN"/>
        </w:rPr>
        <w:t>建筑与设施</w:t>
      </w:r>
      <w:r>
        <w:rPr>
          <w:rFonts w:hint="default" w:ascii="Times New Roman" w:hAnsi="Times New Roman" w:cs="Times New Roman"/>
          <w:color w:val="auto"/>
          <w:sz w:val="24"/>
          <w:lang w:val="en-US" w:eastAsia="zh-CN"/>
        </w:rPr>
        <w:t>主类新发现总量</w:t>
      </w:r>
      <w:r>
        <w:rPr>
          <w:rFonts w:hint="eastAsia" w:ascii="Times New Roman" w:hAnsi="Times New Roman" w:cs="Times New Roman"/>
          <w:color w:val="auto"/>
          <w:sz w:val="24"/>
          <w:lang w:val="en-US" w:eastAsia="zh-CN"/>
        </w:rPr>
        <w:t>的36.85%和32.19%</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其次为实用建筑与核心设施，新发现总量为279处，</w:t>
      </w:r>
      <w:r>
        <w:rPr>
          <w:rFonts w:hint="default" w:ascii="Times New Roman" w:hAnsi="Times New Roman" w:cs="Times New Roman"/>
          <w:color w:val="auto"/>
          <w:sz w:val="24"/>
          <w:lang w:val="en-US" w:eastAsia="zh-CN"/>
        </w:rPr>
        <w:t>占</w:t>
      </w:r>
      <w:r>
        <w:rPr>
          <w:rFonts w:hint="eastAsia" w:ascii="Times New Roman" w:hAnsi="Times New Roman" w:cs="Times New Roman"/>
          <w:color w:val="auto"/>
          <w:sz w:val="24"/>
          <w:lang w:val="en-US" w:eastAsia="zh-CN"/>
        </w:rPr>
        <w:t>建筑与设施</w:t>
      </w:r>
      <w:r>
        <w:rPr>
          <w:rFonts w:hint="default" w:ascii="Times New Roman" w:hAnsi="Times New Roman" w:cs="Times New Roman"/>
          <w:color w:val="auto"/>
          <w:sz w:val="24"/>
          <w:lang w:val="en-US" w:eastAsia="zh-CN"/>
        </w:rPr>
        <w:t>主类新发现总量</w:t>
      </w:r>
      <w:r>
        <w:rPr>
          <w:rFonts w:hint="eastAsia" w:ascii="Times New Roman" w:hAnsi="Times New Roman" w:cs="Times New Roman"/>
          <w:color w:val="auto"/>
          <w:sz w:val="24"/>
          <w:lang w:val="en-US" w:eastAsia="zh-CN"/>
        </w:rPr>
        <w:t>的30.97%。</w:t>
      </w:r>
    </w:p>
    <w:p w14:paraId="2B8235A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从</w:t>
      </w:r>
      <w:r>
        <w:rPr>
          <w:rFonts w:hint="eastAsia" w:ascii="Times New Roman" w:hAnsi="Times New Roman" w:cs="Times New Roman"/>
          <w:color w:val="auto"/>
          <w:sz w:val="24"/>
          <w:lang w:val="en-US" w:eastAsia="zh-CN"/>
        </w:rPr>
        <w:t>39</w:t>
      </w:r>
      <w:r>
        <w:rPr>
          <w:rFonts w:hint="default" w:ascii="Times New Roman" w:hAnsi="Times New Roman" w:cs="Times New Roman"/>
          <w:color w:val="auto"/>
          <w:sz w:val="24"/>
          <w:lang w:val="en-US" w:eastAsia="zh-CN"/>
        </w:rPr>
        <w:t>个基本类型资源</w:t>
      </w:r>
      <w:r>
        <w:rPr>
          <w:rFonts w:hint="eastAsia" w:ascii="Times New Roman" w:hAnsi="Times New Roman" w:cs="Times New Roman"/>
          <w:color w:val="auto"/>
          <w:sz w:val="24"/>
          <w:lang w:val="en-US" w:eastAsia="zh-CN"/>
        </w:rPr>
        <w:t>总</w:t>
      </w:r>
      <w:r>
        <w:rPr>
          <w:rFonts w:hint="default" w:ascii="Times New Roman" w:hAnsi="Times New Roman" w:cs="Times New Roman"/>
          <w:color w:val="auto"/>
          <w:sz w:val="24"/>
          <w:lang w:val="en-US" w:eastAsia="zh-CN"/>
        </w:rPr>
        <w:t>量来看，</w:t>
      </w:r>
      <w:r>
        <w:rPr>
          <w:rFonts w:hint="eastAsia" w:ascii="Times New Roman" w:hAnsi="Times New Roman" w:cs="Times New Roman"/>
          <w:color w:val="auto"/>
          <w:sz w:val="24"/>
          <w:lang w:val="en-US" w:eastAsia="zh-CN"/>
        </w:rPr>
        <w:t>无景观牧场基本类型。主要集中在文化活动场所、康体游乐休闲度假地、宗教与祭祀活动场所、独立厅、室、馆，总数分别为819处、665处、473处和459处。其余基本类型总量均小于400处。小于20处的有喷泉17处、景观林场15处、特色市场15处、港口、渡口与码头12处、景观养殖场2处。</w:t>
      </w:r>
    </w:p>
    <w:p w14:paraId="5BBEFC8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新发现资源主要分布于</w:t>
      </w:r>
      <w:r>
        <w:rPr>
          <w:rFonts w:hint="eastAsia" w:ascii="Times New Roman" w:hAnsi="Times New Roman" w:cs="Times New Roman"/>
          <w:color w:val="auto"/>
          <w:sz w:val="24"/>
          <w:lang w:val="en-US" w:eastAsia="zh-CN"/>
        </w:rPr>
        <w:t>文化活动场所、雕塑、康体游乐休闲度假地</w:t>
      </w:r>
      <w:r>
        <w:rPr>
          <w:rFonts w:hint="default" w:ascii="Times New Roman" w:hAnsi="Times New Roman" w:cs="Times New Roman"/>
          <w:color w:val="auto"/>
          <w:sz w:val="24"/>
          <w:lang w:val="en-US" w:eastAsia="zh-CN"/>
        </w:rPr>
        <w:t>等基本类型</w:t>
      </w:r>
      <w:r>
        <w:rPr>
          <w:rFonts w:hint="eastAsia" w:ascii="Times New Roman" w:hAnsi="Times New Roman" w:cs="Times New Roman"/>
          <w:color w:val="auto"/>
          <w:sz w:val="24"/>
          <w:lang w:val="en-US" w:eastAsia="zh-CN"/>
        </w:rPr>
        <w:t>。文化活动场所</w:t>
      </w:r>
      <w:r>
        <w:rPr>
          <w:rFonts w:hint="default" w:ascii="Times New Roman" w:hAnsi="Times New Roman" w:cs="Times New Roman"/>
          <w:color w:val="auto"/>
          <w:sz w:val="24"/>
          <w:lang w:val="en-US" w:eastAsia="zh-CN"/>
        </w:rPr>
        <w:t>数量最多，</w:t>
      </w:r>
      <w:r>
        <w:rPr>
          <w:rFonts w:hint="eastAsia" w:ascii="Times New Roman" w:hAnsi="Times New Roman" w:cs="Times New Roman"/>
          <w:color w:val="auto"/>
          <w:sz w:val="24"/>
          <w:lang w:val="en-US" w:eastAsia="zh-CN"/>
        </w:rPr>
        <w:t>为130处，</w:t>
      </w:r>
      <w:r>
        <w:rPr>
          <w:rFonts w:hint="default" w:ascii="Times New Roman" w:hAnsi="Times New Roman" w:cs="Times New Roman"/>
          <w:color w:val="auto"/>
          <w:sz w:val="24"/>
          <w:lang w:val="en-US" w:eastAsia="zh-CN"/>
        </w:rPr>
        <w:t>占</w:t>
      </w:r>
      <w:r>
        <w:rPr>
          <w:rFonts w:hint="eastAsia" w:ascii="Times New Roman" w:hAnsi="Times New Roman" w:cs="Times New Roman"/>
          <w:color w:val="auto"/>
          <w:sz w:val="24"/>
          <w:lang w:val="en-US" w:eastAsia="zh-CN"/>
        </w:rPr>
        <w:t>建筑与设施新发现总量</w:t>
      </w:r>
      <w:r>
        <w:rPr>
          <w:rFonts w:hint="default" w:ascii="Times New Roman" w:hAnsi="Times New Roman" w:cs="Times New Roman"/>
          <w:color w:val="auto"/>
          <w:sz w:val="24"/>
          <w:lang w:val="en-US" w:eastAsia="zh-CN"/>
        </w:rPr>
        <w:t>的</w:t>
      </w:r>
      <w:r>
        <w:rPr>
          <w:rFonts w:hint="eastAsia" w:ascii="Times New Roman" w:hAnsi="Times New Roman" w:cs="Times New Roman"/>
          <w:color w:val="auto"/>
          <w:sz w:val="24"/>
          <w:lang w:val="en-US" w:eastAsia="zh-CN"/>
        </w:rPr>
        <w:t>14.59</w:t>
      </w:r>
      <w:r>
        <w:rPr>
          <w:rFonts w:hint="default" w:ascii="Times New Roman" w:hAnsi="Times New Roman" w:cs="Times New Roman"/>
          <w:color w:val="auto"/>
          <w:sz w:val="24"/>
          <w:lang w:val="en-US" w:eastAsia="zh-CN"/>
        </w:rPr>
        <w:t>%；其次为</w:t>
      </w:r>
      <w:r>
        <w:rPr>
          <w:rFonts w:hint="eastAsia" w:ascii="Times New Roman" w:hAnsi="Times New Roman" w:cs="Times New Roman"/>
          <w:color w:val="auto"/>
          <w:sz w:val="24"/>
          <w:lang w:val="en-US" w:eastAsia="zh-CN"/>
        </w:rPr>
        <w:t>雕塑和康体游乐休闲度假地</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分别为88处和82处，</w:t>
      </w:r>
      <w:r>
        <w:rPr>
          <w:rFonts w:hint="default" w:ascii="Times New Roman" w:hAnsi="Times New Roman" w:cs="Times New Roman"/>
          <w:color w:val="auto"/>
          <w:sz w:val="24"/>
          <w:lang w:val="en-US" w:eastAsia="zh-CN"/>
        </w:rPr>
        <w:t>占</w:t>
      </w:r>
      <w:r>
        <w:rPr>
          <w:rFonts w:hint="eastAsia" w:ascii="Times New Roman" w:hAnsi="Times New Roman" w:cs="Times New Roman"/>
          <w:color w:val="auto"/>
          <w:sz w:val="24"/>
          <w:lang w:val="en-US" w:eastAsia="zh-CN"/>
        </w:rPr>
        <w:t>建筑与设施新发现总量</w:t>
      </w:r>
      <w:r>
        <w:rPr>
          <w:rFonts w:hint="default" w:ascii="Times New Roman" w:hAnsi="Times New Roman" w:cs="Times New Roman"/>
          <w:color w:val="auto"/>
          <w:sz w:val="24"/>
          <w:lang w:val="en-US" w:eastAsia="zh-CN"/>
        </w:rPr>
        <w:t xml:space="preserve">分别为 </w:t>
      </w:r>
      <w:r>
        <w:rPr>
          <w:rFonts w:hint="eastAsia" w:ascii="Times New Roman" w:hAnsi="Times New Roman" w:cs="Times New Roman"/>
          <w:color w:val="auto"/>
          <w:sz w:val="24"/>
          <w:lang w:val="en-US" w:eastAsia="zh-CN"/>
        </w:rPr>
        <w:t>9.88</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和9.20%</w:t>
      </w:r>
      <w:r>
        <w:rPr>
          <w:rFonts w:hint="default" w:ascii="Times New Roman" w:hAnsi="Times New Roman" w:cs="Times New Roman"/>
          <w:color w:val="auto"/>
          <w:sz w:val="24"/>
          <w:lang w:val="en-US" w:eastAsia="zh-CN"/>
        </w:rPr>
        <w:t>；最少的为</w:t>
      </w:r>
      <w:r>
        <w:rPr>
          <w:rFonts w:hint="eastAsia" w:ascii="Times New Roman" w:hAnsi="Times New Roman" w:cs="Times New Roman"/>
          <w:color w:val="auto"/>
          <w:sz w:val="24"/>
          <w:lang w:val="en-US" w:eastAsia="zh-CN"/>
        </w:rPr>
        <w:t>军事遗址与古战场仅有1处</w:t>
      </w:r>
      <w:r>
        <w:rPr>
          <w:rFonts w:hint="default" w:ascii="Times New Roman" w:hAnsi="Times New Roman" w:cs="Times New Roman"/>
          <w:color w:val="auto"/>
          <w:sz w:val="24"/>
          <w:lang w:val="en-US" w:eastAsia="zh-CN"/>
        </w:rPr>
        <w:t>，占</w:t>
      </w:r>
      <w:r>
        <w:rPr>
          <w:rFonts w:hint="eastAsia" w:ascii="Times New Roman" w:hAnsi="Times New Roman" w:cs="Times New Roman"/>
          <w:color w:val="auto"/>
          <w:sz w:val="24"/>
          <w:lang w:val="en-US" w:eastAsia="zh-CN"/>
        </w:rPr>
        <w:t>建筑与设施新发现总量的0.11</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w:t>
      </w:r>
    </w:p>
    <w:p w14:paraId="2F1392A7">
      <w:pPr>
        <w:keepNext w:val="0"/>
        <w:keepLines w:val="0"/>
        <w:pageBreakBefore w:val="0"/>
        <w:widowControl w:val="0"/>
        <w:numPr>
          <w:ilvl w:val="0"/>
          <w:numId w:val="9"/>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人文景观综合体</w:t>
      </w:r>
    </w:p>
    <w:p w14:paraId="0ACEC40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本次普查共查明人文景观综合体2549处，其中，文化活动场所数量最多，占该亚类总量的32.13%，其次为康体游乐休闲度假地占该亚类总量的26.09%。军事遗址与古战场数量较少，占比为1.33%。</w:t>
      </w:r>
    </w:p>
    <w:p w14:paraId="1CFA78D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人文景观综合体亚类中新发现资源332处，文化活动场所数量最多，占该亚类新发现资源总量的39.16%，其次是康体游乐休闲度假地，占该亚类新发现资源总量的24.70%，军事遗址与古战场占比最少为0.30%</w:t>
      </w:r>
    </w:p>
    <w:p w14:paraId="563110A8">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表3-24 人文景观综合体亚类典型资源名录</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2"/>
        <w:gridCol w:w="5980"/>
      </w:tblGrid>
      <w:tr w14:paraId="6C662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tcPr>
          <w:p w14:paraId="68C95A2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资源类型</w:t>
            </w:r>
          </w:p>
        </w:tc>
        <w:tc>
          <w:tcPr>
            <w:tcW w:w="5980" w:type="dxa"/>
          </w:tcPr>
          <w:p w14:paraId="16DCE79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典型资源</w:t>
            </w:r>
          </w:p>
        </w:tc>
      </w:tr>
      <w:tr w14:paraId="3207B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477D648D">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EAA社会与商贸活动场所</w:t>
            </w:r>
          </w:p>
        </w:tc>
        <w:tc>
          <w:tcPr>
            <w:tcW w:w="5980" w:type="dxa"/>
          </w:tcPr>
          <w:p w14:paraId="2B79C1FD">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焦作云台山游客服务中心</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焦作太极庄公司</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焦作391文化创意园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焦作王府井城市奥莱</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焦作百货大楼</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焦作万达广场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孟州桑坡村大卫城</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孟州保税直购中心</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孟州隆丰可至生活馆</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温县万熙智慧农商城</w:t>
            </w:r>
          </w:p>
        </w:tc>
      </w:tr>
      <w:tr w14:paraId="2F7B3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59D41CAB">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EAB军事遗址与古战场</w:t>
            </w:r>
          </w:p>
        </w:tc>
        <w:tc>
          <w:tcPr>
            <w:tcW w:w="5980" w:type="dxa"/>
          </w:tcPr>
          <w:p w14:paraId="7785E74C">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沁阳常平狙击战遗址</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博爱青天河天井关战场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博爱柏山地道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博爱青天河天井关古战场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武陟县抗日民主政府和武陟县民主政府</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武陟太行军区黄新友办公旧址</w:t>
            </w:r>
          </w:p>
        </w:tc>
      </w:tr>
      <w:tr w14:paraId="6AFF5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56A49328">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EAC教学科研实验场所</w:t>
            </w:r>
          </w:p>
        </w:tc>
        <w:tc>
          <w:tcPr>
            <w:tcW w:w="5980" w:type="dxa"/>
          </w:tcPr>
          <w:p w14:paraId="3FD4D383">
            <w:pPr>
              <w:rPr>
                <w:rFonts w:hint="eastAsia" w:ascii="仿宋" w:hAnsi="仿宋" w:eastAsia="仿宋" w:cs="仿宋"/>
                <w:color w:val="auto"/>
                <w:sz w:val="21"/>
                <w:szCs w:val="21"/>
              </w:rPr>
            </w:pPr>
            <w:r>
              <w:rPr>
                <w:rFonts w:hint="eastAsia" w:ascii="仿宋" w:hAnsi="仿宋" w:eastAsia="仿宋" w:cs="仿宋"/>
                <w:color w:val="auto"/>
                <w:sz w:val="21"/>
                <w:szCs w:val="21"/>
              </w:rPr>
              <w:t>河南理工大学</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河南理工大学（北校区）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 xml:space="preserve">温县蜜雪集团·大咖国际茶饮梦工厂 </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武陟县山西会馆</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沁阳沁南科创园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沁阳檀溪堂产业园研学活动中心</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博爱小王庄村研学教育基地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博爱焦作新材料职业学院</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温县陈家沟太极拳学校</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温县庆州武院</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温县陈家沟陈小旺太极书院</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温县陈家沟陈正雷太极书院</w:t>
            </w:r>
          </w:p>
        </w:tc>
      </w:tr>
      <w:tr w14:paraId="0FFE3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5D9FC79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EAD建设工程与生产地</w:t>
            </w:r>
          </w:p>
        </w:tc>
        <w:tc>
          <w:tcPr>
            <w:tcW w:w="5980" w:type="dxa"/>
          </w:tcPr>
          <w:p w14:paraId="439E825F">
            <w:pPr>
              <w:rPr>
                <w:rFonts w:hint="eastAsia" w:ascii="仿宋" w:hAnsi="仿宋" w:eastAsia="仿宋" w:cs="仿宋"/>
                <w:color w:val="auto"/>
                <w:sz w:val="21"/>
                <w:szCs w:val="21"/>
              </w:rPr>
            </w:pPr>
            <w:r>
              <w:rPr>
                <w:rFonts w:hint="eastAsia" w:ascii="仿宋" w:hAnsi="仿宋" w:eastAsia="仿宋" w:cs="仿宋"/>
                <w:color w:val="auto"/>
                <w:sz w:val="21"/>
                <w:szCs w:val="21"/>
              </w:rPr>
              <w:t>焦作老电厂</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博农乳业有限责任公司</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修武云台冰菊绿色种植基地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河南数字动漫产业园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修武当阳峪金谷轩绞胎瓷艺术有限公司</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焦作老电厂一期主厂房</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焦作博爱源生态农业有限公司</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焦作老电厂二期主厂房</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博爱柏山缸传承生产基地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焦作明仁天然药物有限责任公司</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河南电力有限公司培训中心</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沁阳老怀山药酒有限公司</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沁阳怀府酒庄</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修武兵盘村特色农产品产业园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焦作三诺食品集团有限公司</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河南云台山中药科技有限公司</w:t>
            </w:r>
          </w:p>
        </w:tc>
      </w:tr>
      <w:tr w14:paraId="629C1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1743E22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EAE文化活动场所</w:t>
            </w:r>
          </w:p>
        </w:tc>
        <w:tc>
          <w:tcPr>
            <w:tcW w:w="5980" w:type="dxa"/>
          </w:tcPr>
          <w:p w14:paraId="17814CD5">
            <w:pPr>
              <w:rPr>
                <w:rFonts w:hint="eastAsia" w:ascii="仿宋" w:hAnsi="仿宋" w:eastAsia="仿宋" w:cs="仿宋"/>
                <w:color w:val="auto"/>
                <w:sz w:val="21"/>
                <w:szCs w:val="21"/>
              </w:rPr>
            </w:pPr>
            <w:r>
              <w:rPr>
                <w:rFonts w:hint="eastAsia" w:ascii="仿宋" w:hAnsi="仿宋" w:eastAsia="仿宋" w:cs="仿宋"/>
                <w:color w:val="auto"/>
                <w:sz w:val="21"/>
                <w:szCs w:val="21"/>
              </w:rPr>
              <w:t>温县太极拳文化国际交流中心、温县小麦博物馆、焦作寨卜昌古建筑群、西大井1919文旅景区、沁阳博物馆、焦作·百年矿业遗址公园暨黄河大运河非物质文化遗产展示中心、焦作市博物馆、焦作市科技馆、武陟人民胜利渠渠首展览馆、沁阳“怀府印象”文旅融合体验中心、温县陈家沟中国太极拳博物馆、中国云台山世界地质公园博物馆、焦作国家方志馆南水北调分馆、沁阳神农陶创意园、孟州老家莫沟景区老苗书馆、温县陈家沟万象太极馆、焦作寨卜昌第九纵队纪念馆、修武当阳峪陶瓷博物馆、焦作周窑图书馆、焦作都市•麦田里主题公园、焦作典礼学书历史文化展览馆、修武沙墙村特色党建综合体、修武县博物馆、孟州老家莫沟景区村史馆、焦作福盛坊绞胎瓷展览馆、修武县图书馆、焦作云台山马鞍石水情教育展览馆、温县卜子夏文化园、焦作初心馆、沁阳盆窑黑陶小镇黑陶传统产品博物馆、沁阳怀梆艺术保护传承中心、温县太极拳博物馆两仪堂、武陟博物馆、孟州岩山村红色教育展览馆、温县博物馆、焦作龙佰国家康养城民俗婚庆博物馆、焦作古怀州博物馆、焦作马村区图书馆、焦作解放区文化馆、孟州老家莫沟景区大舞台、温县太极拳博物馆前广场、温县两仪堂陈长兴展厅、温县两仪堂陈公兆展厅、孟州老家莫沟景区民间文化博物馆、武陟县图书馆、焦作近代工业遗产博物馆、孟州老家莫沟景区知青展览馆、孟州黄河澄泥砚展示馆、焦作国家方志馆南水北调分馆科普馆、沁阳南官庄怀梆传习所、修武宁城公园宁城书院、武陟三官庙、武陟县青少年思政教育基地、修武文化艺术中心、修武城关镇秦厂共产主义信仰家园、武陟圣博美术馆、焦作马村区文化馆、焦作姚郭庄红色教育基地、焦作市图书馆、孟州老家莫沟景区红色文化馆、孟州老家莫沟景区红色文化园、焦作西大井宣誓广场、孟州老家莫沟景区古史文化馆、孟州老家莫沟景区国防科普教育基地一号展厅、修武体育中心、温县慈胜书屋、博爱杜友梅书院、焦作云台山小寨沟广场、修武金岭坡村古槐书院、孟州美丽源沟景区和兴文化广场、孟州美丽源沟景区村史馆、孟州老家莫沟景区书法展厅、焦作解放区中医药文化科普馆、焦作雅正博物馆、焦作解放区图书馆、修武长岭村焦作市第一届民主政府所在地、武陟何瑭家风家训教育基地、孟州老家莫沟景区民俗展览馆、孟州老家莫沟景区老物展览馆、焦作滨溪社区文化中心、修武县文化馆、孟州老家莫沟景区窑洞村部、孟州乔家制鼓坊、孟州政协岩山党建教育实践基地、修武大南坡村碧山供销社、修武大南坡村艺术中心、修武大南坡村方所乡村文化馆、孟州老家莫沟景区国防知识教育展览馆、孟州红色上段纪念馆、武陟圣博怀药博物馆、温县赵堡镇文化站、焦作市城乡规划展览馆、温县小麦文化体验园、温县王坟书屋、温县古温书屋、焦作寨卜昌解放军40野战火炮、温县子夏耕读文化园</w:t>
            </w:r>
          </w:p>
        </w:tc>
      </w:tr>
      <w:tr w14:paraId="6FF59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4F8E2D4E">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EAF康体游乐休闲度假地</w:t>
            </w:r>
          </w:p>
        </w:tc>
        <w:tc>
          <w:tcPr>
            <w:tcW w:w="5980" w:type="dxa"/>
          </w:tcPr>
          <w:p w14:paraId="08605AE3">
            <w:pPr>
              <w:rPr>
                <w:rFonts w:hint="eastAsia" w:ascii="仿宋" w:hAnsi="仿宋" w:eastAsia="仿宋" w:cs="仿宋"/>
                <w:color w:val="auto"/>
                <w:sz w:val="21"/>
                <w:szCs w:val="21"/>
              </w:rPr>
            </w:pPr>
            <w:r>
              <w:rPr>
                <w:rFonts w:hint="eastAsia" w:ascii="仿宋" w:hAnsi="仿宋" w:eastAsia="仿宋" w:cs="仿宋"/>
                <w:color w:val="auto"/>
                <w:sz w:val="21"/>
                <w:szCs w:val="21"/>
              </w:rPr>
              <w:t>博爱许良于庄、温县陈家沟村、沁阳丹河峡谷九渡村、焦作缝山国家矿山公园、孟州桑坡村、焦作云台山猕猴谷、修武一斗水村、修武陪嫁妆村阿佤纳•随园、修武岸上小镇、修武云上院子、焦作龙源湖公园、博爱李商隐文化园、博爱公园、焦作迎宾馆、博爱西张赶竹泉游、焦作市森林动物园、孟州美丽源沟、焦作市南水北调天河公园山阳区段、南太行浅山旅游片区（解放段）、孟州老家莫沟、焦作南水北调天河公园解放区段、博爱探花庄村、孟州莫沟村、修武大南坡村、焦作三维戴斯酒店、焦作大沙河生态公园、武陟万花村、孟州黄河文化苑、温县仓头村、修武荣盛云台古镇、修武平顶窑村、温县安乐寨村、修武宁城公园、焦作龙佰国际康养城、焦作影视城、沁阳滨河公园、修武双庙村、博爱金城刘村、沁阳盆窑村、博爱柏山村、孟州源沟村、修武长岭村、修武西岭后村、沁阳盆窑黑陶小镇、温县大尚村、修武七贤公园、沁阳怀府恐龙园、修武双庙村云上森兮民宿、修武桃园村、修武后河村、修武东岭后村、修武龙门村、修武东交口村、焦作栗井村、沁阳和生森林动物乐园、焦作北业村、修武陪嫁妆村、博爱许湾村、博爱青天河村、焦作栗井山居、焦作月季花园酒店、焦作猫岔民俗村、焦作云台山云台天阶国际饭店、孟州西武章传统村落、博爱寨豁江岭村、博爱方山村、焦作解放区猫岔民宿、博爱小底村、博爱江岭村、靳家岭知青村、博爱幸福湖公园、温县古贤村、博爱寨豁探花庄村、博爱竹林七贤生态文化园、焦作卢克沟智能共享户外出发营、焦作云台山古洞窑服务区、博爱柏山玉屏山游乐场、博爱武阁寨村、孟州岩山村村落、沁阳四渡村古村落、修武天空之城民宿、焦作市南水北调天河公园文旅小镇、修武新庄村、温县君怡明珠酒店、焦作老农民种植专业合作社露营地、焦作龙佰国际康养城中式蝶园、博爱东矾厂村、孟州韩园景区东花园、焦作财富中源睿景酒店、温县南韩村、温县昆仑乐居商务酒店、温县陈家沟皂角树练拳处、焦作苏蔺体育公园、修武天空之院民宿、孟州苏庄村传统村落、焦作苏家作体育公园、博爱燕京啤酒广场、博爱探花庄探花乐园、焦作云水涧酒店、温县郭熙文化园、焦作老农民种植专业合作社、焦作枫林晚秋公园、博爱下伏头村、沁阳里沟古村落、焦作云台山黑石岭前服务区、焦作云台山云庐草堂、孟州老家莫沟景区医养示范基地、孟州文化广场、焦作南水北调法制公园、博爱幸福湖公园胜景广场、焦作巡返大庄园、焦作怪坡园、修武宰湾村木槿未见山、沁阳怀府恐龙园卡丁车乐园、焦作云台山岸上莫奈花舍民宿、焦作姚郭庄儿童友好村庄、焦作南李万村体育公园、焦作野骑大队跑马场、博爱柏山三口游乐场、焦作大沙河太行盆景园、焦作三利达弓箭文化旅游园区、沁阳天鹅湖公园、沁阳丹河峡谷九渡古村、焦作云台山隐巷37民宿、孟州金亚国际大酒店、孟州滨河公园、孟州人民公园、孟州祥和公园、焦作云台山黑石岭服务区、修武净影山庄酒店、博爱竹林鎏达、焦作龙佰国际康养城太极文体中心、焦作龙佰国际康养城太极养生酒店、温县慈胜公园、温县子夏公园、孟州吉祥湖公园、焦作北业云田里、博爱坞庄村、博爱迎宾馆、博爱小王庄村、博爱</w:t>
            </w:r>
            <w:r>
              <w:rPr>
                <w:rFonts w:hint="eastAsia" w:ascii="仿宋" w:hAnsi="仿宋" w:eastAsia="仿宋" w:cs="仿宋"/>
                <w:color w:val="auto"/>
                <w:sz w:val="21"/>
                <w:szCs w:val="21"/>
                <w:lang w:val="en-US" w:eastAsia="zh-CN"/>
              </w:rPr>
              <w:t>于</w:t>
            </w:r>
            <w:r>
              <w:rPr>
                <w:rFonts w:hint="eastAsia" w:ascii="仿宋" w:hAnsi="仿宋" w:eastAsia="仿宋" w:cs="仿宋"/>
                <w:color w:val="auto"/>
                <w:sz w:val="21"/>
                <w:szCs w:val="21"/>
              </w:rPr>
              <w:t>庄水上乐园、焦作早安小院、沁阳行口古村、修武策度度假酒店、修武饮马口传统民居、修武青龙峡花田云栖、博爱幸福浴池、修武幸福公园、博爱大新公园、焦作人民公园、沁阳赵堡陶瓷农场、修武金岭坡种牛农场、修武田府牧歌酒店、沁阳怀府广场、孟州武松公园、孟州田由小筑农家院、修武半山筑民宿、温县海旺弘亚温泉大酒店、孟州华鑫宾馆、温县东口游园、温县祥云镇全民健身中心、温县晋曼福田农场、焦作童梦森林王国游乐场、博爱滨河公园、博爱天弘葡萄园、博爱幸福湖公园竹韵广场</w:t>
            </w:r>
          </w:p>
        </w:tc>
      </w:tr>
      <w:tr w14:paraId="414DB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30FA36C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EAG宗教与祭祀活动场所</w:t>
            </w:r>
          </w:p>
        </w:tc>
        <w:tc>
          <w:tcPr>
            <w:tcW w:w="5980" w:type="dxa"/>
          </w:tcPr>
          <w:p w14:paraId="7CA1ACAA">
            <w:pPr>
              <w:rPr>
                <w:rFonts w:hint="eastAsia" w:ascii="仿宋" w:hAnsi="仿宋" w:eastAsia="仿宋" w:cs="仿宋"/>
                <w:color w:val="auto"/>
                <w:sz w:val="21"/>
                <w:szCs w:val="21"/>
              </w:rPr>
            </w:pPr>
            <w:r>
              <w:rPr>
                <w:rFonts w:hint="eastAsia" w:ascii="仿宋" w:hAnsi="仿宋" w:eastAsia="仿宋" w:cs="仿宋"/>
                <w:color w:val="auto"/>
                <w:sz w:val="21"/>
                <w:szCs w:val="21"/>
              </w:rPr>
              <w:t>武陟青龙宫、博爱月山寺、焦作圆融寺、温县慈胜寺、沁阳北大寺、温县遇仙观、孟州显圣王庙、博爱月山寺大士阁、博爱西关清真寺、博爱大新庄东大寺、武陟千佛阁、焦作药王祖庭、博爱上屯村成汤庙、沁阳神农山云阳寺、焦作陆村天齐庙、武陟岳家庙、沁阳邪邘村静应庙、焦作老君庙戏楼、沁阳神农山临川寺、武陟城隍庙、焦作云台山百家岩寺、武陟东岳庙、孟州韩园祭祀台、修武净影寺、焦作云台山万善寺、焦作孙真庙、焦作青龙峡青龙祠、博爱月山寺景区、焦作云台山老君殿、焦作圣佛寺、温县东明寺、武陟护国寺、焦作药王庙大殿、焦作张延陵张氏祠堂、焦作李屯龙泉寺、修武胜果寺、孟州中曹村大王庙、博爱龟灵寺、沁阳神农山清静宫、博爱青天河三教圣殿、焦作南张观音堂、沁阳新天宁寺、沁阳药王庙、焦作杨楼火神庙、修武一斗水关帝庙、焦作石佛寺、博爱金城乡史庄大庙、焦作新店火神庙、孟州桑洼村白衣堂、孟州圣佛寺、孟州新城村救苦天尊庙、温县清凉寺、武陟吉祥寺大佛殿、焦作恩村祖师庙、焦作老君庙</w:t>
            </w:r>
          </w:p>
        </w:tc>
      </w:tr>
      <w:tr w14:paraId="0004B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5BA93BA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EAH交通运输场站</w:t>
            </w:r>
          </w:p>
        </w:tc>
        <w:tc>
          <w:tcPr>
            <w:tcW w:w="5980" w:type="dxa"/>
          </w:tcPr>
          <w:p w14:paraId="6FD181FC">
            <w:pPr>
              <w:rPr>
                <w:rFonts w:hint="eastAsia" w:ascii="仿宋" w:hAnsi="仿宋" w:eastAsia="仿宋" w:cs="仿宋"/>
                <w:color w:val="auto"/>
                <w:sz w:val="21"/>
                <w:szCs w:val="21"/>
              </w:rPr>
            </w:pPr>
            <w:r>
              <w:rPr>
                <w:rFonts w:hint="eastAsia" w:ascii="仿宋" w:hAnsi="仿宋" w:eastAsia="仿宋" w:cs="仿宋"/>
                <w:color w:val="auto"/>
                <w:sz w:val="21"/>
                <w:szCs w:val="21"/>
              </w:rPr>
              <w:t>博爱月寨旅游路</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焦作云台山茱萸峰玻璃栈道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博爱焦作西站</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孟州四好农村路</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焦作青龙峡爱情1号公路</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焦作云台山茱萸峰索道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修武五家台旅游服务区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焦作青龙峡青龙潭隧道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焦作火车站</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孟州老家莫沟游客接待中心</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沁阳神农山客运索道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修武高铁西站</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焦作云台山百家岩停车场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沁阳神农山临川三十八道弯</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孟州老家莫沟景区环村小火车</w:t>
            </w:r>
          </w:p>
        </w:tc>
      </w:tr>
      <w:tr w14:paraId="45182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0C8212D6">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EAI纪念地与纪念活动场所</w:t>
            </w:r>
          </w:p>
        </w:tc>
        <w:tc>
          <w:tcPr>
            <w:tcW w:w="5980" w:type="dxa"/>
          </w:tcPr>
          <w:p w14:paraId="445689A7">
            <w:pPr>
              <w:rPr>
                <w:rFonts w:hint="eastAsia" w:ascii="仿宋" w:hAnsi="仿宋" w:eastAsia="仿宋" w:cs="仿宋"/>
                <w:color w:val="auto"/>
                <w:sz w:val="21"/>
                <w:szCs w:val="21"/>
              </w:rPr>
            </w:pPr>
            <w:r>
              <w:rPr>
                <w:rFonts w:hint="eastAsia" w:ascii="仿宋" w:hAnsi="仿宋" w:eastAsia="仿宋" w:cs="仿宋"/>
                <w:color w:val="auto"/>
                <w:sz w:val="21"/>
                <w:szCs w:val="21"/>
              </w:rPr>
              <w:t>温县太极拳祖祠、焦作许衡墓、沁阳朱载堉纪念馆、沁阳李商隐纪念馆、孟州韩园、焦作烈士陵园、沁阳宋学义故居、博爱县革命史教育基地、沁阳曹谨纪念馆、武陟何瑭墓祠、沁阳烈士陵园宋学义墓、武陟何瑭纪念馆、焦作太行八英馆、博爱许湾红色教育基地、焦作解放区烈士事迹纪念馆、焦作恩村玉帝庙、焦作太行第八军区纪念馆、温县原氏祠堂、温县张祥云烈士就义地、博爱县工委旧址、修武县烈士陵园、温县申亮亮事迹展览馆、沁阳西向五街陈氏祖祠、沁阳覃怀中学旧址、焦作下马村王家祠堂、沁阳邘邰陈家祠堂、沁阳杨介人烈士陵园、沁阳紫陵任祠堂、温县李棠阶事迹展览馆、博爱毕氏宗祠、沁阳常平阻击战纪念馆、孟州堤北头村刘氏三门宗祠、沁阳杨介人故居、博爱杜氏宗祠、沁阳廉坡廉氏祠堂、沁阳水北关清真寺、沁阳西苟庄知青纪念馆、博爱柏山刘聚奎抗战史馆、沁阳万善汤帝庙、博爱许湾村烈士陵园、孟州东小仇村李氏宗祠、孟州柳湾村杨氏宗祠、孟州落驾头村席氏宗祠、孟州宋家祠堂、孟州南临泉村霍家宗祠、孟州西田丈村杜家祠堂、温县祥云记忆馆、温县王光远院士陈列馆、温县陈家沟陈照丕陵园</w:t>
            </w:r>
          </w:p>
        </w:tc>
      </w:tr>
    </w:tbl>
    <w:p w14:paraId="503F3C21">
      <w:pPr>
        <w:keepNext w:val="0"/>
        <w:keepLines w:val="0"/>
        <w:pageBreakBefore w:val="0"/>
        <w:widowControl w:val="0"/>
        <w:numPr>
          <w:ilvl w:val="0"/>
          <w:numId w:val="9"/>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实用建筑与核心设施</w:t>
      </w:r>
    </w:p>
    <w:p w14:paraId="2D36106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本次普查共查明实用建筑与核心设施2052处，其中，独立厅、室、馆数量最多，占该亚类总量的22.37%，其次为特色店铺占该亚类总量的18.86%。景观养殖场数量少，占比为0.10%。该亚类无景观牧场这一基本类型。</w:t>
      </w:r>
    </w:p>
    <w:p w14:paraId="05094B5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实用建筑与核心设施亚类中新发现资源269处，独立场、所数量最多，占该亚类新发现资源总量的25.54%，其次是特性屋舍和独立厅、室、馆，均占该亚类新发现资源总量的13.38%，景观养殖场占比较少为0.74%。景观牧场和景观林场无新发现资源。</w:t>
      </w:r>
    </w:p>
    <w:p w14:paraId="0DE146CB">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表3-25 实用建筑与核心设施亚类典型资源名录</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2"/>
        <w:gridCol w:w="5980"/>
      </w:tblGrid>
      <w:tr w14:paraId="2ABBC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tcPr>
          <w:p w14:paraId="178003E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资源类型</w:t>
            </w:r>
          </w:p>
        </w:tc>
        <w:tc>
          <w:tcPr>
            <w:tcW w:w="5980" w:type="dxa"/>
          </w:tcPr>
          <w:p w14:paraId="78C7B80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典型资源</w:t>
            </w:r>
          </w:p>
        </w:tc>
      </w:tr>
      <w:tr w14:paraId="025C1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4AF2F8FD">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EBA特色街区</w:t>
            </w:r>
          </w:p>
        </w:tc>
        <w:tc>
          <w:tcPr>
            <w:tcW w:w="5980" w:type="dxa"/>
          </w:tcPr>
          <w:p w14:paraId="17C3564C">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焦作恩州驿古街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焦作小蜗牛文化旅游休闲街区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沁阳怀府古街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焦作影视城市井街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焦作云台山小寨沟特色商业街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博爱花间巷美食街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孟州桑坡村龙城</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焦作新田坊商业街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修武古洞窑村美食街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孟州桑坡村阳光城</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焦作东小巷</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修武岸上村美食街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焦作锦祥商业街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焦作大杨树商业街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焦作商业街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焦作市印象大舞台小吃街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修武双庙村民宿一条街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修武文化路美食街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焦作花园街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焦作龙源世家商业街</w:t>
            </w:r>
          </w:p>
        </w:tc>
      </w:tr>
      <w:tr w14:paraId="71E36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2B82A06E">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EBB特性屋舍</w:t>
            </w:r>
          </w:p>
        </w:tc>
        <w:tc>
          <w:tcPr>
            <w:tcW w:w="5980" w:type="dxa"/>
          </w:tcPr>
          <w:p w14:paraId="4C015119">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孟州老家莫沟景区望舒民宿、修武平顶窑村传统民居、修武一斗水村传统民居、修武当阳峪村南水北调中线工程搬迁古建筑群、修武宰湾村纳里有家客栈、孟州老家莫沟景区何家大院、温县陈家沟杨露禅学拳处、修武双庙文举人院、博爱李家大院、修武双庙村武举人院、孟州刘庄村古槐特色民宿、博爱探花故居精品民宿群、修武云台冰菊绿色种植基地四大怀药熟地仓、修武大南坡村牛爷爷的院子、孟州老家莫沟景区菊院民宿、孟州老家莫沟景区听湖·尚院民宿、孟州老家莫沟景区杏园民宿、孟州老家莫沟景区雅南民宿、孟州美丽源沟景区沐光茶舍、焦作嘉禾屯民居、孟州老家莫沟景区老万家民宿、孟州老家莫沟苗家小院、孟州老家莫沟景区谷香苑、沁阳邘疙瘩古村落、孟州耿沟村耿则璞地坑窖院、孟州耿沟村清代耿氏老院、孟州缑村薛氏宗祠、孟州上口村清代民居、孟州苏庄村韩家寨、孟州西武章村韩文公祠、孟州袁圪套上清宫、修武一斗水村李家大院</w:t>
            </w:r>
          </w:p>
        </w:tc>
      </w:tr>
      <w:tr w14:paraId="52364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4FB78041">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EBC独立厅、室、馆</w:t>
            </w:r>
          </w:p>
        </w:tc>
        <w:tc>
          <w:tcPr>
            <w:tcW w:w="5980" w:type="dxa"/>
          </w:tcPr>
          <w:p w14:paraId="72A27E60">
            <w:pPr>
              <w:rPr>
                <w:rFonts w:hint="eastAsia" w:ascii="仿宋" w:hAnsi="仿宋" w:eastAsia="仿宋" w:cs="仿宋"/>
                <w:color w:val="auto"/>
                <w:sz w:val="21"/>
                <w:szCs w:val="21"/>
              </w:rPr>
            </w:pPr>
            <w:r>
              <w:rPr>
                <w:rFonts w:hint="eastAsia" w:ascii="仿宋" w:hAnsi="仿宋" w:eastAsia="仿宋" w:cs="仿宋"/>
                <w:color w:val="auto"/>
                <w:sz w:val="21"/>
                <w:szCs w:val="21"/>
              </w:rPr>
              <w:t>武陟嘉应观山门、武陟千佛阁大殿、武陟青龙宫拜殿、焦作王忠殿事迹陈列馆、焦作蒙牛乳业工业展厅、沁阳坞头皮筋文化展馆、孟州韩园展厅、博爱月山寺大雄宝殿、武陟千佛阁后大殿、修武金岭坡村壹善文创馆、焦作影视城周王宫大殿、紫陵镇赵寨村村史馆、博爱酒器文化展览馆、焦作龙翔山中原婚庆博物馆、焦作圆融寺古佛洞、温县太极拳博物馆印象陈家沟、博爱柏山酒器文化博物馆、孟州韩园飨堂、温县太极拳祖祠耀武殿、温县慈胜寺天王殿、温县两仪堂陈清平展厅、焦作影视城太学堂、修武圆融寺天王殿、焦作龙佰国际康养城鲁斋学堂、沁阳和生动物乐园标本馆、温县陈家沟太极拳祖祠扬德殿、焦作古怀州博物馆厅堂、温县慈胜寺大雄之殿、焦作云台山茱萸峰三清殿、修武圆融寺琉璃光宝殿、温县太极拳祖祠拳谱堂、焦作云台山万善寺观音殿、温县遇仙观三清殿、武陟嘉应观恭仪厅、修武一斗水村叠彩洞纪念馆、焦作影视城演武场、焦作影视城楚王宫、焦作云台山万善寺三圣殿、焦作云台山万善寺大雄宝殿、武陟嘉应观中大殿、焦作国家方志馆南水北调分馆儿童馆、焦作圆融寺古佛宝殿、修武净影寺鼓楼（地藏殿）、修武净影寺钟楼（观音殿）、修武净影寺藏经楼（祖师堂）、修武净影寺大雄宝殿、温县两仪堂陈王廷展厅、焦作云台山万善寺藏经楼、武陟千佛阁山门殿、武陟嘉应观西更衣殿、温县陈家沟太极拳祖祠祖师堂、焦作影视城周王宫、沁阳怀府印象古城商街主题展厅、沁阳博物馆革命史迹陈列馆、孟州观音堂、孟州大佛殿、孟州姚庄村汤王庙大殿、孟州岳云宫大殿、温县太极拳博物馆三省堂、温县太极拳博物馆文修堂、温县太极拳博物馆四象堂、温县两仪堂陈鑫展厅、温县两仪堂传承展厅、温县两仪堂影视厅、焦作青龙峡霍比特小屋、焦作云台山万善寺文殊殿、焦作云台山万善寺问本堂、焦作云台山万善寺祖师殿、焦作云台山万善寺天王殿、焦作云台山万善寺金佛殿、焦作云台山玄帝宫娘娘殿、焦作云台山玄帝观真武殿、温县遇仙观灵霄宝殿、武陟嘉应观西配殿</w:t>
            </w:r>
          </w:p>
        </w:tc>
      </w:tr>
      <w:tr w14:paraId="18C0D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1A33CFB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EBD独立场、所</w:t>
            </w:r>
          </w:p>
        </w:tc>
        <w:tc>
          <w:tcPr>
            <w:tcW w:w="5980" w:type="dxa"/>
          </w:tcPr>
          <w:p w14:paraId="763F07A7">
            <w:pPr>
              <w:rPr>
                <w:rFonts w:hint="eastAsia" w:ascii="仿宋" w:hAnsi="仿宋" w:eastAsia="仿宋" w:cs="仿宋"/>
                <w:color w:val="auto"/>
                <w:sz w:val="21"/>
                <w:szCs w:val="21"/>
              </w:rPr>
            </w:pPr>
            <w:r>
              <w:rPr>
                <w:rFonts w:hint="eastAsia" w:ascii="仿宋" w:hAnsi="仿宋" w:eastAsia="仿宋" w:cs="仿宋"/>
                <w:color w:val="auto"/>
                <w:sz w:val="21"/>
                <w:szCs w:val="21"/>
              </w:rPr>
              <w:t>博爱许良下伏头村影剧院、沁阳神农山猕猴苑、焦作市太极体育中心、焦作青龙峡星空露营地、修武当阳峪滑雪场、沁阳神农山神农文化广场、修武宰湾村天空之院广场、焦作云台山360云景球幕影院、孟州美丽源沟景区水上游玩设施、焦作圆融寺大雄广场、孟州美丽源沟景区冰雪大世界、孟州老家莫沟景区演绎场、孟州老家莫沟景区地道战、沁阳盆窑黑陶小镇传统黑陶博物馆、修武县电子商务公共服务中心、孟州老家莫沟景区嘉年华游园、孟州老家莫沟景区露营地、孟州老家莫沟景区国防体验基地、孟州老家莫沟景区林海雪原、孟州老家莫沟景区小松鼠游乐园、焦作云台山百家岩广场、修武大位村展览馆、孟州美丽源沟景区攀岩基地、孟州老家莫沟景区真人CS体验基地、温县四大怀药非遗健康工坊、孟州老家莫沟景区修济书阁、孟州老家莫沟景区水上娱乐设施、温县陈家沟祠前广场、温县陈家沟演武厅</w:t>
            </w:r>
          </w:p>
        </w:tc>
      </w:tr>
      <w:tr w14:paraId="559F4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0FB9857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EBE桥梁</w:t>
            </w:r>
          </w:p>
        </w:tc>
        <w:tc>
          <w:tcPr>
            <w:tcW w:w="5980" w:type="dxa"/>
          </w:tcPr>
          <w:p w14:paraId="3991CA3E">
            <w:pPr>
              <w:rPr>
                <w:rFonts w:hint="eastAsia" w:ascii="仿宋" w:hAnsi="仿宋" w:eastAsia="仿宋" w:cs="仿宋"/>
                <w:color w:val="auto"/>
                <w:sz w:val="21"/>
                <w:szCs w:val="21"/>
              </w:rPr>
            </w:pPr>
            <w:r>
              <w:rPr>
                <w:rFonts w:hint="eastAsia" w:ascii="仿宋" w:hAnsi="仿宋" w:eastAsia="仿宋" w:cs="仿宋"/>
                <w:color w:val="auto"/>
                <w:sz w:val="21"/>
                <w:szCs w:val="21"/>
              </w:rPr>
              <w:t>焦作云台山红石峡同心如意桥、焦作峰林峡天空之恋桥、焦作云台山红石峡天堑通途桥、焦作云台山小寨沟丛林滑道、焦作云台山凤凰岭索道、沁阳神农山猕猴苑玻璃吊桥、焦作道清铁路马涧河桥、沁阳滨河公园网红桥、焦合作善桥、博爱青天河丹谷长虹、焦作上白作石桥、孟州美丽源沟景区幸福桥、孟州老家莫沟景区玻璃天桥、焦作龙翔山龙渡桥、孟州雷疙瘩张桥</w:t>
            </w:r>
          </w:p>
        </w:tc>
      </w:tr>
      <w:tr w14:paraId="4824A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69CDC82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EBF渠道、运河段落</w:t>
            </w:r>
          </w:p>
        </w:tc>
        <w:tc>
          <w:tcPr>
            <w:tcW w:w="5980" w:type="dxa"/>
          </w:tcPr>
          <w:p w14:paraId="0E433D6F">
            <w:pPr>
              <w:rPr>
                <w:rFonts w:hint="eastAsia" w:ascii="仿宋" w:hAnsi="仿宋" w:eastAsia="仿宋" w:cs="仿宋"/>
                <w:color w:val="auto"/>
                <w:sz w:val="21"/>
                <w:szCs w:val="21"/>
                <w:lang w:eastAsia="zh-CN"/>
              </w:rPr>
            </w:pPr>
            <w:r>
              <w:rPr>
                <w:rFonts w:hint="eastAsia" w:ascii="仿宋" w:hAnsi="仿宋" w:eastAsia="仿宋" w:cs="仿宋"/>
                <w:color w:val="auto"/>
                <w:sz w:val="21"/>
                <w:szCs w:val="21"/>
              </w:rPr>
              <w:t>南水北调中线工程修武段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武陟人民胜利渠渠首灌区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武陟人民胜利渠灌区嘉应观段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焦作云台山幸福渠</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博爱九道堰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武陟人民胜利渠</w:t>
            </w:r>
            <w:r>
              <w:rPr>
                <w:rFonts w:hint="eastAsia" w:ascii="仿宋" w:hAnsi="仿宋" w:eastAsia="仿宋" w:cs="仿宋"/>
                <w:color w:val="auto"/>
                <w:sz w:val="21"/>
                <w:szCs w:val="21"/>
                <w:lang w:val="en-US" w:eastAsia="zh-CN"/>
              </w:rPr>
              <w:t>灌</w:t>
            </w:r>
            <w:r>
              <w:rPr>
                <w:rFonts w:hint="eastAsia" w:ascii="仿宋" w:hAnsi="仿宋" w:eastAsia="仿宋" w:cs="仿宋"/>
                <w:color w:val="auto"/>
                <w:sz w:val="21"/>
                <w:szCs w:val="21"/>
              </w:rPr>
              <w:t>区秦厂村段</w:t>
            </w:r>
          </w:p>
        </w:tc>
      </w:tr>
      <w:tr w14:paraId="2D8A3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1198E869">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EBG堤坝段落</w:t>
            </w:r>
          </w:p>
        </w:tc>
        <w:tc>
          <w:tcPr>
            <w:tcW w:w="5980" w:type="dxa"/>
          </w:tcPr>
          <w:p w14:paraId="0A5D0413">
            <w:pPr>
              <w:rPr>
                <w:rFonts w:hint="eastAsia" w:ascii="仿宋" w:hAnsi="仿宋" w:eastAsia="仿宋" w:cs="仿宋"/>
                <w:color w:val="auto"/>
                <w:sz w:val="21"/>
                <w:szCs w:val="21"/>
              </w:rPr>
            </w:pPr>
            <w:r>
              <w:rPr>
                <w:rFonts w:hint="eastAsia" w:ascii="仿宋" w:hAnsi="仿宋" w:eastAsia="仿宋" w:cs="仿宋"/>
                <w:color w:val="auto"/>
                <w:sz w:val="21"/>
                <w:szCs w:val="21"/>
              </w:rPr>
              <w:t>武陟人民胜利渠渠首、武陟人民胜利渠渠首闸、博爱青天河大坝、修武青龙洞水库大坝、修武马鞍石水库大坝、武陟白马泉堤坝、武陟老龙湾险工段、博爱青天河水库大坝、武陟驾部控导工程、沁阳逍遥水库大坝1、焦作云台山百家岩未名湖水坝、温县大玉兰控导工程</w:t>
            </w:r>
          </w:p>
        </w:tc>
      </w:tr>
      <w:tr w14:paraId="7048B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1C10C51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EBH港口、渡口与码头</w:t>
            </w:r>
          </w:p>
        </w:tc>
        <w:tc>
          <w:tcPr>
            <w:tcW w:w="5980" w:type="dxa"/>
          </w:tcPr>
          <w:p w14:paraId="61FBB5A4">
            <w:pPr>
              <w:rPr>
                <w:rFonts w:hint="eastAsia" w:ascii="仿宋" w:hAnsi="仿宋" w:eastAsia="仿宋" w:cs="仿宋"/>
                <w:color w:val="auto"/>
                <w:sz w:val="21"/>
                <w:szCs w:val="21"/>
                <w:lang w:eastAsia="zh-CN"/>
              </w:rPr>
            </w:pPr>
            <w:r>
              <w:rPr>
                <w:rFonts w:hint="eastAsia" w:ascii="仿宋" w:hAnsi="仿宋" w:eastAsia="仿宋" w:cs="仿宋"/>
                <w:color w:val="auto"/>
                <w:sz w:val="21"/>
                <w:szCs w:val="21"/>
              </w:rPr>
              <w:t>修武运粮河码头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焦作云台山子房湖游船码头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焦作青龙峡峰林峡一号码头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焦作青龙峡峰林峡天王峰码头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焦作龙翔山三号码头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焦作大沙河生态公园龙凤码头</w:t>
            </w:r>
          </w:p>
        </w:tc>
      </w:tr>
      <w:tr w14:paraId="71EBB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1D958F3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EBI洞窟</w:t>
            </w:r>
          </w:p>
        </w:tc>
        <w:tc>
          <w:tcPr>
            <w:tcW w:w="5980" w:type="dxa"/>
          </w:tcPr>
          <w:p w14:paraId="34A58242">
            <w:pPr>
              <w:rPr>
                <w:rFonts w:hint="eastAsia" w:ascii="仿宋" w:hAnsi="仿宋" w:eastAsia="仿宋" w:cs="仿宋"/>
                <w:color w:val="auto"/>
                <w:sz w:val="21"/>
                <w:szCs w:val="21"/>
              </w:rPr>
            </w:pPr>
            <w:r>
              <w:rPr>
                <w:rFonts w:hint="eastAsia" w:ascii="仿宋" w:hAnsi="仿宋" w:eastAsia="仿宋" w:cs="仿宋"/>
                <w:color w:val="auto"/>
                <w:sz w:val="21"/>
                <w:szCs w:val="21"/>
              </w:rPr>
              <w:t>沁阳神农山窄涧谷太平摩崖石窟、博爱青天河北魏摩崖石刻、博爱石佛滩摩崖石刻、沁阳神农山窄涧谷真谷寺太平摩崖千佛洞、焦作云台山叠彩洞、焦作西大井洞见1969地下隧洞、焦作云台山红石峡黑龙洞、修武一斗水村生花掌神女洞、焦作云台山叠彩洞萩秀茱萸、焦作云台山叠彩洞宝塔映晖、焦作云台山叠彩洞群洞叠彩、焦作云台山叠彩洞昆岭晓月、焦作云台山叠彩洞瀛观三秀、焦作云台山叠彩洞豫晋连洞、焦作云台山叠彩洞华峰遗梦、焦作云台山叠彩洞指点迷津、焦作云台山叠彩洞太行花壁、焦作云台山叠彩洞翠屏清晖、焦作云台山叠彩洞山水迎宾洞、焦作云台山叠彩洞仲岭毓秀、焦作云台山叠彩洞玉泉润枫、焦作云台山叠彩洞丹凤朝阳、焦作云台山叠彩洞宝旌耀金、焦作云台山叠彩洞云海仙舟、焦作云台山叠彩洞云岚绝胜、焦作云台山叠彩洞佛龛兆祥</w:t>
            </w:r>
          </w:p>
        </w:tc>
      </w:tr>
      <w:tr w14:paraId="0F300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7C54BDBE">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EBJ陵墓</w:t>
            </w:r>
          </w:p>
        </w:tc>
        <w:tc>
          <w:tcPr>
            <w:tcW w:w="5980" w:type="dxa"/>
          </w:tcPr>
          <w:p w14:paraId="737F05E4">
            <w:pPr>
              <w:rPr>
                <w:rFonts w:hint="eastAsia" w:ascii="仿宋" w:hAnsi="仿宋" w:eastAsia="仿宋" w:cs="仿宋"/>
                <w:color w:val="auto"/>
                <w:sz w:val="21"/>
                <w:szCs w:val="21"/>
              </w:rPr>
            </w:pPr>
            <w:r>
              <w:rPr>
                <w:rFonts w:hint="eastAsia" w:ascii="仿宋" w:hAnsi="仿宋" w:eastAsia="仿宋" w:cs="仿宋"/>
                <w:color w:val="auto"/>
                <w:sz w:val="21"/>
                <w:szCs w:val="21"/>
              </w:rPr>
              <w:t>孟州韩愈墓、修武汉献帝禅陵、沁阳张坡朱载堉墓、温县三陵村司马祖茔、沁阳李商隐墓、沁阳曹谨纪念馆曹谨墓、温县温季之墓、焦作嘉禾屯汉墓冢群、孟州苏庄村韩愈祖茔、焦作崔长永墓、焦作郑府繁昌王柘城县主墓、修武李固大将军墓、焦作秦国丞相范雎墓、沁阳邓禹冢、武陟道清战役牺牲八路军墓地、温县陈家沟陈卜墓、焦作嘉禾屯汉墓冢遗址</w:t>
            </w:r>
          </w:p>
        </w:tc>
      </w:tr>
      <w:tr w14:paraId="12D69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7997FAC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EBK景观农田</w:t>
            </w:r>
          </w:p>
        </w:tc>
        <w:tc>
          <w:tcPr>
            <w:tcW w:w="5980" w:type="dxa"/>
          </w:tcPr>
          <w:p w14:paraId="34A12170">
            <w:pPr>
              <w:rPr>
                <w:rFonts w:hint="eastAsia" w:ascii="仿宋" w:hAnsi="仿宋" w:eastAsia="仿宋" w:cs="仿宋"/>
                <w:color w:val="auto"/>
                <w:sz w:val="21"/>
                <w:szCs w:val="21"/>
              </w:rPr>
            </w:pPr>
            <w:r>
              <w:rPr>
                <w:rFonts w:hint="eastAsia" w:ascii="仿宋" w:hAnsi="仿宋" w:eastAsia="仿宋" w:cs="仿宋"/>
                <w:color w:val="auto"/>
                <w:sz w:val="21"/>
                <w:szCs w:val="21"/>
              </w:rPr>
              <w:t>沁阳赵寨千亩花海</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沁阳紫陵万亩果园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沁阳百大生态园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沁阳沁台花海</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温县怀山堂四大怀药种植基地</w:t>
            </w:r>
          </w:p>
        </w:tc>
      </w:tr>
      <w:tr w14:paraId="1A8D9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393F340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EBM景观林场</w:t>
            </w:r>
          </w:p>
        </w:tc>
        <w:tc>
          <w:tcPr>
            <w:tcW w:w="5980" w:type="dxa"/>
          </w:tcPr>
          <w:p w14:paraId="55D93CFF">
            <w:pPr>
              <w:rPr>
                <w:rFonts w:hint="eastAsia" w:ascii="仿宋" w:hAnsi="仿宋" w:eastAsia="仿宋" w:cs="仿宋"/>
                <w:color w:val="auto"/>
                <w:sz w:val="21"/>
                <w:szCs w:val="21"/>
                <w:lang w:eastAsia="zh-CN"/>
              </w:rPr>
            </w:pPr>
            <w:r>
              <w:rPr>
                <w:rFonts w:hint="eastAsia" w:ascii="仿宋" w:hAnsi="仿宋" w:eastAsia="仿宋" w:cs="仿宋"/>
                <w:color w:val="auto"/>
                <w:sz w:val="21"/>
                <w:szCs w:val="21"/>
              </w:rPr>
              <w:t>博爱下期城半架山林果基地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博爱探花庄村林果采摘生态园</w:t>
            </w:r>
          </w:p>
        </w:tc>
      </w:tr>
      <w:tr w14:paraId="792CA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2F1A048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EBN景观养殖场</w:t>
            </w:r>
          </w:p>
        </w:tc>
        <w:tc>
          <w:tcPr>
            <w:tcW w:w="5980" w:type="dxa"/>
          </w:tcPr>
          <w:p w14:paraId="291F1A45">
            <w:pPr>
              <w:rPr>
                <w:rFonts w:hint="eastAsia" w:ascii="仿宋" w:hAnsi="仿宋" w:eastAsia="仿宋" w:cs="仿宋"/>
                <w:color w:val="auto"/>
                <w:sz w:val="21"/>
                <w:szCs w:val="21"/>
                <w:lang w:eastAsia="zh-CN"/>
              </w:rPr>
            </w:pPr>
            <w:r>
              <w:rPr>
                <w:rFonts w:hint="eastAsia" w:ascii="仿宋" w:hAnsi="仿宋" w:eastAsia="仿宋" w:cs="仿宋"/>
                <w:color w:val="auto"/>
                <w:sz w:val="21"/>
                <w:szCs w:val="21"/>
              </w:rPr>
              <w:t>温县鑫鑫养殖专业合作社</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温县田旺奶牛养殖场</w:t>
            </w:r>
          </w:p>
        </w:tc>
      </w:tr>
      <w:tr w14:paraId="68097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183D5956">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EBO特色店铺</w:t>
            </w:r>
          </w:p>
        </w:tc>
        <w:tc>
          <w:tcPr>
            <w:tcW w:w="5980" w:type="dxa"/>
          </w:tcPr>
          <w:p w14:paraId="19D4692E">
            <w:pPr>
              <w:rPr>
                <w:rFonts w:hint="eastAsia" w:ascii="仿宋" w:hAnsi="仿宋" w:eastAsia="仿宋" w:cs="仿宋"/>
                <w:color w:val="auto"/>
                <w:sz w:val="21"/>
                <w:szCs w:val="21"/>
              </w:rPr>
            </w:pPr>
            <w:r>
              <w:rPr>
                <w:rFonts w:hint="eastAsia" w:ascii="仿宋" w:hAnsi="仿宋" w:eastAsia="仿宋" w:cs="仿宋"/>
                <w:color w:val="auto"/>
                <w:sz w:val="21"/>
                <w:szCs w:val="21"/>
              </w:rPr>
              <w:t>焦作怀庆老董家酒楼</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孟州桑坡村上瘾店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博爱下期城猫园休闲餐吧</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焦作解放区小零西餐厅</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沁阳李家小有白丸店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孟州老家莫沟景区一品香饭店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沁阳国栋山药店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孟州桑坡村上层店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博爱老北京饭店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孟州桑坡村野店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博爱马营农家院</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孟州桑坡村IBIZA店</w:t>
            </w:r>
          </w:p>
        </w:tc>
      </w:tr>
      <w:tr w14:paraId="39179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0FDD376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EBP特色市场</w:t>
            </w:r>
          </w:p>
        </w:tc>
        <w:tc>
          <w:tcPr>
            <w:tcW w:w="5980" w:type="dxa"/>
          </w:tcPr>
          <w:p w14:paraId="66055AB7">
            <w:pP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焦作云台山云逗逗美食城、沁阳联盟广场大平地夜间消费集聚区、焦作市花卉市场、焦作市京水岸古玩城</w:t>
            </w:r>
          </w:p>
        </w:tc>
      </w:tr>
    </w:tbl>
    <w:p w14:paraId="7BC7EC9D">
      <w:pPr>
        <w:keepNext w:val="0"/>
        <w:keepLines w:val="0"/>
        <w:pageBreakBefore w:val="0"/>
        <w:widowControl w:val="0"/>
        <w:numPr>
          <w:ilvl w:val="0"/>
          <w:numId w:val="9"/>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景观与小品建筑</w:t>
      </w:r>
    </w:p>
    <w:p w14:paraId="5DF90C6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本次普查共查明景观与小品建筑1664处，其中，碑碣、碑林、经幢数量最多，占该亚类总量的23.44%，其次为雕塑占该亚类总量的21.03%。喷泉数量较少，占比为1.02%。</w:t>
      </w:r>
    </w:p>
    <w:p w14:paraId="31B8A7C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景观与小品建筑亚类中新发现资源290处，雕塑数量最多，占该亚类新发现资源总量的30.34%，其次是碑碣、碑林、经幢，占该亚类新发现资源总量的17.59%，塔形建筑占比较少为1.03%。</w:t>
      </w:r>
    </w:p>
    <w:p w14:paraId="031A6468">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表3-26景观与小品建筑亚类典型资源名录</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2"/>
        <w:gridCol w:w="5980"/>
      </w:tblGrid>
      <w:tr w14:paraId="26571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tcPr>
          <w:p w14:paraId="297294E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资源类型</w:t>
            </w:r>
          </w:p>
        </w:tc>
        <w:tc>
          <w:tcPr>
            <w:tcW w:w="5980" w:type="dxa"/>
          </w:tcPr>
          <w:p w14:paraId="459A88C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典型资源</w:t>
            </w:r>
          </w:p>
        </w:tc>
      </w:tr>
      <w:tr w14:paraId="61B5B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0CEE03A1">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ECA形象标志物</w:t>
            </w:r>
          </w:p>
        </w:tc>
        <w:tc>
          <w:tcPr>
            <w:tcW w:w="5980" w:type="dxa"/>
          </w:tcPr>
          <w:p w14:paraId="3F9E6476">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焦作南水北调盾构机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焦作南水北调第一楼</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焦作南水北调提槽机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焦作人民英雄纪念塔</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焦作丰收路大转盘</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沁阳怀府恐龙园“梦之眼”摩天轮</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焦作古怀州博物馆算盘</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博爱凤尾竹雕塑</w:t>
            </w:r>
          </w:p>
        </w:tc>
      </w:tr>
      <w:tr w14:paraId="0B6A0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7D5005FF">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ECB观景点</w:t>
            </w:r>
          </w:p>
        </w:tc>
        <w:tc>
          <w:tcPr>
            <w:tcW w:w="5980" w:type="dxa"/>
          </w:tcPr>
          <w:p w14:paraId="4BDC3E10">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焦作峰林峡天空之恋观景台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焦作云台山茱萸峰观景台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焦作云台山百家岩孙登啸台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焦作峰林峡天王台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焦作云台山西瀛观</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焦作云台山百家岩汉献帝避暑台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焦作云台山天瀑观景台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焦作云台山潭瀑峡点将台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焦作盘古洞玻璃栈道</w:t>
            </w:r>
          </w:p>
        </w:tc>
      </w:tr>
      <w:tr w14:paraId="25722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3D0A2A8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ECC亭、台、楼、阁</w:t>
            </w:r>
          </w:p>
        </w:tc>
        <w:tc>
          <w:tcPr>
            <w:tcW w:w="5980" w:type="dxa"/>
          </w:tcPr>
          <w:p w14:paraId="49C8688F">
            <w:pPr>
              <w:rPr>
                <w:rFonts w:hint="eastAsia" w:ascii="仿宋" w:hAnsi="仿宋" w:eastAsia="仿宋" w:cs="仿宋"/>
                <w:color w:val="auto"/>
                <w:sz w:val="21"/>
                <w:szCs w:val="21"/>
              </w:rPr>
            </w:pPr>
            <w:r>
              <w:rPr>
                <w:rFonts w:hint="eastAsia" w:ascii="仿宋" w:hAnsi="仿宋" w:eastAsia="仿宋" w:cs="仿宋"/>
                <w:color w:val="auto"/>
                <w:sz w:val="21"/>
                <w:szCs w:val="21"/>
              </w:rPr>
              <w:t>武陟嘉应观御碑亭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武陟青龙宫玉皇阁</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孟州锁水阁</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孟州韩园景韩亭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焦作云台山茱萸峰重阳阁</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焦作云台山百家岩环翠亭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焦作青龙峡望亲亭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沁阳神农山窄涧谷静应庙二仙奶奶梳妆台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焦作西大井蕴英亭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焦作影视城灵台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武陟嘉应观禹王阁</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武陟嘉应观鼓楼</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博爱月山寺玉碑亭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焦作云台山茱萸峰闻涛亭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孟州老家莫沟景区炮楼</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孟州黄河楼</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博爱月山寺藏经楼</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武陟青龙宫戏楼</w:t>
            </w:r>
          </w:p>
        </w:tc>
      </w:tr>
      <w:tr w14:paraId="1E565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4DFE418E">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ECD书画作</w:t>
            </w:r>
          </w:p>
        </w:tc>
        <w:tc>
          <w:tcPr>
            <w:tcW w:w="5980" w:type="dxa"/>
          </w:tcPr>
          <w:p w14:paraId="1A3888DB">
            <w:pPr>
              <w:rPr>
                <w:rFonts w:hint="eastAsia" w:ascii="仿宋" w:hAnsi="仿宋" w:eastAsia="仿宋" w:cs="仿宋"/>
                <w:color w:val="auto"/>
                <w:sz w:val="21"/>
                <w:szCs w:val="21"/>
              </w:rPr>
            </w:pPr>
            <w:r>
              <w:rPr>
                <w:rFonts w:hint="eastAsia" w:ascii="仿宋" w:hAnsi="仿宋" w:eastAsia="仿宋" w:cs="仿宋"/>
                <w:color w:val="auto"/>
                <w:sz w:val="21"/>
                <w:szCs w:val="21"/>
              </w:rPr>
              <w:t>焦作云台山百家岩嵇康“淬剑池”和刘伶“醒酒台”石刻</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孟州韩园壁画</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孟州韩园谏迎佛骨壁画</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武陟嘉应观景区龙凤图</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温县慈胜寺壁画</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孟州韩园文公踪迹图</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孟州韩园匾额</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孟州潘力生楹联</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修武净影寺壁画</w:t>
            </w:r>
          </w:p>
        </w:tc>
      </w:tr>
      <w:tr w14:paraId="105D7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6EAB778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ECE雕塑</w:t>
            </w:r>
          </w:p>
        </w:tc>
        <w:tc>
          <w:tcPr>
            <w:tcW w:w="5980" w:type="dxa"/>
          </w:tcPr>
          <w:p w14:paraId="690B456A">
            <w:pPr>
              <w:rPr>
                <w:rFonts w:hint="eastAsia" w:ascii="仿宋" w:hAnsi="仿宋" w:eastAsia="仿宋" w:cs="仿宋"/>
                <w:color w:val="auto"/>
                <w:sz w:val="21"/>
                <w:szCs w:val="21"/>
              </w:rPr>
            </w:pPr>
            <w:r>
              <w:rPr>
                <w:rFonts w:hint="eastAsia" w:ascii="仿宋" w:hAnsi="仿宋" w:eastAsia="仿宋" w:cs="仿宋"/>
                <w:color w:val="auto"/>
                <w:sz w:val="21"/>
                <w:szCs w:val="21"/>
              </w:rPr>
              <w:t>孟州韩园韩愈雕像、焦作缝山针雕塑、沁阳神农山神农文化广场朱雀铜像、孟州黄河明珠转盘、武陟县万花村龙王塑像、沁阳曹谨纪念馆曹谨铜像、温县太极拳博物馆前陈王廷铜像、孟州风帆转盘、温县祖师堂陈有本雕像、温县祖师堂陈鑫雕像、温县祖师堂陈清平雕像、温县祖师堂陈王廷雕像、温县陈家沟太极十三式雕塑群、沁阳神农山文化广场神农大像、温县祖师堂陈汝信雕像、焦作西大井觉醒雕塑、焦作云台山茱萸峰王维像、焦作云台山孙思邈石雕像、焦作云台山万善寺九龙壁、焦作圆融寺释迦牟尼铜像、温县祖师堂陈长兴雕像、温县祖师堂陈所乐雕像、焦作铜马雕塑、沁阳天鹅湖“东湖荷风”景观雕塑、孟州老家莫沟景区望舒居水壶景观、沁阳神农山仙神谷静应庙降龙抱柱夹杆石、修武净影寺水月观音、温县太极十三式雕塑群——盼、温县太极十三式雕塑群——进、温县太极十三式雕塑群——定、温县太极十三式雕塑群——顾、温县太极十三式雕塑群——退、温县太极十三式雕塑群——拥、温县太极十三式雕塑群——肘、温县太极十三式雕塑群——挤、温县太极十三式雕塑群——靠、温县太极十三式雕塑群——捋、温县太极十三式雕塑群——挒、温县太极十三式雕塑群——按、温县太极十三式雕塑群——采</w:t>
            </w:r>
          </w:p>
        </w:tc>
      </w:tr>
      <w:tr w14:paraId="70BD3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419573D1">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ECF碑碣、碑林、经幢</w:t>
            </w:r>
          </w:p>
        </w:tc>
        <w:tc>
          <w:tcPr>
            <w:tcW w:w="5980" w:type="dxa"/>
          </w:tcPr>
          <w:p w14:paraId="5D282F93">
            <w:pPr>
              <w:rPr>
                <w:rFonts w:hint="eastAsia" w:ascii="仿宋" w:hAnsi="仿宋" w:eastAsia="仿宋" w:cs="仿宋"/>
                <w:color w:val="auto"/>
                <w:sz w:val="21"/>
                <w:szCs w:val="21"/>
              </w:rPr>
            </w:pPr>
            <w:r>
              <w:rPr>
                <w:rFonts w:hint="eastAsia" w:ascii="仿宋" w:hAnsi="仿宋" w:eastAsia="仿宋" w:cs="仿宋"/>
                <w:color w:val="auto"/>
                <w:sz w:val="21"/>
                <w:szCs w:val="21"/>
              </w:rPr>
              <w:t>沁阳太行陉“古羊肠坂”摩崖刻石、武陟嘉应观御碑、武陟嘉应观景区黄河水清碑、孟州韩愈墓碑、孟州韩愈手迹“白鹦鹉赋”碑刻、孟州谕祭文碑、孟州黄河左岸堤防起点中曹坡碑、孟州韩园景区唐韩文公墓碑、武陟嘉应观庙产碑、焦作云台山百家岩二乐台碑、焦作解放区烈士陵园英烈石刻、沁阳水南关清真寺阿文碑、孟州韩园景区神道碑、孟州韩愈国际学术研讨会纪念碑、孟州饶宗颐题词碑、温县太极拳祖祠拳谱堂拳经碑、孟州韩园踔厉奋发景观石碑、孟州韩园景区乾隆与盘谷考证碑、沁阳曹谨纪念馆曹谨墓志铭、沁阳乐圣公园碑廊、温县段村济水文化碑廊、孟州考察韩愈籍贯述略碑、沁阳曹谨纪念馆曹谨墨宝石碑、孟州韩园重修韩文公墓前飨堂碑、孟州任继愈题词碑、孟州韩园碑林、沁阳博物馆陀罗尼经幢、焦作龙泉池记碑、孟州唐柏双奇碑、焦作云台山茱萸峰云台之巅、温县吴式太极拳纪念碑、温县杨式太极拳纪念碑、焦作云台山嵇山碑、温县慈胜寺石经幢、焦作居德寺唐碑、孟州韩园重修韩昌黎伯冢前碑、温县和式太极拳纪念碑、温县武式太极拳纪念碑、温县孙式太极拳纪念碑、焦作烈士陵园英雄纪念碑、沁阳博物馆碑廊2、沁阳博物馆碑廊1、温县重修慈胜寺大雄之殿记石碑、孟州岩山抗日战争胜利纪念碑、孟州鸢飞鱼跃碑、修武当阳峪瓷窑碑、中国云台山世界地质公园青龙峡标志碑、焦作古怀州博物馆有秋碑刻、温县陈家沟陈氏祖林、温县陈家沟太极拳祖祠碑刻、武陟人民胜利渠开灌三十周年纪念碑</w:t>
            </w:r>
          </w:p>
        </w:tc>
      </w:tr>
      <w:tr w14:paraId="35755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6389611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ECG牌坊牌楼、影壁</w:t>
            </w:r>
          </w:p>
        </w:tc>
        <w:tc>
          <w:tcPr>
            <w:tcW w:w="5980" w:type="dxa"/>
          </w:tcPr>
          <w:p w14:paraId="67DDAE1E">
            <w:pPr>
              <w:rPr>
                <w:rFonts w:hint="eastAsia" w:ascii="仿宋" w:hAnsi="仿宋" w:eastAsia="仿宋" w:cs="仿宋"/>
                <w:color w:val="auto"/>
                <w:sz w:val="21"/>
                <w:szCs w:val="21"/>
              </w:rPr>
            </w:pPr>
            <w:r>
              <w:rPr>
                <w:rFonts w:hint="eastAsia" w:ascii="仿宋" w:hAnsi="仿宋" w:eastAsia="仿宋" w:cs="仿宋"/>
                <w:color w:val="auto"/>
                <w:sz w:val="21"/>
                <w:szCs w:val="21"/>
              </w:rPr>
              <w:t>博爱月山寺入云牌坊</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孟州韩园牌楼</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孟州老家莫沟景区牌坊</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温县黄庭经回音壁</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博爱月山寺御道牌坊</w:t>
            </w:r>
          </w:p>
        </w:tc>
      </w:tr>
      <w:tr w14:paraId="0F545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4FBFD9C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ECH门廊、廊道</w:t>
            </w:r>
          </w:p>
        </w:tc>
        <w:tc>
          <w:tcPr>
            <w:tcW w:w="5980" w:type="dxa"/>
          </w:tcPr>
          <w:p w14:paraId="7185B3FA">
            <w:pPr>
              <w:rPr>
                <w:rFonts w:hint="eastAsia" w:ascii="仿宋" w:hAnsi="仿宋" w:eastAsia="仿宋" w:cs="仿宋"/>
                <w:color w:val="auto"/>
                <w:sz w:val="21"/>
                <w:szCs w:val="21"/>
              </w:rPr>
            </w:pPr>
            <w:r>
              <w:rPr>
                <w:rFonts w:hint="eastAsia" w:ascii="仿宋" w:hAnsi="仿宋" w:eastAsia="仿宋" w:cs="仿宋"/>
                <w:color w:val="auto"/>
                <w:sz w:val="21"/>
                <w:szCs w:val="21"/>
              </w:rPr>
              <w:t>孟州韩园现代碑廊</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博爱月山明月碑廊</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孟州韩园山门</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焦作解放区烈士碑廊</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沁阳神农山中天门</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沁阳神农山南天门</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沁阳神农山一天门</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沁阳药王庙木牌楼</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孟州韩园景区仿唐大门</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温县太极拳祖祠神明门</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孟州黄河堤防文化长廊</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沁阳天鹅湖野王古城城墙门洞</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孟州韩园碑廊</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温县太极拳祖祠西碑廊</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温县太极拳祖祠东碑廊</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修武韩庄村东游园</w:t>
            </w:r>
          </w:p>
        </w:tc>
      </w:tr>
      <w:tr w14:paraId="63685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7BC631D9">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ECI塔形建筑</w:t>
            </w:r>
          </w:p>
        </w:tc>
        <w:tc>
          <w:tcPr>
            <w:tcW w:w="5980" w:type="dxa"/>
          </w:tcPr>
          <w:p w14:paraId="5B775CB0">
            <w:pPr>
              <w:rPr>
                <w:rFonts w:hint="eastAsia" w:ascii="仿宋" w:hAnsi="仿宋" w:eastAsia="仿宋" w:cs="仿宋"/>
                <w:color w:val="auto"/>
                <w:sz w:val="21"/>
                <w:szCs w:val="21"/>
              </w:rPr>
            </w:pPr>
            <w:r>
              <w:rPr>
                <w:rFonts w:hint="eastAsia" w:ascii="仿宋" w:hAnsi="仿宋" w:eastAsia="仿宋" w:cs="仿宋"/>
                <w:color w:val="auto"/>
                <w:sz w:val="21"/>
                <w:szCs w:val="21"/>
              </w:rPr>
              <w:t>修武胜果寺塔</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焦作云台山百家岩孝女塔</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沁阳博物馆天宁寺三圣塔</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武陟妙乐寺塔</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博爱月山寺七星塔林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焦作老电厂3号冷却塔</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焦作老电厂4号冷却塔</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沁阳博物馆元邠国公塔</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沁阳神农山云阳寺塔林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焦作云台山百家岩圆寂师祥公瑞云塔</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焦作老电厂一期烟囱</w:t>
            </w:r>
          </w:p>
        </w:tc>
      </w:tr>
      <w:tr w14:paraId="2FDBC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6886828E">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ECJ景观步道、甬路</w:t>
            </w:r>
          </w:p>
        </w:tc>
        <w:tc>
          <w:tcPr>
            <w:tcW w:w="5980" w:type="dxa"/>
          </w:tcPr>
          <w:p w14:paraId="06151A1E">
            <w:pPr>
              <w:rPr>
                <w:rFonts w:hint="eastAsia" w:ascii="仿宋" w:hAnsi="仿宋" w:eastAsia="仿宋" w:cs="仿宋"/>
                <w:color w:val="auto"/>
                <w:sz w:val="21"/>
                <w:szCs w:val="21"/>
              </w:rPr>
            </w:pPr>
            <w:r>
              <w:rPr>
                <w:rFonts w:hint="eastAsia" w:ascii="仿宋" w:hAnsi="仿宋" w:eastAsia="仿宋" w:cs="仿宋"/>
                <w:color w:val="auto"/>
                <w:sz w:val="21"/>
                <w:szCs w:val="21"/>
              </w:rPr>
              <w:t>沁阳神农山神农天梯</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修武大沙河生态绿道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焦作云台山红石峡挂壁甬道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博爱青天河靳家岭云顶玻璃栈道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孟州韩园石阶</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博爱青天河滨水栈道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沁阳神农山云阳寺清云路</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博爱青天河村挂壁公路</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焦作南水北调天河公园彩虹步道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沁阳神农山神农故道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沁阳神农山中天门步道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孟州老家莫沟景区青石板路</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孟州美丽源沟景区沟下步道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沁阳神农山临川寺铁环兽道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沁阳神农山神女峡峡谷栈道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沁阳神农山一线天索道</w:t>
            </w:r>
          </w:p>
        </w:tc>
      </w:tr>
      <w:tr w14:paraId="6E0F6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134142F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ECK花草坪</w:t>
            </w:r>
          </w:p>
        </w:tc>
        <w:tc>
          <w:tcPr>
            <w:tcW w:w="5980" w:type="dxa"/>
          </w:tcPr>
          <w:p w14:paraId="5467C45C">
            <w:pPr>
              <w:rPr>
                <w:rFonts w:hint="eastAsia" w:ascii="仿宋" w:hAnsi="仿宋" w:eastAsia="仿宋" w:cs="仿宋"/>
                <w:color w:val="auto"/>
                <w:sz w:val="21"/>
                <w:szCs w:val="21"/>
              </w:rPr>
            </w:pPr>
            <w:r>
              <w:rPr>
                <w:rFonts w:hint="eastAsia" w:ascii="仿宋" w:hAnsi="仿宋" w:eastAsia="仿宋" w:cs="仿宋"/>
                <w:color w:val="auto"/>
                <w:sz w:val="21"/>
                <w:szCs w:val="21"/>
              </w:rPr>
              <w:t>焦作南太行花海公园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修武城关镇主题游园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焦作青龙峡花海瀑布</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焦作云台山溪山芝兰草场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焦作缝山针公园草坪</w:t>
            </w:r>
          </w:p>
        </w:tc>
      </w:tr>
      <w:tr w14:paraId="76185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5085552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ECL水井</w:t>
            </w:r>
          </w:p>
        </w:tc>
        <w:tc>
          <w:tcPr>
            <w:tcW w:w="5980" w:type="dxa"/>
          </w:tcPr>
          <w:p w14:paraId="5976196D">
            <w:pPr>
              <w:rPr>
                <w:rFonts w:hint="eastAsia" w:ascii="仿宋" w:hAnsi="仿宋" w:eastAsia="仿宋" w:cs="仿宋"/>
                <w:color w:val="auto"/>
                <w:sz w:val="21"/>
                <w:szCs w:val="21"/>
              </w:rPr>
            </w:pPr>
            <w:r>
              <w:rPr>
                <w:rFonts w:hint="eastAsia" w:ascii="仿宋" w:hAnsi="仿宋" w:eastAsia="仿宋" w:cs="仿宋"/>
                <w:color w:val="auto"/>
                <w:sz w:val="21"/>
                <w:szCs w:val="21"/>
              </w:rPr>
              <w:t>博爱月山寺连环井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沁阳神农山紫金顶半仙井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博爱知青村古井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焦作圆融寺卧虎泉</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焦作圆融寺龙脊泉</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孟州莫沟村水井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修武韩庄村古井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焦作圆融寺洗目泉</w:t>
            </w:r>
          </w:p>
        </w:tc>
      </w:tr>
      <w:tr w14:paraId="2D295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23F40311">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ECM喷泉</w:t>
            </w:r>
          </w:p>
        </w:tc>
        <w:tc>
          <w:tcPr>
            <w:tcW w:w="5980" w:type="dxa"/>
          </w:tcPr>
          <w:p w14:paraId="5F5B65B8">
            <w:pPr>
              <w:rPr>
                <w:rFonts w:hint="eastAsia" w:ascii="仿宋" w:hAnsi="仿宋" w:eastAsia="仿宋" w:cs="仿宋"/>
                <w:color w:val="auto"/>
                <w:sz w:val="21"/>
                <w:szCs w:val="21"/>
              </w:rPr>
            </w:pPr>
            <w:r>
              <w:rPr>
                <w:rFonts w:hint="eastAsia" w:ascii="仿宋" w:hAnsi="仿宋" w:eastAsia="仿宋" w:cs="仿宋"/>
                <w:color w:val="auto"/>
                <w:sz w:val="21"/>
                <w:szCs w:val="21"/>
              </w:rPr>
              <w:t>焦作人民广场喷泉</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沁阳怀府恐龙园景观喷泉</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温县子夏湖音乐喷泉</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焦作缝山针公园喷泉</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沁阳神农山神农泉</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焦作云台抖影城太极八卦池</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焦作迎宾馆喷泉</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沁阳怀府广场喷泉</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孟州文化广场喷泉</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焦作北西尚村花田水乡喷泉</w:t>
            </w:r>
          </w:p>
        </w:tc>
      </w:tr>
      <w:tr w14:paraId="24CF1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518F06E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ECN堆石</w:t>
            </w:r>
          </w:p>
        </w:tc>
        <w:tc>
          <w:tcPr>
            <w:tcW w:w="5980" w:type="dxa"/>
          </w:tcPr>
          <w:p w14:paraId="52414E2D">
            <w:pPr>
              <w:rPr>
                <w:rFonts w:hint="eastAsia" w:ascii="仿宋" w:hAnsi="仿宋" w:eastAsia="仿宋" w:cs="仿宋"/>
                <w:color w:val="auto"/>
                <w:sz w:val="21"/>
                <w:szCs w:val="21"/>
              </w:rPr>
            </w:pPr>
            <w:r>
              <w:rPr>
                <w:rFonts w:hint="eastAsia" w:ascii="仿宋" w:hAnsi="仿宋" w:eastAsia="仿宋" w:cs="仿宋"/>
                <w:color w:val="auto"/>
                <w:sz w:val="21"/>
                <w:szCs w:val="21"/>
              </w:rPr>
              <w:t>温县太极拳祖祠阴阳石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孟州老家莫沟景区石磨组</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沁阳新济路王占游园假山</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沁阳新济路屹峰游园假山</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沁阳怀府恐龙园北景观湖假山</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沁阳怀府恐龙园南景观湖假山</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孟州老家莫沟景区假山</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博爱靳家岭景观石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焦作云台抖影城堆石景观</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博爱方山大地锅台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武陟青龙宫祈福洞</w:t>
            </w:r>
          </w:p>
        </w:tc>
      </w:tr>
    </w:tbl>
    <w:p w14:paraId="1A1E441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宋体" w:hAnsi="宋体" w:cs="宋体"/>
          <w:b/>
          <w:bCs/>
          <w:color w:val="auto"/>
          <w:sz w:val="24"/>
          <w:szCs w:val="24"/>
          <w:lang w:val="en-US" w:eastAsia="zh-CN"/>
        </w:rPr>
      </w:pPr>
    </w:p>
    <w:p w14:paraId="2DA11D3F">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0" w:firstLineChars="0"/>
        <w:jc w:val="both"/>
        <w:textAlignment w:val="auto"/>
        <w:outlineLvl w:val="2"/>
        <w:rPr>
          <w:rFonts w:hint="eastAsia" w:ascii="宋体" w:hAnsi="宋体" w:cs="宋体"/>
          <w:b/>
          <w:bCs/>
          <w:color w:val="auto"/>
          <w:sz w:val="28"/>
          <w:szCs w:val="28"/>
          <w:lang w:val="en-US" w:eastAsia="zh-CN"/>
        </w:rPr>
      </w:pPr>
      <w:bookmarkStart w:id="69" w:name="_Toc25699"/>
      <w:r>
        <w:rPr>
          <w:rFonts w:hint="eastAsia" w:ascii="宋体" w:hAnsi="宋体" w:cs="宋体"/>
          <w:b/>
          <w:bCs/>
          <w:color w:val="auto"/>
          <w:sz w:val="28"/>
          <w:szCs w:val="28"/>
          <w:lang w:val="en-US" w:eastAsia="zh-CN"/>
        </w:rPr>
        <w:t>历史遗迹类</w:t>
      </w:r>
      <w:bookmarkEnd w:id="69"/>
    </w:p>
    <w:p w14:paraId="0F64CA6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b/>
          <w:bCs/>
          <w:color w:val="auto"/>
          <w:sz w:val="28"/>
          <w:szCs w:val="28"/>
          <w:lang w:val="en-US" w:eastAsia="zh-CN"/>
        </w:rPr>
      </w:pPr>
      <w:r>
        <w:rPr>
          <w:rFonts w:hint="eastAsia" w:ascii="Times New Roman" w:hAnsi="Times New Roman" w:cs="Times New Roman"/>
          <w:color w:val="auto"/>
          <w:sz w:val="24"/>
          <w:lang w:val="en-US" w:eastAsia="zh-CN"/>
        </w:rPr>
        <w:t>本次普查全市共查明历史遗迹类旅游资源1463</w:t>
      </w:r>
      <w:r>
        <w:rPr>
          <w:rFonts w:hint="default" w:ascii="Times New Roman" w:hAnsi="Times New Roman" w:cs="Times New Roman"/>
          <w:color w:val="auto"/>
          <w:sz w:val="24"/>
          <w:lang w:val="en-US" w:eastAsia="zh-CN"/>
        </w:rPr>
        <w:t>处，占</w:t>
      </w:r>
      <w:r>
        <w:rPr>
          <w:rFonts w:hint="eastAsia" w:ascii="Times New Roman" w:hAnsi="Times New Roman" w:cs="Times New Roman"/>
          <w:color w:val="auto"/>
          <w:sz w:val="24"/>
          <w:lang w:val="en-US" w:eastAsia="zh-CN"/>
        </w:rPr>
        <w:t>全市</w:t>
      </w:r>
      <w:r>
        <w:rPr>
          <w:rFonts w:hint="default" w:ascii="Times New Roman" w:hAnsi="Times New Roman" w:cs="Times New Roman"/>
          <w:color w:val="auto"/>
          <w:sz w:val="24"/>
          <w:lang w:val="en-US" w:eastAsia="zh-CN"/>
        </w:rPr>
        <w:t>旅游</w:t>
      </w:r>
      <w:r>
        <w:rPr>
          <w:rFonts w:hint="eastAsia" w:ascii="Times New Roman" w:hAnsi="Times New Roman" w:cs="Times New Roman"/>
          <w:color w:val="auto"/>
          <w:sz w:val="24"/>
          <w:lang w:val="en-US" w:eastAsia="zh-CN"/>
        </w:rPr>
        <w:t>资源</w:t>
      </w:r>
      <w:r>
        <w:rPr>
          <w:rFonts w:hint="default" w:ascii="Times New Roman" w:hAnsi="Times New Roman" w:cs="Times New Roman"/>
          <w:color w:val="auto"/>
          <w:sz w:val="24"/>
          <w:lang w:val="en-US" w:eastAsia="zh-CN"/>
        </w:rPr>
        <w:t>总</w:t>
      </w:r>
      <w:r>
        <w:rPr>
          <w:rFonts w:hint="eastAsia" w:ascii="Times New Roman" w:hAnsi="Times New Roman" w:cs="Times New Roman"/>
          <w:color w:val="auto"/>
          <w:sz w:val="24"/>
          <w:lang w:val="en-US" w:eastAsia="zh-CN"/>
        </w:rPr>
        <w:t>量的12.18%，</w:t>
      </w:r>
      <w:r>
        <w:rPr>
          <w:rFonts w:hint="default" w:ascii="Times New Roman" w:hAnsi="Times New Roman" w:cs="Times New Roman"/>
          <w:color w:val="auto"/>
          <w:sz w:val="24"/>
          <w:lang w:val="en-US" w:eastAsia="zh-CN"/>
        </w:rPr>
        <w:t>其中新发现新认定资源</w:t>
      </w:r>
      <w:r>
        <w:rPr>
          <w:rFonts w:hint="eastAsia" w:ascii="Times New Roman" w:hAnsi="Times New Roman" w:cs="Times New Roman"/>
          <w:color w:val="auto"/>
          <w:sz w:val="24"/>
          <w:lang w:val="en-US" w:eastAsia="zh-CN"/>
        </w:rPr>
        <w:t>141</w:t>
      </w:r>
      <w:r>
        <w:rPr>
          <w:rFonts w:hint="default" w:ascii="Times New Roman" w:hAnsi="Times New Roman" w:cs="Times New Roman"/>
          <w:color w:val="auto"/>
          <w:sz w:val="24"/>
          <w:lang w:val="en-US" w:eastAsia="zh-CN"/>
        </w:rPr>
        <w:t>处，占</w:t>
      </w:r>
      <w:r>
        <w:rPr>
          <w:rFonts w:hint="eastAsia" w:ascii="Times New Roman" w:hAnsi="Times New Roman" w:cs="Times New Roman"/>
          <w:color w:val="auto"/>
          <w:sz w:val="24"/>
          <w:lang w:val="en-US" w:eastAsia="zh-CN"/>
        </w:rPr>
        <w:t>历史遗迹</w:t>
      </w:r>
      <w:r>
        <w:rPr>
          <w:rFonts w:hint="default" w:ascii="Times New Roman" w:hAnsi="Times New Roman" w:cs="Times New Roman"/>
          <w:color w:val="auto"/>
          <w:sz w:val="24"/>
          <w:lang w:val="en-US" w:eastAsia="zh-CN"/>
        </w:rPr>
        <w:t>总量</w:t>
      </w:r>
      <w:r>
        <w:rPr>
          <w:rFonts w:hint="eastAsia" w:ascii="Times New Roman" w:hAnsi="Times New Roman" w:cs="Times New Roman"/>
          <w:color w:val="auto"/>
          <w:sz w:val="24"/>
          <w:lang w:val="en-US" w:eastAsia="zh-CN"/>
        </w:rPr>
        <w:t>9.64</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，历史遗迹</w:t>
      </w:r>
      <w:r>
        <w:rPr>
          <w:rFonts w:hint="default" w:ascii="Times New Roman" w:hAnsi="Times New Roman" w:cs="Times New Roman"/>
          <w:color w:val="auto"/>
          <w:sz w:val="24"/>
          <w:lang w:val="en-US" w:eastAsia="zh-CN"/>
        </w:rPr>
        <w:t>类旅</w:t>
      </w:r>
      <w:r>
        <w:rPr>
          <w:rFonts w:hint="eastAsia" w:ascii="Times New Roman" w:hAnsi="Times New Roman" w:cs="Times New Roman"/>
          <w:color w:val="auto"/>
          <w:sz w:val="24"/>
          <w:lang w:val="en-US" w:eastAsia="zh-CN"/>
        </w:rPr>
        <w:t>游资源分布于2</w:t>
      </w:r>
      <w:r>
        <w:rPr>
          <w:rFonts w:hint="default" w:ascii="Times New Roman" w:hAnsi="Times New Roman" w:cs="Times New Roman"/>
          <w:color w:val="auto"/>
          <w:sz w:val="24"/>
          <w:lang w:val="en-US" w:eastAsia="zh-CN"/>
        </w:rPr>
        <w:t>个亚类、</w:t>
      </w:r>
      <w:r>
        <w:rPr>
          <w:rFonts w:hint="eastAsia" w:ascii="Times New Roman" w:hAnsi="Times New Roman" w:cs="Times New Roman"/>
          <w:color w:val="auto"/>
          <w:sz w:val="24"/>
          <w:lang w:val="en-US" w:eastAsia="zh-CN"/>
        </w:rPr>
        <w:t>10</w:t>
      </w:r>
      <w:r>
        <w:rPr>
          <w:rFonts w:hint="default" w:ascii="Times New Roman" w:hAnsi="Times New Roman" w:cs="Times New Roman"/>
          <w:color w:val="auto"/>
          <w:sz w:val="24"/>
          <w:lang w:val="en-US" w:eastAsia="zh-CN"/>
        </w:rPr>
        <w:t>个基本类型。</w:t>
      </w:r>
      <w:r>
        <w:rPr>
          <w:rFonts w:hint="eastAsia" w:ascii="Times New Roman" w:hAnsi="Times New Roman" w:cs="Times New Roman"/>
          <w:color w:val="auto"/>
          <w:sz w:val="24"/>
          <w:lang w:val="en-US" w:eastAsia="zh-CN"/>
        </w:rPr>
        <w:t>各类型总量和新发现数量见表3-27所示。</w:t>
      </w:r>
    </w:p>
    <w:p w14:paraId="059C174B">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表3-27 历史遗迹旅游资源分类统计表</w:t>
      </w:r>
    </w:p>
    <w:tbl>
      <w:tblPr>
        <w:tblStyle w:val="15"/>
        <w:tblW w:w="82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58"/>
        <w:gridCol w:w="670"/>
        <w:gridCol w:w="975"/>
        <w:gridCol w:w="743"/>
        <w:gridCol w:w="2075"/>
        <w:gridCol w:w="894"/>
        <w:gridCol w:w="913"/>
      </w:tblGrid>
      <w:tr w14:paraId="5F557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jc w:val="center"/>
        </w:trPr>
        <w:tc>
          <w:tcPr>
            <w:tcW w:w="195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D6B5788">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lang w:val="en-US"/>
              </w:rPr>
            </w:pPr>
            <w:r>
              <w:rPr>
                <w:rFonts w:hint="eastAsia" w:ascii="仿宋" w:hAnsi="仿宋" w:eastAsia="仿宋" w:cs="仿宋"/>
                <w:b/>
                <w:bCs/>
                <w:i w:val="0"/>
                <w:iCs w:val="0"/>
                <w:color w:val="auto"/>
                <w:kern w:val="0"/>
                <w:sz w:val="21"/>
                <w:szCs w:val="21"/>
                <w:u w:val="none"/>
                <w:lang w:val="en-US" w:eastAsia="zh-CN" w:bidi="ar"/>
              </w:rPr>
              <w:t>资源基本类型</w:t>
            </w:r>
          </w:p>
          <w:p w14:paraId="4F77E785">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lang w:val="en-US"/>
              </w:rPr>
            </w:pPr>
          </w:p>
        </w:tc>
        <w:tc>
          <w:tcPr>
            <w:tcW w:w="6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E19407A">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r>
              <w:rPr>
                <w:rFonts w:hint="eastAsia" w:ascii="仿宋" w:hAnsi="仿宋" w:eastAsia="仿宋" w:cs="仿宋"/>
                <w:b/>
                <w:bCs/>
                <w:i w:val="0"/>
                <w:iCs w:val="0"/>
                <w:color w:val="auto"/>
                <w:kern w:val="0"/>
                <w:sz w:val="21"/>
                <w:szCs w:val="21"/>
                <w:u w:val="none"/>
                <w:lang w:val="en-US" w:eastAsia="zh-CN" w:bidi="ar"/>
              </w:rPr>
              <w:t>总量</w:t>
            </w:r>
          </w:p>
        </w:tc>
        <w:tc>
          <w:tcPr>
            <w:tcW w:w="97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854BDE7">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r>
              <w:rPr>
                <w:rFonts w:hint="eastAsia" w:ascii="仿宋" w:hAnsi="仿宋" w:eastAsia="仿宋" w:cs="仿宋"/>
                <w:b/>
                <w:bCs/>
                <w:i w:val="0"/>
                <w:iCs w:val="0"/>
                <w:color w:val="auto"/>
                <w:kern w:val="0"/>
                <w:sz w:val="21"/>
                <w:szCs w:val="21"/>
                <w:u w:val="none"/>
                <w:lang w:val="en-US" w:eastAsia="zh-CN" w:bidi="ar"/>
              </w:rPr>
              <w:t>新发现数量</w:t>
            </w:r>
          </w:p>
        </w:tc>
        <w:tc>
          <w:tcPr>
            <w:tcW w:w="743" w:type="dxa"/>
            <w:vMerge w:val="restart"/>
            <w:tcBorders>
              <w:top w:val="single" w:color="000000" w:sz="8" w:space="0"/>
              <w:left w:val="single" w:color="000000" w:sz="8" w:space="0"/>
              <w:right w:val="single" w:color="000000" w:sz="8" w:space="0"/>
            </w:tcBorders>
            <w:shd w:val="clear" w:color="auto" w:fill="auto"/>
            <w:vAlign w:val="center"/>
          </w:tcPr>
          <w:p w14:paraId="4C547E57">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p>
        </w:tc>
        <w:tc>
          <w:tcPr>
            <w:tcW w:w="207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84BCBF1">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资源基本类型</w:t>
            </w:r>
          </w:p>
        </w:tc>
        <w:tc>
          <w:tcPr>
            <w:tcW w:w="89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25C33C7">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总量</w:t>
            </w:r>
          </w:p>
        </w:tc>
        <w:tc>
          <w:tcPr>
            <w:tcW w:w="91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0C85052">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新发现数量</w:t>
            </w:r>
          </w:p>
        </w:tc>
      </w:tr>
      <w:tr w14:paraId="604C1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nil"/>
              <w:left w:val="single" w:color="000000" w:sz="8" w:space="0"/>
              <w:bottom w:val="single" w:color="000000" w:sz="8" w:space="0"/>
              <w:right w:val="single" w:color="000000" w:sz="8" w:space="0"/>
            </w:tcBorders>
            <w:shd w:val="clear" w:color="auto" w:fill="auto"/>
            <w:vAlign w:val="center"/>
          </w:tcPr>
          <w:p w14:paraId="495C61A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FA  物质类文化遗存</w:t>
            </w:r>
          </w:p>
        </w:tc>
        <w:tc>
          <w:tcPr>
            <w:tcW w:w="670" w:type="dxa"/>
            <w:tcBorders>
              <w:top w:val="nil"/>
              <w:left w:val="single" w:color="000000" w:sz="8" w:space="0"/>
              <w:bottom w:val="single" w:color="000000" w:sz="8" w:space="0"/>
              <w:right w:val="single" w:color="000000" w:sz="8" w:space="0"/>
            </w:tcBorders>
            <w:shd w:val="clear" w:color="auto" w:fill="auto"/>
            <w:vAlign w:val="center"/>
          </w:tcPr>
          <w:p w14:paraId="7E9B1E0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823</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775DAF2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92</w:t>
            </w:r>
          </w:p>
        </w:tc>
        <w:tc>
          <w:tcPr>
            <w:tcW w:w="743" w:type="dxa"/>
            <w:vMerge w:val="continue"/>
            <w:tcBorders>
              <w:left w:val="single" w:color="000000" w:sz="8" w:space="0"/>
              <w:right w:val="single" w:color="000000" w:sz="8" w:space="0"/>
            </w:tcBorders>
            <w:shd w:val="clear" w:color="auto" w:fill="auto"/>
            <w:vAlign w:val="center"/>
          </w:tcPr>
          <w:p w14:paraId="6A40651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1313E7E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FBB地方习俗</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631F330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455CFF5C">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val="0"/>
                <w:bCs w:val="0"/>
                <w:i w:val="0"/>
                <w:iCs w:val="0"/>
                <w:color w:val="auto"/>
                <w:kern w:val="0"/>
                <w:sz w:val="21"/>
                <w:szCs w:val="21"/>
                <w:u w:val="none"/>
                <w:lang w:val="en-US" w:eastAsia="zh-CN" w:bidi="ar"/>
              </w:rPr>
              <w:t>0</w:t>
            </w:r>
          </w:p>
        </w:tc>
      </w:tr>
      <w:tr w14:paraId="6FF51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nil"/>
              <w:left w:val="single" w:color="000000" w:sz="8" w:space="0"/>
              <w:bottom w:val="single" w:color="auto" w:sz="4" w:space="0"/>
              <w:right w:val="single" w:color="000000" w:sz="8" w:space="0"/>
            </w:tcBorders>
            <w:shd w:val="clear" w:color="auto" w:fill="auto"/>
            <w:vAlign w:val="center"/>
          </w:tcPr>
          <w:p w14:paraId="4CB6509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FAA建筑遗迹</w:t>
            </w:r>
          </w:p>
        </w:tc>
        <w:tc>
          <w:tcPr>
            <w:tcW w:w="670" w:type="dxa"/>
            <w:tcBorders>
              <w:top w:val="nil"/>
              <w:left w:val="single" w:color="000000" w:sz="8" w:space="0"/>
              <w:bottom w:val="single" w:color="auto" w:sz="4" w:space="0"/>
              <w:right w:val="single" w:color="000000" w:sz="8" w:space="0"/>
            </w:tcBorders>
            <w:shd w:val="clear" w:color="auto" w:fill="auto"/>
            <w:vAlign w:val="center"/>
          </w:tcPr>
          <w:p w14:paraId="0282E698">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462</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37FD966C">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sz w:val="21"/>
                <w:szCs w:val="21"/>
                <w:u w:val="none"/>
                <w:lang w:val="en-US" w:eastAsia="zh-CN"/>
              </w:rPr>
              <w:t>49</w:t>
            </w:r>
          </w:p>
        </w:tc>
        <w:tc>
          <w:tcPr>
            <w:tcW w:w="743" w:type="dxa"/>
            <w:vMerge w:val="continue"/>
            <w:tcBorders>
              <w:left w:val="single" w:color="000000" w:sz="8" w:space="0"/>
              <w:right w:val="single" w:color="000000" w:sz="8" w:space="0"/>
            </w:tcBorders>
            <w:shd w:val="clear" w:color="auto" w:fill="auto"/>
            <w:vAlign w:val="center"/>
          </w:tcPr>
          <w:p w14:paraId="2AD69BBF">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38BEEAC4">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FBC传统服饰装饰</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69DD265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3C9CA6D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r>
      <w:tr w14:paraId="660D79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12C8DF9E">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FAB可移动文物</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703546CB">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327</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132EDB0F">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sz w:val="21"/>
                <w:szCs w:val="21"/>
                <w:u w:val="none"/>
                <w:lang w:val="en-US" w:eastAsia="zh-CN"/>
              </w:rPr>
              <w:t>41</w:t>
            </w:r>
          </w:p>
        </w:tc>
        <w:tc>
          <w:tcPr>
            <w:tcW w:w="743" w:type="dxa"/>
            <w:vMerge w:val="continue"/>
            <w:tcBorders>
              <w:left w:val="single" w:color="000000" w:sz="8" w:space="0"/>
              <w:right w:val="single" w:color="000000" w:sz="8" w:space="0"/>
            </w:tcBorders>
            <w:shd w:val="clear" w:color="auto" w:fill="auto"/>
            <w:vAlign w:val="center"/>
          </w:tcPr>
          <w:p w14:paraId="31932E9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0FC93E91">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FBD传统演艺</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7D9CB2DE">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173</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781EC01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15</w:t>
            </w:r>
          </w:p>
        </w:tc>
      </w:tr>
      <w:tr w14:paraId="0F96C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148F3476">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FAC早期文明遗存</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3FF50761">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34</w:t>
            </w:r>
          </w:p>
        </w:tc>
        <w:tc>
          <w:tcPr>
            <w:tcW w:w="975" w:type="dxa"/>
            <w:tcBorders>
              <w:top w:val="nil"/>
              <w:left w:val="single" w:color="000000" w:sz="8" w:space="0"/>
              <w:bottom w:val="single" w:color="auto" w:sz="4" w:space="0"/>
              <w:right w:val="single" w:color="000000" w:sz="8" w:space="0"/>
            </w:tcBorders>
            <w:shd w:val="clear" w:color="auto" w:fill="auto"/>
            <w:vAlign w:val="center"/>
          </w:tcPr>
          <w:p w14:paraId="077F482B">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sz w:val="21"/>
                <w:szCs w:val="21"/>
                <w:u w:val="none"/>
                <w:lang w:val="en-US" w:eastAsia="zh-CN"/>
              </w:rPr>
              <w:t>2</w:t>
            </w:r>
          </w:p>
        </w:tc>
        <w:tc>
          <w:tcPr>
            <w:tcW w:w="743" w:type="dxa"/>
            <w:vMerge w:val="continue"/>
            <w:tcBorders>
              <w:left w:val="single" w:color="000000" w:sz="8" w:space="0"/>
              <w:right w:val="single" w:color="000000" w:sz="8" w:space="0"/>
            </w:tcBorders>
            <w:shd w:val="clear" w:color="auto" w:fill="auto"/>
            <w:vAlign w:val="center"/>
          </w:tcPr>
          <w:p w14:paraId="49285A54">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auto" w:sz="4" w:space="0"/>
              <w:right w:val="single" w:color="000000" w:sz="8" w:space="0"/>
            </w:tcBorders>
            <w:shd w:val="clear" w:color="auto" w:fill="auto"/>
            <w:vAlign w:val="center"/>
          </w:tcPr>
          <w:p w14:paraId="57C33ED5">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FBE传统医药</w:t>
            </w:r>
          </w:p>
        </w:tc>
        <w:tc>
          <w:tcPr>
            <w:tcW w:w="894" w:type="dxa"/>
            <w:tcBorders>
              <w:top w:val="nil"/>
              <w:left w:val="single" w:color="000000" w:sz="8" w:space="0"/>
              <w:bottom w:val="single" w:color="auto" w:sz="4" w:space="0"/>
              <w:right w:val="single" w:color="000000" w:sz="8" w:space="0"/>
            </w:tcBorders>
            <w:shd w:val="clear" w:color="auto" w:fill="auto"/>
            <w:vAlign w:val="center"/>
          </w:tcPr>
          <w:p w14:paraId="78E6A56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71</w:t>
            </w:r>
          </w:p>
        </w:tc>
        <w:tc>
          <w:tcPr>
            <w:tcW w:w="913" w:type="dxa"/>
            <w:tcBorders>
              <w:top w:val="nil"/>
              <w:left w:val="single" w:color="000000" w:sz="8" w:space="0"/>
              <w:bottom w:val="single" w:color="auto" w:sz="4" w:space="0"/>
              <w:right w:val="single" w:color="000000" w:sz="8" w:space="0"/>
            </w:tcBorders>
            <w:shd w:val="clear" w:color="auto" w:fill="auto"/>
            <w:vAlign w:val="center"/>
          </w:tcPr>
          <w:p w14:paraId="4D7018B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w:t>
            </w:r>
          </w:p>
        </w:tc>
      </w:tr>
      <w:tr w14:paraId="4B3C4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0979BA7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FB  非物质类文化遗存</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35EDD932">
            <w:pPr>
              <w:jc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b/>
                <w:bCs/>
                <w:i w:val="0"/>
                <w:iCs w:val="0"/>
                <w:color w:val="auto"/>
                <w:kern w:val="0"/>
                <w:sz w:val="21"/>
                <w:szCs w:val="21"/>
                <w:u w:val="none"/>
                <w:lang w:val="en-US" w:eastAsia="zh-CN" w:bidi="ar"/>
              </w:rPr>
              <w:t>640</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0F1476BB">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b/>
                <w:bCs/>
                <w:i w:val="0"/>
                <w:iCs w:val="0"/>
                <w:color w:val="auto"/>
                <w:kern w:val="0"/>
                <w:sz w:val="21"/>
                <w:szCs w:val="21"/>
                <w:u w:val="none"/>
                <w:lang w:val="en-US" w:eastAsia="zh-CN" w:bidi="ar"/>
              </w:rPr>
              <w:t>49</w:t>
            </w:r>
          </w:p>
        </w:tc>
        <w:tc>
          <w:tcPr>
            <w:tcW w:w="743" w:type="dxa"/>
            <w:vMerge w:val="continue"/>
            <w:tcBorders>
              <w:left w:val="single" w:color="000000" w:sz="8" w:space="0"/>
              <w:right w:val="single" w:color="000000" w:sz="8" w:space="0"/>
            </w:tcBorders>
            <w:shd w:val="clear" w:color="auto" w:fill="auto"/>
            <w:vAlign w:val="center"/>
          </w:tcPr>
          <w:p w14:paraId="02C1F04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33864FD9">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FBF传统体育赛事</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7C3CD3BF">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14</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70B8B57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w:t>
            </w:r>
          </w:p>
        </w:tc>
      </w:tr>
      <w:tr w14:paraId="7FDE1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7B8AABBF">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FBA民间文学艺术</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31E8B8D3">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313</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1C87B58E">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sz w:val="21"/>
                <w:szCs w:val="21"/>
                <w:u w:val="none"/>
                <w:lang w:val="en-US" w:eastAsia="zh-CN"/>
              </w:rPr>
              <w:t>26</w:t>
            </w:r>
          </w:p>
        </w:tc>
        <w:tc>
          <w:tcPr>
            <w:tcW w:w="743" w:type="dxa"/>
            <w:tcBorders>
              <w:left w:val="single" w:color="000000" w:sz="8" w:space="0"/>
              <w:right w:val="single" w:color="000000" w:sz="8" w:space="0"/>
            </w:tcBorders>
            <w:shd w:val="clear" w:color="auto" w:fill="auto"/>
            <w:vAlign w:val="center"/>
          </w:tcPr>
          <w:p w14:paraId="5147256D">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0E5DB59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FBG传统武术</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6D12B12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58</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1644F7D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5</w:t>
            </w:r>
          </w:p>
        </w:tc>
      </w:tr>
    </w:tbl>
    <w:p w14:paraId="46DD813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从</w:t>
      </w:r>
      <w:r>
        <w:rPr>
          <w:rFonts w:hint="eastAsia" w:ascii="Times New Roman" w:hAnsi="Times New Roman" w:cs="Times New Roman"/>
          <w:color w:val="auto"/>
          <w:sz w:val="24"/>
          <w:lang w:val="en-US" w:eastAsia="zh-CN"/>
        </w:rPr>
        <w:t>2</w:t>
      </w:r>
      <w:r>
        <w:rPr>
          <w:rFonts w:hint="default" w:ascii="Times New Roman" w:hAnsi="Times New Roman" w:cs="Times New Roman"/>
          <w:color w:val="auto"/>
          <w:sz w:val="24"/>
          <w:lang w:val="en-US" w:eastAsia="zh-CN"/>
        </w:rPr>
        <w:t>个亚类资源数量来看，</w:t>
      </w:r>
      <w:r>
        <w:rPr>
          <w:rFonts w:hint="eastAsia" w:ascii="Times New Roman" w:hAnsi="Times New Roman" w:cs="Times New Roman"/>
          <w:color w:val="auto"/>
          <w:sz w:val="24"/>
          <w:lang w:val="en-US" w:eastAsia="zh-CN"/>
        </w:rPr>
        <w:t>物质类文化遗存数量明显多于非物质类文化遗存，分别为823处和640处。基本类型分布方面，建筑遗迹</w:t>
      </w:r>
      <w:r>
        <w:rPr>
          <w:rFonts w:hint="default" w:ascii="Times New Roman" w:hAnsi="Times New Roman" w:cs="Times New Roman"/>
          <w:color w:val="auto"/>
          <w:sz w:val="24"/>
          <w:lang w:val="en-US" w:eastAsia="zh-CN"/>
        </w:rPr>
        <w:t>资源量</w:t>
      </w:r>
      <w:r>
        <w:rPr>
          <w:rFonts w:hint="eastAsia" w:ascii="Times New Roman" w:hAnsi="Times New Roman" w:cs="Times New Roman"/>
          <w:color w:val="auto"/>
          <w:sz w:val="24"/>
          <w:lang w:val="en-US" w:eastAsia="zh-CN"/>
        </w:rPr>
        <w:t>最</w:t>
      </w:r>
      <w:r>
        <w:rPr>
          <w:rFonts w:hint="default" w:ascii="Times New Roman" w:hAnsi="Times New Roman" w:cs="Times New Roman"/>
          <w:color w:val="auto"/>
          <w:sz w:val="24"/>
          <w:lang w:val="en-US" w:eastAsia="zh-CN"/>
        </w:rPr>
        <w:t>为丰富</w:t>
      </w:r>
      <w:r>
        <w:rPr>
          <w:rFonts w:hint="eastAsia" w:ascii="Times New Roman" w:hAnsi="Times New Roman" w:cs="Times New Roman"/>
          <w:color w:val="auto"/>
          <w:sz w:val="24"/>
          <w:lang w:val="en-US" w:eastAsia="zh-CN"/>
        </w:rPr>
        <w:t>，单体数量为462处</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其次为可移动文物和民间文学艺术，数量分别为327处和313处。再次为传统演艺，共有173处。其余基本类型总量均小于100处。小于20处的有传统体育赛事14处，传统服饰装饰2处。</w:t>
      </w:r>
    </w:p>
    <w:p w14:paraId="3A71D43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新发现资源主要集中分布于</w:t>
      </w:r>
      <w:r>
        <w:rPr>
          <w:rFonts w:hint="eastAsia" w:ascii="Times New Roman" w:hAnsi="Times New Roman" w:cs="Times New Roman"/>
          <w:color w:val="auto"/>
          <w:sz w:val="24"/>
          <w:lang w:val="en-US" w:eastAsia="zh-CN"/>
        </w:rPr>
        <w:t>建筑遗迹、可移动文物、民间文学艺术等基本类型。建筑遗迹和可移动文物数量最多，</w:t>
      </w:r>
      <w:r>
        <w:rPr>
          <w:rFonts w:hint="default" w:ascii="Times New Roman" w:hAnsi="Times New Roman" w:cs="Times New Roman"/>
          <w:color w:val="auto"/>
          <w:sz w:val="24"/>
          <w:lang w:val="en-US" w:eastAsia="zh-CN"/>
        </w:rPr>
        <w:t>分别</w:t>
      </w:r>
      <w:r>
        <w:rPr>
          <w:rFonts w:hint="eastAsia" w:ascii="Times New Roman" w:hAnsi="Times New Roman" w:cs="Times New Roman"/>
          <w:color w:val="auto"/>
          <w:sz w:val="24"/>
          <w:lang w:val="en-US" w:eastAsia="zh-CN"/>
        </w:rPr>
        <w:t>为49处和41处，</w:t>
      </w:r>
      <w:r>
        <w:rPr>
          <w:rFonts w:hint="default" w:ascii="Times New Roman" w:hAnsi="Times New Roman" w:cs="Times New Roman"/>
          <w:color w:val="auto"/>
          <w:sz w:val="24"/>
          <w:lang w:val="en-US" w:eastAsia="zh-CN"/>
        </w:rPr>
        <w:t>占</w:t>
      </w:r>
      <w:r>
        <w:rPr>
          <w:rFonts w:hint="eastAsia" w:ascii="Times New Roman" w:hAnsi="Times New Roman" w:cs="Times New Roman"/>
          <w:color w:val="auto"/>
          <w:sz w:val="24"/>
          <w:lang w:val="en-US" w:eastAsia="zh-CN"/>
        </w:rPr>
        <w:t>历史遗迹</w:t>
      </w:r>
      <w:r>
        <w:rPr>
          <w:rFonts w:hint="default" w:ascii="Times New Roman" w:hAnsi="Times New Roman" w:cs="Times New Roman"/>
          <w:color w:val="auto"/>
          <w:sz w:val="24"/>
          <w:lang w:val="en-US" w:eastAsia="zh-CN"/>
        </w:rPr>
        <w:t>主类新发现总量</w:t>
      </w:r>
      <w:r>
        <w:rPr>
          <w:rFonts w:hint="eastAsia" w:ascii="Times New Roman" w:hAnsi="Times New Roman" w:cs="Times New Roman"/>
          <w:color w:val="auto"/>
          <w:sz w:val="24"/>
          <w:lang w:val="en-US" w:eastAsia="zh-CN"/>
        </w:rPr>
        <w:t>的34.75</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和29.08</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其次为民间文学艺术，新发现总量为26处，</w:t>
      </w:r>
      <w:r>
        <w:rPr>
          <w:rFonts w:hint="default" w:ascii="Times New Roman" w:hAnsi="Times New Roman" w:cs="Times New Roman"/>
          <w:color w:val="auto"/>
          <w:sz w:val="24"/>
          <w:lang w:val="en-US" w:eastAsia="zh-CN"/>
        </w:rPr>
        <w:t>占</w:t>
      </w:r>
      <w:r>
        <w:rPr>
          <w:rFonts w:hint="eastAsia" w:ascii="Times New Roman" w:hAnsi="Times New Roman" w:cs="Times New Roman"/>
          <w:color w:val="auto"/>
          <w:sz w:val="24"/>
          <w:lang w:val="en-US" w:eastAsia="zh-CN"/>
        </w:rPr>
        <w:t>历史遗迹</w:t>
      </w:r>
      <w:r>
        <w:rPr>
          <w:rFonts w:hint="default" w:ascii="Times New Roman" w:hAnsi="Times New Roman" w:cs="Times New Roman"/>
          <w:color w:val="auto"/>
          <w:sz w:val="24"/>
          <w:lang w:val="en-US" w:eastAsia="zh-CN"/>
        </w:rPr>
        <w:t>主类新发现总量</w:t>
      </w:r>
      <w:r>
        <w:rPr>
          <w:rFonts w:hint="eastAsia" w:ascii="Times New Roman" w:hAnsi="Times New Roman" w:cs="Times New Roman"/>
          <w:color w:val="auto"/>
          <w:sz w:val="24"/>
          <w:lang w:val="en-US" w:eastAsia="zh-CN"/>
        </w:rPr>
        <w:t>的18.44%。再次为传统演艺，为15处，占历史遗迹主类新发现总量的10.64%。最少的是传统体育赛事1处，占历史遗迹主类新发现总量的0.71%。</w:t>
      </w:r>
    </w:p>
    <w:p w14:paraId="7D4F64E8">
      <w:pPr>
        <w:keepNext w:val="0"/>
        <w:keepLines w:val="0"/>
        <w:pageBreakBefore w:val="0"/>
        <w:widowControl w:val="0"/>
        <w:numPr>
          <w:ilvl w:val="0"/>
          <w:numId w:val="10"/>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物质类文化遗存</w:t>
      </w:r>
    </w:p>
    <w:p w14:paraId="585F30A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本次普查共查明物质类文化遗存823处，其中，建筑遗迹数量最多，占该亚类总量的56.14%，其次为可移动文物占该亚类总量的39.73%。早期文明遗存数量较少，占比为4.13%。</w:t>
      </w:r>
    </w:p>
    <w:p w14:paraId="42B8D7A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物质类文化遗存亚类中新发现资源92处，建筑遗迹数量最多，占该亚类新发现资源总量的53.26%，其次是可移动文物占该亚类新发现资源总量的44.57%，早期文明遗存占比较少为2.17%。</w:t>
      </w:r>
    </w:p>
    <w:p w14:paraId="77E35681">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表3-28 物质类文化遗存亚类典型资源名录</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2"/>
        <w:gridCol w:w="5980"/>
      </w:tblGrid>
      <w:tr w14:paraId="3F6EE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tcPr>
          <w:p w14:paraId="5065482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资源类型</w:t>
            </w:r>
          </w:p>
        </w:tc>
        <w:tc>
          <w:tcPr>
            <w:tcW w:w="5980" w:type="dxa"/>
          </w:tcPr>
          <w:p w14:paraId="4CA6989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典型资源</w:t>
            </w:r>
          </w:p>
        </w:tc>
      </w:tr>
      <w:tr w14:paraId="61A0C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1C7FDAC1">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FAA建筑遗迹</w:t>
            </w:r>
          </w:p>
        </w:tc>
        <w:tc>
          <w:tcPr>
            <w:tcW w:w="5980" w:type="dxa"/>
          </w:tcPr>
          <w:p w14:paraId="4DA9E811">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武陟嘉应观、博爱磨头农场五七干校、沁阳太行陉、修武当阳峪瓷窑遗址、英福公司旧址（含采矿业遗址）、焦作山阳故城、温县司马故里旧址、沁阳邗国故城、焦作英福公司医院旧址、博爱柏山古建筑群、博爱清化大王庙、沁阳丹河峡谷九渡寨、博爱青莲寺、焦作私立焦作工学院工程馆旧址、焦作煤矿工人罢工指挥部旧址、沁阳太行径窑头段、焦作道清铁路遗址、焦作英福公司3号井井台、井架旧址、焦作英福公司总办事处旧址、沁阳太行陉碗子城、沁阳太行陉古羊肠坂道、孟州河阳故城、武陟人民胜利渠建设指挥部旧址、焦作太行第四专区及焦作市党政军机关旧址、焦作英福公司电工房旧址、焦作英福公司职员住宅旧址、焦作英福公司钱庄旧址、修武东岭后村传统民居、沁阳野王古城遗址、修武双庙传统民居、焦作解放区平东里、焦作英福公司发电机房旧址、焦作英福公司1、2号井井台、井架旧址、军调处新乡执行小组焦作谈判旧址、沁阳丹河峡谷480电厂生活区旧址、武陟周隰城遗址、修武当阳峪村中原里职员住宅、修武双庙村南北庙、沁阳神农山云阳寨、沁阳神农山紫金顶神农祭天坛、温县西梁所遗址、焦作西王褚民居、博爱牛磨村王氏古民居、温县州城遗址、沁阳丹河峡谷480电厂生产区旧址、焦作中共博爱第一党支部旧址、博爱县西庄村清代古民居、孟州岑村九郎王庙大殿、修武圆融寺王兰广故居、修武张氏祠堂、焦作上白作民居、焦作月季公园遗址、焦作狮涧窑址、博爱送子奶奶堂、博爱重筑清化城城墙碑、焦作解放区狼坡窑址、焦作道清铁路机车供水站台旧址、焦作西大井英福公司王封矿井架、焦作东于村瓷窑址、焦作农民政治夜校旧址、沁阳天鹅湖野王古城城墙、沁阳丹河峡谷水磨房、修武双庙村佛祖及观音庙、焦作西于村孔庙大殿、修武龙门通济庵、焦作东王褚旧址、孟州义井龙山文化遗址、孟州禹寺遗址、焦作灵泉寺、孟州古周城村古官道、焦作小庄村南遗址、焦作解放区道清铁路局火药库旧址、焦作解放区狮涧石桥、焦作解放区平光墓群、北业中共焦作城市工作委员会办公旧址、焦作道清铁路供水塔旧址</w:t>
            </w:r>
          </w:p>
        </w:tc>
      </w:tr>
      <w:tr w14:paraId="40A3F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7904E973">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FAB可移动文物</w:t>
            </w:r>
          </w:p>
        </w:tc>
        <w:tc>
          <w:tcPr>
            <w:tcW w:w="5980" w:type="dxa"/>
          </w:tcPr>
          <w:p w14:paraId="3FF15E55">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沁阳博物馆王铎《延香馆帖》刻石、博爱七层彩绘连阁式陶仓楼、博爱北魏石刻造像、焦作市博物馆陶建筑明器、沁阳博物馆唐石龙头、沁阳博物馆明“日月”铜菩萨、博爱馆藏耕织图、焦作市博物馆五层连阁式彩绘陶仓楼、焦作市博物馆七层连阁式彩绘陶仓楼、焦作古怀州博物馆马车、焦作市博物馆二层彩绘陶仓楼、焦作古怀州博物馆横梁、焦作古怀州博物馆砖瓦、修武圆融寺石供桌、焦作古怀州博物馆唐代石狮子、焦作古怀州博物馆牌匾、焦作古怀州博物馆墀头、焦作市博物馆彩绘陶仓、焦作圆融寺狮虎兽、焦作古怀州博物馆古家具、焦作古怀州博物馆木雕、焦作古怀州博物馆斗拱、焦作圆融寺卢舍那佛像、修武辟支佛白玉雕像、焦作古怀州博物馆匾托、焦作古怀州博物馆门户、焦作古怀州博物馆花窗、焦作古怀州博物馆宋代石狮子、焦作古怀州博物馆旗杆石墩、温县慈胜寺铁钟</w:t>
            </w:r>
          </w:p>
        </w:tc>
      </w:tr>
      <w:tr w14:paraId="7C994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2" w:type="dxa"/>
            <w:vAlign w:val="center"/>
          </w:tcPr>
          <w:p w14:paraId="5EDBA58D">
            <w:pPr>
              <w:jc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FAC早期文明遗存</w:t>
            </w:r>
          </w:p>
        </w:tc>
        <w:tc>
          <w:tcPr>
            <w:tcW w:w="5980" w:type="dxa"/>
          </w:tcPr>
          <w:p w14:paraId="098DF424">
            <w:pPr>
              <w:rPr>
                <w:rFonts w:hint="eastAsia" w:ascii="仿宋" w:hAnsi="仿宋" w:eastAsia="仿宋" w:cs="仿宋"/>
                <w:i w:val="0"/>
                <w:caps w:val="0"/>
                <w:color w:val="auto"/>
                <w:spacing w:val="0"/>
                <w:sz w:val="21"/>
                <w:szCs w:val="21"/>
                <w:shd w:val="clear" w:fill="E6F7FF"/>
                <w:lang w:val="en-US" w:eastAsia="zh-CN"/>
              </w:rPr>
            </w:pPr>
            <w:r>
              <w:rPr>
                <w:rFonts w:hint="eastAsia" w:ascii="仿宋" w:hAnsi="仿宋" w:eastAsia="仿宋" w:cs="仿宋"/>
                <w:color w:val="auto"/>
                <w:sz w:val="21"/>
                <w:szCs w:val="21"/>
              </w:rPr>
              <w:t>博爱西金城遗址</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焦作府城遗址</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温县徐堡古城址</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焦作赵张弓遗址</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武陟赵庄遗址</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沁阳神农山仙神谷静应庙太乙真人遗址</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温县东口遗址</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焦作聩城寨遗址</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博爱龙山文化遗址</w:t>
            </w:r>
          </w:p>
        </w:tc>
      </w:tr>
    </w:tbl>
    <w:p w14:paraId="01F62C79">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imes New Roman" w:hAnsi="Times New Roman" w:cs="Times New Roman"/>
          <w:color w:val="auto"/>
          <w:sz w:val="24"/>
          <w:lang w:val="en-US" w:eastAsia="zh-CN"/>
        </w:rPr>
      </w:pPr>
    </w:p>
    <w:p w14:paraId="02FB717D">
      <w:pPr>
        <w:keepNext w:val="0"/>
        <w:keepLines w:val="0"/>
        <w:pageBreakBefore w:val="0"/>
        <w:widowControl w:val="0"/>
        <w:numPr>
          <w:ilvl w:val="0"/>
          <w:numId w:val="10"/>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非物质类文化遗存</w:t>
      </w:r>
    </w:p>
    <w:p w14:paraId="05AC7FC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本次普查共查明非物质类文化遗存640处，其中，民间文学艺术数量最多，占该亚类总量的48.91%，其次为传统演艺占该亚类总量的27.03%。传统服装服饰数量较少，占比为0.31%。</w:t>
      </w:r>
    </w:p>
    <w:p w14:paraId="6E6D0E8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非物质类文化遗存亚类中新发现资源49处，民间文学艺术数量最多，占该亚类新发现资源总量的53.06%，其次是传统演艺占该亚类新发现资源总量的30.61%，传统体育赛事占比较少为2.04%，地方习俗和传统服装服饰均无新发现资源。</w:t>
      </w:r>
    </w:p>
    <w:p w14:paraId="40604560">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表3-29 非物质类文化遗存亚类典型资源名录</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6"/>
        <w:gridCol w:w="7036"/>
      </w:tblGrid>
      <w:tr w14:paraId="6E3B3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6" w:type="dxa"/>
          </w:tcPr>
          <w:p w14:paraId="7F167F1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资源类型</w:t>
            </w:r>
          </w:p>
        </w:tc>
        <w:tc>
          <w:tcPr>
            <w:tcW w:w="7036" w:type="dxa"/>
          </w:tcPr>
          <w:p w14:paraId="2D8DAAC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典型资源</w:t>
            </w:r>
          </w:p>
        </w:tc>
      </w:tr>
      <w:tr w14:paraId="5F6E9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6" w:type="dxa"/>
            <w:vAlign w:val="center"/>
          </w:tcPr>
          <w:p w14:paraId="585D3967">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FBA民间文学艺术</w:t>
            </w:r>
          </w:p>
        </w:tc>
        <w:tc>
          <w:tcPr>
            <w:tcW w:w="7036" w:type="dxa"/>
          </w:tcPr>
          <w:p w14:paraId="3535A352">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修武丁兰刻木传说、沁阳神农山神农传说、孟州大型古装曲剧《韩愈》、孟州大型古装曲剧《韩愈释奴》、温县司马懿传说、沁阳野王纻器制作技艺、黄河河工号子、修武宁封子的传说、孟州韩湘子传说、董家全驴宴、孟州《韩愈镇州宣抚平叛》、温县沉浸式小品杨露禅学拳、武陟嘉应观传说、焦作菜茶制作技艺、焦作解放区面塑、孟州麦草画技艺、焦作解放区陆羽茶经二十四器制作技艺、焦作蒋氏豆沫制作技艺、焦作曹氏传统书法匾额制作技艺、焦作大唐煎茶法、焦作解放区张氏民间诗书画艺制作技艺、焦作解放区孙氏装裱技艺、沁阳怀府硪（夯）歌、焦作沈鹿宿神鹿惊御驾，唐王赐村名、焦作解放区陆羽煮茶法、焦作解放区云山道教合香传统制作技艺、焦作解放区魔术、焦作解放区靳贤书烧饼制作技艺</w:t>
            </w:r>
          </w:p>
        </w:tc>
      </w:tr>
      <w:tr w14:paraId="56E38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6" w:type="dxa"/>
            <w:vAlign w:val="center"/>
          </w:tcPr>
          <w:p w14:paraId="32A388E0">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FBB地方习俗</w:t>
            </w:r>
          </w:p>
        </w:tc>
        <w:tc>
          <w:tcPr>
            <w:tcW w:w="7036" w:type="dxa"/>
          </w:tcPr>
          <w:p w14:paraId="2C1A3CBC">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博爱许良大新庄邘新社亲</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武陟观音度法船</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孟州青龙祭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博爱邘新社亲</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孟州杨氏家传文化</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武陟大钉缸</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武陟安氏祭祖仪式</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武陟钐麦列子</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武陟醯甜麻糖与婚俗</w:t>
            </w:r>
          </w:p>
        </w:tc>
      </w:tr>
      <w:tr w14:paraId="463FA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6" w:type="dxa"/>
            <w:vAlign w:val="center"/>
          </w:tcPr>
          <w:p w14:paraId="54A82A7E">
            <w:pPr>
              <w:jc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FBC传统服装服饰</w:t>
            </w:r>
          </w:p>
        </w:tc>
        <w:tc>
          <w:tcPr>
            <w:tcW w:w="7036" w:type="dxa"/>
          </w:tcPr>
          <w:p w14:paraId="059D3CB4">
            <w:pPr>
              <w:rPr>
                <w:rFonts w:hint="eastAsia" w:ascii="仿宋" w:hAnsi="仿宋" w:eastAsia="仿宋" w:cs="仿宋"/>
                <w:i w:val="0"/>
                <w:caps w:val="0"/>
                <w:color w:val="auto"/>
                <w:spacing w:val="0"/>
                <w:sz w:val="21"/>
                <w:szCs w:val="21"/>
                <w:shd w:val="clear" w:fill="E6F7FF"/>
                <w:lang w:val="en-US" w:eastAsia="zh-CN"/>
              </w:rPr>
            </w:pPr>
            <w:r>
              <w:rPr>
                <w:rFonts w:hint="eastAsia" w:ascii="仿宋" w:hAnsi="仿宋" w:eastAsia="仿宋" w:cs="仿宋"/>
                <w:color w:val="auto"/>
                <w:sz w:val="21"/>
                <w:szCs w:val="21"/>
                <w:lang w:val="en-US" w:eastAsia="zh-CN"/>
              </w:rPr>
              <w:t>修武丛氏家族汉襟、武陟冥衣服饰</w:t>
            </w:r>
          </w:p>
        </w:tc>
      </w:tr>
      <w:tr w14:paraId="1F307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6" w:type="dxa"/>
            <w:vAlign w:val="center"/>
          </w:tcPr>
          <w:p w14:paraId="46FD0031">
            <w:pPr>
              <w:jc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FBD传统演艺</w:t>
            </w:r>
          </w:p>
        </w:tc>
        <w:tc>
          <w:tcPr>
            <w:tcW w:w="7036" w:type="dxa"/>
          </w:tcPr>
          <w:p w14:paraId="56D91CC3">
            <w:pPr>
              <w:rPr>
                <w:rFonts w:hint="eastAsia" w:ascii="仿宋" w:hAnsi="仿宋" w:eastAsia="仿宋" w:cs="仿宋"/>
                <w:i w:val="0"/>
                <w:caps w:val="0"/>
                <w:color w:val="auto"/>
                <w:spacing w:val="0"/>
                <w:sz w:val="21"/>
                <w:szCs w:val="21"/>
                <w:shd w:val="clear" w:fill="E6F7FF"/>
                <w:lang w:val="en-US" w:eastAsia="zh-CN"/>
              </w:rPr>
            </w:pPr>
            <w:r>
              <w:rPr>
                <w:rFonts w:hint="eastAsia" w:ascii="仿宋" w:hAnsi="仿宋" w:eastAsia="仿宋" w:cs="仿宋"/>
                <w:color w:val="auto"/>
                <w:sz w:val="21"/>
                <w:szCs w:val="21"/>
                <w:lang w:val="en-US" w:eastAsia="zh-CN"/>
              </w:rPr>
              <w:t>焦作小尚虎舞、沁阳唢呐艺术、沁阳言状老虎、沁阳怀梆、焦作耍老虎、孟州火龙舞、沁阳高抬火轿、焦作苏家作龙凤灯舞、焦作常家武虎、博爱清化二夹弦戏、沁阳景明“耍老虎”、博爱砖井狮虎舞、焦作黄庄大辫戏、博爱清化三街鱼拱莲舞、河南坠子、博爱三街耍老虎、孟州土硪号子、温县河洛大鼓、沁阳怀梆《杨介人》、博爱鸿昌九街龙灯舞、焦作东冯封文武高跷、焦作箜篌、焦作薛延陵盘鼓、博爱清化三街老虎舞、焦作方言快书、焦作怀庆皮黄、博爱南关怀梆、焦作大沙河太行盆景园打铁花、焦作聂村怀邦、焦作马村大鼓、焦作大高村盘鼓、焦作寨卜昌怀庆皮黄、焦作下马村舞老虎、孟州河阳花鼓戏、博爱清化六街老虎舞、焦作仓上村二鬼摔跤、武陟舞狮</w:t>
            </w:r>
          </w:p>
        </w:tc>
      </w:tr>
      <w:tr w14:paraId="4E9AF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6" w:type="dxa"/>
            <w:vAlign w:val="center"/>
          </w:tcPr>
          <w:p w14:paraId="1A77B6CC">
            <w:pPr>
              <w:jc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FBE传统医药</w:t>
            </w:r>
          </w:p>
        </w:tc>
        <w:tc>
          <w:tcPr>
            <w:tcW w:w="7036" w:type="dxa"/>
          </w:tcPr>
          <w:p w14:paraId="1E7F515E">
            <w:pPr>
              <w:rPr>
                <w:rFonts w:hint="eastAsia" w:ascii="仿宋" w:hAnsi="仿宋" w:eastAsia="仿宋" w:cs="仿宋"/>
                <w:i w:val="0"/>
                <w:caps w:val="0"/>
                <w:color w:val="auto"/>
                <w:spacing w:val="0"/>
                <w:sz w:val="21"/>
                <w:szCs w:val="21"/>
                <w:shd w:val="clear" w:fill="E6F7FF"/>
                <w:lang w:val="en-US" w:eastAsia="zh-CN"/>
              </w:rPr>
            </w:pPr>
            <w:r>
              <w:rPr>
                <w:rFonts w:hint="eastAsia" w:ascii="仿宋" w:hAnsi="仿宋" w:eastAsia="仿宋" w:cs="仿宋"/>
                <w:color w:val="auto"/>
                <w:sz w:val="21"/>
                <w:szCs w:val="21"/>
              </w:rPr>
              <w:t>焦作四大怀药的种植与炮制</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焦作云氏小儿化积散</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焦作解放区云氏针灸</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焦作中医理筋手法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焦作刘氏空灵针刺法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焦作显仲堂抑菌液疗法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郭生白中医养生</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焦作崔氏通痹汤</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焦作解放区德生活血膏</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焦作国民精成推拿术</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焦作解放区正骨膏药</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焦作曲式点穴术</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膏药制作技艺（董氏膏药制作技艺）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焦作解放区何氏膏药制作技艺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焦作邱氏舒筋骨伤膏</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焦作郑氏导引疗法</w:t>
            </w:r>
          </w:p>
        </w:tc>
      </w:tr>
      <w:tr w14:paraId="1A01C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6" w:type="dxa"/>
            <w:vAlign w:val="center"/>
          </w:tcPr>
          <w:p w14:paraId="0B6F475E">
            <w:pPr>
              <w:jc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FBF传统体育赛事</w:t>
            </w:r>
          </w:p>
        </w:tc>
        <w:tc>
          <w:tcPr>
            <w:tcW w:w="7036" w:type="dxa"/>
          </w:tcPr>
          <w:p w14:paraId="1D0CB966">
            <w:pPr>
              <w:rPr>
                <w:rFonts w:hint="eastAsia" w:ascii="仿宋" w:hAnsi="仿宋" w:eastAsia="仿宋" w:cs="仿宋"/>
                <w:i w:val="0"/>
                <w:caps w:val="0"/>
                <w:color w:val="auto"/>
                <w:spacing w:val="0"/>
                <w:sz w:val="21"/>
                <w:szCs w:val="21"/>
                <w:shd w:val="clear" w:fill="E6F7FF"/>
                <w:lang w:val="en-US" w:eastAsia="zh-CN"/>
              </w:rPr>
            </w:pPr>
            <w:r>
              <w:rPr>
                <w:rFonts w:hint="eastAsia" w:ascii="仿宋" w:hAnsi="仿宋" w:eastAsia="仿宋" w:cs="仿宋"/>
                <w:color w:val="auto"/>
                <w:sz w:val="21"/>
                <w:szCs w:val="21"/>
              </w:rPr>
              <w:t>温县国际太极拳年会</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温县陈家沟太极功夫精英赛</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温县陈家沟印象“天才杯”太极拳交流大赛</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温县陈照森太极拳交流大赛</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温县陈正雷太极再传弟子功力功法大赛</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温县武术锦标赛</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温县太极拳、械锦标赛</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温县陈家沟太极拳家乡赛</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温县陈家沟“王廷杯”太极拳公开赛</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温县“王西安杯”陈家沟太极拳传承交流大赛</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温县陈家沟太极拳村赛</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温县陈家沟陈式太极拳国际交流大赛</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焦作欢庆重阳健身气功展示交流大赛</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温县陈氏太极拳小架邀请赛</w:t>
            </w:r>
          </w:p>
        </w:tc>
      </w:tr>
      <w:tr w14:paraId="6B1D3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6" w:type="dxa"/>
            <w:vAlign w:val="center"/>
          </w:tcPr>
          <w:p w14:paraId="67DB1F42">
            <w:pPr>
              <w:jc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FBG传统武术</w:t>
            </w:r>
          </w:p>
        </w:tc>
        <w:tc>
          <w:tcPr>
            <w:tcW w:w="7036" w:type="dxa"/>
          </w:tcPr>
          <w:p w14:paraId="1FDC2D39">
            <w:pPr>
              <w:rPr>
                <w:rFonts w:hint="eastAsia" w:ascii="仿宋" w:hAnsi="仿宋" w:eastAsia="仿宋" w:cs="仿宋"/>
                <w:i w:val="0"/>
                <w:caps w:val="0"/>
                <w:color w:val="auto"/>
                <w:spacing w:val="0"/>
                <w:sz w:val="21"/>
                <w:szCs w:val="21"/>
                <w:shd w:val="clear" w:fill="E6F7FF"/>
                <w:lang w:val="en-US" w:eastAsia="zh-CN"/>
              </w:rPr>
            </w:pPr>
            <w:r>
              <w:rPr>
                <w:rFonts w:hint="eastAsia" w:ascii="仿宋" w:hAnsi="仿宋" w:eastAsia="仿宋" w:cs="仿宋"/>
                <w:color w:val="auto"/>
                <w:sz w:val="21"/>
                <w:szCs w:val="21"/>
              </w:rPr>
              <w:t>博爱月山寺八极拳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焦作查拳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温县和式太极拳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温县陈氏太极拳太极枪拳法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温县陈氏太极拳太极单剑拳法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温县陈氏太极拳推手</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温县陈氏太极拳老架二路拳法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温县陈氏太极拳老架一路拳法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焦作猿仙通背拳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温县陈氏太极拳忽雷架</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温县陈氏太极拳小架</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温县陈氏太极拳新架</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太极拳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焦作卢氏两儀拳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博爱磨头王堡枪</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温县陈氏太极拳太极单刀拳法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温县陈氏太极拳梨花枪夹白猿棍拳法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温县陈氏太极拳青龙偃月刀拳法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温县陈氏太极拳双人粘枪拳法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温县陈氏太极拳太极双刀拳法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博爱西庄吕氏盘拳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焦作斜串（锤）拳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焦作下马村小洪拳</w:t>
            </w:r>
          </w:p>
        </w:tc>
      </w:tr>
    </w:tbl>
    <w:p w14:paraId="0F4996B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宋体" w:hAnsi="宋体" w:cs="宋体"/>
          <w:b/>
          <w:bCs/>
          <w:color w:val="auto"/>
          <w:sz w:val="24"/>
          <w:szCs w:val="24"/>
          <w:lang w:val="en-US" w:eastAsia="zh-CN"/>
        </w:rPr>
      </w:pPr>
    </w:p>
    <w:p w14:paraId="734D3821">
      <w:pPr>
        <w:keepNext w:val="0"/>
        <w:keepLines w:val="0"/>
        <w:pageBreakBefore w:val="0"/>
        <w:widowControl w:val="0"/>
        <w:numPr>
          <w:ilvl w:val="0"/>
          <w:numId w:val="11"/>
        </w:numPr>
        <w:kinsoku/>
        <w:wordWrap/>
        <w:overflowPunct/>
        <w:topLinePunct w:val="0"/>
        <w:autoSpaceDE/>
        <w:autoSpaceDN/>
        <w:bidi w:val="0"/>
        <w:adjustRightInd/>
        <w:snapToGrid/>
        <w:spacing w:line="360" w:lineRule="auto"/>
        <w:jc w:val="both"/>
        <w:textAlignment w:val="auto"/>
        <w:outlineLvl w:val="2"/>
        <w:rPr>
          <w:rFonts w:hint="eastAsia" w:ascii="宋体" w:hAnsi="宋体" w:cs="宋体"/>
          <w:b/>
          <w:bCs/>
          <w:color w:val="auto"/>
          <w:sz w:val="28"/>
          <w:szCs w:val="28"/>
          <w:lang w:val="en-US" w:eastAsia="zh-CN"/>
        </w:rPr>
      </w:pPr>
      <w:bookmarkStart w:id="70" w:name="_Toc16250"/>
      <w:r>
        <w:rPr>
          <w:rFonts w:hint="eastAsia" w:ascii="宋体" w:hAnsi="宋体" w:cs="宋体"/>
          <w:b/>
          <w:bCs/>
          <w:color w:val="auto"/>
          <w:sz w:val="28"/>
          <w:szCs w:val="28"/>
          <w:lang w:val="en-US" w:eastAsia="zh-CN"/>
        </w:rPr>
        <w:t>旅游购品类</w:t>
      </w:r>
      <w:bookmarkEnd w:id="70"/>
    </w:p>
    <w:p w14:paraId="117E6F2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本次普查全市共查明旅游购品类旅游资源824</w:t>
      </w:r>
      <w:r>
        <w:rPr>
          <w:rFonts w:hint="default" w:ascii="Times New Roman" w:hAnsi="Times New Roman" w:cs="Times New Roman"/>
          <w:color w:val="auto"/>
          <w:sz w:val="24"/>
          <w:lang w:val="en-US" w:eastAsia="zh-CN"/>
        </w:rPr>
        <w:t>处，占</w:t>
      </w:r>
      <w:r>
        <w:rPr>
          <w:rFonts w:hint="eastAsia" w:ascii="Times New Roman" w:hAnsi="Times New Roman" w:cs="Times New Roman"/>
          <w:color w:val="auto"/>
          <w:sz w:val="24"/>
          <w:lang w:val="en-US" w:eastAsia="zh-CN"/>
        </w:rPr>
        <w:t>全市</w:t>
      </w:r>
      <w:r>
        <w:rPr>
          <w:rFonts w:hint="default" w:ascii="Times New Roman" w:hAnsi="Times New Roman" w:cs="Times New Roman"/>
          <w:color w:val="auto"/>
          <w:sz w:val="24"/>
          <w:lang w:val="en-US" w:eastAsia="zh-CN"/>
        </w:rPr>
        <w:t>旅游</w:t>
      </w:r>
      <w:r>
        <w:rPr>
          <w:rFonts w:hint="eastAsia" w:ascii="Times New Roman" w:hAnsi="Times New Roman" w:cs="Times New Roman"/>
          <w:color w:val="auto"/>
          <w:sz w:val="24"/>
          <w:lang w:val="en-US" w:eastAsia="zh-CN"/>
        </w:rPr>
        <w:t>资源</w:t>
      </w:r>
      <w:r>
        <w:rPr>
          <w:rFonts w:hint="default" w:ascii="Times New Roman" w:hAnsi="Times New Roman" w:cs="Times New Roman"/>
          <w:color w:val="auto"/>
          <w:sz w:val="24"/>
          <w:lang w:val="en-US" w:eastAsia="zh-CN"/>
        </w:rPr>
        <w:t>总</w:t>
      </w:r>
      <w:r>
        <w:rPr>
          <w:rFonts w:hint="eastAsia" w:ascii="Times New Roman" w:hAnsi="Times New Roman" w:cs="Times New Roman"/>
          <w:color w:val="auto"/>
          <w:sz w:val="24"/>
          <w:lang w:val="en-US" w:eastAsia="zh-CN"/>
        </w:rPr>
        <w:t>量的6.86%，</w:t>
      </w:r>
      <w:r>
        <w:rPr>
          <w:rFonts w:hint="default" w:ascii="Times New Roman" w:hAnsi="Times New Roman" w:cs="Times New Roman"/>
          <w:color w:val="auto"/>
          <w:sz w:val="24"/>
          <w:lang w:val="en-US" w:eastAsia="zh-CN"/>
        </w:rPr>
        <w:t xml:space="preserve">其中新发现新认定资源 </w:t>
      </w:r>
      <w:r>
        <w:rPr>
          <w:rFonts w:hint="eastAsia" w:ascii="Times New Roman" w:hAnsi="Times New Roman" w:cs="Times New Roman"/>
          <w:color w:val="auto"/>
          <w:sz w:val="24"/>
          <w:lang w:val="en-US" w:eastAsia="zh-CN"/>
        </w:rPr>
        <w:t>110</w:t>
      </w:r>
      <w:r>
        <w:rPr>
          <w:rFonts w:hint="default" w:ascii="Times New Roman" w:hAnsi="Times New Roman" w:cs="Times New Roman"/>
          <w:color w:val="auto"/>
          <w:sz w:val="24"/>
          <w:lang w:val="en-US" w:eastAsia="zh-CN"/>
        </w:rPr>
        <w:t>处，占</w:t>
      </w:r>
      <w:r>
        <w:rPr>
          <w:rFonts w:hint="eastAsia" w:ascii="Times New Roman" w:hAnsi="Times New Roman" w:cs="Times New Roman"/>
          <w:color w:val="auto"/>
          <w:sz w:val="24"/>
          <w:lang w:val="en-US" w:eastAsia="zh-CN"/>
        </w:rPr>
        <w:t>旅游购品</w:t>
      </w:r>
      <w:r>
        <w:rPr>
          <w:rFonts w:hint="default" w:ascii="Times New Roman" w:hAnsi="Times New Roman" w:cs="Times New Roman"/>
          <w:color w:val="auto"/>
          <w:sz w:val="24"/>
          <w:lang w:val="en-US" w:eastAsia="zh-CN"/>
        </w:rPr>
        <w:t>总量</w:t>
      </w:r>
      <w:r>
        <w:rPr>
          <w:rFonts w:hint="eastAsia" w:ascii="Times New Roman" w:hAnsi="Times New Roman" w:cs="Times New Roman"/>
          <w:color w:val="auto"/>
          <w:sz w:val="24"/>
          <w:lang w:val="en-US" w:eastAsia="zh-CN"/>
        </w:rPr>
        <w:t>13.35</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。旅游购品</w:t>
      </w:r>
      <w:r>
        <w:rPr>
          <w:rFonts w:hint="default" w:ascii="Times New Roman" w:hAnsi="Times New Roman" w:cs="Times New Roman"/>
          <w:color w:val="auto"/>
          <w:sz w:val="24"/>
          <w:lang w:val="en-US" w:eastAsia="zh-CN"/>
        </w:rPr>
        <w:t>类旅</w:t>
      </w:r>
      <w:r>
        <w:rPr>
          <w:rFonts w:hint="eastAsia" w:ascii="Times New Roman" w:hAnsi="Times New Roman" w:cs="Times New Roman"/>
          <w:color w:val="auto"/>
          <w:sz w:val="24"/>
          <w:lang w:val="en-US" w:eastAsia="zh-CN"/>
        </w:rPr>
        <w:t>游资源分布于5</w:t>
      </w:r>
      <w:r>
        <w:rPr>
          <w:rFonts w:hint="default" w:ascii="Times New Roman" w:hAnsi="Times New Roman" w:cs="Times New Roman"/>
          <w:color w:val="auto"/>
          <w:sz w:val="24"/>
          <w:lang w:val="en-US" w:eastAsia="zh-CN"/>
        </w:rPr>
        <w:t>个亚类、</w:t>
      </w:r>
      <w:r>
        <w:rPr>
          <w:rFonts w:hint="eastAsia" w:ascii="Times New Roman" w:hAnsi="Times New Roman" w:cs="Times New Roman"/>
          <w:color w:val="auto"/>
          <w:sz w:val="24"/>
          <w:lang w:val="en-US" w:eastAsia="zh-CN"/>
        </w:rPr>
        <w:t>16</w:t>
      </w:r>
      <w:r>
        <w:rPr>
          <w:rFonts w:hint="default" w:ascii="Times New Roman" w:hAnsi="Times New Roman" w:cs="Times New Roman"/>
          <w:color w:val="auto"/>
          <w:sz w:val="24"/>
          <w:lang w:val="en-US" w:eastAsia="zh-CN"/>
        </w:rPr>
        <w:t xml:space="preserve">个基本类型。 </w:t>
      </w:r>
      <w:r>
        <w:rPr>
          <w:rFonts w:hint="eastAsia" w:ascii="Times New Roman" w:hAnsi="Times New Roman" w:cs="Times New Roman"/>
          <w:color w:val="auto"/>
          <w:sz w:val="24"/>
          <w:lang w:val="en-US" w:eastAsia="zh-CN"/>
        </w:rPr>
        <w:t>各类型总量和新发现数量见表3-30所示。</w:t>
      </w:r>
    </w:p>
    <w:p w14:paraId="24DE9B48">
      <w:pPr>
        <w:snapToGrid w:val="0"/>
        <w:spacing w:line="240" w:lineRule="auto"/>
        <w:jc w:val="center"/>
        <w:outlineLvl w:val="9"/>
        <w:rPr>
          <w:rFonts w:hint="eastAsia" w:ascii="Times New Roman" w:hAnsi="Times New Roman" w:cs="Times New Roman"/>
          <w:color w:val="auto"/>
          <w:sz w:val="24"/>
          <w:lang w:val="en-US" w:eastAsia="zh-CN"/>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表3-30 旅游购品旅游资源分类统计表</w:t>
      </w:r>
    </w:p>
    <w:tbl>
      <w:tblPr>
        <w:tblStyle w:val="15"/>
        <w:tblpPr w:leftFromText="180" w:rightFromText="180" w:vertAnchor="text" w:horzAnchor="page" w:tblpX="1947" w:tblpY="251"/>
        <w:tblOverlap w:val="never"/>
        <w:tblW w:w="822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58"/>
        <w:gridCol w:w="670"/>
        <w:gridCol w:w="975"/>
        <w:gridCol w:w="743"/>
        <w:gridCol w:w="2075"/>
        <w:gridCol w:w="894"/>
        <w:gridCol w:w="913"/>
      </w:tblGrid>
      <w:tr w14:paraId="74323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trPr>
        <w:tc>
          <w:tcPr>
            <w:tcW w:w="195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BF1744C">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lang w:val="en-US"/>
              </w:rPr>
            </w:pPr>
            <w:r>
              <w:rPr>
                <w:rFonts w:hint="eastAsia" w:ascii="仿宋" w:hAnsi="仿宋" w:eastAsia="仿宋" w:cs="仿宋"/>
                <w:b/>
                <w:bCs/>
                <w:i w:val="0"/>
                <w:iCs w:val="0"/>
                <w:color w:val="auto"/>
                <w:kern w:val="0"/>
                <w:sz w:val="21"/>
                <w:szCs w:val="21"/>
                <w:u w:val="none"/>
                <w:lang w:val="en-US" w:eastAsia="zh-CN" w:bidi="ar"/>
              </w:rPr>
              <w:t>资源基本类型</w:t>
            </w:r>
          </w:p>
          <w:p w14:paraId="28C96127">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lang w:val="en-US"/>
              </w:rPr>
            </w:pPr>
          </w:p>
        </w:tc>
        <w:tc>
          <w:tcPr>
            <w:tcW w:w="6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FB1E095">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r>
              <w:rPr>
                <w:rFonts w:hint="eastAsia" w:ascii="仿宋" w:hAnsi="仿宋" w:eastAsia="仿宋" w:cs="仿宋"/>
                <w:b/>
                <w:bCs/>
                <w:i w:val="0"/>
                <w:iCs w:val="0"/>
                <w:color w:val="auto"/>
                <w:kern w:val="0"/>
                <w:sz w:val="21"/>
                <w:szCs w:val="21"/>
                <w:u w:val="none"/>
                <w:lang w:val="en-US" w:eastAsia="zh-CN" w:bidi="ar"/>
              </w:rPr>
              <w:t>总量</w:t>
            </w:r>
          </w:p>
        </w:tc>
        <w:tc>
          <w:tcPr>
            <w:tcW w:w="97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7544ECC">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r>
              <w:rPr>
                <w:rFonts w:hint="eastAsia" w:ascii="仿宋" w:hAnsi="仿宋" w:eastAsia="仿宋" w:cs="仿宋"/>
                <w:b/>
                <w:bCs/>
                <w:i w:val="0"/>
                <w:iCs w:val="0"/>
                <w:color w:val="auto"/>
                <w:kern w:val="0"/>
                <w:sz w:val="21"/>
                <w:szCs w:val="21"/>
                <w:u w:val="none"/>
                <w:lang w:val="en-US" w:eastAsia="zh-CN" w:bidi="ar"/>
              </w:rPr>
              <w:t>新发现数量</w:t>
            </w:r>
          </w:p>
        </w:tc>
        <w:tc>
          <w:tcPr>
            <w:tcW w:w="743" w:type="dxa"/>
            <w:vMerge w:val="restart"/>
            <w:tcBorders>
              <w:top w:val="single" w:color="000000" w:sz="8" w:space="0"/>
              <w:left w:val="single" w:color="000000" w:sz="8" w:space="0"/>
              <w:right w:val="single" w:color="000000" w:sz="8" w:space="0"/>
            </w:tcBorders>
            <w:shd w:val="clear" w:color="auto" w:fill="auto"/>
            <w:vAlign w:val="center"/>
          </w:tcPr>
          <w:p w14:paraId="1D0A1841">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p>
        </w:tc>
        <w:tc>
          <w:tcPr>
            <w:tcW w:w="207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701A40A">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资源基本类型</w:t>
            </w:r>
          </w:p>
        </w:tc>
        <w:tc>
          <w:tcPr>
            <w:tcW w:w="89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740AD0A">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总量</w:t>
            </w:r>
          </w:p>
        </w:tc>
        <w:tc>
          <w:tcPr>
            <w:tcW w:w="91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69AE729">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新发现数量</w:t>
            </w:r>
          </w:p>
        </w:tc>
      </w:tr>
      <w:tr w14:paraId="3EDFBF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1958" w:type="dxa"/>
            <w:tcBorders>
              <w:top w:val="nil"/>
              <w:left w:val="single" w:color="000000" w:sz="8" w:space="0"/>
              <w:bottom w:val="single" w:color="000000" w:sz="8" w:space="0"/>
              <w:right w:val="single" w:color="000000" w:sz="8" w:space="0"/>
            </w:tcBorders>
            <w:shd w:val="clear" w:color="auto" w:fill="auto"/>
            <w:vAlign w:val="center"/>
          </w:tcPr>
          <w:p w14:paraId="20955759">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GA 农业产品</w:t>
            </w:r>
          </w:p>
        </w:tc>
        <w:tc>
          <w:tcPr>
            <w:tcW w:w="670" w:type="dxa"/>
            <w:tcBorders>
              <w:top w:val="nil"/>
              <w:left w:val="single" w:color="000000" w:sz="8" w:space="0"/>
              <w:bottom w:val="single" w:color="000000" w:sz="8" w:space="0"/>
              <w:right w:val="single" w:color="000000" w:sz="8" w:space="0"/>
            </w:tcBorders>
            <w:shd w:val="clear" w:color="auto" w:fill="auto"/>
            <w:vAlign w:val="center"/>
          </w:tcPr>
          <w:p w14:paraId="6699A06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180</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0FEE29A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27</w:t>
            </w:r>
          </w:p>
        </w:tc>
        <w:tc>
          <w:tcPr>
            <w:tcW w:w="743" w:type="dxa"/>
            <w:vMerge w:val="continue"/>
            <w:tcBorders>
              <w:left w:val="single" w:color="000000" w:sz="8" w:space="0"/>
              <w:right w:val="single" w:color="000000" w:sz="8" w:space="0"/>
            </w:tcBorders>
            <w:shd w:val="clear" w:color="auto" w:fill="auto"/>
            <w:vAlign w:val="center"/>
          </w:tcPr>
          <w:p w14:paraId="6A75EB5F">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60AE847F">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GCB织品、染织</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42FD35B9">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12</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3D4CB7E5">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val="0"/>
                <w:bCs w:val="0"/>
                <w:i w:val="0"/>
                <w:iCs w:val="0"/>
                <w:color w:val="auto"/>
                <w:kern w:val="0"/>
                <w:sz w:val="21"/>
                <w:szCs w:val="21"/>
                <w:u w:val="none"/>
                <w:lang w:val="en-US" w:eastAsia="zh-CN" w:bidi="ar"/>
              </w:rPr>
              <w:t>1</w:t>
            </w:r>
          </w:p>
        </w:tc>
      </w:tr>
      <w:tr w14:paraId="3CEAF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1958" w:type="dxa"/>
            <w:tcBorders>
              <w:top w:val="nil"/>
              <w:left w:val="single" w:color="000000" w:sz="8" w:space="0"/>
              <w:bottom w:val="single" w:color="auto" w:sz="4" w:space="0"/>
              <w:right w:val="single" w:color="000000" w:sz="8" w:space="0"/>
            </w:tcBorders>
            <w:shd w:val="clear" w:color="auto" w:fill="auto"/>
            <w:vAlign w:val="center"/>
          </w:tcPr>
          <w:p w14:paraId="3CDB3601">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GAA种植业产品及制品</w:t>
            </w:r>
          </w:p>
        </w:tc>
        <w:tc>
          <w:tcPr>
            <w:tcW w:w="670" w:type="dxa"/>
            <w:tcBorders>
              <w:top w:val="nil"/>
              <w:left w:val="single" w:color="000000" w:sz="8" w:space="0"/>
              <w:bottom w:val="single" w:color="auto" w:sz="4" w:space="0"/>
              <w:right w:val="single" w:color="000000" w:sz="8" w:space="0"/>
            </w:tcBorders>
            <w:shd w:val="clear" w:color="auto" w:fill="auto"/>
            <w:vAlign w:val="center"/>
          </w:tcPr>
          <w:p w14:paraId="6F95D26F">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162</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01EF00C1">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sz w:val="21"/>
                <w:szCs w:val="21"/>
                <w:u w:val="none"/>
                <w:lang w:val="en-US" w:eastAsia="zh-CN"/>
              </w:rPr>
              <w:t>26</w:t>
            </w:r>
          </w:p>
        </w:tc>
        <w:tc>
          <w:tcPr>
            <w:tcW w:w="743" w:type="dxa"/>
            <w:vMerge w:val="continue"/>
            <w:tcBorders>
              <w:left w:val="single" w:color="000000" w:sz="8" w:space="0"/>
              <w:right w:val="single" w:color="000000" w:sz="8" w:space="0"/>
            </w:tcBorders>
            <w:shd w:val="clear" w:color="auto" w:fill="auto"/>
            <w:vAlign w:val="center"/>
          </w:tcPr>
          <w:p w14:paraId="17EA00E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6AA97766">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GCC家具</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33A9A6DF">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5</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18DAF849">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r>
      <w:tr w14:paraId="08656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1BCD375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GAB林业产品与制品</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6D053C08">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13</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2EEB3532">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sz w:val="21"/>
                <w:szCs w:val="21"/>
                <w:u w:val="none"/>
                <w:lang w:val="en-US" w:eastAsia="zh-CN"/>
              </w:rPr>
              <w:t>1</w:t>
            </w:r>
          </w:p>
        </w:tc>
        <w:tc>
          <w:tcPr>
            <w:tcW w:w="743" w:type="dxa"/>
            <w:vMerge w:val="continue"/>
            <w:tcBorders>
              <w:left w:val="single" w:color="000000" w:sz="8" w:space="0"/>
              <w:right w:val="single" w:color="000000" w:sz="8" w:space="0"/>
            </w:tcBorders>
            <w:shd w:val="clear" w:color="auto" w:fill="auto"/>
            <w:vAlign w:val="center"/>
          </w:tcPr>
          <w:p w14:paraId="77075F1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7C62EE1D">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GCD陶瓷</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6489D19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80</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28F5C0C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w:t>
            </w:r>
          </w:p>
        </w:tc>
      </w:tr>
      <w:tr w14:paraId="418F9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31249723">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GAC畜牧业产品与制品</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38E0DE21">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3</w:t>
            </w:r>
          </w:p>
        </w:tc>
        <w:tc>
          <w:tcPr>
            <w:tcW w:w="975" w:type="dxa"/>
            <w:tcBorders>
              <w:top w:val="nil"/>
              <w:left w:val="single" w:color="000000" w:sz="8" w:space="0"/>
              <w:bottom w:val="single" w:color="auto" w:sz="4" w:space="0"/>
              <w:right w:val="single" w:color="000000" w:sz="8" w:space="0"/>
            </w:tcBorders>
            <w:shd w:val="clear" w:color="auto" w:fill="auto"/>
            <w:vAlign w:val="center"/>
          </w:tcPr>
          <w:p w14:paraId="54EB8960">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sz w:val="21"/>
                <w:szCs w:val="21"/>
                <w:u w:val="none"/>
                <w:lang w:val="en-US" w:eastAsia="zh-CN"/>
              </w:rPr>
              <w:t>0</w:t>
            </w:r>
          </w:p>
        </w:tc>
        <w:tc>
          <w:tcPr>
            <w:tcW w:w="743" w:type="dxa"/>
            <w:vMerge w:val="continue"/>
            <w:tcBorders>
              <w:left w:val="single" w:color="000000" w:sz="8" w:space="0"/>
              <w:right w:val="single" w:color="000000" w:sz="8" w:space="0"/>
            </w:tcBorders>
            <w:shd w:val="clear" w:color="auto" w:fill="auto"/>
            <w:vAlign w:val="center"/>
          </w:tcPr>
          <w:p w14:paraId="0C264BB7">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auto" w:sz="4" w:space="0"/>
              <w:right w:val="single" w:color="000000" w:sz="8" w:space="0"/>
            </w:tcBorders>
            <w:shd w:val="clear" w:color="auto" w:fill="auto"/>
            <w:vAlign w:val="center"/>
          </w:tcPr>
          <w:p w14:paraId="0C5D0C19">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GCE金石雕刻、雕塑制品</w:t>
            </w:r>
          </w:p>
        </w:tc>
        <w:tc>
          <w:tcPr>
            <w:tcW w:w="894" w:type="dxa"/>
            <w:tcBorders>
              <w:top w:val="nil"/>
              <w:left w:val="single" w:color="000000" w:sz="8" w:space="0"/>
              <w:bottom w:val="single" w:color="auto" w:sz="4" w:space="0"/>
              <w:right w:val="single" w:color="000000" w:sz="8" w:space="0"/>
            </w:tcBorders>
            <w:shd w:val="clear" w:color="auto" w:fill="auto"/>
            <w:vAlign w:val="center"/>
          </w:tcPr>
          <w:p w14:paraId="32604EC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39</w:t>
            </w:r>
          </w:p>
        </w:tc>
        <w:tc>
          <w:tcPr>
            <w:tcW w:w="913" w:type="dxa"/>
            <w:tcBorders>
              <w:top w:val="nil"/>
              <w:left w:val="single" w:color="000000" w:sz="8" w:space="0"/>
              <w:bottom w:val="single" w:color="auto" w:sz="4" w:space="0"/>
              <w:right w:val="single" w:color="000000" w:sz="8" w:space="0"/>
            </w:tcBorders>
            <w:shd w:val="clear" w:color="auto" w:fill="auto"/>
            <w:vAlign w:val="center"/>
          </w:tcPr>
          <w:p w14:paraId="28A53BA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11</w:t>
            </w:r>
          </w:p>
        </w:tc>
      </w:tr>
      <w:tr w14:paraId="18CC0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5C27ED9A">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GAD水产品及制品</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2A75A876">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2</w:t>
            </w:r>
          </w:p>
        </w:tc>
        <w:tc>
          <w:tcPr>
            <w:tcW w:w="975" w:type="dxa"/>
            <w:tcBorders>
              <w:top w:val="single" w:color="auto" w:sz="4" w:space="0"/>
              <w:left w:val="single" w:color="000000" w:sz="8" w:space="0"/>
              <w:bottom w:val="single" w:color="000000" w:sz="8" w:space="0"/>
              <w:right w:val="single" w:color="000000" w:sz="8" w:space="0"/>
            </w:tcBorders>
            <w:shd w:val="clear" w:color="auto" w:fill="auto"/>
            <w:vAlign w:val="center"/>
          </w:tcPr>
          <w:p w14:paraId="765C1A19">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sz w:val="21"/>
                <w:szCs w:val="21"/>
                <w:u w:val="none"/>
                <w:lang w:val="en-US" w:eastAsia="zh-CN"/>
              </w:rPr>
              <w:t>0</w:t>
            </w:r>
          </w:p>
        </w:tc>
        <w:tc>
          <w:tcPr>
            <w:tcW w:w="743" w:type="dxa"/>
            <w:vMerge w:val="continue"/>
            <w:tcBorders>
              <w:left w:val="single" w:color="000000" w:sz="8" w:space="0"/>
              <w:right w:val="single" w:color="000000" w:sz="8" w:space="0"/>
            </w:tcBorders>
            <w:shd w:val="clear" w:color="auto" w:fill="auto"/>
            <w:vAlign w:val="center"/>
          </w:tcPr>
          <w:p w14:paraId="134F2A12">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single" w:color="auto" w:sz="4" w:space="0"/>
              <w:left w:val="single" w:color="000000" w:sz="8" w:space="0"/>
              <w:bottom w:val="single" w:color="000000" w:sz="8" w:space="0"/>
              <w:right w:val="single" w:color="000000" w:sz="8" w:space="0"/>
            </w:tcBorders>
            <w:shd w:val="clear" w:color="auto" w:fill="auto"/>
            <w:vAlign w:val="center"/>
          </w:tcPr>
          <w:p w14:paraId="58EA3C43">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GCF金石器</w:t>
            </w:r>
          </w:p>
        </w:tc>
        <w:tc>
          <w:tcPr>
            <w:tcW w:w="894" w:type="dxa"/>
            <w:tcBorders>
              <w:top w:val="single" w:color="auto" w:sz="4" w:space="0"/>
              <w:left w:val="single" w:color="000000" w:sz="8" w:space="0"/>
              <w:bottom w:val="single" w:color="000000" w:sz="8" w:space="0"/>
              <w:right w:val="single" w:color="000000" w:sz="8" w:space="0"/>
            </w:tcBorders>
            <w:shd w:val="clear" w:color="auto" w:fill="auto"/>
            <w:vAlign w:val="center"/>
          </w:tcPr>
          <w:p w14:paraId="48C384E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5</w:t>
            </w:r>
          </w:p>
        </w:tc>
        <w:tc>
          <w:tcPr>
            <w:tcW w:w="913" w:type="dxa"/>
            <w:tcBorders>
              <w:top w:val="single" w:color="auto" w:sz="4" w:space="0"/>
              <w:left w:val="single" w:color="000000" w:sz="8" w:space="0"/>
              <w:bottom w:val="single" w:color="000000" w:sz="8" w:space="0"/>
              <w:right w:val="single" w:color="000000" w:sz="8" w:space="0"/>
            </w:tcBorders>
            <w:shd w:val="clear" w:color="auto" w:fill="auto"/>
            <w:vAlign w:val="center"/>
          </w:tcPr>
          <w:p w14:paraId="66411F7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r>
      <w:tr w14:paraId="09488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447E95B8">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GAE养殖业产品及制品</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3A40F05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776ADAE2">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sz w:val="21"/>
                <w:szCs w:val="21"/>
                <w:u w:val="none"/>
                <w:lang w:val="en-US" w:eastAsia="zh-CN"/>
              </w:rPr>
              <w:t>0</w:t>
            </w:r>
          </w:p>
        </w:tc>
        <w:tc>
          <w:tcPr>
            <w:tcW w:w="743" w:type="dxa"/>
            <w:vMerge w:val="continue"/>
            <w:tcBorders>
              <w:left w:val="single" w:color="000000" w:sz="8" w:space="0"/>
              <w:right w:val="single" w:color="000000" w:sz="8" w:space="0"/>
            </w:tcBorders>
            <w:shd w:val="clear" w:color="auto" w:fill="auto"/>
            <w:vAlign w:val="center"/>
          </w:tcPr>
          <w:p w14:paraId="50178B4A">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7CF558AC">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GCG纸艺与灯艺</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2BDF59EE">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14</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22BFAC6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r>
      <w:tr w14:paraId="2A735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1958" w:type="dxa"/>
            <w:tcBorders>
              <w:top w:val="single" w:color="auto" w:sz="4" w:space="0"/>
              <w:left w:val="single" w:color="auto" w:sz="4" w:space="0"/>
              <w:bottom w:val="single" w:color="auto" w:sz="4" w:space="0"/>
              <w:right w:val="single" w:color="000000" w:sz="8" w:space="0"/>
            </w:tcBorders>
            <w:shd w:val="clear" w:color="auto" w:fill="auto"/>
            <w:vAlign w:val="center"/>
          </w:tcPr>
          <w:p w14:paraId="028D8B80">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GB  工业产品</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07A1A7CD">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23</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2DE914AC">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6</w:t>
            </w:r>
          </w:p>
        </w:tc>
        <w:tc>
          <w:tcPr>
            <w:tcW w:w="743" w:type="dxa"/>
            <w:vMerge w:val="continue"/>
            <w:tcBorders>
              <w:left w:val="single" w:color="000000" w:sz="8" w:space="0"/>
              <w:right w:val="single" w:color="000000" w:sz="8" w:space="0"/>
            </w:tcBorders>
            <w:shd w:val="clear" w:color="auto" w:fill="auto"/>
            <w:vAlign w:val="center"/>
          </w:tcPr>
          <w:p w14:paraId="0E2439F1">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08A10FD9">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GCH画作</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3837092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12</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6F542DB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w:t>
            </w:r>
          </w:p>
        </w:tc>
      </w:tr>
      <w:tr w14:paraId="00CE4B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12F05160">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GBA日用工业品</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6046905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23</w:t>
            </w:r>
          </w:p>
        </w:tc>
        <w:tc>
          <w:tcPr>
            <w:tcW w:w="975" w:type="dxa"/>
            <w:tcBorders>
              <w:top w:val="nil"/>
              <w:left w:val="single" w:color="000000" w:sz="8" w:space="0"/>
              <w:bottom w:val="single" w:color="auto" w:sz="4" w:space="0"/>
              <w:right w:val="single" w:color="000000" w:sz="8" w:space="0"/>
            </w:tcBorders>
            <w:shd w:val="clear" w:color="auto" w:fill="auto"/>
            <w:vAlign w:val="center"/>
          </w:tcPr>
          <w:p w14:paraId="162D5B72">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sz w:val="21"/>
                <w:szCs w:val="21"/>
                <w:u w:val="none"/>
                <w:lang w:val="en-US" w:eastAsia="zh-CN"/>
              </w:rPr>
              <w:t>6</w:t>
            </w:r>
          </w:p>
        </w:tc>
        <w:tc>
          <w:tcPr>
            <w:tcW w:w="743" w:type="dxa"/>
            <w:vMerge w:val="continue"/>
            <w:tcBorders>
              <w:left w:val="single" w:color="000000" w:sz="8" w:space="0"/>
              <w:right w:val="single" w:color="000000" w:sz="8" w:space="0"/>
            </w:tcBorders>
            <w:shd w:val="clear" w:color="auto" w:fill="auto"/>
            <w:vAlign w:val="center"/>
          </w:tcPr>
          <w:p w14:paraId="63C2E336">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41FA6614">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GD  文创产品</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23D5569E">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58</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7E6BD9A6">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35</w:t>
            </w:r>
          </w:p>
        </w:tc>
      </w:tr>
      <w:tr w14:paraId="4B87B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5238FBC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GBB旅游装备产品</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3FCB842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c>
          <w:tcPr>
            <w:tcW w:w="975" w:type="dxa"/>
            <w:tcBorders>
              <w:top w:val="single" w:color="auto" w:sz="4" w:space="0"/>
              <w:left w:val="single" w:color="000000" w:sz="8" w:space="0"/>
              <w:bottom w:val="single" w:color="000000" w:sz="8" w:space="0"/>
              <w:right w:val="single" w:color="000000" w:sz="8" w:space="0"/>
            </w:tcBorders>
            <w:shd w:val="clear" w:color="auto" w:fill="auto"/>
            <w:vAlign w:val="center"/>
          </w:tcPr>
          <w:p w14:paraId="6A7F1FF4">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sz w:val="21"/>
                <w:szCs w:val="21"/>
                <w:u w:val="none"/>
                <w:lang w:val="en-US" w:eastAsia="zh-CN"/>
              </w:rPr>
              <w:t>0</w:t>
            </w:r>
          </w:p>
        </w:tc>
        <w:tc>
          <w:tcPr>
            <w:tcW w:w="743" w:type="dxa"/>
            <w:vMerge w:val="continue"/>
            <w:tcBorders>
              <w:left w:val="single" w:color="000000" w:sz="8" w:space="0"/>
              <w:right w:val="single" w:color="000000" w:sz="8" w:space="0"/>
            </w:tcBorders>
            <w:shd w:val="clear" w:color="auto" w:fill="auto"/>
            <w:vAlign w:val="center"/>
          </w:tcPr>
          <w:p w14:paraId="6183795F">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4E5AE0B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GDA文化IP及衍生类文创产品</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6A4570D1">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58</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70BECBF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35</w:t>
            </w:r>
          </w:p>
        </w:tc>
      </w:tr>
      <w:tr w14:paraId="25A677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298C52C2">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GC  手工工艺品</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4A124D50">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170</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24432C92">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16</w:t>
            </w:r>
          </w:p>
        </w:tc>
        <w:tc>
          <w:tcPr>
            <w:tcW w:w="743" w:type="dxa"/>
            <w:vMerge w:val="continue"/>
            <w:tcBorders>
              <w:left w:val="single" w:color="000000" w:sz="8" w:space="0"/>
              <w:right w:val="single" w:color="000000" w:sz="8" w:space="0"/>
            </w:tcBorders>
            <w:shd w:val="clear" w:color="auto" w:fill="auto"/>
            <w:vAlign w:val="center"/>
          </w:tcPr>
          <w:p w14:paraId="479B34A5">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14E05529">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GE  特色饮食</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34184DC0">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393</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14CA31BF">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26</w:t>
            </w:r>
          </w:p>
        </w:tc>
      </w:tr>
      <w:tr w14:paraId="17167C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1567384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GCA文房用品</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5D2812E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w:t>
            </w:r>
          </w:p>
        </w:tc>
        <w:tc>
          <w:tcPr>
            <w:tcW w:w="975" w:type="dxa"/>
            <w:tcBorders>
              <w:top w:val="nil"/>
              <w:left w:val="single" w:color="000000" w:sz="8" w:space="0"/>
              <w:bottom w:val="nil"/>
              <w:right w:val="single" w:color="000000" w:sz="8" w:space="0"/>
            </w:tcBorders>
            <w:shd w:val="clear" w:color="auto" w:fill="auto"/>
            <w:vAlign w:val="center"/>
          </w:tcPr>
          <w:p w14:paraId="326354C2">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sz w:val="21"/>
                <w:szCs w:val="21"/>
                <w:u w:val="none"/>
                <w:lang w:val="en-US" w:eastAsia="zh-CN"/>
              </w:rPr>
              <w:t>0</w:t>
            </w:r>
          </w:p>
        </w:tc>
        <w:tc>
          <w:tcPr>
            <w:tcW w:w="743" w:type="dxa"/>
            <w:vMerge w:val="continue"/>
            <w:tcBorders>
              <w:left w:val="single" w:color="000000" w:sz="8" w:space="0"/>
              <w:right w:val="single" w:color="000000" w:sz="8" w:space="0"/>
            </w:tcBorders>
            <w:shd w:val="clear" w:color="auto" w:fill="auto"/>
            <w:vAlign w:val="center"/>
          </w:tcPr>
          <w:p w14:paraId="1E2945F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F5EA3A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GEA特色美食</w:t>
            </w:r>
          </w:p>
        </w:tc>
        <w:tc>
          <w:tcPr>
            <w:tcW w:w="89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3BC71D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317</w:t>
            </w:r>
          </w:p>
        </w:tc>
        <w:tc>
          <w:tcPr>
            <w:tcW w:w="91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48BBE9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21</w:t>
            </w:r>
          </w:p>
        </w:tc>
      </w:tr>
      <w:tr w14:paraId="7B3BA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184C56E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4F27776C">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975" w:type="dxa"/>
            <w:tcBorders>
              <w:top w:val="nil"/>
              <w:left w:val="single" w:color="000000" w:sz="8" w:space="0"/>
              <w:bottom w:val="single" w:color="000000" w:sz="8" w:space="0"/>
              <w:right w:val="single" w:color="000000" w:sz="8" w:space="0"/>
            </w:tcBorders>
            <w:shd w:val="clear" w:color="auto" w:fill="auto"/>
            <w:vAlign w:val="center"/>
          </w:tcPr>
          <w:p w14:paraId="5541A4EA">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743" w:type="dxa"/>
            <w:tcBorders>
              <w:left w:val="single" w:color="000000" w:sz="8" w:space="0"/>
              <w:bottom w:val="single" w:color="000000" w:sz="8" w:space="0"/>
              <w:right w:val="single" w:color="000000" w:sz="8" w:space="0"/>
            </w:tcBorders>
            <w:shd w:val="clear" w:color="auto" w:fill="auto"/>
            <w:vAlign w:val="center"/>
          </w:tcPr>
          <w:p w14:paraId="6F4DC6C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274358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GEB特色饮品</w:t>
            </w:r>
          </w:p>
        </w:tc>
        <w:tc>
          <w:tcPr>
            <w:tcW w:w="89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E6D82B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76</w:t>
            </w:r>
          </w:p>
        </w:tc>
        <w:tc>
          <w:tcPr>
            <w:tcW w:w="91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37820C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5</w:t>
            </w:r>
          </w:p>
        </w:tc>
      </w:tr>
    </w:tbl>
    <w:p w14:paraId="22B2EA7E">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从</w:t>
      </w:r>
      <w:r>
        <w:rPr>
          <w:rFonts w:hint="eastAsia" w:ascii="Times New Roman" w:hAnsi="Times New Roman" w:cs="Times New Roman"/>
          <w:color w:val="auto"/>
          <w:sz w:val="24"/>
          <w:lang w:val="en-US" w:eastAsia="zh-CN"/>
        </w:rPr>
        <w:t>5</w:t>
      </w:r>
      <w:r>
        <w:rPr>
          <w:rFonts w:hint="default" w:ascii="Times New Roman" w:hAnsi="Times New Roman" w:cs="Times New Roman"/>
          <w:color w:val="auto"/>
          <w:sz w:val="24"/>
          <w:lang w:val="en-US" w:eastAsia="zh-CN"/>
        </w:rPr>
        <w:t>个亚类资源数量来看，除</w:t>
      </w:r>
      <w:r>
        <w:rPr>
          <w:rFonts w:hint="eastAsia" w:ascii="Times New Roman" w:hAnsi="Times New Roman" w:cs="Times New Roman"/>
          <w:color w:val="auto"/>
          <w:sz w:val="24"/>
          <w:lang w:val="en-US" w:eastAsia="zh-CN"/>
        </w:rPr>
        <w:t>工业产品和文创产品</w:t>
      </w:r>
      <w:r>
        <w:rPr>
          <w:rFonts w:hint="default" w:ascii="Times New Roman" w:hAnsi="Times New Roman" w:cs="Times New Roman"/>
          <w:color w:val="auto"/>
          <w:sz w:val="24"/>
          <w:lang w:val="en-US" w:eastAsia="zh-CN"/>
        </w:rPr>
        <w:t>相对较少外，其余三个亚类资源量均较为丰富。新发现资源则主要集中分布于</w:t>
      </w:r>
      <w:r>
        <w:rPr>
          <w:rFonts w:hint="eastAsia" w:ascii="Times New Roman" w:hAnsi="Times New Roman" w:cs="Times New Roman"/>
          <w:color w:val="auto"/>
          <w:sz w:val="24"/>
          <w:lang w:val="en-US" w:eastAsia="zh-CN"/>
        </w:rPr>
        <w:t>文创产品</w:t>
      </w:r>
      <w:r>
        <w:rPr>
          <w:rFonts w:hint="default" w:ascii="Times New Roman" w:hAnsi="Times New Roman" w:cs="Times New Roman"/>
          <w:color w:val="auto"/>
          <w:sz w:val="24"/>
          <w:lang w:val="en-US" w:eastAsia="zh-CN"/>
        </w:rPr>
        <w:t>亚类，</w:t>
      </w:r>
      <w:r>
        <w:rPr>
          <w:rFonts w:hint="eastAsia" w:ascii="Times New Roman" w:hAnsi="Times New Roman" w:cs="Times New Roman"/>
          <w:color w:val="auto"/>
          <w:sz w:val="24"/>
          <w:lang w:val="en-US" w:eastAsia="zh-CN"/>
        </w:rPr>
        <w:t>为35处，</w:t>
      </w:r>
      <w:r>
        <w:rPr>
          <w:rFonts w:hint="default" w:ascii="Times New Roman" w:hAnsi="Times New Roman" w:cs="Times New Roman"/>
          <w:color w:val="auto"/>
          <w:sz w:val="24"/>
          <w:lang w:val="en-US" w:eastAsia="zh-CN"/>
        </w:rPr>
        <w:t>占</w:t>
      </w:r>
      <w:r>
        <w:rPr>
          <w:rFonts w:hint="eastAsia" w:ascii="Times New Roman" w:hAnsi="Times New Roman" w:cs="Times New Roman"/>
          <w:color w:val="auto"/>
          <w:sz w:val="24"/>
          <w:lang w:val="en-US" w:eastAsia="zh-CN"/>
        </w:rPr>
        <w:t>旅游购品</w:t>
      </w:r>
      <w:r>
        <w:rPr>
          <w:rFonts w:hint="default" w:ascii="Times New Roman" w:hAnsi="Times New Roman" w:cs="Times New Roman"/>
          <w:color w:val="auto"/>
          <w:sz w:val="24"/>
          <w:lang w:val="en-US" w:eastAsia="zh-CN"/>
        </w:rPr>
        <w:t>主类新发现总量</w:t>
      </w:r>
      <w:r>
        <w:rPr>
          <w:rFonts w:hint="eastAsia" w:ascii="Times New Roman" w:hAnsi="Times New Roman" w:cs="Times New Roman"/>
          <w:color w:val="auto"/>
          <w:sz w:val="24"/>
          <w:lang w:val="en-US" w:eastAsia="zh-CN"/>
        </w:rPr>
        <w:t>31.82</w:t>
      </w:r>
      <w:r>
        <w:rPr>
          <w:rFonts w:hint="default" w:ascii="Times New Roman" w:hAnsi="Times New Roman" w:cs="Times New Roman"/>
          <w:color w:val="auto"/>
          <w:sz w:val="24"/>
          <w:lang w:val="en-US" w:eastAsia="zh-CN"/>
        </w:rPr>
        <w:t xml:space="preserve">%。 </w:t>
      </w:r>
      <w:r>
        <w:rPr>
          <w:rFonts w:hint="eastAsia" w:ascii="Times New Roman" w:hAnsi="Times New Roman" w:cs="Times New Roman"/>
          <w:color w:val="auto"/>
          <w:sz w:val="24"/>
          <w:lang w:val="en-US" w:eastAsia="zh-CN"/>
        </w:rPr>
        <w:t>其次为农业产品和特色饮食亚类，新发现总量分别为27处和26处，占比分别为24.55%和23.64%，再次为手工工艺品亚类新发现总量16处，</w:t>
      </w:r>
      <w:r>
        <w:rPr>
          <w:rFonts w:hint="default" w:ascii="Times New Roman" w:hAnsi="Times New Roman" w:cs="Times New Roman"/>
          <w:color w:val="auto"/>
          <w:sz w:val="24"/>
          <w:lang w:val="en-US" w:eastAsia="zh-CN"/>
        </w:rPr>
        <w:t>占</w:t>
      </w:r>
      <w:r>
        <w:rPr>
          <w:rFonts w:hint="eastAsia" w:ascii="Times New Roman" w:hAnsi="Times New Roman" w:cs="Times New Roman"/>
          <w:color w:val="auto"/>
          <w:sz w:val="24"/>
          <w:lang w:val="en-US" w:eastAsia="zh-CN"/>
        </w:rPr>
        <w:t>旅游购品</w:t>
      </w:r>
      <w:r>
        <w:rPr>
          <w:rFonts w:hint="default" w:ascii="Times New Roman" w:hAnsi="Times New Roman" w:cs="Times New Roman"/>
          <w:color w:val="auto"/>
          <w:sz w:val="24"/>
          <w:lang w:val="en-US" w:eastAsia="zh-CN"/>
        </w:rPr>
        <w:t>主类新发现总量</w:t>
      </w:r>
      <w:r>
        <w:rPr>
          <w:rFonts w:hint="eastAsia" w:ascii="Times New Roman" w:hAnsi="Times New Roman" w:cs="Times New Roman"/>
          <w:color w:val="auto"/>
          <w:sz w:val="24"/>
          <w:lang w:val="en-US" w:eastAsia="zh-CN"/>
        </w:rPr>
        <w:t>14.55</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最少的是工业产品亚类，新发现资源总量6处，</w:t>
      </w:r>
      <w:r>
        <w:rPr>
          <w:rFonts w:hint="default" w:ascii="Times New Roman" w:hAnsi="Times New Roman" w:cs="Times New Roman"/>
          <w:color w:val="auto"/>
          <w:sz w:val="24"/>
          <w:lang w:val="en-US" w:eastAsia="zh-CN"/>
        </w:rPr>
        <w:t>占</w:t>
      </w:r>
      <w:r>
        <w:rPr>
          <w:rFonts w:hint="eastAsia" w:ascii="Times New Roman" w:hAnsi="Times New Roman" w:cs="Times New Roman"/>
          <w:color w:val="auto"/>
          <w:sz w:val="24"/>
          <w:lang w:val="en-US" w:eastAsia="zh-CN"/>
        </w:rPr>
        <w:t>旅游购品</w:t>
      </w:r>
      <w:r>
        <w:rPr>
          <w:rFonts w:hint="default" w:ascii="Times New Roman" w:hAnsi="Times New Roman" w:cs="Times New Roman"/>
          <w:color w:val="auto"/>
          <w:sz w:val="24"/>
          <w:lang w:val="en-US" w:eastAsia="zh-CN"/>
        </w:rPr>
        <w:t>主类新发现总量</w:t>
      </w:r>
      <w:r>
        <w:rPr>
          <w:rFonts w:hint="eastAsia" w:ascii="Times New Roman" w:hAnsi="Times New Roman" w:cs="Times New Roman"/>
          <w:color w:val="auto"/>
          <w:sz w:val="24"/>
          <w:lang w:val="en-US" w:eastAsia="zh-CN"/>
        </w:rPr>
        <w:t>5.45</w:t>
      </w:r>
      <w:r>
        <w:rPr>
          <w:rFonts w:hint="default" w:ascii="Times New Roman" w:hAnsi="Times New Roman" w:cs="Times New Roman"/>
          <w:color w:val="auto"/>
          <w:sz w:val="24"/>
          <w:lang w:val="en-US" w:eastAsia="zh-CN"/>
        </w:rPr>
        <w:t>%。</w:t>
      </w:r>
    </w:p>
    <w:p w14:paraId="36771F6D">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从</w:t>
      </w:r>
      <w:r>
        <w:rPr>
          <w:rFonts w:hint="eastAsia" w:ascii="Times New Roman" w:hAnsi="Times New Roman" w:cs="Times New Roman"/>
          <w:color w:val="auto"/>
          <w:sz w:val="24"/>
          <w:lang w:val="en-US" w:eastAsia="zh-CN"/>
        </w:rPr>
        <w:t>18</w:t>
      </w:r>
      <w:r>
        <w:rPr>
          <w:rFonts w:hint="default" w:ascii="Times New Roman" w:hAnsi="Times New Roman" w:cs="Times New Roman"/>
          <w:color w:val="auto"/>
          <w:sz w:val="24"/>
          <w:lang w:val="en-US" w:eastAsia="zh-CN"/>
        </w:rPr>
        <w:t>个基本类型资源</w:t>
      </w:r>
      <w:r>
        <w:rPr>
          <w:rFonts w:hint="eastAsia" w:ascii="Times New Roman" w:hAnsi="Times New Roman" w:cs="Times New Roman"/>
          <w:color w:val="auto"/>
          <w:sz w:val="24"/>
          <w:lang w:val="en-US" w:eastAsia="zh-CN"/>
        </w:rPr>
        <w:t>总</w:t>
      </w:r>
      <w:r>
        <w:rPr>
          <w:rFonts w:hint="default" w:ascii="Times New Roman" w:hAnsi="Times New Roman" w:cs="Times New Roman"/>
          <w:color w:val="auto"/>
          <w:sz w:val="24"/>
          <w:lang w:val="en-US" w:eastAsia="zh-CN"/>
        </w:rPr>
        <w:t>量来看，</w:t>
      </w:r>
      <w:r>
        <w:rPr>
          <w:rFonts w:hint="eastAsia" w:ascii="Times New Roman" w:hAnsi="Times New Roman" w:cs="Times New Roman"/>
          <w:color w:val="auto"/>
          <w:sz w:val="24"/>
          <w:lang w:val="en-US" w:eastAsia="zh-CN"/>
        </w:rPr>
        <w:t>主要集中在特色美食、种植业产品及制品、陶瓷、特色饮品和文化IP及衍生类文创产品，总数分别为317处、162处、80处、76处和58处。其余基本类型总量均小于50处。小于5处的有畜牧业产品与制品3处、文房用品3处、水产品及制品2处。其中畜牧业产品与制品和旅游装备产品基本类型无旅游资源。</w:t>
      </w:r>
    </w:p>
    <w:p w14:paraId="4949C82E">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新发现资源主要分布于</w:t>
      </w:r>
      <w:r>
        <w:rPr>
          <w:rFonts w:hint="eastAsia" w:ascii="Times New Roman" w:hAnsi="Times New Roman" w:cs="Times New Roman"/>
          <w:color w:val="auto"/>
          <w:sz w:val="24"/>
          <w:lang w:val="en-US" w:eastAsia="zh-CN"/>
        </w:rPr>
        <w:t>文化IP及衍生类文创产品</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种植业产品及制品和特色美食</w:t>
      </w:r>
      <w:r>
        <w:rPr>
          <w:rFonts w:hint="default" w:ascii="Times New Roman" w:hAnsi="Times New Roman" w:cs="Times New Roman"/>
          <w:color w:val="auto"/>
          <w:sz w:val="24"/>
          <w:lang w:val="en-US" w:eastAsia="zh-CN"/>
        </w:rPr>
        <w:t>等基本类型</w:t>
      </w:r>
      <w:r>
        <w:rPr>
          <w:rFonts w:hint="eastAsia" w:ascii="Times New Roman" w:hAnsi="Times New Roman" w:cs="Times New Roman"/>
          <w:color w:val="auto"/>
          <w:sz w:val="24"/>
          <w:lang w:val="en-US" w:eastAsia="zh-CN"/>
        </w:rPr>
        <w:t>。文化IP及衍生类文创产品</w:t>
      </w:r>
      <w:r>
        <w:rPr>
          <w:rFonts w:hint="default" w:ascii="Times New Roman" w:hAnsi="Times New Roman" w:cs="Times New Roman"/>
          <w:color w:val="auto"/>
          <w:sz w:val="24"/>
          <w:lang w:val="en-US" w:eastAsia="zh-CN"/>
        </w:rPr>
        <w:t>最多，</w:t>
      </w:r>
      <w:r>
        <w:rPr>
          <w:rFonts w:hint="eastAsia" w:ascii="Times New Roman" w:hAnsi="Times New Roman" w:cs="Times New Roman"/>
          <w:color w:val="auto"/>
          <w:sz w:val="24"/>
          <w:lang w:val="en-US" w:eastAsia="zh-CN"/>
        </w:rPr>
        <w:t>为35处，</w:t>
      </w:r>
      <w:r>
        <w:rPr>
          <w:rFonts w:hint="default" w:ascii="Times New Roman" w:hAnsi="Times New Roman" w:cs="Times New Roman"/>
          <w:color w:val="auto"/>
          <w:sz w:val="24"/>
          <w:lang w:val="en-US" w:eastAsia="zh-CN"/>
        </w:rPr>
        <w:t>占</w:t>
      </w:r>
      <w:r>
        <w:rPr>
          <w:rFonts w:hint="eastAsia" w:ascii="Times New Roman" w:hAnsi="Times New Roman" w:cs="Times New Roman"/>
          <w:color w:val="auto"/>
          <w:sz w:val="24"/>
          <w:lang w:val="en-US" w:eastAsia="zh-CN"/>
        </w:rPr>
        <w:t>旅游购品</w:t>
      </w:r>
      <w:r>
        <w:rPr>
          <w:rFonts w:hint="default" w:ascii="Times New Roman" w:hAnsi="Times New Roman" w:cs="Times New Roman"/>
          <w:color w:val="auto"/>
          <w:sz w:val="24"/>
          <w:lang w:val="en-US" w:eastAsia="zh-CN"/>
        </w:rPr>
        <w:t>类</w:t>
      </w:r>
      <w:r>
        <w:rPr>
          <w:rFonts w:hint="eastAsia" w:ascii="Times New Roman" w:hAnsi="Times New Roman" w:cs="Times New Roman"/>
          <w:color w:val="auto"/>
          <w:sz w:val="24"/>
          <w:lang w:val="en-US" w:eastAsia="zh-CN"/>
        </w:rPr>
        <w:t>新发现</w:t>
      </w:r>
      <w:r>
        <w:rPr>
          <w:rFonts w:hint="default" w:ascii="Times New Roman" w:hAnsi="Times New Roman" w:cs="Times New Roman"/>
          <w:color w:val="auto"/>
          <w:sz w:val="24"/>
          <w:lang w:val="en-US" w:eastAsia="zh-CN"/>
        </w:rPr>
        <w:t>总量的</w:t>
      </w:r>
      <w:r>
        <w:rPr>
          <w:rFonts w:hint="eastAsia" w:ascii="Times New Roman" w:hAnsi="Times New Roman" w:cs="Times New Roman"/>
          <w:color w:val="auto"/>
          <w:sz w:val="24"/>
          <w:lang w:val="en-US" w:eastAsia="zh-CN"/>
        </w:rPr>
        <w:t>31.82</w:t>
      </w:r>
      <w:r>
        <w:rPr>
          <w:rFonts w:hint="default" w:ascii="Times New Roman" w:hAnsi="Times New Roman" w:cs="Times New Roman"/>
          <w:color w:val="auto"/>
          <w:sz w:val="24"/>
          <w:lang w:val="en-US" w:eastAsia="zh-CN"/>
        </w:rPr>
        <w:t>%；其次为</w:t>
      </w:r>
      <w:r>
        <w:rPr>
          <w:rFonts w:hint="eastAsia" w:ascii="Times New Roman" w:hAnsi="Times New Roman" w:cs="Times New Roman"/>
          <w:color w:val="auto"/>
          <w:sz w:val="24"/>
          <w:lang w:val="en-US" w:eastAsia="zh-CN"/>
        </w:rPr>
        <w:t>种植业产品及制品和特色美食</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分别为26处和21处，</w:t>
      </w:r>
      <w:r>
        <w:rPr>
          <w:rFonts w:hint="default" w:ascii="Times New Roman" w:hAnsi="Times New Roman" w:cs="Times New Roman"/>
          <w:color w:val="auto"/>
          <w:sz w:val="24"/>
          <w:lang w:val="en-US" w:eastAsia="zh-CN"/>
        </w:rPr>
        <w:t>占</w:t>
      </w:r>
      <w:r>
        <w:rPr>
          <w:rFonts w:hint="eastAsia" w:ascii="Times New Roman" w:hAnsi="Times New Roman" w:cs="Times New Roman"/>
          <w:color w:val="auto"/>
          <w:sz w:val="24"/>
          <w:lang w:val="en-US" w:eastAsia="zh-CN"/>
        </w:rPr>
        <w:t>旅游购品</w:t>
      </w:r>
      <w:r>
        <w:rPr>
          <w:rFonts w:hint="default" w:ascii="Times New Roman" w:hAnsi="Times New Roman" w:cs="Times New Roman"/>
          <w:color w:val="auto"/>
          <w:sz w:val="24"/>
          <w:lang w:val="en-US" w:eastAsia="zh-CN"/>
        </w:rPr>
        <w:t>类</w:t>
      </w:r>
      <w:r>
        <w:rPr>
          <w:rFonts w:hint="eastAsia" w:ascii="Times New Roman" w:hAnsi="Times New Roman" w:cs="Times New Roman"/>
          <w:color w:val="auto"/>
          <w:sz w:val="24"/>
          <w:lang w:val="en-US" w:eastAsia="zh-CN"/>
        </w:rPr>
        <w:t>新发现</w:t>
      </w:r>
      <w:r>
        <w:rPr>
          <w:rFonts w:hint="default" w:ascii="Times New Roman" w:hAnsi="Times New Roman" w:cs="Times New Roman"/>
          <w:color w:val="auto"/>
          <w:sz w:val="24"/>
          <w:lang w:val="en-US" w:eastAsia="zh-CN"/>
        </w:rPr>
        <w:t>总量</w:t>
      </w:r>
      <w:r>
        <w:rPr>
          <w:rFonts w:hint="eastAsia" w:ascii="Times New Roman" w:hAnsi="Times New Roman" w:cs="Times New Roman"/>
          <w:color w:val="auto"/>
          <w:sz w:val="24"/>
          <w:lang w:val="en-US" w:eastAsia="zh-CN"/>
        </w:rPr>
        <w:t>的</w:t>
      </w:r>
      <w:r>
        <w:rPr>
          <w:rFonts w:hint="default" w:ascii="Times New Roman" w:hAnsi="Times New Roman" w:cs="Times New Roman"/>
          <w:color w:val="auto"/>
          <w:sz w:val="24"/>
          <w:lang w:val="en-US" w:eastAsia="zh-CN"/>
        </w:rPr>
        <w:t xml:space="preserve"> </w:t>
      </w:r>
      <w:r>
        <w:rPr>
          <w:rFonts w:hint="eastAsia" w:ascii="Times New Roman" w:hAnsi="Times New Roman" w:cs="Times New Roman"/>
          <w:color w:val="auto"/>
          <w:sz w:val="24"/>
          <w:lang w:val="en-US" w:eastAsia="zh-CN"/>
        </w:rPr>
        <w:t>23.64</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和19.09%</w:t>
      </w:r>
      <w:r>
        <w:rPr>
          <w:rFonts w:hint="default" w:ascii="Times New Roman" w:hAnsi="Times New Roman" w:cs="Times New Roman"/>
          <w:color w:val="auto"/>
          <w:sz w:val="24"/>
          <w:lang w:val="en-US" w:eastAsia="zh-CN"/>
        </w:rPr>
        <w:t>。</w:t>
      </w:r>
    </w:p>
    <w:p w14:paraId="3655211B">
      <w:pPr>
        <w:keepNext w:val="0"/>
        <w:keepLines w:val="0"/>
        <w:pageBreakBefore w:val="0"/>
        <w:widowControl w:val="0"/>
        <w:numPr>
          <w:ilvl w:val="0"/>
          <w:numId w:val="12"/>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农业产品</w:t>
      </w:r>
    </w:p>
    <w:p w14:paraId="09A37B4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本次普查共查明农业产品180处，其中，种植业产品及制品数量最多，占该亚类总量的90%，其次为林业产品与制品占该亚类总量的7.22%。水产品及制品数量较少，占比为1.11%。</w:t>
      </w:r>
    </w:p>
    <w:p w14:paraId="446253B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农业产品亚类中新发现资源27处，种植业产品及制品数量最多，占该亚类新发现资源总量的96.30%，其次是林业产品与制品占该亚类新发现资源总量的3.70%，其余基本类型均无新发现资源。</w:t>
      </w:r>
    </w:p>
    <w:p w14:paraId="2614E457">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表3-31农业产品亚类典型资源名录</w:t>
      </w:r>
    </w:p>
    <w:tbl>
      <w:tblPr>
        <w:tblStyle w:val="16"/>
        <w:tblW w:w="0" w:type="auto"/>
        <w:tblInd w:w="1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6"/>
        <w:gridCol w:w="6635"/>
      </w:tblGrid>
      <w:tr w14:paraId="4C7FB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tcPr>
          <w:p w14:paraId="5CA5E71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资源类型</w:t>
            </w:r>
          </w:p>
        </w:tc>
        <w:tc>
          <w:tcPr>
            <w:tcW w:w="6635" w:type="dxa"/>
          </w:tcPr>
          <w:p w14:paraId="48586DF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典型资源</w:t>
            </w:r>
          </w:p>
        </w:tc>
      </w:tr>
      <w:tr w14:paraId="2EB3B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vAlign w:val="center"/>
          </w:tcPr>
          <w:p w14:paraId="6D268B2F">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GAA种植业产品及制品</w:t>
            </w:r>
          </w:p>
        </w:tc>
        <w:tc>
          <w:tcPr>
            <w:tcW w:w="6635" w:type="dxa"/>
          </w:tcPr>
          <w:p w14:paraId="5DF7BED1">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温县怀地黄、温县怀菊花、温县怀牛膝、修武云台冰菊、温县铁棍山药、温县四大怀药、温县怀山药、焦作怀山堂怀药制品、博爱上庄姜、沁阳铁棍山药、修武延陵大葱、沁阳怀姜、孟州乔家制鼓、孟州麦草画、修武牛膝、武陟菡香大米、焦作太极庄四大怀药、修武新庄村大枣、孟州“炎黄福德”系列产品、焦作垆土地铁棍山药、焦作茁成生态农庄奶油草莓、博爱怀姜、焦作太极庄冰菊、焦作铁棍山药面、焦作山药粉条、焦作九制地黄、博爱怀府冰菊、修武净影大峡谷围谷、焦作珍珠菊、温县怀菊花茶</w:t>
            </w:r>
          </w:p>
        </w:tc>
      </w:tr>
      <w:tr w14:paraId="06D72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vAlign w:val="center"/>
          </w:tcPr>
          <w:p w14:paraId="5A4DB2D9">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GAB林业产品与制品</w:t>
            </w:r>
          </w:p>
        </w:tc>
        <w:tc>
          <w:tcPr>
            <w:tcW w:w="6635" w:type="dxa"/>
          </w:tcPr>
          <w:p w14:paraId="6582377E">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修武连翘茶</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博爱许良竹器</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博爱许良竹艺制成品</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博爱冯竹园竹艺制品</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修武玉泰和篦梳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博爱小底樱桃</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博爱崔凯杰竹艺制品</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博爱孝敬制香</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博爱清化街竹器</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沁阳常平荆编</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武陟柳圈椅</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修武后雁门村耩地耧</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博爱小底村初恋樱桃</w:t>
            </w:r>
          </w:p>
        </w:tc>
      </w:tr>
      <w:tr w14:paraId="5A5B8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vAlign w:val="center"/>
          </w:tcPr>
          <w:p w14:paraId="02901154">
            <w:pPr>
              <w:jc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GAC畜牧业产品与制品</w:t>
            </w:r>
          </w:p>
        </w:tc>
        <w:tc>
          <w:tcPr>
            <w:tcW w:w="6635" w:type="dxa"/>
          </w:tcPr>
          <w:p w14:paraId="2D6DE50A">
            <w:pPr>
              <w:rPr>
                <w:rFonts w:hint="eastAsia" w:ascii="仿宋" w:hAnsi="仿宋" w:eastAsia="仿宋" w:cs="仿宋"/>
                <w:i w:val="0"/>
                <w:caps w:val="0"/>
                <w:color w:val="auto"/>
                <w:spacing w:val="0"/>
                <w:sz w:val="21"/>
                <w:szCs w:val="21"/>
                <w:shd w:val="clear" w:fill="E6F7FF"/>
                <w:lang w:val="en-US" w:eastAsia="zh-CN"/>
              </w:rPr>
            </w:pPr>
            <w:r>
              <w:rPr>
                <w:rFonts w:hint="eastAsia" w:ascii="仿宋" w:hAnsi="仿宋" w:eastAsia="仿宋" w:cs="仿宋"/>
                <w:color w:val="auto"/>
                <w:sz w:val="21"/>
                <w:szCs w:val="21"/>
                <w:lang w:eastAsia="zh-CN"/>
              </w:rPr>
              <w:t>闹汤驴肉制作技艺、孟州桑坡村羊毛鞋、修武太行黑山羊</w:t>
            </w:r>
          </w:p>
        </w:tc>
      </w:tr>
      <w:tr w14:paraId="03E63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vAlign w:val="center"/>
          </w:tcPr>
          <w:p w14:paraId="1A8304DB">
            <w:pPr>
              <w:jc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GAD水产品及制品</w:t>
            </w:r>
          </w:p>
        </w:tc>
        <w:tc>
          <w:tcPr>
            <w:tcW w:w="6635" w:type="dxa"/>
          </w:tcPr>
          <w:p w14:paraId="6DD0CDDF">
            <w:pPr>
              <w:rPr>
                <w:rFonts w:hint="eastAsia" w:ascii="仿宋" w:hAnsi="仿宋" w:eastAsia="仿宋" w:cs="仿宋"/>
                <w:i w:val="0"/>
                <w:caps w:val="0"/>
                <w:color w:val="auto"/>
                <w:spacing w:val="0"/>
                <w:sz w:val="21"/>
                <w:szCs w:val="21"/>
                <w:shd w:val="clear" w:fill="E6F7FF"/>
                <w:lang w:val="en-US" w:eastAsia="zh-CN"/>
              </w:rPr>
            </w:pPr>
            <w:r>
              <w:rPr>
                <w:rFonts w:hint="eastAsia" w:ascii="仿宋" w:hAnsi="仿宋" w:eastAsia="仿宋" w:cs="仿宋"/>
                <w:color w:val="auto"/>
                <w:sz w:val="21"/>
                <w:szCs w:val="21"/>
              </w:rPr>
              <w:t>黄河大鲤鱼</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修武河湾莲菜</w:t>
            </w:r>
          </w:p>
        </w:tc>
      </w:tr>
    </w:tbl>
    <w:p w14:paraId="04131858">
      <w:pPr>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color w:val="auto"/>
          <w:sz w:val="24"/>
          <w:lang w:val="en-US" w:eastAsia="zh-CN"/>
        </w:rPr>
      </w:pPr>
    </w:p>
    <w:p w14:paraId="24783DA5">
      <w:pPr>
        <w:keepNext w:val="0"/>
        <w:keepLines w:val="0"/>
        <w:pageBreakBefore w:val="0"/>
        <w:widowControl w:val="0"/>
        <w:numPr>
          <w:ilvl w:val="0"/>
          <w:numId w:val="12"/>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工业产品</w:t>
      </w:r>
    </w:p>
    <w:p w14:paraId="3A97CFD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本次普查共查明工业产品23处，均为日用工业品这一基本类型，占该亚类资源总量的100%。</w:t>
      </w:r>
    </w:p>
    <w:p w14:paraId="1201835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工业产品亚类中新发现资源6处，均为日用工业品，旅游装备产品无新发现资源。</w:t>
      </w:r>
    </w:p>
    <w:p w14:paraId="4AABC990">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表3-32工业产品亚类典型资源名录</w:t>
      </w:r>
    </w:p>
    <w:tbl>
      <w:tblPr>
        <w:tblStyle w:val="16"/>
        <w:tblW w:w="0" w:type="auto"/>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1"/>
        <w:gridCol w:w="6289"/>
      </w:tblGrid>
      <w:tr w14:paraId="70979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1" w:type="dxa"/>
          </w:tcPr>
          <w:p w14:paraId="6EFB31A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资源类型</w:t>
            </w:r>
          </w:p>
        </w:tc>
        <w:tc>
          <w:tcPr>
            <w:tcW w:w="6289" w:type="dxa"/>
          </w:tcPr>
          <w:p w14:paraId="3A95D34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典型资源</w:t>
            </w:r>
          </w:p>
        </w:tc>
      </w:tr>
      <w:tr w14:paraId="79AAC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1" w:type="dxa"/>
            <w:vAlign w:val="center"/>
          </w:tcPr>
          <w:p w14:paraId="09B96E47">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GBA日用工业品</w:t>
            </w:r>
          </w:p>
        </w:tc>
        <w:tc>
          <w:tcPr>
            <w:tcW w:w="6289" w:type="dxa"/>
          </w:tcPr>
          <w:p w14:paraId="66B3799D">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博爱柏山村柏山缸</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博爱柏山缸</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博爱马营澡巾</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武陟山药焕颜精华液</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武陟山药舒护多肽蛋白喷雾</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武陟山药修颜BB霜</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武陟山药润泽眼霜</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武陟育颜山药面膜</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武陟县菊花精油手工皂</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温县红棉太极功夫鞋</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武陟山药润泽洁面乳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焦作辛庄葡萄礼品箱</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武陟县山药焕颜靓肤霜</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修武因恋玫瑰洗面奶</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修武因恋玫瑰护手霜</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博爱三街花毽</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修武云栖山泉</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修武因恋玫瑰沐浴露</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修武因恋玫瑰护发精油</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修武因恋玫瑰洗护套装</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武陟山药补水嫩肤乳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武陟育颜护发精油</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焦作怀菊花安神枕</w:t>
            </w:r>
          </w:p>
        </w:tc>
      </w:tr>
    </w:tbl>
    <w:p w14:paraId="4BE07BA8">
      <w:pPr>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color w:val="auto"/>
          <w:sz w:val="24"/>
          <w:lang w:val="en-US" w:eastAsia="zh-CN"/>
        </w:rPr>
      </w:pPr>
    </w:p>
    <w:p w14:paraId="46E636B3">
      <w:pPr>
        <w:keepNext w:val="0"/>
        <w:keepLines w:val="0"/>
        <w:pageBreakBefore w:val="0"/>
        <w:widowControl w:val="0"/>
        <w:numPr>
          <w:ilvl w:val="0"/>
          <w:numId w:val="12"/>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手工工艺品</w:t>
      </w:r>
    </w:p>
    <w:p w14:paraId="4C972D6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本次普查共查明手工工艺品170处，其中，陶瓷数量最多，占该亚类总量的47.06%，其次为金石雕刻、雕塑制品占该亚类总量的22.94%。文房用品数量较少，占比为1.76%。</w:t>
      </w:r>
    </w:p>
    <w:p w14:paraId="058DF85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手工工艺品亚类中新发现资源16处，金石雕刻、雕塑制品数量最多，占该亚类新发现资源总量的68.75%，其次是画作占该亚类新发现资源总量的18.75%，织品、染织和陶瓷占比较少均为6.25%，其余基本类型均无新发现资源。</w:t>
      </w:r>
    </w:p>
    <w:p w14:paraId="78276DAB">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表3-33手工工艺品亚类典型资源名录</w:t>
      </w:r>
    </w:p>
    <w:tbl>
      <w:tblPr>
        <w:tblStyle w:val="16"/>
        <w:tblW w:w="0" w:type="auto"/>
        <w:tblInd w:w="1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9"/>
        <w:gridCol w:w="6669"/>
      </w:tblGrid>
      <w:tr w14:paraId="41F47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9" w:type="dxa"/>
          </w:tcPr>
          <w:p w14:paraId="36D9FAF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资源类型</w:t>
            </w:r>
          </w:p>
        </w:tc>
        <w:tc>
          <w:tcPr>
            <w:tcW w:w="6669" w:type="dxa"/>
          </w:tcPr>
          <w:p w14:paraId="22EA258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典型资源</w:t>
            </w:r>
          </w:p>
        </w:tc>
      </w:tr>
      <w:tr w14:paraId="2CD44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9" w:type="dxa"/>
            <w:vAlign w:val="center"/>
          </w:tcPr>
          <w:p w14:paraId="7226CDFC">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GCA文房用品</w:t>
            </w:r>
          </w:p>
        </w:tc>
        <w:tc>
          <w:tcPr>
            <w:tcW w:w="6669" w:type="dxa"/>
          </w:tcPr>
          <w:p w14:paraId="06CBD04F">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eastAsia="zh-CN"/>
              </w:rPr>
              <w:t>沁阳黄河澄泥砚、武陟黄河泥印、温县黄河澄泥砚</w:t>
            </w:r>
          </w:p>
        </w:tc>
      </w:tr>
      <w:tr w14:paraId="7459F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9" w:type="dxa"/>
            <w:vAlign w:val="center"/>
          </w:tcPr>
          <w:p w14:paraId="0B141CB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GCB织品、染织</w:t>
            </w:r>
          </w:p>
        </w:tc>
        <w:tc>
          <w:tcPr>
            <w:tcW w:w="6669" w:type="dxa"/>
          </w:tcPr>
          <w:p w14:paraId="44DE763D">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孟州虎头鞋</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孟州传统旗袍</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修武程氏传统布艺工艺品</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博爱清化绳结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焦作王母泉村老粗布</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焦作小庄村老布鞋鞋底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武陟手工粗布</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武陟编织</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武陟靛蓝染布</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武陟绳编</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博爱七方丝绸</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焦作山阳刺绣</w:t>
            </w:r>
          </w:p>
        </w:tc>
      </w:tr>
      <w:tr w14:paraId="696B1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9" w:type="dxa"/>
            <w:vAlign w:val="center"/>
          </w:tcPr>
          <w:p w14:paraId="39F4B43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GCC家具</w:t>
            </w:r>
          </w:p>
        </w:tc>
        <w:tc>
          <w:tcPr>
            <w:tcW w:w="6669" w:type="dxa"/>
          </w:tcPr>
          <w:p w14:paraId="5691797E">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eastAsia="zh-CN"/>
              </w:rPr>
              <w:t>修武魏氏古典家具、博爱清化竹器、武陟柳圈椅制作方法、博爱竹编、博爱杨中道刘氏木制工艺品</w:t>
            </w:r>
          </w:p>
        </w:tc>
      </w:tr>
      <w:tr w14:paraId="5E0CA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9" w:type="dxa"/>
            <w:vAlign w:val="center"/>
          </w:tcPr>
          <w:p w14:paraId="7606797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GCD陶瓷</w:t>
            </w:r>
          </w:p>
        </w:tc>
        <w:tc>
          <w:tcPr>
            <w:tcW w:w="6669" w:type="dxa"/>
          </w:tcPr>
          <w:p w14:paraId="4BB992D7">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焦作金谷轩绞胎瓷</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焦作当阳峪绞胎瓷</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修武当阳峪绞胎瓷</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当阳峪绞胎瓷</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孟州黄河澄泥砚</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沁阳黑陶制作技艺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沁阳盆窑黑陶小镇黑陶制品</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沁阳神农陶创意园黑陶制品</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焦作国礼绞胎瓷</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孟州黄河澄泥砚作品</w:t>
            </w:r>
          </w:p>
        </w:tc>
      </w:tr>
      <w:tr w14:paraId="142E3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9" w:type="dxa"/>
            <w:vAlign w:val="center"/>
          </w:tcPr>
          <w:p w14:paraId="7A0F9CE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GCE金石雕刻、雕塑制品</w:t>
            </w:r>
          </w:p>
        </w:tc>
        <w:tc>
          <w:tcPr>
            <w:tcW w:w="6669" w:type="dxa"/>
          </w:tcPr>
          <w:p w14:paraId="36A3C214">
            <w:pPr>
              <w:rPr>
                <w:rFonts w:hint="eastAsia" w:ascii="仿宋" w:hAnsi="仿宋" w:eastAsia="仿宋" w:cs="仿宋"/>
                <w:color w:val="auto"/>
                <w:sz w:val="21"/>
                <w:szCs w:val="21"/>
              </w:rPr>
            </w:pPr>
            <w:r>
              <w:rPr>
                <w:rFonts w:hint="eastAsia" w:ascii="仿宋" w:hAnsi="仿宋" w:eastAsia="仿宋" w:cs="仿宋"/>
                <w:color w:val="auto"/>
                <w:sz w:val="21"/>
                <w:szCs w:val="21"/>
              </w:rPr>
              <w:t>沁阳野王纻器漆器</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焦作陈氏叶雕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沁阳朱载堉纪念馆编磬</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沁阳朱载堉纪念馆朱载堉琴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沁阳朱载堉纪念馆编钟</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博爱清化面塑系列产品</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博爱面塑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焦作鸿运文化产业园古玩崖柏</w:t>
            </w:r>
          </w:p>
          <w:p w14:paraId="44828758">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焦作寨卜昌样式雷</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博爱天成根雕刻</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博爱怀川雕刻</w:t>
            </w:r>
          </w:p>
        </w:tc>
      </w:tr>
      <w:tr w14:paraId="12348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9" w:type="dxa"/>
            <w:vAlign w:val="center"/>
          </w:tcPr>
          <w:p w14:paraId="400F0E9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GCF金石器</w:t>
            </w:r>
          </w:p>
        </w:tc>
        <w:tc>
          <w:tcPr>
            <w:tcW w:w="6669" w:type="dxa"/>
          </w:tcPr>
          <w:p w14:paraId="2ED3AC46">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eastAsia="zh-CN"/>
              </w:rPr>
              <w:t>博爱花间巷灵感手作、武陟韩家铁匠制作、武陟贴金手艺、焦作弓弩、焦作韩蒋村千层钢锻造</w:t>
            </w:r>
          </w:p>
        </w:tc>
      </w:tr>
      <w:tr w14:paraId="3189B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9" w:type="dxa"/>
            <w:vAlign w:val="center"/>
          </w:tcPr>
          <w:p w14:paraId="47D747BE">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GCG纸艺与灯艺</w:t>
            </w:r>
          </w:p>
        </w:tc>
        <w:tc>
          <w:tcPr>
            <w:tcW w:w="6669" w:type="dxa"/>
          </w:tcPr>
          <w:p w14:paraId="3D1448D9">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焦作苏家作龙头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博爱张敬海剪纸作品</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焦作传拓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博爱孝敬留村剪纸</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温县剪纸</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修武郇封村剪纸</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武陟剪纸</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武陟东滑封灯笼</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博爱留村剪纸</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博爱清化燎灯</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焦作太行盆景公园非遗漆扇</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焦作马氏民间风筝</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焦作解放区剪</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焦作张氏人物剪影</w:t>
            </w:r>
          </w:p>
        </w:tc>
      </w:tr>
      <w:tr w14:paraId="3B052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9" w:type="dxa"/>
            <w:vAlign w:val="center"/>
          </w:tcPr>
          <w:p w14:paraId="5501A3AF">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GCH画作</w:t>
            </w:r>
          </w:p>
        </w:tc>
        <w:tc>
          <w:tcPr>
            <w:tcW w:w="6669" w:type="dxa"/>
          </w:tcPr>
          <w:p w14:paraId="349616D4">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沁阳神农山龙子门神农有声誌石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焦作墨相清化字画</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焦作覃怀古美术字画</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博爱东王贺村糖画</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焦作易墨轩字画</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焦作易恒昌字画</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焦作松月画廊的画</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沁阳苗氏戏曲人物画</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武陟烙画</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博爱法戒</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博爱拓片</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温县北冷乡拓片</w:t>
            </w:r>
          </w:p>
        </w:tc>
      </w:tr>
    </w:tbl>
    <w:p w14:paraId="388820CC">
      <w:pPr>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color w:val="auto"/>
          <w:sz w:val="24"/>
          <w:lang w:val="en-US" w:eastAsia="zh-CN"/>
        </w:rPr>
      </w:pPr>
    </w:p>
    <w:p w14:paraId="6D3AE81B">
      <w:pPr>
        <w:keepNext w:val="0"/>
        <w:keepLines w:val="0"/>
        <w:pageBreakBefore w:val="0"/>
        <w:widowControl w:val="0"/>
        <w:numPr>
          <w:ilvl w:val="0"/>
          <w:numId w:val="12"/>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文创产品</w:t>
      </w:r>
    </w:p>
    <w:p w14:paraId="105CB83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本次普查共查明文创产品58处，均为文化IP及衍生类文创产品这一基本类型。</w:t>
      </w:r>
    </w:p>
    <w:p w14:paraId="5E84C98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文创产品亚类中新发现资源35处，均为文化IP及衍生类文创产品这一基本类型。</w:t>
      </w:r>
    </w:p>
    <w:p w14:paraId="05EDC457">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表3-34文创产品亚类典型资源名录</w:t>
      </w:r>
    </w:p>
    <w:tbl>
      <w:tblPr>
        <w:tblStyle w:val="16"/>
        <w:tblW w:w="0" w:type="auto"/>
        <w:tblInd w:w="1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5"/>
        <w:gridCol w:w="6701"/>
      </w:tblGrid>
      <w:tr w14:paraId="59F10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tcPr>
          <w:p w14:paraId="05BB9F6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资源类型</w:t>
            </w:r>
          </w:p>
        </w:tc>
        <w:tc>
          <w:tcPr>
            <w:tcW w:w="6701" w:type="dxa"/>
          </w:tcPr>
          <w:p w14:paraId="349F705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典型资源</w:t>
            </w:r>
          </w:p>
        </w:tc>
      </w:tr>
      <w:tr w14:paraId="6EA17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Align w:val="center"/>
          </w:tcPr>
          <w:p w14:paraId="514580DD">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GDA文化IP及衍生类文创产品</w:t>
            </w:r>
          </w:p>
        </w:tc>
        <w:tc>
          <w:tcPr>
            <w:tcW w:w="6701" w:type="dxa"/>
          </w:tcPr>
          <w:p w14:paraId="20C740E0">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焦作云台山云逗逗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博爱清化竹扇</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武陟黄河泥埙</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沁阳檀溪堂漆雕《野王紵器六子奁盒》</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温县陈氏太极拳行功太极球</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沁阳檀溪堂漆雕《年年有余》</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博爱七街狮虎头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沁阳檀溪堂漆雕《剔犀花觚》</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沁阳檀溪堂漆雕《云雕欢天喜地》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沁阳檀溪堂漆雕《云雕古桌凳》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沁阳檀溪堂漆雕《太极盘》</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沁阳檀溪堂漆雕《双喜临门》</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沁阳檀溪堂漆雕《紫砂壶八盏朱髹屠苏酒组器》</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沁阳怀府印象河内八景图黑陶鱼缸</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沁阳檀溪堂漆雕《神农》</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博爱清化老虎舞虎头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武陟拨浪鼓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博爱靳家岭竹编</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沁阳盆窑黑陶小镇</w:t>
            </w:r>
            <w:r>
              <w:rPr>
                <w:rFonts w:hint="eastAsia" w:ascii="仿宋" w:hAnsi="仿宋" w:eastAsia="仿宋" w:cs="仿宋"/>
                <w:color w:val="auto"/>
                <w:sz w:val="21"/>
                <w:szCs w:val="21"/>
                <w:lang w:eastAsia="zh-CN"/>
              </w:rPr>
              <w:t>饕餮</w:t>
            </w:r>
            <w:r>
              <w:rPr>
                <w:rFonts w:hint="eastAsia" w:ascii="仿宋" w:hAnsi="仿宋" w:eastAsia="仿宋" w:cs="仿宋"/>
                <w:color w:val="auto"/>
                <w:sz w:val="21"/>
                <w:szCs w:val="21"/>
              </w:rPr>
              <w:t>纹鱼缸</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温县太极拳系列故事绘本</w:t>
            </w:r>
          </w:p>
        </w:tc>
      </w:tr>
    </w:tbl>
    <w:p w14:paraId="78484569">
      <w:pPr>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color w:val="auto"/>
          <w:sz w:val="24"/>
          <w:lang w:val="en-US" w:eastAsia="zh-CN"/>
        </w:rPr>
      </w:pPr>
    </w:p>
    <w:p w14:paraId="086E5F7F">
      <w:pPr>
        <w:keepNext w:val="0"/>
        <w:keepLines w:val="0"/>
        <w:pageBreakBefore w:val="0"/>
        <w:widowControl w:val="0"/>
        <w:numPr>
          <w:ilvl w:val="0"/>
          <w:numId w:val="12"/>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特色饮食</w:t>
      </w:r>
    </w:p>
    <w:p w14:paraId="13E5BCF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本次普查共查明特色饮食393处，其中，特色美食数量最多，占该亚类总量的80.66%，特色饮品占该亚类总量的19.34%。</w:t>
      </w:r>
    </w:p>
    <w:p w14:paraId="30B5C9E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特色饮食亚类中新发现资源26处，特色美食数量最多，占该亚类新发现资源总量的80.77%，特色饮品占该亚类新发现资源总量的19.23%。</w:t>
      </w:r>
    </w:p>
    <w:p w14:paraId="21CDDD11">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表3-35特色饮食亚类典型资源名录</w:t>
      </w:r>
    </w:p>
    <w:tbl>
      <w:tblPr>
        <w:tblStyle w:val="16"/>
        <w:tblW w:w="0" w:type="auto"/>
        <w:tblInd w:w="1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4"/>
        <w:gridCol w:w="6889"/>
      </w:tblGrid>
      <w:tr w14:paraId="6A301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4" w:type="dxa"/>
          </w:tcPr>
          <w:p w14:paraId="449AE2B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资源类型</w:t>
            </w:r>
          </w:p>
        </w:tc>
        <w:tc>
          <w:tcPr>
            <w:tcW w:w="6889" w:type="dxa"/>
          </w:tcPr>
          <w:p w14:paraId="6309F85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典型资源</w:t>
            </w:r>
          </w:p>
        </w:tc>
      </w:tr>
      <w:tr w14:paraId="28875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4" w:type="dxa"/>
            <w:vAlign w:val="center"/>
          </w:tcPr>
          <w:p w14:paraId="594455B9">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GEA特色美食</w:t>
            </w:r>
          </w:p>
        </w:tc>
        <w:tc>
          <w:tcPr>
            <w:tcW w:w="6889" w:type="dxa"/>
          </w:tcPr>
          <w:p w14:paraId="43CA6A43">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武陟砂锅、武陟油茶、沁阳怀府闹汤驴肉、博爱小车牛肉、武陟斯美特思园方便食品、博爱杂拌、孟州黄河鲤鱼、博爱牛肉丸子、博爱豫竹方便面、焦作老董家闹汤驴肉、焦作老董家全驴宴、焦作四大怀药膳食、沁阳彰仪碾转、沁阳柏香驴肉丸、博爱沁园春水席、武陟思圆酸辣粉、博爱清化水席、博爱香天下传统小炒、博爱毛六浆面条、修武海蟾宫松花蛋、博爱苏寨陈家牛肉面、沁阳玉春元汤圆、武陟思圆方便面、博爱拜师傅牛肉丸、沁阳甜麻糖、沁阳柏香驴肉、沁阳玉春元粽子、焦作下马马村烧鸡、博爱马记烧鸡、博爱海记烧鸡、焦作赵记烩面、焦作北京烩饼、沁阳董爱国驴肉丸、沁阳白丸、孟州炒面、焦作太极庄怀山药纤食粉、焦作太极庄山药小麻花、焦作和庄和酥芝麻糖、博爱景亮杂拌、博爱祖新豆腐汤麻辣烫、博爱图王大骨头、沁阳水席、孟州糖饼、博爱杨记祖传小车牛肉、焦作马家大爷牛肉面</w:t>
            </w:r>
          </w:p>
        </w:tc>
      </w:tr>
      <w:tr w14:paraId="6AFE6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4" w:type="dxa"/>
            <w:vAlign w:val="center"/>
          </w:tcPr>
          <w:p w14:paraId="7765470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GEB特色饮品</w:t>
            </w:r>
          </w:p>
        </w:tc>
        <w:tc>
          <w:tcPr>
            <w:tcW w:w="6889" w:type="dxa"/>
          </w:tcPr>
          <w:p w14:paraId="3253C206">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焦作名仁苏打水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沁阳野王怀山药酒</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沁阳怀庆府山药酒</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焦作三家村酒</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博爱安江凌</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博爱博农乳制品</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博爱燕京啤酒</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焦作三家村原浆1号酒</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焦作三家村五粮纪念酒</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焦作三家村原浆15年酒</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焦作三家村手工班酒</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焦作三家村老式高粱酒精装</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焦作三家村老式高粮简装酒</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焦作三家村68度酒头251毫升</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焦作三家村68度酒头100毫升</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焦作三家村匠心独运酒</w:t>
            </w:r>
          </w:p>
        </w:tc>
      </w:tr>
    </w:tbl>
    <w:p w14:paraId="3C9EBDE6">
      <w:pPr>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color w:val="auto"/>
          <w:sz w:val="24"/>
          <w:lang w:val="en-US" w:eastAsia="zh-CN"/>
        </w:rPr>
      </w:pPr>
    </w:p>
    <w:p w14:paraId="5DA6F8A5">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2"/>
        <w:rPr>
          <w:rFonts w:hint="default" w:ascii="宋体" w:hAnsi="宋体" w:eastAsia="宋体" w:cs="宋体"/>
          <w:b/>
          <w:bCs/>
          <w:color w:val="auto"/>
          <w:sz w:val="28"/>
          <w:szCs w:val="28"/>
          <w:lang w:val="en-US" w:eastAsia="zh-CN"/>
        </w:rPr>
      </w:pPr>
      <w:bookmarkStart w:id="71" w:name="_Toc14159"/>
      <w:r>
        <w:rPr>
          <w:rFonts w:hint="eastAsia" w:ascii="宋体" w:hAnsi="宋体" w:cs="宋体"/>
          <w:b/>
          <w:bCs/>
          <w:color w:val="auto"/>
          <w:sz w:val="28"/>
          <w:szCs w:val="28"/>
          <w:lang w:val="en-US" w:eastAsia="zh-CN"/>
        </w:rPr>
        <w:t>八、人文活动类</w:t>
      </w:r>
      <w:bookmarkEnd w:id="71"/>
    </w:p>
    <w:p w14:paraId="2D9ADDE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本次普查全市共查明人文活动类旅游资源750</w:t>
      </w:r>
      <w:r>
        <w:rPr>
          <w:rFonts w:hint="default" w:ascii="Times New Roman" w:hAnsi="Times New Roman" w:cs="Times New Roman"/>
          <w:color w:val="auto"/>
          <w:sz w:val="24"/>
          <w:lang w:val="en-US" w:eastAsia="zh-CN"/>
        </w:rPr>
        <w:t>处，占</w:t>
      </w:r>
      <w:r>
        <w:rPr>
          <w:rFonts w:hint="eastAsia" w:ascii="Times New Roman" w:hAnsi="Times New Roman" w:cs="Times New Roman"/>
          <w:color w:val="auto"/>
          <w:sz w:val="24"/>
          <w:lang w:val="en-US" w:eastAsia="zh-CN"/>
        </w:rPr>
        <w:t>全市</w:t>
      </w:r>
      <w:r>
        <w:rPr>
          <w:rFonts w:hint="default" w:ascii="Times New Roman" w:hAnsi="Times New Roman" w:cs="Times New Roman"/>
          <w:color w:val="auto"/>
          <w:sz w:val="24"/>
          <w:lang w:val="en-US" w:eastAsia="zh-CN"/>
        </w:rPr>
        <w:t>旅游</w:t>
      </w:r>
      <w:r>
        <w:rPr>
          <w:rFonts w:hint="eastAsia" w:ascii="Times New Roman" w:hAnsi="Times New Roman" w:cs="Times New Roman"/>
          <w:color w:val="auto"/>
          <w:sz w:val="24"/>
          <w:lang w:val="en-US" w:eastAsia="zh-CN"/>
        </w:rPr>
        <w:t>资源</w:t>
      </w:r>
      <w:r>
        <w:rPr>
          <w:rFonts w:hint="default" w:ascii="Times New Roman" w:hAnsi="Times New Roman" w:cs="Times New Roman"/>
          <w:color w:val="auto"/>
          <w:sz w:val="24"/>
          <w:lang w:val="en-US" w:eastAsia="zh-CN"/>
        </w:rPr>
        <w:t>总</w:t>
      </w:r>
      <w:r>
        <w:rPr>
          <w:rFonts w:hint="eastAsia" w:ascii="Times New Roman" w:hAnsi="Times New Roman" w:cs="Times New Roman"/>
          <w:color w:val="auto"/>
          <w:sz w:val="24"/>
          <w:lang w:val="en-US" w:eastAsia="zh-CN"/>
        </w:rPr>
        <w:t>量的6.25%，</w:t>
      </w:r>
      <w:r>
        <w:rPr>
          <w:rFonts w:hint="default" w:ascii="Times New Roman" w:hAnsi="Times New Roman" w:cs="Times New Roman"/>
          <w:color w:val="auto"/>
          <w:sz w:val="24"/>
          <w:lang w:val="en-US" w:eastAsia="zh-CN"/>
        </w:rPr>
        <w:t>其中新发现新认定资源</w:t>
      </w:r>
      <w:r>
        <w:rPr>
          <w:rFonts w:hint="eastAsia" w:ascii="Times New Roman" w:hAnsi="Times New Roman" w:cs="Times New Roman"/>
          <w:color w:val="auto"/>
          <w:sz w:val="24"/>
          <w:lang w:val="en-US" w:eastAsia="zh-CN"/>
        </w:rPr>
        <w:t>48</w:t>
      </w:r>
      <w:r>
        <w:rPr>
          <w:rFonts w:hint="default" w:ascii="Times New Roman" w:hAnsi="Times New Roman" w:cs="Times New Roman"/>
          <w:color w:val="auto"/>
          <w:sz w:val="24"/>
          <w:lang w:val="en-US" w:eastAsia="zh-CN"/>
        </w:rPr>
        <w:t>处，占</w:t>
      </w:r>
      <w:r>
        <w:rPr>
          <w:rFonts w:hint="eastAsia" w:ascii="Times New Roman" w:hAnsi="Times New Roman" w:cs="Times New Roman"/>
          <w:color w:val="auto"/>
          <w:sz w:val="24"/>
          <w:lang w:val="en-US" w:eastAsia="zh-CN"/>
        </w:rPr>
        <w:t>人文活动</w:t>
      </w:r>
      <w:r>
        <w:rPr>
          <w:rFonts w:hint="default" w:ascii="Times New Roman" w:hAnsi="Times New Roman" w:cs="Times New Roman"/>
          <w:color w:val="auto"/>
          <w:sz w:val="24"/>
          <w:lang w:val="en-US" w:eastAsia="zh-CN"/>
        </w:rPr>
        <w:t>总量</w:t>
      </w:r>
      <w:r>
        <w:rPr>
          <w:rFonts w:hint="eastAsia" w:ascii="Times New Roman" w:hAnsi="Times New Roman" w:cs="Times New Roman"/>
          <w:color w:val="auto"/>
          <w:sz w:val="24"/>
          <w:lang w:val="en-US" w:eastAsia="zh-CN"/>
        </w:rPr>
        <w:t>6.4</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，人文活动</w:t>
      </w:r>
      <w:r>
        <w:rPr>
          <w:rFonts w:hint="default" w:ascii="Times New Roman" w:hAnsi="Times New Roman" w:cs="Times New Roman"/>
          <w:color w:val="auto"/>
          <w:sz w:val="24"/>
          <w:lang w:val="en-US" w:eastAsia="zh-CN"/>
        </w:rPr>
        <w:t>类旅</w:t>
      </w:r>
      <w:r>
        <w:rPr>
          <w:rFonts w:hint="eastAsia" w:ascii="Times New Roman" w:hAnsi="Times New Roman" w:cs="Times New Roman"/>
          <w:color w:val="auto"/>
          <w:sz w:val="24"/>
          <w:lang w:val="en-US" w:eastAsia="zh-CN"/>
        </w:rPr>
        <w:t>游资源分布于3</w:t>
      </w:r>
      <w:r>
        <w:rPr>
          <w:rFonts w:hint="default" w:ascii="Times New Roman" w:hAnsi="Times New Roman" w:cs="Times New Roman"/>
          <w:color w:val="auto"/>
          <w:sz w:val="24"/>
          <w:lang w:val="en-US" w:eastAsia="zh-CN"/>
        </w:rPr>
        <w:t>个亚类、</w:t>
      </w:r>
      <w:r>
        <w:rPr>
          <w:rFonts w:hint="eastAsia" w:ascii="Times New Roman" w:hAnsi="Times New Roman" w:cs="Times New Roman"/>
          <w:color w:val="auto"/>
          <w:sz w:val="24"/>
          <w:lang w:val="en-US" w:eastAsia="zh-CN"/>
        </w:rPr>
        <w:t>6</w:t>
      </w:r>
      <w:r>
        <w:rPr>
          <w:rFonts w:hint="default" w:ascii="Times New Roman" w:hAnsi="Times New Roman" w:cs="Times New Roman"/>
          <w:color w:val="auto"/>
          <w:sz w:val="24"/>
          <w:lang w:val="en-US" w:eastAsia="zh-CN"/>
        </w:rPr>
        <w:t>个基本类型。</w:t>
      </w:r>
      <w:r>
        <w:rPr>
          <w:rFonts w:hint="eastAsia" w:ascii="Times New Roman" w:hAnsi="Times New Roman" w:cs="Times New Roman"/>
          <w:color w:val="auto"/>
          <w:sz w:val="24"/>
          <w:lang w:val="en-US" w:eastAsia="zh-CN"/>
        </w:rPr>
        <w:t>各类型总量和新发现数量见表3-36所示。</w:t>
      </w:r>
    </w:p>
    <w:p w14:paraId="351FCB21">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3-36人文活动旅游资源分类统计表</w:t>
      </w:r>
    </w:p>
    <w:tbl>
      <w:tblPr>
        <w:tblStyle w:val="15"/>
        <w:tblW w:w="82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58"/>
        <w:gridCol w:w="670"/>
        <w:gridCol w:w="975"/>
        <w:gridCol w:w="743"/>
        <w:gridCol w:w="2075"/>
        <w:gridCol w:w="894"/>
        <w:gridCol w:w="913"/>
      </w:tblGrid>
      <w:tr w14:paraId="7BA811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jc w:val="center"/>
        </w:trPr>
        <w:tc>
          <w:tcPr>
            <w:tcW w:w="195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B6FA342">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lang w:val="en-US"/>
              </w:rPr>
            </w:pPr>
            <w:r>
              <w:rPr>
                <w:rFonts w:hint="eastAsia" w:ascii="仿宋" w:hAnsi="仿宋" w:eastAsia="仿宋" w:cs="仿宋"/>
                <w:b/>
                <w:bCs/>
                <w:i w:val="0"/>
                <w:iCs w:val="0"/>
                <w:color w:val="auto"/>
                <w:kern w:val="0"/>
                <w:sz w:val="21"/>
                <w:szCs w:val="21"/>
                <w:u w:val="none"/>
                <w:lang w:val="en-US" w:eastAsia="zh-CN" w:bidi="ar"/>
              </w:rPr>
              <w:t>资源基本类型</w:t>
            </w:r>
          </w:p>
          <w:p w14:paraId="5FF92914">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lang w:val="en-US"/>
              </w:rPr>
            </w:pPr>
          </w:p>
        </w:tc>
        <w:tc>
          <w:tcPr>
            <w:tcW w:w="6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B66E977">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r>
              <w:rPr>
                <w:rFonts w:hint="eastAsia" w:ascii="仿宋" w:hAnsi="仿宋" w:eastAsia="仿宋" w:cs="仿宋"/>
                <w:b/>
                <w:bCs/>
                <w:i w:val="0"/>
                <w:iCs w:val="0"/>
                <w:color w:val="auto"/>
                <w:kern w:val="0"/>
                <w:sz w:val="21"/>
                <w:szCs w:val="21"/>
                <w:u w:val="none"/>
                <w:lang w:val="en-US" w:eastAsia="zh-CN" w:bidi="ar"/>
              </w:rPr>
              <w:t>总量</w:t>
            </w:r>
          </w:p>
        </w:tc>
        <w:tc>
          <w:tcPr>
            <w:tcW w:w="97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0211408">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r>
              <w:rPr>
                <w:rFonts w:hint="eastAsia" w:ascii="仿宋" w:hAnsi="仿宋" w:eastAsia="仿宋" w:cs="仿宋"/>
                <w:b/>
                <w:bCs/>
                <w:i w:val="0"/>
                <w:iCs w:val="0"/>
                <w:color w:val="auto"/>
                <w:kern w:val="0"/>
                <w:sz w:val="21"/>
                <w:szCs w:val="21"/>
                <w:u w:val="none"/>
                <w:lang w:val="en-US" w:eastAsia="zh-CN" w:bidi="ar"/>
              </w:rPr>
              <w:t>新发现数量</w:t>
            </w:r>
          </w:p>
        </w:tc>
        <w:tc>
          <w:tcPr>
            <w:tcW w:w="743" w:type="dxa"/>
            <w:vMerge w:val="restart"/>
            <w:tcBorders>
              <w:top w:val="single" w:color="000000" w:sz="8" w:space="0"/>
              <w:left w:val="single" w:color="000000" w:sz="8" w:space="0"/>
              <w:right w:val="single" w:color="000000" w:sz="8" w:space="0"/>
            </w:tcBorders>
            <w:shd w:val="clear" w:color="auto" w:fill="auto"/>
            <w:vAlign w:val="center"/>
          </w:tcPr>
          <w:p w14:paraId="7366ECA9">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p>
        </w:tc>
        <w:tc>
          <w:tcPr>
            <w:tcW w:w="207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BD51FFE">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资源基本类型</w:t>
            </w:r>
          </w:p>
        </w:tc>
        <w:tc>
          <w:tcPr>
            <w:tcW w:w="89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9E9DD4C">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总量</w:t>
            </w:r>
          </w:p>
        </w:tc>
        <w:tc>
          <w:tcPr>
            <w:tcW w:w="91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4EB21A7">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新发现数量</w:t>
            </w:r>
          </w:p>
        </w:tc>
      </w:tr>
      <w:tr w14:paraId="5E33C9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nil"/>
              <w:left w:val="single" w:color="000000" w:sz="8" w:space="0"/>
              <w:bottom w:val="single" w:color="000000" w:sz="8" w:space="0"/>
              <w:right w:val="single" w:color="000000" w:sz="8" w:space="0"/>
            </w:tcBorders>
            <w:shd w:val="clear" w:color="auto" w:fill="auto"/>
            <w:vAlign w:val="center"/>
          </w:tcPr>
          <w:p w14:paraId="5BD98ED1">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HA  人事活动记录</w:t>
            </w:r>
          </w:p>
        </w:tc>
        <w:tc>
          <w:tcPr>
            <w:tcW w:w="670" w:type="dxa"/>
            <w:tcBorders>
              <w:top w:val="nil"/>
              <w:left w:val="single" w:color="000000" w:sz="8" w:space="0"/>
              <w:bottom w:val="single" w:color="000000" w:sz="8" w:space="0"/>
              <w:right w:val="single" w:color="000000" w:sz="8" w:space="0"/>
            </w:tcBorders>
            <w:shd w:val="clear" w:color="auto" w:fill="auto"/>
            <w:vAlign w:val="center"/>
          </w:tcPr>
          <w:p w14:paraId="5087D332">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564</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12289007">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13</w:t>
            </w:r>
          </w:p>
        </w:tc>
        <w:tc>
          <w:tcPr>
            <w:tcW w:w="743" w:type="dxa"/>
            <w:vMerge w:val="continue"/>
            <w:tcBorders>
              <w:left w:val="single" w:color="000000" w:sz="8" w:space="0"/>
              <w:right w:val="single" w:color="000000" w:sz="8" w:space="0"/>
            </w:tcBorders>
            <w:shd w:val="clear" w:color="auto" w:fill="auto"/>
            <w:vAlign w:val="center"/>
          </w:tcPr>
          <w:p w14:paraId="1FFFDCD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0B83326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HBA宗教活动与庙会</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72601026">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23</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7ECDE12A">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val="0"/>
                <w:bCs w:val="0"/>
                <w:i w:val="0"/>
                <w:iCs w:val="0"/>
                <w:color w:val="auto"/>
                <w:kern w:val="0"/>
                <w:sz w:val="21"/>
                <w:szCs w:val="21"/>
                <w:u w:val="none"/>
                <w:shd w:val="clear" w:color="auto" w:fill="auto"/>
                <w:lang w:val="en-US" w:eastAsia="zh-CN" w:bidi="ar"/>
              </w:rPr>
              <w:t>0</w:t>
            </w:r>
          </w:p>
        </w:tc>
      </w:tr>
      <w:tr w14:paraId="4FAEE5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nil"/>
              <w:left w:val="single" w:color="000000" w:sz="8" w:space="0"/>
              <w:bottom w:val="single" w:color="auto" w:sz="4" w:space="0"/>
              <w:right w:val="single" w:color="000000" w:sz="8" w:space="0"/>
            </w:tcBorders>
            <w:shd w:val="clear" w:color="auto" w:fill="auto"/>
            <w:vAlign w:val="center"/>
          </w:tcPr>
          <w:p w14:paraId="717C1D4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HAA地方人物</w:t>
            </w:r>
          </w:p>
        </w:tc>
        <w:tc>
          <w:tcPr>
            <w:tcW w:w="670" w:type="dxa"/>
            <w:tcBorders>
              <w:top w:val="nil"/>
              <w:left w:val="single" w:color="000000" w:sz="8" w:space="0"/>
              <w:bottom w:val="single" w:color="auto" w:sz="4" w:space="0"/>
              <w:right w:val="single" w:color="000000" w:sz="8" w:space="0"/>
            </w:tcBorders>
            <w:shd w:val="clear" w:color="auto" w:fill="auto"/>
            <w:vAlign w:val="center"/>
          </w:tcPr>
          <w:p w14:paraId="6D6C4159">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536</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195592A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11</w:t>
            </w:r>
          </w:p>
        </w:tc>
        <w:tc>
          <w:tcPr>
            <w:tcW w:w="743" w:type="dxa"/>
            <w:vMerge w:val="continue"/>
            <w:tcBorders>
              <w:left w:val="single" w:color="000000" w:sz="8" w:space="0"/>
              <w:right w:val="single" w:color="000000" w:sz="8" w:space="0"/>
            </w:tcBorders>
            <w:shd w:val="clear" w:color="auto" w:fill="auto"/>
            <w:vAlign w:val="center"/>
          </w:tcPr>
          <w:p w14:paraId="76719D5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0A967113">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HBB农时节日</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3276F68F">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13</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349CA088">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w:t>
            </w:r>
          </w:p>
        </w:tc>
      </w:tr>
      <w:tr w14:paraId="36BE9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1DA2A359">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HAB地方事件</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02C14893">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28</w:t>
            </w:r>
          </w:p>
        </w:tc>
        <w:tc>
          <w:tcPr>
            <w:tcW w:w="975" w:type="dxa"/>
            <w:tcBorders>
              <w:top w:val="nil"/>
              <w:left w:val="single" w:color="000000" w:sz="8" w:space="0"/>
              <w:bottom w:val="single" w:color="000000" w:sz="8" w:space="0"/>
              <w:right w:val="single" w:color="000000" w:sz="8" w:space="0"/>
            </w:tcBorders>
            <w:shd w:val="clear" w:color="auto" w:fill="auto"/>
            <w:vAlign w:val="center"/>
          </w:tcPr>
          <w:p w14:paraId="24640399">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w:t>
            </w:r>
          </w:p>
        </w:tc>
        <w:tc>
          <w:tcPr>
            <w:tcW w:w="743" w:type="dxa"/>
            <w:vMerge w:val="continue"/>
            <w:tcBorders>
              <w:left w:val="single" w:color="000000" w:sz="8" w:space="0"/>
              <w:right w:val="single" w:color="000000" w:sz="8" w:space="0"/>
            </w:tcBorders>
            <w:shd w:val="clear" w:color="auto" w:fill="auto"/>
            <w:vAlign w:val="center"/>
          </w:tcPr>
          <w:p w14:paraId="26713CD7">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2F45309F">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HBC现代节庆</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1C533F2F">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108</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451FCE88">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25</w:t>
            </w:r>
          </w:p>
        </w:tc>
      </w:tr>
      <w:tr w14:paraId="5183E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78280489">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HB  岁时节令</w:t>
            </w: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612F8C3B">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144</w:t>
            </w:r>
          </w:p>
        </w:tc>
        <w:tc>
          <w:tcPr>
            <w:tcW w:w="975" w:type="dxa"/>
            <w:tcBorders>
              <w:top w:val="nil"/>
              <w:left w:val="single" w:color="000000" w:sz="8" w:space="0"/>
              <w:bottom w:val="single" w:color="auto" w:sz="4" w:space="0"/>
              <w:right w:val="single" w:color="000000" w:sz="8" w:space="0"/>
            </w:tcBorders>
            <w:shd w:val="clear" w:color="auto" w:fill="auto"/>
            <w:vAlign w:val="center"/>
          </w:tcPr>
          <w:p w14:paraId="33BF5D21">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26</w:t>
            </w:r>
          </w:p>
        </w:tc>
        <w:tc>
          <w:tcPr>
            <w:tcW w:w="743" w:type="dxa"/>
            <w:vMerge w:val="continue"/>
            <w:tcBorders>
              <w:left w:val="single" w:color="000000" w:sz="8" w:space="0"/>
              <w:right w:val="single" w:color="000000" w:sz="8" w:space="0"/>
            </w:tcBorders>
            <w:shd w:val="clear" w:color="auto" w:fill="auto"/>
            <w:vAlign w:val="center"/>
          </w:tcPr>
          <w:p w14:paraId="53580756">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auto" w:sz="4" w:space="0"/>
              <w:right w:val="single" w:color="000000" w:sz="8" w:space="0"/>
            </w:tcBorders>
            <w:shd w:val="clear" w:color="auto" w:fill="auto"/>
            <w:vAlign w:val="center"/>
          </w:tcPr>
          <w:p w14:paraId="2927030F">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HC 文艺活动</w:t>
            </w:r>
          </w:p>
        </w:tc>
        <w:tc>
          <w:tcPr>
            <w:tcW w:w="894" w:type="dxa"/>
            <w:tcBorders>
              <w:top w:val="nil"/>
              <w:left w:val="single" w:color="000000" w:sz="8" w:space="0"/>
              <w:bottom w:val="single" w:color="auto" w:sz="4" w:space="0"/>
              <w:right w:val="single" w:color="000000" w:sz="8" w:space="0"/>
            </w:tcBorders>
            <w:shd w:val="clear" w:color="auto" w:fill="auto"/>
            <w:vAlign w:val="center"/>
          </w:tcPr>
          <w:p w14:paraId="61F0D5E5">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42</w:t>
            </w:r>
          </w:p>
        </w:tc>
        <w:tc>
          <w:tcPr>
            <w:tcW w:w="913" w:type="dxa"/>
            <w:tcBorders>
              <w:top w:val="nil"/>
              <w:left w:val="single" w:color="000000" w:sz="8" w:space="0"/>
              <w:bottom w:val="single" w:color="auto" w:sz="4" w:space="0"/>
              <w:right w:val="single" w:color="000000" w:sz="8" w:space="0"/>
            </w:tcBorders>
            <w:shd w:val="clear" w:color="auto" w:fill="auto"/>
            <w:vAlign w:val="center"/>
          </w:tcPr>
          <w:p w14:paraId="46665700">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9</w:t>
            </w:r>
          </w:p>
        </w:tc>
      </w:tr>
      <w:tr w14:paraId="3F749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958" w:type="dxa"/>
            <w:tcBorders>
              <w:top w:val="single" w:color="auto" w:sz="4" w:space="0"/>
              <w:left w:val="single" w:color="000000" w:sz="8" w:space="0"/>
              <w:bottom w:val="single" w:color="auto" w:sz="4" w:space="0"/>
              <w:right w:val="single" w:color="000000" w:sz="8" w:space="0"/>
            </w:tcBorders>
            <w:shd w:val="clear" w:color="auto" w:fill="auto"/>
            <w:vAlign w:val="center"/>
          </w:tcPr>
          <w:p w14:paraId="45CDA218">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670" w:type="dxa"/>
            <w:tcBorders>
              <w:top w:val="single" w:color="auto" w:sz="4" w:space="0"/>
              <w:left w:val="single" w:color="000000" w:sz="8" w:space="0"/>
              <w:bottom w:val="single" w:color="auto" w:sz="4" w:space="0"/>
              <w:right w:val="single" w:color="000000" w:sz="8" w:space="0"/>
            </w:tcBorders>
            <w:shd w:val="clear" w:color="auto" w:fill="auto"/>
            <w:vAlign w:val="center"/>
          </w:tcPr>
          <w:p w14:paraId="42C2CA47">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eastAsia="zh-CN"/>
              </w:rPr>
            </w:pPr>
          </w:p>
        </w:tc>
        <w:tc>
          <w:tcPr>
            <w:tcW w:w="975" w:type="dxa"/>
            <w:tcBorders>
              <w:top w:val="nil"/>
              <w:left w:val="single" w:color="000000" w:sz="8" w:space="0"/>
              <w:bottom w:val="single" w:color="000000" w:sz="8" w:space="0"/>
              <w:right w:val="single" w:color="000000" w:sz="8" w:space="0"/>
            </w:tcBorders>
            <w:shd w:val="clear" w:color="auto" w:fill="auto"/>
            <w:vAlign w:val="center"/>
          </w:tcPr>
          <w:p w14:paraId="7DB46FF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743" w:type="dxa"/>
            <w:vMerge w:val="continue"/>
            <w:tcBorders>
              <w:left w:val="single" w:color="000000" w:sz="8" w:space="0"/>
              <w:right w:val="single" w:color="000000" w:sz="8" w:space="0"/>
            </w:tcBorders>
            <w:shd w:val="clear" w:color="auto" w:fill="auto"/>
            <w:vAlign w:val="center"/>
          </w:tcPr>
          <w:p w14:paraId="0F00D8CE">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p>
        </w:tc>
        <w:tc>
          <w:tcPr>
            <w:tcW w:w="2075" w:type="dxa"/>
            <w:tcBorders>
              <w:top w:val="nil"/>
              <w:left w:val="single" w:color="000000" w:sz="8" w:space="0"/>
              <w:bottom w:val="single" w:color="000000" w:sz="8" w:space="0"/>
              <w:right w:val="single" w:color="000000" w:sz="8" w:space="0"/>
            </w:tcBorders>
            <w:shd w:val="clear" w:color="auto" w:fill="auto"/>
            <w:vAlign w:val="center"/>
          </w:tcPr>
          <w:p w14:paraId="189F8A9F">
            <w:pPr>
              <w:keepNext w:val="0"/>
              <w:keepLines w:val="0"/>
              <w:widowControl/>
              <w:suppressLineNumbers w:val="0"/>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HCA现代演艺</w:t>
            </w:r>
          </w:p>
        </w:tc>
        <w:tc>
          <w:tcPr>
            <w:tcW w:w="894" w:type="dxa"/>
            <w:tcBorders>
              <w:top w:val="nil"/>
              <w:left w:val="single" w:color="000000" w:sz="8" w:space="0"/>
              <w:bottom w:val="single" w:color="000000" w:sz="8" w:space="0"/>
              <w:right w:val="single" w:color="000000" w:sz="8" w:space="0"/>
            </w:tcBorders>
            <w:shd w:val="clear" w:color="auto" w:fill="auto"/>
            <w:vAlign w:val="center"/>
          </w:tcPr>
          <w:p w14:paraId="05F62DB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42</w:t>
            </w:r>
          </w:p>
        </w:tc>
        <w:tc>
          <w:tcPr>
            <w:tcW w:w="913" w:type="dxa"/>
            <w:tcBorders>
              <w:top w:val="nil"/>
              <w:left w:val="single" w:color="000000" w:sz="8" w:space="0"/>
              <w:bottom w:val="single" w:color="000000" w:sz="8" w:space="0"/>
              <w:right w:val="single" w:color="000000" w:sz="8" w:space="0"/>
            </w:tcBorders>
            <w:shd w:val="clear" w:color="auto" w:fill="auto"/>
            <w:vAlign w:val="center"/>
          </w:tcPr>
          <w:p w14:paraId="00EAB37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w:t>
            </w:r>
          </w:p>
        </w:tc>
      </w:tr>
    </w:tbl>
    <w:p w14:paraId="25CDA18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从</w:t>
      </w:r>
      <w:r>
        <w:rPr>
          <w:rFonts w:hint="eastAsia" w:ascii="Times New Roman" w:hAnsi="Times New Roman" w:cs="Times New Roman"/>
          <w:color w:val="auto"/>
          <w:sz w:val="24"/>
          <w:lang w:val="en-US" w:eastAsia="zh-CN"/>
        </w:rPr>
        <w:t>3</w:t>
      </w:r>
      <w:r>
        <w:rPr>
          <w:rFonts w:hint="default" w:ascii="Times New Roman" w:hAnsi="Times New Roman" w:cs="Times New Roman"/>
          <w:color w:val="auto"/>
          <w:sz w:val="24"/>
          <w:lang w:val="en-US" w:eastAsia="zh-CN"/>
        </w:rPr>
        <w:t>个亚类资源数量来看，</w:t>
      </w:r>
      <w:r>
        <w:rPr>
          <w:rFonts w:hint="eastAsia" w:ascii="Times New Roman" w:hAnsi="Times New Roman" w:cs="Times New Roman"/>
          <w:color w:val="auto"/>
          <w:sz w:val="24"/>
          <w:lang w:val="en-US" w:eastAsia="zh-CN"/>
        </w:rPr>
        <w:t>人事活动记录和岁时节令类</w:t>
      </w:r>
      <w:r>
        <w:rPr>
          <w:rFonts w:hint="default" w:ascii="Times New Roman" w:hAnsi="Times New Roman" w:cs="Times New Roman"/>
          <w:color w:val="auto"/>
          <w:sz w:val="24"/>
          <w:lang w:val="en-US" w:eastAsia="zh-CN"/>
        </w:rPr>
        <w:t>资源量较为丰富</w:t>
      </w:r>
      <w:r>
        <w:rPr>
          <w:rFonts w:hint="eastAsia" w:ascii="Times New Roman" w:hAnsi="Times New Roman" w:cs="Times New Roman"/>
          <w:color w:val="auto"/>
          <w:sz w:val="24"/>
          <w:lang w:val="en-US" w:eastAsia="zh-CN"/>
        </w:rPr>
        <w:t>，单体数量分别为564处和144处</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文艺活动相对数量较少，为42处。基本类型分布方面，地方人物</w:t>
      </w:r>
      <w:r>
        <w:rPr>
          <w:rFonts w:hint="default" w:ascii="Times New Roman" w:hAnsi="Times New Roman" w:cs="Times New Roman"/>
          <w:color w:val="auto"/>
          <w:sz w:val="24"/>
          <w:lang w:val="en-US" w:eastAsia="zh-CN"/>
        </w:rPr>
        <w:t>资源量</w:t>
      </w:r>
      <w:r>
        <w:rPr>
          <w:rFonts w:hint="eastAsia" w:ascii="Times New Roman" w:hAnsi="Times New Roman" w:cs="Times New Roman"/>
          <w:color w:val="auto"/>
          <w:sz w:val="24"/>
          <w:lang w:val="en-US" w:eastAsia="zh-CN"/>
        </w:rPr>
        <w:t>最</w:t>
      </w:r>
      <w:r>
        <w:rPr>
          <w:rFonts w:hint="default" w:ascii="Times New Roman" w:hAnsi="Times New Roman" w:cs="Times New Roman"/>
          <w:color w:val="auto"/>
          <w:sz w:val="24"/>
          <w:lang w:val="en-US" w:eastAsia="zh-CN"/>
        </w:rPr>
        <w:t>为丰富</w:t>
      </w:r>
      <w:r>
        <w:rPr>
          <w:rFonts w:hint="eastAsia" w:ascii="Times New Roman" w:hAnsi="Times New Roman" w:cs="Times New Roman"/>
          <w:color w:val="auto"/>
          <w:sz w:val="24"/>
          <w:lang w:val="en-US" w:eastAsia="zh-CN"/>
        </w:rPr>
        <w:t>，单体数量为536处</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其次为现代节庆，共108处。再次为现代演艺和地方事件，数量分别为42处和28处。宗教活动与庙会23处，农时节日13处。</w:t>
      </w:r>
    </w:p>
    <w:p w14:paraId="7A0240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新发现资源主要集中分布于</w:t>
      </w:r>
      <w:r>
        <w:rPr>
          <w:rFonts w:hint="eastAsia" w:ascii="Times New Roman" w:hAnsi="Times New Roman" w:cs="Times New Roman"/>
          <w:color w:val="auto"/>
          <w:sz w:val="24"/>
          <w:lang w:val="en-US" w:eastAsia="zh-CN"/>
        </w:rPr>
        <w:t>现代节庆、地方人物</w:t>
      </w:r>
      <w:r>
        <w:rPr>
          <w:rFonts w:hint="default" w:ascii="Times New Roman" w:hAnsi="Times New Roman" w:cs="Times New Roman"/>
          <w:color w:val="auto"/>
          <w:sz w:val="24"/>
          <w:lang w:val="en-US" w:eastAsia="zh-CN"/>
        </w:rPr>
        <w:t>，分别</w:t>
      </w:r>
      <w:r>
        <w:rPr>
          <w:rFonts w:hint="eastAsia" w:ascii="Times New Roman" w:hAnsi="Times New Roman" w:cs="Times New Roman"/>
          <w:color w:val="auto"/>
          <w:sz w:val="24"/>
          <w:lang w:val="en-US" w:eastAsia="zh-CN"/>
        </w:rPr>
        <w:t>为25处和11处，</w:t>
      </w:r>
      <w:r>
        <w:rPr>
          <w:rFonts w:hint="default" w:ascii="Times New Roman" w:hAnsi="Times New Roman" w:cs="Times New Roman"/>
          <w:color w:val="auto"/>
          <w:sz w:val="24"/>
          <w:lang w:val="en-US" w:eastAsia="zh-CN"/>
        </w:rPr>
        <w:t>占</w:t>
      </w:r>
      <w:r>
        <w:rPr>
          <w:rFonts w:hint="eastAsia" w:ascii="Times New Roman" w:hAnsi="Times New Roman" w:cs="Times New Roman"/>
          <w:color w:val="auto"/>
          <w:sz w:val="24"/>
          <w:lang w:val="en-US" w:eastAsia="zh-CN"/>
        </w:rPr>
        <w:t>人文活动</w:t>
      </w:r>
      <w:r>
        <w:rPr>
          <w:rFonts w:hint="default" w:ascii="Times New Roman" w:hAnsi="Times New Roman" w:cs="Times New Roman"/>
          <w:color w:val="auto"/>
          <w:sz w:val="24"/>
          <w:lang w:val="en-US" w:eastAsia="zh-CN"/>
        </w:rPr>
        <w:t>主类新发现总量</w:t>
      </w:r>
      <w:r>
        <w:rPr>
          <w:rFonts w:hint="eastAsia" w:ascii="Times New Roman" w:hAnsi="Times New Roman" w:cs="Times New Roman"/>
          <w:color w:val="auto"/>
          <w:sz w:val="24"/>
          <w:lang w:val="en-US" w:eastAsia="zh-CN"/>
        </w:rPr>
        <w:t>的52.08</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和22.92</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其次为现代演艺和地方事件，新发现总量分别为9处、2处，</w:t>
      </w:r>
      <w:r>
        <w:rPr>
          <w:rFonts w:hint="default" w:ascii="Times New Roman" w:hAnsi="Times New Roman" w:cs="Times New Roman"/>
          <w:color w:val="auto"/>
          <w:sz w:val="24"/>
          <w:lang w:val="en-US" w:eastAsia="zh-CN"/>
        </w:rPr>
        <w:t>占</w:t>
      </w:r>
      <w:r>
        <w:rPr>
          <w:rFonts w:hint="eastAsia" w:ascii="Times New Roman" w:hAnsi="Times New Roman" w:cs="Times New Roman"/>
          <w:color w:val="auto"/>
          <w:sz w:val="24"/>
          <w:lang w:val="en-US" w:eastAsia="zh-CN"/>
        </w:rPr>
        <w:t>人文活动</w:t>
      </w:r>
      <w:r>
        <w:rPr>
          <w:rFonts w:hint="default" w:ascii="Times New Roman" w:hAnsi="Times New Roman" w:cs="Times New Roman"/>
          <w:color w:val="auto"/>
          <w:sz w:val="24"/>
          <w:lang w:val="en-US" w:eastAsia="zh-CN"/>
        </w:rPr>
        <w:t>主类新发现总量</w:t>
      </w:r>
      <w:r>
        <w:rPr>
          <w:rFonts w:hint="eastAsia" w:ascii="Times New Roman" w:hAnsi="Times New Roman" w:cs="Times New Roman"/>
          <w:color w:val="auto"/>
          <w:sz w:val="24"/>
          <w:lang w:val="en-US" w:eastAsia="zh-CN"/>
        </w:rPr>
        <w:t>的18.75%和4.17%。最少为农时节日1处，占新发现总量的2.08%。宗教活动与庙会无新发现资源。</w:t>
      </w:r>
    </w:p>
    <w:p w14:paraId="5E46065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（一）人事活动记录</w:t>
      </w:r>
    </w:p>
    <w:p w14:paraId="7832A7F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本次普查共查明人事活动记录564处，其中，地方人物数量最多，占该亚类总量的95.04%，其次为地方事件占该亚类总量的4.96%。</w:t>
      </w:r>
    </w:p>
    <w:p w14:paraId="2C0733E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人事活动记录亚类中新发现资源13处，地方人物数量最多，占该亚类新发现资源总量的84.62%，其次是地方事件占该亚类新发现资源总量的15.38%。</w:t>
      </w:r>
    </w:p>
    <w:p w14:paraId="456E42AC">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表3-37特色饮食亚类典型资源名录</w:t>
      </w:r>
    </w:p>
    <w:tbl>
      <w:tblPr>
        <w:tblStyle w:val="16"/>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7"/>
        <w:gridCol w:w="6600"/>
      </w:tblGrid>
      <w:tr w14:paraId="0009A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7" w:type="dxa"/>
          </w:tcPr>
          <w:p w14:paraId="07E5582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资源类型</w:t>
            </w:r>
          </w:p>
        </w:tc>
        <w:tc>
          <w:tcPr>
            <w:tcW w:w="6600" w:type="dxa"/>
          </w:tcPr>
          <w:p w14:paraId="01F0B181">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典型资源</w:t>
            </w:r>
          </w:p>
        </w:tc>
      </w:tr>
      <w:tr w14:paraId="49A23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7" w:type="dxa"/>
            <w:vAlign w:val="center"/>
          </w:tcPr>
          <w:p w14:paraId="24420A8E">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HAA地方人物</w:t>
            </w:r>
          </w:p>
        </w:tc>
        <w:tc>
          <w:tcPr>
            <w:tcW w:w="6600" w:type="dxa"/>
          </w:tcPr>
          <w:p w14:paraId="677B0877">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陈王廷、李金海、贺德义、赵玉清、卫平均、陈正雷、和有禄、司马昭、朱天才、曹谨、韩愈、郑小永、许衡、陈小旺、李商隐、朱载堉、董永、司马懿、郝同州、竹林七贤、汤金明、王亮亮、陈来华、靳丽萍、王西安、杨介人、康明轩、陈自强、宋学义、陈照丕、乔伯文、李伟、王蒙玲、邓宏礼、李鹏飞、崔长永、丁向峰、董国庆、成文生、杜诗、刘存献、陈有本、陈长兴、陈照奎、陈鑫、魏华存、陈卜、陈沛菊、王忠殿、陈小星、原树武、郝小银、陈朝霞、和慧超、和定乾、陈炳、陈桂珍、张保忠、朱向华、陈斌、张福旺、陈冲、王战军、陈照森、陈庆州、张东武、陈敬柏、程保臣</w:t>
            </w:r>
          </w:p>
        </w:tc>
      </w:tr>
      <w:tr w14:paraId="278A3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7" w:type="dxa"/>
            <w:vAlign w:val="center"/>
          </w:tcPr>
          <w:p w14:paraId="43B44BC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HAB地方事件</w:t>
            </w:r>
          </w:p>
        </w:tc>
        <w:tc>
          <w:tcPr>
            <w:tcW w:w="6600" w:type="dxa"/>
          </w:tcPr>
          <w:p w14:paraId="7A8D4077">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江泽民视察河南焦作博爱农场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1996年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胡锦涛视察河南焦作博爱（2008年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胡锦涛考察武陟县万亩玉米示范田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江泽民视察河南沁阳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胡锦涛视察河南温县</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2008年）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江泽民视察中州铝厂</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江泽民视察修武小营村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胡锦涛视察河南焦作桑坡村（2008年）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江泽民视察河南孟州市韩园（1996年）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焦作煤矿工人大罢工</w:t>
            </w:r>
          </w:p>
        </w:tc>
      </w:tr>
    </w:tbl>
    <w:p w14:paraId="1BBF0D5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宋体" w:hAnsi="宋体" w:cs="宋体"/>
          <w:b/>
          <w:bCs/>
          <w:color w:val="auto"/>
          <w:sz w:val="24"/>
          <w:szCs w:val="24"/>
          <w:lang w:val="en-US" w:eastAsia="zh-CN"/>
        </w:rPr>
      </w:pPr>
    </w:p>
    <w:p w14:paraId="3FC326F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3"/>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（二）岁时节令</w:t>
      </w:r>
    </w:p>
    <w:p w14:paraId="3A8AE3F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本次普查共查明岁时节令144处，其中，现代节庆数量最多，占该亚类总量的75%，其次为宗教活动与庙会占该亚类总量的15.97%。</w:t>
      </w:r>
    </w:p>
    <w:p w14:paraId="6FFFD7F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岁时节令亚类中新发现资源26处，现代节庆数量最多，占该亚类新发现资源总量的96.15%，其次是农时节日占该亚类新发现资源总量的3.85%。</w:t>
      </w:r>
    </w:p>
    <w:p w14:paraId="033CF690">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表3-38岁时节令亚类典型资源名录</w:t>
      </w:r>
    </w:p>
    <w:tbl>
      <w:tblPr>
        <w:tblStyle w:val="16"/>
        <w:tblW w:w="0" w:type="auto"/>
        <w:tblInd w:w="1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6"/>
        <w:gridCol w:w="6623"/>
      </w:tblGrid>
      <w:tr w14:paraId="61539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tcPr>
          <w:p w14:paraId="75EE499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资源类型</w:t>
            </w:r>
          </w:p>
        </w:tc>
        <w:tc>
          <w:tcPr>
            <w:tcW w:w="6623" w:type="dxa"/>
          </w:tcPr>
          <w:p w14:paraId="217C52D9">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典型资源</w:t>
            </w:r>
          </w:p>
        </w:tc>
      </w:tr>
      <w:tr w14:paraId="4EAA9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Align w:val="center"/>
          </w:tcPr>
          <w:p w14:paraId="3A437556">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HBA宗教活动与庙会</w:t>
            </w:r>
          </w:p>
        </w:tc>
        <w:tc>
          <w:tcPr>
            <w:tcW w:w="6623" w:type="dxa"/>
          </w:tcPr>
          <w:p w14:paraId="3ECDAE31">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沁阳二仙庙会</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焦作沈鹿宿火神庙庙会</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武陟青龙宫庙会</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武陟谷雨庙会</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博爱月山寺春节文化庙会</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武陟三郎庙庙会</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修武北关村祖师庙会</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武陟大司马村尧王庙祭祀</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武陟董永庙会</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武陟汉王庙庙会</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武陟火神祭祀</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沁阳六村古庙会</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温县陈家沟春节文化庙会</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修武郇封村东岳庙庙会</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温县段村二月二庙会</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博爱火炬观领羊庙会</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武陟小董村集会</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武陟渠下村逢五庙会</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武陟磨庄村集会</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武陟贾村逢四集贸大会</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武陟大陶村集会</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武陟北王村逢“九”庙会</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焦作圆融寺供斋节</w:t>
            </w:r>
          </w:p>
        </w:tc>
      </w:tr>
      <w:tr w14:paraId="7D638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Align w:val="center"/>
          </w:tcPr>
          <w:p w14:paraId="781C4AB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HBB农时节日</w:t>
            </w:r>
          </w:p>
        </w:tc>
        <w:tc>
          <w:tcPr>
            <w:tcW w:w="6623" w:type="dxa"/>
          </w:tcPr>
          <w:p w14:paraId="62C0ACFA">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修武新庄村大枣节</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焦作中国农民丰收节</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博爱小底村樱桃节</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温县流金花会</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温县铁棍山药文化节</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温县古贤碾馔美食文化节</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焦作马村区端午艺术游园会暨非遗文化节</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焦作高新区2024年春节文艺汇演</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武陟冬至习俗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焦作解放区“山的礼物”山货节</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博爱青天河桃花节</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博爱寨豁冬桃节</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博爱小底樱桃节</w:t>
            </w:r>
          </w:p>
        </w:tc>
      </w:tr>
      <w:tr w14:paraId="17458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Align w:val="center"/>
          </w:tcPr>
          <w:p w14:paraId="65C1F2F8">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HBC现代节庆</w:t>
            </w:r>
          </w:p>
        </w:tc>
        <w:tc>
          <w:tcPr>
            <w:tcW w:w="6623" w:type="dxa"/>
          </w:tcPr>
          <w:p w14:paraId="7D1D110F">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焦作云台山旅游节、焦作国际太极拳交流大赛、焦作云台山电音节、焦作云台山冰雪节、焦作云台山汉服花朝节、沁阳神农山“三山同登”健身节、焦作篮球文化节、博爱青天河红叶节、修武夜游云溪谷、焦作解放区春节大联欢、孟州“韩愈故里 大美孟州”首届全省戏曲邀请赛开幕式、焦作行走大运河全民健身健步走活动、孟州莫沟村全国“村晚”示范展示活动、孟州韩园国潮文化灯光秀、孟州“太极文化百村行——咱村有戏”莫沟村夏季村晚活动、孟州韩愈故里文化节、焦作云台山观瀑节、焦作高新区六一少儿合唱比赛、焦作高新区春节文艺汇演、沁阳赵寨花海艺术节、沁阳神农山神农文化节、沁阳柏香驴肉文化节、孟州老家莫沟景区“赏舞龙·赛游船”活动、温县太极拳传承发展大会、焦作苏家作体育公园篮球文化节、孟州市首届汉服赏月节</w:t>
            </w:r>
          </w:p>
        </w:tc>
      </w:tr>
    </w:tbl>
    <w:p w14:paraId="7D68D4C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3"/>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（三）文艺活动</w:t>
      </w:r>
    </w:p>
    <w:p w14:paraId="6DF3EF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本次普查共查明文艺活动42处，文艺活动亚类中新发现资源9处。</w:t>
      </w:r>
    </w:p>
    <w:p w14:paraId="342068A0">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表3-39文艺活动亚类典型资源名录</w:t>
      </w:r>
    </w:p>
    <w:tbl>
      <w:tblPr>
        <w:tblStyle w:val="16"/>
        <w:tblW w:w="0" w:type="auto"/>
        <w:tblInd w:w="1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5"/>
        <w:gridCol w:w="6392"/>
      </w:tblGrid>
      <w:tr w14:paraId="07511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5" w:type="dxa"/>
          </w:tcPr>
          <w:p w14:paraId="61724A8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资源类型</w:t>
            </w:r>
          </w:p>
        </w:tc>
        <w:tc>
          <w:tcPr>
            <w:tcW w:w="6392" w:type="dxa"/>
          </w:tcPr>
          <w:p w14:paraId="6F47485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典型资源</w:t>
            </w:r>
          </w:p>
        </w:tc>
      </w:tr>
      <w:tr w14:paraId="46D72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5" w:type="dxa"/>
            <w:vAlign w:val="center"/>
          </w:tcPr>
          <w:p w14:paraId="2DBFB367">
            <w:pPr>
              <w:keepNext w:val="0"/>
              <w:keepLines w:val="0"/>
              <w:widowControl/>
              <w:suppressLineNumbers w:val="0"/>
              <w:jc w:val="center"/>
              <w:textAlignment w:val="center"/>
              <w:rPr>
                <w:rFonts w:hint="eastAsia" w:ascii="仿宋" w:hAnsi="仿宋" w:eastAsia="仿宋" w:cs="仿宋"/>
                <w:b/>
                <w:bCs/>
                <w:color w:val="auto"/>
                <w:sz w:val="21"/>
                <w:szCs w:val="21"/>
                <w:vertAlign w:val="baseline"/>
                <w:lang w:val="en-US" w:eastAsia="zh-CN"/>
              </w:rPr>
            </w:pPr>
            <w:r>
              <w:rPr>
                <w:rFonts w:hint="eastAsia" w:ascii="仿宋" w:hAnsi="仿宋" w:eastAsia="仿宋" w:cs="仿宋"/>
                <w:i w:val="0"/>
                <w:iCs w:val="0"/>
                <w:color w:val="auto"/>
                <w:kern w:val="0"/>
                <w:sz w:val="21"/>
                <w:szCs w:val="21"/>
                <w:u w:val="none"/>
                <w:lang w:val="en-US" w:eastAsia="zh-CN" w:bidi="ar"/>
              </w:rPr>
              <w:t>HCA现代演艺</w:t>
            </w:r>
          </w:p>
        </w:tc>
        <w:tc>
          <w:tcPr>
            <w:tcW w:w="6392" w:type="dxa"/>
          </w:tcPr>
          <w:p w14:paraId="0FB371B7">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温县沉浸式演出《印象·太极》、焦作·国际首创高塔实景演出、沁阳神农山“神农祭天”活动、沁阳朱载堉雅乐团雅乐表演、焦作解放小剧场演艺、焦作云台山动物剧场表演、孟州老家莫沟景区大型实景剧《老家烽火》、孟州音乐说唱《踔厉奋发新时代》、焦作高新区我的乡村文化合作社才艺大赛、孟州戏曲情意剧《文脉根魂》、焦作阳庙我的乡村文化合作社才艺展演、焦作云台山云台明月焰、孟州情景剧《韩愈贾岛话推敲》、孟州清音雅乐《韩愈家风赋》、温县太极街舞、焦作高新区八一建军节文化进军营文艺演出、焦作解放区森林动物园灯展、焦作高新区第三届少儿才艺展演、焦作杨庄村夏季村晚、焦作春林村盘鼓队、焦作太行盆景园花火之夜、沁阳怀梆《穆桂英大破天门阵》、焦作云台山小寨沟水慕秋千、温县“大咖云集 蜜雪来袭”太极·说唱对决赛、焦作解放区MV、温县架势太极舞蹈、温县水墨太极舞蹈、武陟红旗旱船、孟州莫沟村古堡惊魂、孟州戏曲音乐情景剧《岩山烽火》、温县儿童剧丑小鸭——勇敢的可可西、沁阳怀梆《好媳妇》、孟州歌伴舞《扬帆再起航》、沁阳怀梆《曹谨还乡》、焦作西大井文创情景剧、焦作太极体育中心灯光秀、焦作颐春社区盘鼓、武陟旱船、沁阳怀梆《老少换》、武陟特色梆子、焦作花枝俏现代戏曲、焦作姐妹花广场舞</w:t>
            </w:r>
          </w:p>
        </w:tc>
      </w:tr>
    </w:tbl>
    <w:p w14:paraId="53FB00C4">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eastAsia" w:ascii="宋体" w:hAnsi="宋体" w:eastAsia="宋体" w:cs="宋体"/>
          <w:b/>
          <w:bCs/>
          <w:color w:val="auto"/>
          <w:sz w:val="32"/>
          <w:szCs w:val="32"/>
        </w:rPr>
      </w:pPr>
    </w:p>
    <w:p w14:paraId="66AB3948">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14:paraId="42AE184C">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rPr>
      </w:pPr>
      <w:bookmarkStart w:id="72" w:name="_Toc11315"/>
      <w:r>
        <w:rPr>
          <w:rFonts w:hint="eastAsia" w:ascii="宋体" w:hAnsi="宋体" w:eastAsia="宋体" w:cs="宋体"/>
          <w:b/>
          <w:bCs/>
          <w:color w:val="auto"/>
          <w:sz w:val="32"/>
          <w:szCs w:val="32"/>
        </w:rPr>
        <w:t>第</w:t>
      </w:r>
      <w:r>
        <w:rPr>
          <w:rFonts w:hint="eastAsia" w:ascii="宋体" w:hAnsi="宋体" w:eastAsia="宋体" w:cs="宋体"/>
          <w:b/>
          <w:bCs/>
          <w:color w:val="auto"/>
          <w:sz w:val="32"/>
          <w:szCs w:val="32"/>
          <w:lang w:eastAsia="zh-CN"/>
        </w:rPr>
        <w:t>四</w:t>
      </w:r>
      <w:r>
        <w:rPr>
          <w:rFonts w:hint="eastAsia" w:ascii="宋体" w:hAnsi="宋体" w:eastAsia="宋体" w:cs="宋体"/>
          <w:b/>
          <w:bCs/>
          <w:color w:val="auto"/>
          <w:sz w:val="32"/>
          <w:szCs w:val="32"/>
        </w:rPr>
        <w:t>章</w:t>
      </w:r>
      <w:r>
        <w:rPr>
          <w:rFonts w:hint="eastAsia" w:ascii="宋体" w:hAnsi="宋体" w:eastAsia="宋体" w:cs="宋体"/>
          <w:b/>
          <w:bCs/>
          <w:color w:val="auto"/>
          <w:sz w:val="32"/>
          <w:szCs w:val="32"/>
          <w:lang w:val="en-US" w:eastAsia="zh-CN"/>
        </w:rPr>
        <w:t xml:space="preserve"> 旅游资源评价</w:t>
      </w:r>
      <w:bookmarkEnd w:id="72"/>
    </w:p>
    <w:p w14:paraId="47C7B1C3">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宋体" w:hAnsi="宋体" w:eastAsia="宋体" w:cs="宋体"/>
          <w:b/>
          <w:bCs/>
          <w:color w:val="auto"/>
          <w:sz w:val="30"/>
          <w:szCs w:val="30"/>
          <w:lang w:val="en-US" w:eastAsia="zh-CN"/>
        </w:rPr>
      </w:pPr>
      <w:bookmarkStart w:id="73" w:name="_Toc4433"/>
      <w:r>
        <w:rPr>
          <w:rFonts w:hint="eastAsia" w:ascii="宋体" w:hAnsi="宋体" w:eastAsia="宋体" w:cs="宋体"/>
          <w:b/>
          <w:bCs/>
          <w:color w:val="auto"/>
          <w:sz w:val="30"/>
          <w:szCs w:val="30"/>
        </w:rPr>
        <w:t>第</w:t>
      </w:r>
      <w:r>
        <w:rPr>
          <w:rFonts w:hint="eastAsia" w:ascii="宋体" w:hAnsi="宋体" w:eastAsia="宋体" w:cs="宋体"/>
          <w:b/>
          <w:bCs/>
          <w:color w:val="auto"/>
          <w:sz w:val="30"/>
          <w:szCs w:val="30"/>
          <w:lang w:eastAsia="zh-CN"/>
        </w:rPr>
        <w:t>一</w:t>
      </w:r>
      <w:r>
        <w:rPr>
          <w:rFonts w:hint="eastAsia" w:ascii="宋体" w:hAnsi="宋体" w:eastAsia="宋体" w:cs="宋体"/>
          <w:b/>
          <w:bCs/>
          <w:color w:val="auto"/>
          <w:sz w:val="30"/>
          <w:szCs w:val="30"/>
        </w:rPr>
        <w:t>节</w:t>
      </w:r>
      <w:r>
        <w:rPr>
          <w:rFonts w:hint="eastAsia" w:ascii="宋体" w:hAnsi="宋体" w:eastAsia="宋体" w:cs="宋体"/>
          <w:b/>
          <w:bCs/>
          <w:color w:val="auto"/>
          <w:sz w:val="30"/>
          <w:szCs w:val="30"/>
          <w:lang w:val="en-US" w:eastAsia="zh-CN"/>
        </w:rPr>
        <w:t xml:space="preserve"> 优良级旅游资源类型分布特征</w:t>
      </w:r>
      <w:bookmarkEnd w:id="73"/>
    </w:p>
    <w:p w14:paraId="42BB429D">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2"/>
        <w:rPr>
          <w:rFonts w:hint="eastAsia" w:ascii="宋体" w:hAnsi="宋体" w:cs="宋体"/>
          <w:b/>
          <w:bCs/>
          <w:color w:val="auto"/>
          <w:sz w:val="28"/>
          <w:szCs w:val="28"/>
          <w:lang w:val="en-US" w:eastAsia="zh-CN"/>
        </w:rPr>
      </w:pPr>
      <w:bookmarkStart w:id="74" w:name="_Toc19397"/>
      <w:r>
        <w:rPr>
          <w:rFonts w:hint="eastAsia" w:ascii="宋体" w:hAnsi="宋体" w:cs="宋体"/>
          <w:b/>
          <w:bCs/>
          <w:color w:val="auto"/>
          <w:sz w:val="28"/>
          <w:szCs w:val="28"/>
          <w:lang w:val="en-US" w:eastAsia="zh-CN"/>
        </w:rPr>
        <w:t>一、总体分布特征</w:t>
      </w:r>
      <w:bookmarkEnd w:id="74"/>
    </w:p>
    <w:p w14:paraId="369BE997">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3"/>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（一）</w:t>
      </w:r>
      <w:r>
        <w:rPr>
          <w:rFonts w:hint="eastAsia" w:ascii="宋体" w:hAnsi="宋体" w:cs="宋体"/>
          <w:b/>
          <w:bCs/>
          <w:color w:val="auto"/>
          <w:sz w:val="24"/>
          <w:szCs w:val="24"/>
          <w:lang w:val="en-US" w:eastAsia="zh-CN"/>
        </w:rPr>
        <w:t>优良级旅游资源</w:t>
      </w:r>
      <w:r>
        <w:rPr>
          <w:rFonts w:hint="eastAsia" w:ascii="宋体" w:hAnsi="宋体" w:eastAsia="宋体" w:cs="宋体"/>
          <w:b/>
          <w:bCs/>
          <w:color w:val="auto"/>
          <w:sz w:val="24"/>
          <w:szCs w:val="24"/>
          <w:lang w:val="en-US" w:eastAsia="zh-CN"/>
        </w:rPr>
        <w:t>总体空间分布特征</w:t>
      </w:r>
    </w:p>
    <w:p w14:paraId="497E5B4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ascii="宋体" w:hAnsi="宋体"/>
          <w:color w:val="auto"/>
          <w:sz w:val="24"/>
          <w:lang w:val="en-US" w:eastAsia="zh-CN"/>
        </w:rPr>
      </w:pPr>
      <w:r>
        <w:rPr>
          <w:rFonts w:hint="eastAsia" w:ascii="Times New Roman" w:hAnsi="Times New Roman" w:cs="Times New Roman"/>
          <w:color w:val="auto"/>
          <w:sz w:val="24"/>
          <w:lang w:val="en-US" w:eastAsia="zh-CN"/>
        </w:rPr>
        <w:t>根据</w:t>
      </w:r>
      <w:r>
        <w:rPr>
          <w:rFonts w:hint="eastAsia" w:ascii="Times New Roman" w:hAnsi="Times New Roman" w:eastAsia="宋体" w:cs="Times New Roman"/>
          <w:color w:val="auto"/>
          <w:sz w:val="24"/>
          <w:lang w:val="en-US" w:eastAsia="zh-CN"/>
        </w:rPr>
        <w:t>《河南省旅游资源分类、调查与评价（试行）》</w:t>
      </w:r>
      <w:r>
        <w:rPr>
          <w:rFonts w:hint="eastAsia" w:ascii="Times New Roman" w:hAnsi="Times New Roman" w:cs="Times New Roman"/>
          <w:color w:val="auto"/>
          <w:sz w:val="24"/>
          <w:lang w:val="en-US" w:eastAsia="zh-CN"/>
        </w:rPr>
        <w:t>的资源评价体系，五级、四级、三级资源统称为“优良级资源”。</w:t>
      </w:r>
      <w:r>
        <w:rPr>
          <w:rFonts w:hint="eastAsia" w:ascii="宋体" w:hAnsi="宋体"/>
          <w:color w:val="auto"/>
          <w:sz w:val="24"/>
        </w:rPr>
        <w:t>全</w:t>
      </w:r>
      <w:r>
        <w:rPr>
          <w:rFonts w:hint="eastAsia" w:ascii="宋体" w:hAnsi="宋体"/>
          <w:color w:val="auto"/>
          <w:sz w:val="24"/>
          <w:lang w:val="en-US" w:eastAsia="zh-CN"/>
        </w:rPr>
        <w:t>市</w:t>
      </w:r>
      <w:r>
        <w:rPr>
          <w:rFonts w:hint="eastAsia" w:ascii="宋体" w:hAnsi="宋体"/>
          <w:color w:val="auto"/>
          <w:sz w:val="24"/>
        </w:rPr>
        <w:t>共有优良级资源单体</w:t>
      </w:r>
      <w:r>
        <w:rPr>
          <w:rFonts w:hint="eastAsia" w:ascii="宋体" w:hAnsi="宋体"/>
          <w:color w:val="auto"/>
          <w:sz w:val="24"/>
          <w:lang w:val="en-US" w:eastAsia="zh-CN"/>
        </w:rPr>
        <w:t>1841处</w:t>
      </w:r>
      <w:r>
        <w:rPr>
          <w:rFonts w:hint="eastAsia" w:ascii="宋体" w:hAnsi="宋体"/>
          <w:color w:val="auto"/>
          <w:sz w:val="24"/>
        </w:rPr>
        <w:t>，</w:t>
      </w:r>
      <w:r>
        <w:rPr>
          <w:rFonts w:hint="eastAsia" w:ascii="宋体" w:hAnsi="宋体"/>
          <w:color w:val="auto"/>
          <w:sz w:val="24"/>
          <w:lang w:val="en-US" w:eastAsia="zh-CN"/>
        </w:rPr>
        <w:t>占全市总资源数量的15.33%。其中，五级资源189处，四级资源420处，三级资源1232处。从10个县（市、区）优良级资源空间分布上来看，修武县543处，占比29.49%；沁阳市236处，占比12.82%；孟州230处，占比12.49%；温县205处，占比11.14%；解放区201处，占比10.92%；博爱县199</w:t>
      </w:r>
      <w:r>
        <w:rPr>
          <w:rFonts w:hint="eastAsia" w:ascii="宋体" w:hAnsi="宋体" w:cs="宋体"/>
          <w:b w:val="0"/>
          <w:bCs w:val="0"/>
          <w:color w:val="auto"/>
          <w:sz w:val="24"/>
          <w:szCs w:val="24"/>
          <w:lang w:val="en-US" w:eastAsia="zh-CN"/>
        </w:rPr>
        <w:t>处，占比10.81%；山阳区105处，占比5.70%；武陟县71处，占比3.86%；中站区40处，占比2.17%；马村区11处，占比0.60%，</w:t>
      </w:r>
      <w:r>
        <w:rPr>
          <w:rFonts w:hint="eastAsia" w:ascii="宋体" w:hAnsi="宋体"/>
          <w:color w:val="auto"/>
          <w:sz w:val="24"/>
        </w:rPr>
        <w:t>详见图</w:t>
      </w:r>
      <w:r>
        <w:rPr>
          <w:rFonts w:hint="eastAsia" w:ascii="宋体" w:hAnsi="宋体"/>
          <w:color w:val="auto"/>
          <w:sz w:val="24"/>
          <w:lang w:val="en-US" w:eastAsia="zh-CN"/>
        </w:rPr>
        <w:t>4</w:t>
      </w:r>
      <w:r>
        <w:rPr>
          <w:rFonts w:hint="eastAsia" w:ascii="宋体" w:hAnsi="宋体"/>
          <w:color w:val="auto"/>
          <w:sz w:val="24"/>
        </w:rPr>
        <w:t>-1。</w:t>
      </w:r>
      <w:r>
        <w:rPr>
          <w:rFonts w:hint="eastAsia" w:ascii="宋体" w:hAnsi="宋体"/>
          <w:color w:val="auto"/>
          <w:sz w:val="24"/>
          <w:lang w:val="en-US" w:eastAsia="zh-CN"/>
        </w:rPr>
        <w:t>由图可知，优良级旅游资源主要分布在修武县、沁阳市、孟州市、温县和博爱县。</w:t>
      </w:r>
    </w:p>
    <w:p w14:paraId="643CCAAB">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color w:val="auto"/>
          <w:sz w:val="24"/>
          <w:lang w:val="en-US" w:eastAsia="zh-CN"/>
        </w:rPr>
      </w:pPr>
      <w:r>
        <w:rPr>
          <w:color w:val="auto"/>
        </w:rPr>
        <w:drawing>
          <wp:inline distT="0" distB="0" distL="114300" distR="114300">
            <wp:extent cx="5272405" cy="3165475"/>
            <wp:effectExtent l="4445" t="4445" r="19050" b="11430"/>
            <wp:docPr id="3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E450110">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图4-1 焦作市优良级旅游资源区域分布图</w:t>
      </w:r>
    </w:p>
    <w:p w14:paraId="589E781E">
      <w:pPr>
        <w:keepNext w:val="0"/>
        <w:keepLines w:val="0"/>
        <w:pageBreakBefore w:val="0"/>
        <w:widowControl w:val="0"/>
        <w:numPr>
          <w:ilvl w:val="0"/>
          <w:numId w:val="13"/>
        </w:numPr>
        <w:kinsoku/>
        <w:wordWrap/>
        <w:overflowPunct/>
        <w:topLinePunct w:val="0"/>
        <w:autoSpaceDE/>
        <w:autoSpaceDN/>
        <w:bidi w:val="0"/>
        <w:adjustRightInd/>
        <w:snapToGrid/>
        <w:spacing w:line="360" w:lineRule="auto"/>
        <w:jc w:val="both"/>
        <w:textAlignment w:val="auto"/>
        <w:outlineLvl w:val="3"/>
        <w:rPr>
          <w:rFonts w:hint="eastAsia" w:ascii="宋体" w:hAnsi="宋体" w:eastAsia="宋体" w:cs="宋体"/>
          <w:b/>
          <w:bCs/>
          <w:color w:val="auto"/>
          <w:sz w:val="24"/>
          <w:szCs w:val="24"/>
          <w:lang w:val="en-US" w:eastAsia="zh-CN"/>
        </w:rPr>
      </w:pPr>
      <w:r>
        <w:rPr>
          <w:rFonts w:hint="eastAsia" w:ascii="宋体" w:hAnsi="宋体" w:cs="宋体"/>
          <w:b/>
          <w:bCs/>
          <w:color w:val="auto"/>
          <w:sz w:val="24"/>
          <w:szCs w:val="24"/>
          <w:lang w:val="en-US" w:eastAsia="zh-CN"/>
        </w:rPr>
        <w:t>优良级旅游资源</w:t>
      </w:r>
      <w:r>
        <w:rPr>
          <w:rFonts w:hint="eastAsia" w:ascii="宋体" w:hAnsi="宋体" w:eastAsia="宋体" w:cs="宋体"/>
          <w:b/>
          <w:bCs/>
          <w:color w:val="auto"/>
          <w:sz w:val="24"/>
          <w:szCs w:val="24"/>
          <w:lang w:val="en-US" w:eastAsia="zh-CN"/>
        </w:rPr>
        <w:t>类型分布特征</w:t>
      </w:r>
    </w:p>
    <w:p w14:paraId="3090A3A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从资源的类别来看，全市1841处优良级旅游资源中，地文景观244处，占比13.25%；水域景观170处，占比9.23%；生物景观60处，占比3.26%；天象与气候景观30处，占比1.63%；建筑与设施875处，占比47.53%；历史遗迹216处，占比11.73%；旅游购品116处，占比6.30%；人文活动130处，占比7.06%，</w:t>
      </w:r>
      <w:r>
        <w:rPr>
          <w:rFonts w:hint="eastAsia" w:ascii="宋体" w:hAnsi="宋体"/>
          <w:color w:val="auto"/>
          <w:sz w:val="24"/>
        </w:rPr>
        <w:t>详见图</w:t>
      </w:r>
      <w:r>
        <w:rPr>
          <w:rFonts w:hint="eastAsia" w:ascii="宋体" w:hAnsi="宋体"/>
          <w:color w:val="auto"/>
          <w:sz w:val="24"/>
          <w:lang w:val="en-US" w:eastAsia="zh-CN"/>
        </w:rPr>
        <w:t>4</w:t>
      </w:r>
      <w:r>
        <w:rPr>
          <w:rFonts w:hint="eastAsia" w:ascii="宋体" w:hAnsi="宋体"/>
          <w:color w:val="auto"/>
          <w:sz w:val="24"/>
        </w:rPr>
        <w:t>-</w:t>
      </w:r>
      <w:r>
        <w:rPr>
          <w:rFonts w:hint="eastAsia" w:ascii="宋体" w:hAnsi="宋体"/>
          <w:color w:val="auto"/>
          <w:sz w:val="24"/>
          <w:lang w:val="en-US" w:eastAsia="zh-CN"/>
        </w:rPr>
        <w:t>2</w:t>
      </w:r>
      <w:r>
        <w:rPr>
          <w:rFonts w:hint="eastAsia" w:ascii="宋体" w:hAnsi="宋体"/>
          <w:color w:val="auto"/>
          <w:sz w:val="24"/>
        </w:rPr>
        <w:t>。</w:t>
      </w:r>
      <w:r>
        <w:rPr>
          <w:rFonts w:hint="eastAsia" w:ascii="宋体" w:hAnsi="宋体"/>
          <w:color w:val="auto"/>
          <w:sz w:val="24"/>
          <w:lang w:val="en-US" w:eastAsia="zh-CN"/>
        </w:rPr>
        <w:t>由图可知，优良级旅游资源主要分布</w:t>
      </w:r>
      <w:r>
        <w:rPr>
          <w:rFonts w:hint="eastAsia" w:ascii="宋体" w:hAnsi="宋体" w:cs="宋体"/>
          <w:b w:val="0"/>
          <w:bCs w:val="0"/>
          <w:color w:val="auto"/>
          <w:sz w:val="24"/>
          <w:szCs w:val="24"/>
          <w:lang w:val="en-US" w:eastAsia="zh-CN"/>
        </w:rPr>
        <w:t>建筑与设施、地文景观、历史遗迹三大类。</w:t>
      </w:r>
    </w:p>
    <w:p w14:paraId="482CE28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9"/>
        <w:rPr>
          <w:color w:val="auto"/>
        </w:rPr>
      </w:pPr>
      <w:r>
        <w:rPr>
          <w:color w:val="auto"/>
        </w:rPr>
        <w:drawing>
          <wp:inline distT="0" distB="0" distL="114300" distR="114300">
            <wp:extent cx="5271135" cy="2920365"/>
            <wp:effectExtent l="4445" t="4445" r="20320" b="8890"/>
            <wp:docPr id="37"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38C3E908">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图4-2焦作市优良级旅游资源类型结构分布图</w:t>
      </w:r>
    </w:p>
    <w:p w14:paraId="65E0D014">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2"/>
        <w:rPr>
          <w:rFonts w:hint="eastAsia" w:ascii="宋体" w:hAnsi="宋体" w:eastAsia="宋体" w:cs="宋体"/>
          <w:b/>
          <w:bCs/>
          <w:color w:val="auto"/>
          <w:sz w:val="28"/>
          <w:szCs w:val="28"/>
          <w:lang w:val="en-US" w:eastAsia="zh-CN"/>
        </w:rPr>
      </w:pPr>
      <w:bookmarkStart w:id="75" w:name="_Toc32626"/>
      <w:r>
        <w:rPr>
          <w:rFonts w:hint="eastAsia" w:ascii="宋体" w:hAnsi="宋体" w:cs="宋体"/>
          <w:b/>
          <w:bCs/>
          <w:color w:val="auto"/>
          <w:sz w:val="28"/>
          <w:szCs w:val="28"/>
          <w:lang w:val="en-US" w:eastAsia="zh-CN"/>
        </w:rPr>
        <w:t>二</w:t>
      </w:r>
      <w:r>
        <w:rPr>
          <w:rFonts w:hint="eastAsia" w:ascii="宋体" w:hAnsi="宋体" w:eastAsia="宋体" w:cs="宋体"/>
          <w:b/>
          <w:bCs/>
          <w:color w:val="auto"/>
          <w:sz w:val="28"/>
          <w:szCs w:val="28"/>
          <w:lang w:val="en-US" w:eastAsia="zh-CN"/>
        </w:rPr>
        <w:t>、五级资源</w:t>
      </w:r>
      <w:bookmarkEnd w:id="75"/>
    </w:p>
    <w:p w14:paraId="1530904B">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3"/>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（一）总体空间资源分布特征</w:t>
      </w:r>
    </w:p>
    <w:p w14:paraId="35C0F04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五级资源是全市旅游资源的精华，具有最高的知名度和最佳的开发条件。全市共普查出189处五级资源，从资源空间分布情况来看，修武县71处，博爱县17处，沁阳市31处，山阳区8处，温县33处，孟州市8处，武陟县10处，解放区5处，中站区6处，马村区0处。由此可见，五级资源主要分布在修武县，占比37.57%，其次为温县、沁阳市和博爱县。</w:t>
      </w:r>
    </w:p>
    <w:p w14:paraId="4389FBFE">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3"/>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（二）类型分布特征</w:t>
      </w:r>
    </w:p>
    <w:p w14:paraId="1CEB60D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从资源的类别来看，全市189处五级资源中，地文景观36处，水域景观25处，生物景观7处，天象与气候景观8处，建筑与设施34处，历史遗迹32处，旅游购品15处，人文活动32处。从八大类来看，五级资源主要集中在地文景观、建筑与设施、历史遗迹主类。</w:t>
      </w:r>
    </w:p>
    <w:p w14:paraId="5DC42F0E">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表4-1 分地区典型五级资源名录表</w:t>
      </w:r>
    </w:p>
    <w:tbl>
      <w:tblPr>
        <w:tblStyle w:val="16"/>
        <w:tblW w:w="0" w:type="auto"/>
        <w:tblInd w:w="1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7"/>
        <w:gridCol w:w="6692"/>
      </w:tblGrid>
      <w:tr w14:paraId="325F7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7" w:type="dxa"/>
          </w:tcPr>
          <w:p w14:paraId="5563454D">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地区</w:t>
            </w:r>
          </w:p>
        </w:tc>
        <w:tc>
          <w:tcPr>
            <w:tcW w:w="6692" w:type="dxa"/>
          </w:tcPr>
          <w:p w14:paraId="0AD2EEE4">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典型五级资源名录</w:t>
            </w:r>
          </w:p>
        </w:tc>
      </w:tr>
      <w:tr w14:paraId="30900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7" w:type="dxa"/>
          </w:tcPr>
          <w:p w14:paraId="7F0AB868">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修武县</w:t>
            </w:r>
          </w:p>
        </w:tc>
        <w:tc>
          <w:tcPr>
            <w:tcW w:w="6692" w:type="dxa"/>
          </w:tcPr>
          <w:p w14:paraId="0C0336BA">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lang w:val="en-US" w:eastAsia="zh-CN"/>
              </w:rPr>
              <w:t>焦作峰林峡天空之恋观景台、焦作云台山泉瀑峡河段、焦作青龙峡壶穴谷、焦作云台山凤凰岭玻璃栈道崖壁、焦作云台山山前大绝壁、焦作青龙峡游憩河段、焦作云台山百家岩垂直自然地、焦作云台山小寨沟积雪地、焦作云台山凤凰岭峰林地貌、焦作裴庄村台地、江泽民视察中州铝厂、江泽民视察修武小营村、焦作云台山茱萸峰日出、竹林七贤、修武净影大峡谷、焦作云台山凤凰岭、焦作云台山潭瀑峡、焦作云台山潭瀑峡瓮谷、焦作云台山云溪谷灯光秀、焦作云台山潭瀑峡龙凤壁、焦作云台山潭瀑峡钙华坝和水帘瀑、焦作云台山潭瀑峡不老泉、焦作云台山猕猴谷、修武青龙峡游憩河段、焦作云台山泉瀑峡、修武净影寺莲花山、焦作云台山天瀑峡、焦作云台山云溪谷、焦作云台山峰林峡红叶、焦作云台山百家岩孝女塔、焦作云台山小寨沟服务区游憩河段、焦作青龙峡日出、焦作云台山红石峡万泉崖、焦作青龙峡五彩长崖、焦作青龙峡台地型景观、修武一斗水村、焦作云台山子房湖桃花水母栖息地、焦作云台山百家岩玉皇顶、焦作云台山泉瀑峡孔雀泉、焦作云台山旅游节、焦作云台山红石峡游憩河段、焦作云台山潭瀑峡游憩河段、焦作云台山冰挂雾凇、焦作青龙峡青龙瀑、焦作青龙峡九连瀑、焦作圆融寺、焦作云台山黄楝沟佛掌峰、修武汉献帝禅陵、修武当阳峪瓷窑遗址、修武当阳峪绞胎瓷、焦作云台山茱萸峰、焦作云台山红石峡、修武陪嫁妆村阿佤纳•随园、焦作青龙峡叠翠瀑、修武胜果寺塔、修武岸上小镇、焦作青龙峡大峡谷、焦作青龙峡红叶、焦作云台山黑龙王庙断层红石峡段、焦作云台山红石峡一线天、修武甲板创村获池岭狮子岭、修武云台冰菊、焦作峰林峡翡翠湖、焦作云台山百家岩天门瀑布、焦作云台山白龙瀑、焦作云台山红石峡首龙瀑、修武喜尖顶、焦作云台山云台天瀑、焦作云台山红石峡赤壁丹崖、焦作峰林峡、修武云上院子</w:t>
            </w:r>
          </w:p>
        </w:tc>
      </w:tr>
      <w:tr w14:paraId="4CCF2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7" w:type="dxa"/>
          </w:tcPr>
          <w:p w14:paraId="11DD0953">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博爱县</w:t>
            </w:r>
          </w:p>
        </w:tc>
        <w:tc>
          <w:tcPr>
            <w:tcW w:w="6692" w:type="dxa"/>
          </w:tcPr>
          <w:p w14:paraId="3FE338DD">
            <w:pPr>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rPr>
              <w:t>博爱青天河靳家岭红叶</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博爱磨头农场五七干校</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博爱月山寺连环井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博爱青天河游憩河段博爱七层彩绘连阁式陶仓楼</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博爱丹河峡谷游憩河段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江泽民视察河南焦作博爱农场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1996年)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胡锦涛视察河南焦作博爱（2008年)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博爱月山寺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博爱青天河观音峡游憩河段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博爱三姑泉</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博爱月山寺八极拳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博爱竹林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博爱青天河鲸鱼湾游憩湖区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博爱许良于庄</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博爱青天河大泉湖坝区段游憩湖区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博爱青天河峡谷</w:t>
            </w:r>
          </w:p>
        </w:tc>
      </w:tr>
      <w:tr w14:paraId="715E8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7" w:type="dxa"/>
          </w:tcPr>
          <w:p w14:paraId="0831AB34">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沁阳市</w:t>
            </w:r>
          </w:p>
        </w:tc>
        <w:tc>
          <w:tcPr>
            <w:tcW w:w="6692" w:type="dxa"/>
          </w:tcPr>
          <w:p w14:paraId="35FCE38C">
            <w:pPr>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rPr>
              <w:t>江泽民视察河南沁阳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李金海</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贺德义</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赵玉清</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卫平均</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沁阳神农山白松岭白皮松群</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沁阳丹河峡谷九渡村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沁阳神农山紫金顶龙首台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沁阳神农山紫金顶神农坛台地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沁阳神农山仙神谷峰柱林</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沁阳神农山红叶</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沁阳太行陉</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沁阳怀府闹汤驴肉</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沁阳北大寺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沁阳博物馆天宁寺三圣塔</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沁阳博物馆王铎《延香馆帖》刻石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沁阳神农山窄涧谷太平摩崖石窟</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沁阳神农山神女峡</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沁阳神农山龙脊长城</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沁阳神农山龙子门</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沁阳神农山白松岭长寿松</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沁阳神农山白松岭帝王松</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许衡</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沁阳高抬火轿</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沁阳唢呐艺术</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沁阳怀梆</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沁阳言状老虎</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李商隐</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曹谨</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朱载堉</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沁阳太行山猕猴栖息地</w:t>
            </w:r>
          </w:p>
        </w:tc>
      </w:tr>
      <w:tr w14:paraId="79E4B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7" w:type="dxa"/>
          </w:tcPr>
          <w:p w14:paraId="64EE80C9">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山阳区</w:t>
            </w:r>
          </w:p>
        </w:tc>
        <w:tc>
          <w:tcPr>
            <w:tcW w:w="6692" w:type="dxa"/>
          </w:tcPr>
          <w:p w14:paraId="4ADCE673">
            <w:pPr>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rPr>
              <w:t>焦作金谷轩绞胎瓷</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河南理工大学</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焦作苏家作龙凤灯舞</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焦作国际太极拳交流大赛</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焦作名仁苏打水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焦作寨卜昌古建筑群</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焦作当阳峪绞胎瓷</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焦作山阳故城</w:t>
            </w:r>
          </w:p>
        </w:tc>
      </w:tr>
      <w:tr w14:paraId="30DDD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7" w:type="dxa"/>
          </w:tcPr>
          <w:p w14:paraId="194C8E39">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温县</w:t>
            </w:r>
          </w:p>
        </w:tc>
        <w:tc>
          <w:tcPr>
            <w:tcW w:w="6692" w:type="dxa"/>
          </w:tcPr>
          <w:p w14:paraId="5D29CE9D">
            <w:pPr>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rPr>
              <w:t>胡锦涛视察河南温县（2008年）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温县四大怀药</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陈小旺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郑小永</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司马昭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温县沉浸式演出《印象·太极》</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陈正雷</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和有禄</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朱天才</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温县太极拳文化国际交流中心</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温县怀菊花</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温县铁棍山药</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温县太极拳祖祠</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温县蜜雪集团·大咖国际茶饮梦工厂</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温县慈胜寺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温县小麦博物馆</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温县和式太极拳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温县陈氏太极拳太极枪拳法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温县陈氏太极拳太极单剑拳法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温县陈氏太极拳忽雷架</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温县陈氏太极拳小架</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温县陈氏太极拳新架</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温县陈氏太极拳推手</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温县陈氏太极拳老架二路拳法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温县陈氏太极拳老架一路拳法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太极拳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陈王廷</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司马懿</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温县怀牛膝</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温县怀地黄</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温县怀山药</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温县陈家沟村</w:t>
            </w:r>
          </w:p>
        </w:tc>
      </w:tr>
      <w:tr w14:paraId="4C7FB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7" w:type="dxa"/>
          </w:tcPr>
          <w:p w14:paraId="1648489E">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孟州市</w:t>
            </w:r>
          </w:p>
        </w:tc>
        <w:tc>
          <w:tcPr>
            <w:tcW w:w="6692" w:type="dxa"/>
          </w:tcPr>
          <w:p w14:paraId="1B875773">
            <w:pPr>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rPr>
              <w:t>胡锦涛视察河南焦作桑坡村（2008年）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江泽民视察河南孟州市韩园（1996年）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郝同州</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孟州桑坡村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孟州黄河滩区野生动物鸟类栖息地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韩愈</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孟州火龙舞</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孟州韩愈墓</w:t>
            </w:r>
          </w:p>
        </w:tc>
      </w:tr>
      <w:tr w14:paraId="75934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7" w:type="dxa"/>
          </w:tcPr>
          <w:p w14:paraId="11B3658A">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武陟县</w:t>
            </w:r>
          </w:p>
        </w:tc>
        <w:tc>
          <w:tcPr>
            <w:tcW w:w="6692" w:type="dxa"/>
          </w:tcPr>
          <w:p w14:paraId="6AA12B71">
            <w:pPr>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rPr>
              <w:t>胡锦涛考察武陟县万亩玉米示范田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董永</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武陟砂锅</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黄河武陟悬河头游憩河段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武陟嘉应观</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武陟妙乐寺塔</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武陟青龙宫</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黄河大鲤鱼</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武陟油茶</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武陟人民胜利渠渠首</w:t>
            </w:r>
          </w:p>
        </w:tc>
      </w:tr>
      <w:tr w14:paraId="09046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7" w:type="dxa"/>
          </w:tcPr>
          <w:p w14:paraId="3C9E6AE9">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解放区</w:t>
            </w:r>
          </w:p>
        </w:tc>
        <w:tc>
          <w:tcPr>
            <w:tcW w:w="6692" w:type="dxa"/>
          </w:tcPr>
          <w:p w14:paraId="29947ABA">
            <w:pPr>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rPr>
              <w:t>英福公司旧址（含采矿业遗址）</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焦作四大怀药的种植与炮制</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河南理工大学（北校区）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焦作猿仙通背拳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焦作缝山国家矿山公园</w:t>
            </w:r>
          </w:p>
        </w:tc>
      </w:tr>
      <w:tr w14:paraId="15DAC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7" w:type="dxa"/>
          </w:tcPr>
          <w:p w14:paraId="7E96C614">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中站区</w:t>
            </w:r>
          </w:p>
        </w:tc>
        <w:tc>
          <w:tcPr>
            <w:tcW w:w="6692" w:type="dxa"/>
          </w:tcPr>
          <w:p w14:paraId="669921B9">
            <w:pPr>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rPr>
              <w:t>焦作查拳</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焦作耍老虎</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焦作常家武虎</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焦作小尚虎舞</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西大井1919文旅景区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焦作许衡墓</w:t>
            </w:r>
          </w:p>
        </w:tc>
      </w:tr>
      <w:tr w14:paraId="396E0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7" w:type="dxa"/>
          </w:tcPr>
          <w:p w14:paraId="188CA64E">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马村区</w:t>
            </w:r>
          </w:p>
        </w:tc>
        <w:tc>
          <w:tcPr>
            <w:tcW w:w="6692" w:type="dxa"/>
          </w:tcPr>
          <w:p w14:paraId="730D629D">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lang w:val="en-US" w:eastAsia="zh-CN"/>
              </w:rPr>
              <w:t>无</w:t>
            </w:r>
          </w:p>
        </w:tc>
      </w:tr>
    </w:tbl>
    <w:p w14:paraId="2B8F7E14">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outlineLvl w:val="9"/>
        <w:rPr>
          <w:rFonts w:hint="default" w:ascii="宋体" w:hAnsi="宋体" w:cs="宋体"/>
          <w:b/>
          <w:bCs/>
          <w:color w:val="auto"/>
          <w:sz w:val="24"/>
          <w:szCs w:val="24"/>
          <w:lang w:val="en-US" w:eastAsia="zh-CN"/>
        </w:rPr>
      </w:pPr>
    </w:p>
    <w:p w14:paraId="58FAF50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outlineLvl w:val="2"/>
        <w:rPr>
          <w:rFonts w:hint="eastAsia" w:ascii="宋体" w:hAnsi="宋体" w:eastAsia="宋体" w:cs="宋体"/>
          <w:b/>
          <w:bCs/>
          <w:color w:val="auto"/>
          <w:sz w:val="28"/>
          <w:szCs w:val="28"/>
          <w:lang w:val="en-US" w:eastAsia="zh-CN"/>
        </w:rPr>
      </w:pPr>
      <w:bookmarkStart w:id="76" w:name="_Toc6657"/>
      <w:r>
        <w:rPr>
          <w:rFonts w:hint="eastAsia" w:ascii="宋体" w:hAnsi="宋体" w:cs="宋体"/>
          <w:b/>
          <w:bCs/>
          <w:color w:val="auto"/>
          <w:sz w:val="28"/>
          <w:szCs w:val="28"/>
          <w:lang w:val="en-US" w:eastAsia="zh-CN"/>
        </w:rPr>
        <w:t>二、</w:t>
      </w:r>
      <w:r>
        <w:rPr>
          <w:rFonts w:hint="eastAsia" w:ascii="宋体" w:hAnsi="宋体" w:eastAsia="宋体" w:cs="宋体"/>
          <w:b/>
          <w:bCs/>
          <w:color w:val="auto"/>
          <w:sz w:val="28"/>
          <w:szCs w:val="28"/>
          <w:lang w:val="en-US" w:eastAsia="zh-CN"/>
        </w:rPr>
        <w:t>四级资源</w:t>
      </w:r>
      <w:bookmarkEnd w:id="76"/>
    </w:p>
    <w:p w14:paraId="1FD6DA59">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firstLine="482" w:firstLineChars="200"/>
        <w:jc w:val="both"/>
        <w:textAlignment w:val="auto"/>
        <w:outlineLvl w:val="3"/>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总体空间资源分布特征</w:t>
      </w:r>
    </w:p>
    <w:p w14:paraId="6A7483D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全市共普查出420处四级资源，从资源空间分布情况来看，修武县136处，博爱县61处，沁阳市73处，山阳区17处，温县22处，孟州市28处，武陟县25处，解放区49处，中站区8处，马村区1处。由此可见，四级资源主要分布在修武县，占比32.38%，其次为沁阳市和博爱县。</w:t>
      </w:r>
    </w:p>
    <w:p w14:paraId="3B3DB879">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outlineLvl w:val="3"/>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（二）类型分布特征</w:t>
      </w:r>
    </w:p>
    <w:p w14:paraId="0CAB430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从资源的类别来看，全市420处四级资源中，地文景观75处，水域景观44处，生物景观15处，天象与气候景观11处，建筑与设施155处，历史遗迹61处，旅游购品28处，人文活动31处。从八大类来看，四级资源主要集中在建筑与设施、地文景观、历史遗迹大类。</w:t>
      </w:r>
    </w:p>
    <w:p w14:paraId="02CF7EC9">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表4-2 分地区典型四级资源名录表</w:t>
      </w:r>
    </w:p>
    <w:tbl>
      <w:tblPr>
        <w:tblStyle w:val="16"/>
        <w:tblW w:w="0" w:type="auto"/>
        <w:tblInd w:w="1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gridCol w:w="5969"/>
      </w:tblGrid>
      <w:tr w14:paraId="061E8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tcPr>
          <w:p w14:paraId="7AF39874">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地区</w:t>
            </w:r>
          </w:p>
        </w:tc>
        <w:tc>
          <w:tcPr>
            <w:tcW w:w="5969" w:type="dxa"/>
          </w:tcPr>
          <w:p w14:paraId="7CA0A876">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典型四级资源名录</w:t>
            </w:r>
          </w:p>
        </w:tc>
      </w:tr>
      <w:tr w14:paraId="17668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tcPr>
          <w:p w14:paraId="5E849C69">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修武县</w:t>
            </w:r>
          </w:p>
        </w:tc>
        <w:tc>
          <w:tcPr>
            <w:tcW w:w="5969" w:type="dxa"/>
          </w:tcPr>
          <w:p w14:paraId="00B56D9E">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lang w:val="en-US" w:eastAsia="zh-CN"/>
              </w:rPr>
              <w:t>修武陪嫁妆村大果榉木古树群、焦作云台山凤凰岭凤求凰、焦作青龙峡东岸大绝壁、焦作青龙峡龙槽潭、焦作青龙峡壶穴滩、焦作青龙峡花海游憩河段、焦作青龙峡青龙庙台地、修武大沙河生态绿道、修武净影大峡谷翠潭、修武净影大峡谷天梯瀑、修武净影大峡谷擎山峰、修武净影大峡谷悬崖、修武净影大峡谷石根瀑、修武净影大峡阶瀑、修武净影大峡谷笔架山、修武净影大峡谷叠石谷、焦作云台山凤凰岭波浪形长崖、焦作云台山凤凰岭金蟾峰、焦作云台山凤凰岭观音讲经峰、焦作云台山小寨沟缥缈峰、焦作云台山凤凰岭仙悟峰、焦作云台山凤凰岭梦仙岭、焦作云台山凤凰岭围谷、焦作云台山潭瀑峡"V"字瀑、焦作云台山潭瀑峡金龙卧波瀑布、焦作云台山潭瀑峡情人瀑、焦作云台山潭瀑峡洗砚池、焦作云台山潭瀑峡西岸长崖、焦作云台山猕猴栖息地、焦作云台山潭瀑峡漫水滩、焦作云台山藏翠沟、焦作云台山潭瀑峡W山峰、焦作云台山潭瀑峡卧龙长崖、焦作云台山凤凰岭神龟望天峰、修武一斗水村传统民居、修武平顶窑村传统民居、焦作云台山凤凰岭相依峰、修武净影寺龙门崖壁、修武净影大峡谷净影寺段、修武净影寺净影湖、焦作云台山天瀑峡U形陡崖、焦作云台山汉服花朝节、焦作云台山电音节、焦作云台山云溪谷云溪瀑、焦作云台山纸坊沟云溪谷段、南水北调中线工程修武段、修武双庙村云上森兮民宿、修武长岭村、修武长岭村红叶、修武运粮河城区段、修武净影大峡谷豫晋之门、焦作云台山潭瀑峡龙凤泉、修武平顶窑村红叶、修武净影寺云海、修武净影大峡谷游憩河段、修武东岭后村传统民居、修武净影大峡谷U形陡崖、修武西岭后村、修武桃园村、修武后河村、修武东岭后村、修武锯齿山林场、修武双庙村、焦作峰林峡云海、焦作云台山红石峡挂壁甬道、焦作云台山茱萸峰日落、焦作云台山红石峡钟乳石裂隙谷、焦作云台山红石峡三剑峰、焦作云台山红石峡障谷、焦作青龙峡V型谷、焦作青龙峡五彩台地型景观、焦作云台山红石峡围谷、修武峰林峡二王峰崖墙、修武丁兰刻木传说、焦作青龙峡星空露营地、焦作云台山茱萸峰云海、焦作云台山百家岩玉皇山台地、焦作云台山百家岩玉皇峰、焦作云台山百家岩玉皇顶东台地型景观、焦作云台山百家岩V形长崖、焦作云台山冰雪节、焦作云台山泉瀑峡幽瀑、焦作云台山泉瀑峡天瀑潭、修武片马村神羊峡、修武云台冰菊绿色种植基地、修武龙门村、修武大南坡村、修武云台溶洞、修武延陵大葱、修武东交口村、修武当阳峪村南水北调中线工程搬迁古建筑群、修武牛膝、焦作云台山茱萸峰玻璃栈道、焦作青龙峡凤尾瀑、修武七贤公园、修武宁城公园、中国云台山世界地质公园博物馆、修武黄龙峡、修武荣盛云台古镇、焦作峰林峡天王峰、焦作云台山纸坊沟峡谷、焦作云台山瓦房沟大峡谷、焦作云台山百家岩手掌峰、焦作云台山百家岩金刚峰、修武一斗水泉、焦作云台山张良峰、焦作云台山白龙潭角度不整合面、焦作云台山34亿年锆石采集地、焦作云台山叠彩洞、焦作云台山三秀峰、焦作云台山子房湖、焦作云台山红石峡同心如意桥、焦作净影寺双姑峰、焦作云台山泉瀑峡幽潭、修武双庙传统民居、焦作云台山茱萸峰观景台、焦作云台山红石峡黄龙潭、焦作云台山红石峡白龙潭、焦作云台山红石峡黄龙瀑、焦作云台山红石峡九叠瀑、修武平顶窑村、焦作云台山云台秋色、焦作云台山云台春韵、焦作青龙峡青龙洞、焦作青龙峡九曲溪、焦作青龙峡同心潭、焦作青龙峡望龙瀑布、焦作青龙峡黄龙洞、焦作峰林峡天空之恋桥、焦作云台山云逗逗、焦作云台山游客服务中心、焦作云台山百家岩寺、焦作云台山红石峡棋盘山峰墙、焦作云台山百家岩嵇康“淬剑池”和刘伶“醒酒台”石刻、焦作云台山翠屏峰、修武陪嫁妆村</w:t>
            </w:r>
          </w:p>
        </w:tc>
      </w:tr>
      <w:tr w14:paraId="0D971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tcPr>
          <w:p w14:paraId="7C7AC61C">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博爱县</w:t>
            </w:r>
          </w:p>
        </w:tc>
        <w:tc>
          <w:tcPr>
            <w:tcW w:w="5969" w:type="dxa"/>
          </w:tcPr>
          <w:p w14:paraId="30F91D45">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lang w:val="en-US" w:eastAsia="zh-CN"/>
              </w:rPr>
              <w:t>博爱青天河靳家岭千年黄栌、博爱青天河靳家岭天钳岭、博爱靳家岭、博爱青天河大坝、博爱牛肉丸子、博爱杂拌、博爱青天河红叶节、博爱三街耍老虎、博爱石佛滩摩崖石刻、博爱金城刘村、博爱许良大新庄邢新社亲、博爱上庄姜、博爱馆藏耕织图、博爱西张赶竹泉游、博爱青天河北魏摩崖石刻、博爱青天河观音峡、博爱北魏石刻造像、博爱磨头王堡枪、博爱大新庄东大寺、博爱丹河于庄段游憩河段、博爱丹河许湾段游憩河段、博爱丹河下伏头段游憩河段、博爱许良下伏头村影剧院、博爱西张赶竹林、博爱清化街竹器、博爱柏山村、博爱县革命史教育基地、博爱柏山古建筑群、博爱青天河崖壁、博爱清化大王庙、博爱清化三街鱼拱莲舞、博爱砖井狮虎舞、博爱青莲寺、博爱竹林七贤生态文化园竹林、博爱竹浪岛生态竹林、博爱竹子基因库、博爱泗沟生态竹林、博爱焦作西站、博爱小车牛肉、博爱月山寺入云牌坊、博爱月山寺七星塔林、博爱江岭村太行第一槐、博爱靳家岭太行猕猴自然保护区、博爱西金城遗址、博爱靳家岭环翠峪、博爱青天河佛耳峡、博爱青天河景区天然长城、博爱月山寺大士阁、博爱青天河东汉古槐、博爱月寨旅游路、博爱豫竹方便面、博爱西关清真寺、博爱清化二夹弦戏、博爱上屯村成汤庙、博爱许湾村、博爱青天河村、博爱探花庄村、博农乳业有限责任公司、博爱李商隐文化园、博爱公园、博爱丹河峡谷</w:t>
            </w:r>
          </w:p>
        </w:tc>
      </w:tr>
      <w:tr w14:paraId="1E058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tcPr>
          <w:p w14:paraId="2CB50259">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沁阳市</w:t>
            </w:r>
          </w:p>
        </w:tc>
        <w:tc>
          <w:tcPr>
            <w:tcW w:w="5969" w:type="dxa"/>
          </w:tcPr>
          <w:p w14:paraId="62786872">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lang w:val="en-US" w:eastAsia="zh-CN"/>
              </w:rPr>
              <w:t>沁阳赵寨千亩花海、丁向峰、董国庆、成文生、邓宏礼、王亮亮、陈来华、靳丽萍、沁阳神农山绝壁断层崖、沁阳神农山34亿年锆石采集地、沁阳神农山窄涧谷真谷寺太平摩崖千佛洞、沁阳“怀府印象”文旅融合体验中心、沁阳逍遥湖、沁阳博物馆明“日月”铜菩萨、沁阳丹河峡谷三佛峰、沁阳神农山神女峡嶂谷、沁阳神农山神女峡瓮谷、沁阳神农山神女峡神女飞瀑、丹河沁阳段、沁阳神农山朝霞、沁阳太行陉碗子城、沁阳朱载堉雅乐团雅乐表演、沁阳神农山“神农祭天”活动、沁阳神农山“三山同登”健身节、沁阳太行陉古羊肠坂道、沁阳神农山神农天梯、沁阳张坡朱载堉墓、沁阳神农山风雨石、沁阳神农山猕猴苑始祖峰、沁阳神农山紫金顶生物化石点、沁阳神农山窄涧谷围谷、沁阳神农山一天门“咬定青山”景观、沁阳神农山一天门九龙峰、沁阳朱载堉纪念馆编磬、沁阳神农山猕猴苑、沁阳怀府恐龙园、沁阳太行陉“古羊肠坂”摩崖刻石、沁阳丹河峡谷九渡寨、沁阳怀姜、沁阳太行径窑头段、沁阳滨河公园、沁阳怀府古街、沁阳烈士陵园宋学义墓、沁阳宋学义故居、沁阳神农山神农云海、沁阳野王纻器漆器、沁阳铁棍山药、沁阳野王古城遗址、沁阳邗国故城、沁阳李商隐墓、沁阳曹谨纪念馆曹谨墓、沁阳神农山临川寺、沁阳神农山云阳寺、沁阳邗邰村静应庙、沁阳博物馆、沁阳盆窑村、沁阳神农陶创意园、沁阳盆窑黑陶小镇、沁阳李商隐纪念馆、沁阳曹谨纪念馆、沁阳博物馆元邠国公塔、沁阳神农山紫金顶、沁阳博物馆唐石龙头、沁阳神农山一线天、沁阳景明“耍老虎”、沁阳神农山神农传说、沁阳野王纻器制作技艺、杨介人、宋学义、沁阳和生森林动物乐园、沁阳野王怀山药酒、沁阳神农山仙神谷静应湖、沁阳朱载堉纪念馆</w:t>
            </w:r>
          </w:p>
        </w:tc>
      </w:tr>
      <w:tr w14:paraId="04E82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tcPr>
          <w:p w14:paraId="23DE1890">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山阳区</w:t>
            </w:r>
          </w:p>
        </w:tc>
        <w:tc>
          <w:tcPr>
            <w:tcW w:w="5969" w:type="dxa"/>
          </w:tcPr>
          <w:p w14:paraId="6E9FAB9C">
            <w:pPr>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rPr>
              <w:t>焦作篮球文化节</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焦作药王祖庭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焦作市博物馆陶建筑明器</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焦作黄庄大辫戏</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焦作大沙河生态公园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焦作蒙牛乳业工业展厅</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焦作迎宾馆</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焦作陈氏叶雕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焦作寨卜昌第九纵队纪念馆</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焦作老君庙戏楼</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焦作市博物馆</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焦作市科技馆</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焦作龙源湖公园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焦作市南水北调天河公园山阳区段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焦作市太极体育中心</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焦作南水北调第一楼</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焦作恩州驿古街</w:t>
            </w:r>
          </w:p>
        </w:tc>
      </w:tr>
      <w:tr w14:paraId="5FEBC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tcPr>
          <w:p w14:paraId="76BC6DC5">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温县</w:t>
            </w:r>
          </w:p>
        </w:tc>
        <w:tc>
          <w:tcPr>
            <w:tcW w:w="5969" w:type="dxa"/>
          </w:tcPr>
          <w:p w14:paraId="3205BDED">
            <w:pPr>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rPr>
              <w:t>焦作怀山堂怀药制品</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温县大尚村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康明轩</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李鹏飞</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温县安乐寨村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温县仓头村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陈自强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王西安</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温县陈家沟万象太极馆</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陈照丕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温县遇仙观</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温县三陵村司马祖茔</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温县司马故里旧址</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温县陈家沟中国太极拳博物馆</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温县司马懿传说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温县陈氏太极拳梨花枪夹白猿棍拳法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温县陈氏太极拳青龙偃月刀拳法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温县陈氏太极拳双人粘枪拳法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温县陈氏太极拳太极双刀拳法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温县陈氏太极拳太极单刀拳法</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温县徐堡古城址</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温县黄河滩湿地</w:t>
            </w:r>
          </w:p>
        </w:tc>
      </w:tr>
      <w:tr w14:paraId="6444A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tcPr>
          <w:p w14:paraId="277672C6">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孟州市</w:t>
            </w:r>
          </w:p>
        </w:tc>
        <w:tc>
          <w:tcPr>
            <w:tcW w:w="5969" w:type="dxa"/>
          </w:tcPr>
          <w:p w14:paraId="1E1F4BD6">
            <w:pPr>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rPr>
              <w:t>孟州黄河鲤鱼</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乔伯文</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李伟</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王蒙玲</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汤金明</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孟州黄河文化苑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孟州老家莫沟</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孟州美丽源沟</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孟州黄河日出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黄河孟州段</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孟州莫沟村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孟州乔家制鼓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孟州大型古装曲剧《韩愈》</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孟州大型古装曲剧《韩愈释奴》</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孟州麦草画</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孟州韩园景区唐柏双奇</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孟州锁水阁</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孟州河阳故城</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孟州老家莫沟景区老苗书馆</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孟州黄河湿地</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孟州显圣王庙</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孟州土硪号子</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孟州老家莫沟景区望舒民宿</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孟州韩园</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孟州韩愈墓碑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孟州四好农村路</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孟州源沟村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孟州黄河澄泥砚</w:t>
            </w:r>
          </w:p>
        </w:tc>
      </w:tr>
      <w:tr w14:paraId="79447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tcPr>
          <w:p w14:paraId="6371E1DC">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武陟县</w:t>
            </w:r>
          </w:p>
        </w:tc>
        <w:tc>
          <w:tcPr>
            <w:tcW w:w="5969" w:type="dxa"/>
          </w:tcPr>
          <w:p w14:paraId="099B5056">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武陟千佛阁、武陟人民胜利渠、武陟万花村、武陟人民胜利渠渠首灌区、武陟斯美特思园方便食品、杜诗、武陟何瑭墓祠、武陟东岳庙、黄河河工号子、武陟县山西会馆、武陟嘉应观御碑、武陟嘉应观山门、武陟嘉应观御碑亭、武陟人民胜利渠灌区嘉应观段、武陟嘉应观景区黄河水清碑、武陟人民胜利渠建设指挥部旧址、武陟菡香大米、武陟何瑭纪念馆、武陟岳家庙、武陟城隍庙、武陟千佛阁大殿、武陟青龙宫拜殿、武陟青龙宫玉皇阁、武陟人民胜利渠渠首闸、武陟人民胜利渠渠首展览馆</w:t>
            </w:r>
          </w:p>
        </w:tc>
      </w:tr>
      <w:tr w14:paraId="1AE0A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tcPr>
          <w:p w14:paraId="566AEF38">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解放区</w:t>
            </w:r>
          </w:p>
        </w:tc>
        <w:tc>
          <w:tcPr>
            <w:tcW w:w="5969" w:type="dxa"/>
          </w:tcPr>
          <w:p w14:paraId="3378C984">
            <w:pP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焦作老电厂、焦作三维戴斯酒店、焦作解放小剧场演艺、焦作南水北调盾构机、闹汤驴肉制作技艺、南太行浅山旅游片区（解放段）、焦作烈士陵园、焦作煤矿工人大罢工、崔长永、焦作解放区平东里、焦作南水北调天河公园解放区段、焦作缝山针公园森林、焦作国家方志馆南水北调分馆、焦作王忠殿事迹陈列馆、河南数字动漫产业园、焦作怀庆老董家酒楼、焦作月季花园酒店、焦作猫岔民俗村、焦作道清铁路遗址、焦作英福公司电工房旧址、焦作英福公司发电机房旧址、焦作英福公司3号井井台、井架旧址、焦作英福公司1、2号井井台、井架旧址、焦作英福公司职员住宅旧址、焦作英福公司钱庄旧址、焦作私立焦作工学院工程馆旧址、焦作英福公司总办事处旧址、焦作英福公司医院旧址、焦作煤矿工人罢工指挥部旧址、焦作市森林动物园、军调处新乡执行小组焦作谈判旧址、焦作四大怀药膳食、焦作卢氏两仪拳、焦作云氏小儿化积散、河南坠子、焦作小蜗牛文化旅游休闲街区、焦作太极庄四大怀药、焦作解放区云氏针灸、焦作老董家全驴宴、焦作龙佰国际康养城、当阳峪绞胎瓷、焦作老董家闹汤驴肉、焦作·国际首创高塔实景演出、焦作老电厂3号冷却塔、焦作老电厂4号冷却塔、焦作影视城、焦作南太行花海公园、南水北调中线工程解放区段、焦作·百年矿业遗址公园暨黄河大运河非物质文化遗产展示中心</w:t>
            </w:r>
          </w:p>
        </w:tc>
      </w:tr>
      <w:tr w14:paraId="378FF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tcPr>
          <w:p w14:paraId="7CFA0531">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中站区</w:t>
            </w:r>
          </w:p>
        </w:tc>
        <w:tc>
          <w:tcPr>
            <w:tcW w:w="5969" w:type="dxa"/>
          </w:tcPr>
          <w:p w14:paraId="47412A04">
            <w:pPr>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rPr>
              <w:t>焦作龙翔山孤山湖水库</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焦作栗井村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焦作北业村</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焦作栗井山居</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焦作太行第四专区及焦作市党政军机关旧址</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焦作府城遗址</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焦作盘古洞百松顶</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焦作北业盘古洞</w:t>
            </w:r>
          </w:p>
        </w:tc>
      </w:tr>
      <w:tr w14:paraId="069FD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tcPr>
          <w:p w14:paraId="036FE159">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马村区</w:t>
            </w:r>
          </w:p>
        </w:tc>
        <w:tc>
          <w:tcPr>
            <w:tcW w:w="5969" w:type="dxa"/>
          </w:tcPr>
          <w:p w14:paraId="0C256E5A">
            <w:pPr>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rPr>
              <w:t>焦作陆村天齐庙</w:t>
            </w:r>
          </w:p>
        </w:tc>
      </w:tr>
    </w:tbl>
    <w:p w14:paraId="1C6B4C7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ascii="宋体" w:hAnsi="宋体" w:cs="宋体"/>
          <w:b w:val="0"/>
          <w:bCs w:val="0"/>
          <w:color w:val="auto"/>
          <w:sz w:val="24"/>
          <w:szCs w:val="24"/>
          <w:lang w:val="en-US" w:eastAsia="zh-CN"/>
        </w:rPr>
      </w:pPr>
    </w:p>
    <w:p w14:paraId="2973A34B">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2"/>
        <w:rPr>
          <w:rFonts w:hint="eastAsia" w:ascii="宋体" w:hAnsi="宋体" w:eastAsia="宋体" w:cs="宋体"/>
          <w:b/>
          <w:bCs/>
          <w:color w:val="auto"/>
          <w:sz w:val="28"/>
          <w:szCs w:val="28"/>
          <w:lang w:val="en-US" w:eastAsia="zh-CN"/>
        </w:rPr>
      </w:pPr>
      <w:bookmarkStart w:id="77" w:name="_Toc19835"/>
      <w:r>
        <w:rPr>
          <w:rFonts w:hint="eastAsia" w:ascii="宋体" w:hAnsi="宋体" w:cs="宋体"/>
          <w:b/>
          <w:bCs/>
          <w:color w:val="auto"/>
          <w:sz w:val="28"/>
          <w:szCs w:val="28"/>
          <w:lang w:val="en-US" w:eastAsia="zh-CN"/>
        </w:rPr>
        <w:t>三</w:t>
      </w:r>
      <w:r>
        <w:rPr>
          <w:rFonts w:hint="eastAsia" w:ascii="宋体" w:hAnsi="宋体" w:eastAsia="宋体" w:cs="宋体"/>
          <w:b/>
          <w:bCs/>
          <w:color w:val="auto"/>
          <w:sz w:val="28"/>
          <w:szCs w:val="28"/>
          <w:lang w:val="en-US" w:eastAsia="zh-CN"/>
        </w:rPr>
        <w:t>、三级资源</w:t>
      </w:r>
      <w:bookmarkEnd w:id="77"/>
    </w:p>
    <w:p w14:paraId="0521E565">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outlineLvl w:val="3"/>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（一）总体空间资源分布特征</w:t>
      </w:r>
    </w:p>
    <w:p w14:paraId="0F1292C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全市共普查出1232处三级资源，从资源空间分布情况来看，修武县336处，博爱县121处，沁阳市132处，山阳区80处，温县150处，孟州市194处，武陟县36处，解放区147处，中站区26处，马村区10处。由此可见，三级资源主要分布在修武县，占比27.27%，其次为孟州市、解放区和沁阳市。</w:t>
      </w:r>
    </w:p>
    <w:p w14:paraId="5D03E83D">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outlineLvl w:val="3"/>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（二）类型分布特征</w:t>
      </w:r>
    </w:p>
    <w:p w14:paraId="241C5B6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从资源的类别来看，全市1232处三级资源中，地文景观133处，水域景观101处，生物景观38处，天象与气候景观11处，建筑与设施686处，历史遗迹123处，旅游购品73处，人文活动67处。从八大类来看，三级资源主要集中在建筑与设施、地文景观、历史遗迹大类。</w:t>
      </w:r>
    </w:p>
    <w:p w14:paraId="6B773141">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表4-3 分地区典型三级资源名录表</w:t>
      </w:r>
    </w:p>
    <w:tbl>
      <w:tblPr>
        <w:tblStyle w:val="16"/>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0"/>
        <w:gridCol w:w="6543"/>
      </w:tblGrid>
      <w:tr w14:paraId="48807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tcPr>
          <w:p w14:paraId="420C7AB2">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地区</w:t>
            </w:r>
          </w:p>
        </w:tc>
        <w:tc>
          <w:tcPr>
            <w:tcW w:w="6543" w:type="dxa"/>
          </w:tcPr>
          <w:p w14:paraId="3CD7479F">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典型三级资源名录</w:t>
            </w:r>
          </w:p>
        </w:tc>
      </w:tr>
      <w:tr w14:paraId="3664E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tcPr>
          <w:p w14:paraId="6E1E92B1">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修武县</w:t>
            </w:r>
          </w:p>
        </w:tc>
        <w:tc>
          <w:tcPr>
            <w:tcW w:w="6543" w:type="dxa"/>
          </w:tcPr>
          <w:p w14:paraId="02968114">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color w:val="auto"/>
                <w:sz w:val="21"/>
                <w:szCs w:val="21"/>
                <w:lang w:val="en-US" w:eastAsia="zh-CN"/>
              </w:rPr>
              <w:t>焦作青龙峡寒武系地层剖面、焦作云台山凤凰岭定海神针、焦作青龙峡钙华龙头石、焦作青龙峡索道下站至三秀川游憩河段、修武龙门村转泉瀑布、修武龙门村转泉潭、焦作青龙峡叠层石化石、焦作青龙峡狐面崖、焦作青龙峡青龙壁、焦作青龙峡月牙潭、焦作青龙峡泉华阶梯、修武净影大峡谷天梯潭、焦作云台山凤凰岭佛祖石、修武宰湾村木槿未见山、焦作云台山凤凰岭万寿峰、焦作云台山凤凰岭山神石、焦作云台山凤凰岭兄弟峰、焦作云台山凤凰岭望乡峰、焦作云台山凤凰岭佛手峰、修武宁封子的传说、焦作云台山潭瀑峡点将台、焦作云台山潭瀑峡龙蛇潭、焦作云台山潭瀑峡金龙卧波潭池、焦作云台山潭瀑峡清漪池、焦作云台山潭瀑峡试剑石、焦作云台山小寨沟丛林滑道、焦作云台山动物剧场表演、焦作云台山360云景球幕影院、焦作云台山云逗逗美食城、焦作云台山小寨沟特色商业街、焦作云台山小寨沟广场、焦作云台山潭瀑峡翡翠潭、焦作云台山潭瀑峡“丫”字潭、焦作云台山潭瀑峡红页岩崖壁、焦作云台山潭瀑峡水蚀钙华、焦作云台山潭瀑峡玉坠潭、焦作云台山潭瀑峡孔雀开屏潭、焦作云台山潭瀑峡壶口瀑布、焦作云台山潭瀑峡龙蛇潭台地景观、焦作云台山潭瀑峡心型潭、焦作云台山小寨沟狮虎相争、焦作云台山百家岩圆寂师祥公瑞云塔、修武当阳峪村中原里职员住宅、修武净影大峡谷白虎峰、修武大南坡村国槐41082100120、焦作云台山万善寺、修武龙门通济庵、修武净影寺夫妻峰、修武净影寺元宝山、修武净影寺群峰竞秀、修武荣逸度假酒店、修武高铁西站、修武碑桥村大沙河滩地、修武人民公园人工湖、修武净影寺猕猴栖息地、焦作云台山泉瀑峡孔雀石、焦作云台山泉瀑峡佛脚推山、焦作云台山小寨沟天狗吞月石、焦作云台山小寨沟天阶崖、焦作云台山云溪谷春秋池、焦作云台山云溪谷凝翠池、焦作云台山云溪谷凝翠瀑、焦作云台山云溪谷静心池、焦作云台山云溪谷晓月池、焦作云台山云溪谷奔流瀑、焦作云台山云溪谷龙腾瀑、修武长岭村长岭山、修武长岭村焦作市第一届民主政府所在地、修武双庙村民宿一条街、修武净影寺日落、修武净影大峡谷秀壁峰、修武净影大峡谷静水潭、修武县电子商务公共服务中心、焦作云台山茱萸峰三清殿、修武兵盘村特色农产品产业园、修武一斗水村叠彩洞纪念馆、焦作云台山百家岩广场、修武净影大峡谷阶瀑钙华体、修武净影大峡谷裂隙泉眼、修武净影大峡谷雄鸡报晓峰、修武净影大峡谷兄弟峰、修武净影大峡谷转运潭、修武净影大峡谷书册崖、修武净影大峡谷月牙潭、修武净影大峡谷天阶崖、修武净影大峡谷天阶潭、修武大位村展览馆、修武双庙村佛祖及观音庙、修武净影大峡谷石门崖、焦作云台山百家岩城堡印月台地、焦作云台山百家岩未名湖水坝、焦作云台山百家岩未名湖、焦作云台山黄楝沟飞来石、修武云台古镇灯光秀、修武横河云台天瀑源头、修武韩庄村高山大草甸、修武兴隆掌神狼、修武兴隆掌神狼陡崖、修武兴隆掌山枪裂隙、修武兴隆掌山枪峰、修武兴隆掌瀑布、修武兴隆掌村鹅耳枥树林、焦作云台山披头峰、修武饮洋河传统民居、修武净影大峡谷姊妹峰、焦作云台山黑石岭前服务区、焦作云台山云台明月焰、焦作云台山云庐草堂、焦作云台山太行菊、焦作云台山红石板峡谷天堑通途桥南段、焦作云台山红石板白龙潭北壶穴、焦作云台山红石板峡谷同心如意桥南段、修武当阳峪滑雪场、焦作青龙峡三秀川山峰、焦作青龙峡台地景观、焦作青龙峡豹子头、焦作青龙峡叠翠瀑断裂缝、焦作青龙峡大钟崖壁、焦作青龙峡神龟回首、焦作青龙峡倒Ω长崖、焦作青龙峡三角峰、焦作青龙峡宝塔峰、焦作青龙峡仙桃崖壁、焦作青龙峡仙桃峰、焦作云台山百家岩停车场、焦作云台山红石板峡谷同心如意桥北段、焦作云台山古洞窑服务区、修武古洞窑村美食街、修武五家台旅游服务区、修武宰湾村纳里有家客栈、修武宰湾村天空之院广场、修武天空之城民宿、焦作云台山百家岩百家岩水库、焦作云台山百家岩孙登啸台、焦作云台山百家岩汉献帝避暑台、焦作云台山百家岩二乐台碑、焦作金岭坡村红叶、焦作云台山天瀑峡围谷、修武净影寺壁画、焦作云台山泉瀑峡青苔瀑、焦作云台山天瀑观景台、焦作云台山黄楝沟莽汉峰峰丛、焦作云台山黄楝沟莽汉峰峰丛、焦作云台山黄楝沟卧虎峰、焦作云台山青檀峰、焦作云台山凤凰峪大将峰、修武净影大峡谷神龙摆尾潭、修武净影大峡谷神笔崖、修武净影大峡谷神笔潭、修武韩庄村东游园、修武青龙峡花田云栖、修武岸上村美食街、焦作云台山岸上莫奈花舍民宿、焦作金岭坡神农农场、焦作云台山隐舍37民宿、焦作云台山云台天阶国际饭店、修武沙墙村特色党建综合体、修武云台溶洞驼峰、修武云台溶洞壁漫步、修武云台溶洞中琴、修武云台溶洞壁万笋、修武云台溶洞高山飞瀑、修武双庙村南北庙、修武云台溶洞追逐、修武云台溶洞孔雀、修武云台溶洞荔枝园、修武田园牧歌酒店、修武金岭坡村古槐书院、修武大沙河、修武新庄村、修武大南坡村牛爷爷的院子、修武纸浆庄宝塔峰、修武纸浆庄影壁峰、修武金岭坡村壹善文创馆、修武净影大峡谷围谷、修武文化艺术中心、修武县文化馆、修武圆融寺石供桌、修武圆融寺王兰广故居、修武张氏祠堂、修武圆融寺天王殿、修武圆融寺琉璃光宝殿、焦作圆融寺古佛洞、焦作圆融寺释迦牟尼铜像、修武文化路美食街、修武大南坡村国槐41082100121、焦作云台山茱萸峰云台之巅、焦作云台山瓦房沟达摩峰、焦作圆融寺大雄广场、焦作圆融寺狮虎兽、焦作圆融寺卢舍那佛像、焦作圆融寺古佛宝殿、修武净影寺水月观音、修武净影寺鼓楼（地藏殿）、修武净影寺钟楼（观音殿）、修武净影寺藏经楼（祖师堂）、修武净影寺大雄宝殿、修武县图书馆、焦作云台山瓦房沟坐佛峰、修武当阳峪瓷窑碑、修武当阳峪金谷轩绞胎瓷艺术有限公司、修武当阳峪陶瓷博物馆、修武李固大将军墓、修武海蟾宫松花蛋、修武天空之院民宿、河南云台山中药科技有限公司、修武净影大峡谷雄鹰展翅崖、修武半山筑民宿、修武大南坡村碧山供销社、修武大南坡村艺术中心、修武大南坡村方所乡村文化馆、修武青龙洞水库、修武青龙洞水库大坝、焦作云台山茱萸峰索道、焦作云台山凤凰岭索道、焦作青龙峡天鼎石、中国云台山世界地质公园青龙峡标志碑、焦作青龙峡乌龟石、焦作青龙峡石人、焦作青龙峡霍比特小屋、焦作青龙峡青龙潭隧道、焦作云台山老君殿、焦作青龙峡转运湾潭、焦作青龙峡象潭、焦作青龙峡凝翠潭、焦作青龙峡金银滩、焦作青龙峡凤尾潭、焦作青龙峡叠翠潭、焦作青龙峡九连潭游憩河段、焦作青龙峡两亲家洞、焦作青龙峡青龙潭、焦作青龙峡幽瀑、焦作云台山茱萸峰重阳阁、焦作云台山茱萸峰闻涛亭、焦作云台山茱萸峰王维像、焦作云台山孙思邈石雕像、修武净影大峡谷藏翠潭、修武幸福公园、焦作云台山嵇山碑、焦作云台山锯齿山、焦作云台山万善寺藏经楼、修武龙门河谷、修武宁城公园宁湖、修武宁城公园宁城书院、修武城关镇秦厂共产主义信仰家园、修武体育中心、修武胜果寺、修武运粮河码头、修武县烈士陵园、修武县博物馆、修武新庄村大枣、修武辟支佛白玉雕像、修武夜游云溪谷、焦作青龙峡爱情1号公路、焦作峰林峡天王台、焦作峰林峡二王峰、焦作云台山黑石岭服务区、修武一斗水村李家大院、焦作云台山卧犬峰、焦作云台山百家岩一指峰、焦作云台山百家岩母子猴峰、修武一斗水关帝庙、修武一斗水村生花掌神女洞、修武郇封村剪纸、焦作云台山12亿年前的海洋遗迹、焦作云台山茱萸峰平行不整合面、焦作云台山红石峡平行不整合面、焦作云台山玉面大佛、焦作云台山红石峡黑龙瀑珠帘壁挂瀑布、焦作云台山叠彩洞秋秀茱萸、焦作云台山叠彩洞宝旌耀金、焦作云台山叠彩洞云岚绝胜、焦作云台山叠彩洞宝塔映晖、焦作云台山叠彩洞华峰遗梦、焦作云台山叠彩洞群洞叠彩、焦作云台山叠彩洞云海仙舟、焦作云台山叠彩洞指点迷津、焦作云台山叠彩洞太行花壁、焦作云台山叠彩洞翠屏清晖、焦作云台山叠彩洞山水迎宾洞、焦作云台山叠彩洞昆岭晓月、焦作云台山叠彩洞仲岭毓秀、焦作云台山叠彩洞玉泉润枫、焦作云台山叠彩洞丹凤朝阳、焦作云台山叠彩洞佛龛兆祥、修武龙门村伟人峰、修武甲板创村天堂窑、焦作云台山叠彩洞瀛观三秀、焦作云台山叠彩洞豫晋连洞、焦作云台山佛龛峰、焦作云台山西瀛观、焦作云台山黄龙瀑珠帘壁挂瀑布、修武马鞍石水库大坝、焦作云台山红石峡龟背石、修武云台冰菊绿色种植基地四大怀药熟地仓、修武净影山庄酒店、修武净影寺、焦作云台山百家岩王烈泉瀑布、修武双庙文举人院、修武双庙村武举人院、修武净影寺神镇山、修武净影寺鸳鸯峰、修武净影寺蜡烛峰、修武净影寺黄龙洞、焦作云台山茱萸峰药王洞、焦作云台山红石峡黑龙潭、焦作云台山红石峡青龙潭、焦作云台山红石峡黑龙瀑、焦作云台山观瀑节、修武甲板创村地缝、焦作青龙峡绵羊渡水、焦作青龙峡三秀川、焦作青龙峡石上春秋、焦作青龙峡龙泉湖、焦作青龙峡盘龙瀑布、焦作青龙峡翡翠瀑、焦作青龙峡青龙洞、焦作青龙峡望龙亭、焦作净影寺睡佛山、修武云台寺马鞍石、焦作云台山马鞍石水槽教育展览馆、焦作云台山泉瀑峡大型波痕石、焦作云台山百家岩环翠亭、焦作云台山红石峡黑龙洞、焦作云台山红石峡天堑通途桥、焦作云台山万善寺九龙壁、焦作云台山万善寺文殊殿、焦作云台山万善寺问本堂、焦作云台山万善寺祖师殿、焦作云台山万善寺天王殿、焦作云台山万善寺三圣殿、焦作云台山万善寺金佛殿、焦作云台山万善寺观音殿、焦作云台山万善寺大雄宝殿、焦作云台山幸福渠、焦作云台山玄帝宫娘娘殿、焦作云台山玄帝观真武殿、焦作云台山百家岩“金”字山</w:t>
            </w:r>
          </w:p>
        </w:tc>
      </w:tr>
      <w:tr w14:paraId="682B1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tcPr>
          <w:p w14:paraId="47183A43">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博爱县</w:t>
            </w:r>
          </w:p>
        </w:tc>
        <w:tc>
          <w:tcPr>
            <w:tcW w:w="6543" w:type="dxa"/>
          </w:tcPr>
          <w:p w14:paraId="55E23E17">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博爱青天河靳家岭云顶玻璃栈道、博爱青天河天井关战场、博爱北横河鼎基新城水域、博爱发展大道景观河流、博爱青天河戏水瀑、博爱青天河滨水栈道、博爱幸福湖公园幸福湖、博爱北横河马营水域景观河、博爱北横河鸿昌街道水城、博爱花间巷美食街、博爱李商隐公园荷花池、博爱幸福河拦河坝水域、博爱运粮河太子庄水域、博爱泗沟东园竹坞、博爱公园荷花池、博爱金城乡史庄大庙、博爱马营农家院、博爱老北京饭店、博爱重阳浴池、博爱香天下传统小炒、博爱下期城猫园休闲餐吧、博爱凤尾竹雕塑、博爱怀府冰菊、博爱冯竹园竹艺制品、博爱月山明月碑廊、博爱许湾村烈士陵园、博爱小底樱桃、博爱小底村樱桃节、博爱柏山村柏山缸、博爱北横河与幸福河分流水域、博爱勒马河南岳村水域、博爱湿地公园内河水域、博爱勒马河景观水域、博爱公园内湖水域、博爱牛磨村王氏古民居、博爱寨豁大底村漫山红叶、博爱马记烧鸡、博爱鸿昌九街龙灯舞、博爱丹河小东庄段游憩河段、博爱丹河吴窑段游憩河段、博爱寨豁江岭村、博爱毛六浆面条、博爱柏山酒器文化博物馆、博爱酒器文化展览馆、博爱柏山缸传承生产基地、博爱下伏头古槐、博爱柏山刘聚奎抗战史馆、博爱柏山地道、博爱青天河峰林地貌、博爱清化竹扇、博爱方山村、博爱竹峰攀达、博爱柏山玉屏山游乐场、博爱柏山三口游乐场、博爱坞庄村、博爱九道堰、博爱青天河鲸鱼湾峰林、博爱县西庄村清代古民居、博爱西庄吕氏盘拳、博爱下期城半架山林果基地、博爱杨记祖传小车牛肉、博爱南关怀梆、博爱清化六街老虎舞、博爱景亮杂拌、博爱清化水席、博爱苏寨陈家牛肉面、博爱清化三街老虎舞、博爱送子奶奶堂、博爱毕氏宗祠、博爱杜友梅书院、博爱杜氏宗祠、博爱重筑清化城城墙碑、博爱青天河泉华壁、博爱安江凌、博爱怀姜、博爱马营澡巾、博爱沁园春水席、博爱海记烧鸡、博爱祖新豆腐汤麻辣烫、博爱拜师傅牛肉丸、博爱迎宾馆、博爱李家大院、博爱许湾红色教育基地、博爱图王大骨头、博爱天弘葡萄园、焦作博爱源生态农业有限公司、博爱小王庄村、博爱齐村、博爱燕京啤酒广场、博爱于庄水上乐园、靳家岭知青村、博爱青天河水库大坝、博爱月山寺玉碑亭、博爱月山寺御道牌坊、博爱月山寺藏经楼、博爱龟灵寺、博爱月山寺大雄宝殿、博爱青天河村挂壁公路、博爱探花庄村林果采摘生态园、博爱寨豁探花庄村、博爱探花庄探花乐园、博爱探花故居精品民宿群、博爱青天河天井关古战场、博爱县工委旧址、博爱武阁寨村、博爱青天河三教圣殿、博爱青天河丹谷长虹、博爱幸福湖公园竹韵广场、博爱幸福湖公园胜景广场、博爱焦作新材料职业学院、博爱小王庄村研学教育基地、博爱七方丝绸、博爱柏山缸、博爱月山寺景区、博爱东矾厂村、博爱下伏头村、博爱小底村、博爱江岭村、博爱幸福湖公园、博爱竹林七贤生态文化园、博爱靳家岭游览区</w:t>
            </w:r>
          </w:p>
        </w:tc>
      </w:tr>
      <w:tr w14:paraId="521AC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tcPr>
          <w:p w14:paraId="3C7AAFE7">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沁阳市</w:t>
            </w:r>
          </w:p>
        </w:tc>
        <w:tc>
          <w:tcPr>
            <w:tcW w:w="6543" w:type="dxa"/>
          </w:tcPr>
          <w:p w14:paraId="05E6EAA3">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沁阳怀府恐龙园“梦之眼”摩天轮、沁阳赵寨花海艺术节、沁阳神农山临川寺铁环兽道、沁阳龙门河湿地、沁阳老怀山药酒有限公司、沁阳怀府印象古城商街主题展厅、沁阳神农山神女峡峡谷栈道、沁阳甜麻糖、沁阳邘邰陈家祠堂、沁阳廉坡廉氏祠堂、沁阳七彩柱夜景、沁阳滨河溢彩夜景、沁阳香港街特色餐饮街、沁阳天鹅湖野王古城城墙门洞、沁阳天鹅湖野王古城城墙、沁阳天鹅湖“东湖荷风”景观雕塑、沁阳天鹅湖公园、沁阳黄花岭黄刺玫、沁阳行口古村、沁阳魁星阁公园、沁阳檀溪堂漆雕《野王綵器六子奁盒》、沁阳神农山神农文化节、沁阳紫陵万亩果园、沁阳宋学义故居聂荣臻题词、沁阳沁河北孔村游憩河段、沁阳丹河峡谷480电厂生产区旧址、沁阳怀梆《杨介人》、沁阳檀溪堂产业园研学活动中心、沁阳檀溪堂产业园漆树林、沁阳逍遥水库大坝1、沁阳柏香驴肉文化节、沁阳百大生态园、沁阳国栋山药店、沁阳里沟古村落、沁阳四渡村古村落、沁阳郜疙瘩古村落、沁阳杨介人烈士陵园、沁阳神农山猕猴苑玻璃吊桥、沁阳神农山中天门、沁阳神农山南天门、沁阳神农山神农文化广场、沁阳神农山神农文化广场朱雀铜像、沁阳神农山仙神谷狮虎峰、沁阳怀庆府山药酒、沁阳西向五街陈氏祖祠、沁阳捏掌国槐1、沁阳捏掌国槐2、沁阳紫陵任祠堂、沁阳沁南科创园、沁阳水北关清真寺、沁阳万善汤帝庙、沁阳神农山神农故道、沁阳神农山一天门、沁阳神农山客运索道、沁阳药王庙木牌楼、沁阳李家小有白丸店、沁阳神农山中天门步道、沁阳神农山窄涧谷步道旁冲洪积层、沁阳神农山窄涧谷钙化扇、沁阳神农山沐涧寺缝合线石灰岩、沁阳神农山沐涧寺虫迹灰岩、沁阳神农山龙子门龙线、沁阳朱载堉纪念馆编钟、沁阳常平狙击战遗址、沁阳神农山一天门拜客松、沁阳乐圣公园碑廊、沁阳盆窑黑陶小镇传统黑陶博物馆、沁阳怀府恐龙园主题湖、沁阳滨河公园网红桥、沁阳朱载堉纪念馆朱载堉琴、沁阳博物馆碑廊2、沁阳博物馆碑廊1、沁阳覃怀中学旧址、沁阳水南关清真寺阿文碑、沁阳丹河峡谷九渡古村、沁阳丹河峡谷水磨房、沁阳丹河峡谷常九大峡谷、沁阳邓禹冢、沁阳神农山沐涧寺朝阳洞、沁阳神农山沐涧寺沐涧飞瀑、沁阳新天宁寺、沁阳西苟庄知青纪念馆、沁阳杨介人故居、沁阳常平阻击战纪念馆、紫陵镇赵寨村村史馆、沁阳柏香驴肉、沁阳柏香驴肉丸、沁阳董爱国驴肉丸、沁阳白丸、沁阳水席、沁阳玉春元汤圆、沁阳玉春元粽子、沁阳丹河九渡段、沁阳丹河峡谷480电厂生活区旧址、沁阳丹河杨庄河段、沁阳神农山清歌台、沁阳联盟广场大平地夜间消费集聚区、沁阳怀府恐龙园卡丁车乐园、沁阳怀府酒庄、沁阳天鹅湖、沁阳神农陶创意园黑陶制品、沁阳盆窑黑陶小镇黑陶制品、沁阳神农山云阳寨、沁阳神农山云阳寺塔林、沁阳药王庙、沁阳神农山临川三十八道弯、沁阳神农山一线天索道、沁阳神农山清静宫、沁阳盆窑黑陶小镇黑陶传统产品博物馆、沁阳怀梆艺术保护传承中心、沁阳怀府广场、沁阳南官庄怀梆传习所、沁阳沁台花海、沁阳坞头皮筋文化展馆、沁阳博物馆革命史迹陈列馆、沁阳神农山窄涧谷静应庙二仙奶奶梳妆台、沁阳神农山云阳寺清云路、沁阳神农山紫金顶神农祭天坛、沁阳神农山文化广场神农大像、沁阳神农山仙神谷静应庙俯龙抱柱夹杆石、沁阳曹谨纪念馆曹谨铜像、沁阳曹谨纪念馆曹谨墓志铭、沁阳曹谨纪念馆曹谨墨宝石碑、沁阳博物馆陀罗尼经幢、沁阳神农山白松岭雪松、沁阳黑陶制作技艺、沁阳怀府硪（夯）歌、沁阳二仙庙会、沁阳和湾化石地、沁阳和生动物乐园标本馆、沁阳羲仪碾转</w:t>
            </w:r>
          </w:p>
        </w:tc>
      </w:tr>
      <w:tr w14:paraId="09E6A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tcPr>
          <w:p w14:paraId="681224C4">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山阳区</w:t>
            </w:r>
          </w:p>
        </w:tc>
        <w:tc>
          <w:tcPr>
            <w:tcW w:w="6543" w:type="dxa"/>
          </w:tcPr>
          <w:p w14:paraId="29E0E715">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焦作明仁天然药物有限责任公司、焦作姚郭庄儿童友好村庄、焦作三诺食品集团有限公司、焦作市博物馆彩绘陶仓、焦作市博物馆二层彩绘陶仓楼、焦作滨溪社区文化中心、焦作南李万村体育公园、焦作大沙河太行盆景园打铁花、焦作市博物馆五层连阁式彩绘陶仓楼、焦作老农民种植专业合作社露营地、焦作高新区第三届少儿才艺展演、焦作杨庄村夏季村晚、焦作高新区2024年春节文艺汇演、焦作高新区我的乡村文化合作社才艺大赛、焦作高新区八一建军节文化进军营文艺演出、焦作阳庙我的乡村文化合作社才艺展演、焦作高新区六一少儿合唱比赛、焦作高新区春节文艺汇演、焦作怀庆皮黄、焦作行走大运河全民健身健步走活动、焦作野骑大队跑马场、焦作大高村盘鼓、焦作聂村怀邦、焦作沈鹿宿神鹿惊御驾，唐王赐村名、焦作马村大鼓、焦作张延陵张氏祠堂、焦作薛延陵盘鼓、焦作秦国丞相范雎墓、焦作杨楼火神庙、焦作李屯龙泉寺、焦作苏家作体育公园篮球文化节、焦作市博物馆七层连阁式彩绘陶仓楼、焦作苏家作体育公园、焦作沈鹿宿火神庙庙会、焦作古怀州博物馆马车、焦作古怀州博物馆有秋碑刻、焦作古怀州博物石横梁、焦作古怀州博物馆匾托、焦作古怀州博物馆门户、焦作古怀州博物馆花窗、焦作古怀州博物馆宋代石狮子、焦作古怀州博物馆唐代石狮子、焦作古怀州博物馆牌匾、焦作古怀州博物馆厅堂、焦作古怀州博物馆古家具、焦作古怀州博物馆木雕、焦作古怀州博物馆斗拱、焦作古怀州博物馆墀头、焦作古怀州博物馆砖瓦、焦作古怀州博物馆旗杆石墩、焦作古怀州博物馆算盘、焦作古怀州博物馆、焦作和庄和酥芝麻糖、焦作寨卜昌解放军40野战火炮、焦作寨卜昌怀庆皮黄、焦作冯庄黑砂锅、焦作老农民种植专业合作社、焦作中共博爱第一党支部旧址、焦作姚郭庄红色教育基地、焦作垦农小院、焦作391文化创意园、焦作南张观音堂、焦作东小巷、焦作大沙河生态公园湿地、焦作大沙河太行盆景园、焦作合善桥、焦作恩村祖师庙、焦作恩村玉帝庙、焦作市南水北调天河公园文旅小镇、焦作人民英雄纪念塔、焦作药王庙大殿、焦作卢亮沟智能共享户外出发营、焦作巡返大庄园、焦作三利达弓箭文化旅游园区、焦作老君庙、焦作国礼绞胎瓷、焦作山阳刺绣、焦作苏蔺体育公园、焦作市图书馆、焦作典礼学书历史文化展览馆</w:t>
            </w:r>
          </w:p>
        </w:tc>
      </w:tr>
      <w:tr w14:paraId="4B666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tcPr>
          <w:p w14:paraId="2D7018B9">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温县</w:t>
            </w:r>
          </w:p>
        </w:tc>
        <w:tc>
          <w:tcPr>
            <w:tcW w:w="6543" w:type="dxa"/>
          </w:tcPr>
          <w:p w14:paraId="5FB2A34B">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温县重修慈胜寺大雄之殿记石碑、温县慈胜寺壁画、温县河洛大鼓、温县滨河公园荷花、温县郭熙公园荷花、温县南渠河村荷花、温县四大怀药非遗健康工坊、陈小星、温县古贤村、刘存献、原树武、程保臣、郝小银、温县太极街舞、温县太极拳博物馆前广场、温县南韩村、温县环城水系十里荷花、温县海旺弘亚温泉大酒店、陈朝霞、温县君怡明珠酒店、温县昆仑乐居商务酒店、温县子夏湖、温县沉浸式小品杨露禅学拳、温县太极拳传承发展大会、温县黄庭经回音壁、温县太极拳博物馆印象陈家沟、温县太极拳博物馆三省堂、温县铁棍山药文化节、温县太极拳博物馆文修堂、温县太极拳博物馆四象堂、温县太极拳祖祠阴阳石、温县两仪堂陈鑫展厅、温县两仪堂陈清平展厅、温县两仪堂传承展厅、温县祖师堂陈有本雕像、温县祖师堂陈鑫雕像、温县两仪堂陈王廷展厅、温县祖师堂陈清平雕像、温县两仪堂陈长兴展厅、温县祖师堂陈长兴雕像、温县两仪堂陈公兆展厅、温县祖师堂陈所乐雕像、温县两仪堂影视厅、温县祖师堂陈汝信雕像、温县太极拳博物馆两仪堂、温县祖师堂陈王廷雕像、温县和式太极拳纪念碑、温县吴式太极拳纪念碑、温县杨式太极拳纪念碑、温县武式太极拳纪念碑、温县孙式太极拳纪念碑、温县太极拳祖祠耀武殿、温县太极拳祖祠拳谱堂拳经碑、温县太极拳祖祠拳谱堂、温县太极拳祖祠西碑廊、温县太极拳祖祠东碑廊、温县太极十三式雕塑群——盼、温县太极十三式雕塑群——进、温县太极十三式雕塑群——定、温县太极十三式雕塑群——顾、温县太极十三式雕塑群——退、温县太极十三式雕塑群——拥、温县太极十三式雕塑群——肘、温县太极十三式雕塑群——挤、温县太极十三式雕塑群——靠、温县太极十三式雕塑群——捋、温县太极十三式雕塑群——捌、温县太极十三式雕塑群——按、温县太极十三式雕塑群——采、温县太极拳博物馆前陈王廷铜像、和慧超、和定乾、陈沛菊、陈炳、陈桂珍、张保忠、朱向华、陈斌、张福旺、陈冲、王战军、温县太极拳招式镂空墙群、陈照森、陈庆州、温县太极拳祖祠神明门、张东武、温县陈家沟皂角树、温县万熙智慧农商城、温县剪纸、温县申亮亮事迹展览馆、温县博物馆、温县赵堡镇文化站、温县东口游园、温县段村济水文化碑廊、温县温季之墓、温县小麦文化体验园、温县张祥云烈士就义地、温县祥云镇全民健身中心、温县祥云记忆馆、温县王坟书屋、温县贯晨福田农场、温县怀山堂四大怀药种植基地、温县遇仙观灵霄宝殿、温县州城遗址、温县遇仙观三清殿、温县庆州武院、温县王光远院士陈列馆、温县陈氏太极拳行功太极球、温县卜子夏文化园、温县陈家沟陈小旺太极书院、温县陈家沟皂角树练拳处、温县陈家沟太极十三式雕塑群、温县陈家沟陈正雷太极书院、温县陈家沟太极拳祖祠祖师堂、温县陈家沟太极拳祖祠扬德殿、温县陈家沟陈照丕陵园、温县陈家沟太极拳学校、温县古温书屋、温县慈胜书屋、温县慈胜公园、温县子夏公园、温县东明寺、温县滨河公园、温县郭熙文化园、温县烈士陵园、温县子夏耕读文化园、陈长兴、陈鑫、陈照奎、陈有本、陈敬柏、陈卜、陈卜李棠阶事迹展览馆、温县怀菊花茶、温县大玉兰控导工程、温县陈家沟陈卜墓、温县陈家沟陈氏祖林、温县陈家沟杨露禅学拳处、温县慈胜寺石经幢、温县慈胜寺铁钟、温县陈家沟祠前广场、温县陈家沟太极拳祖祠碑刻、温县陈家沟演武厅、温县清凉寺、温县原氏祠堂、温县慈胜寺大雄之殿、温县慈胜寺天王殿、温县西梁所遗址、温县湿地丛林、温县清凉寺柏树</w:t>
            </w:r>
          </w:p>
        </w:tc>
      </w:tr>
      <w:tr w14:paraId="0EC6C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tcPr>
          <w:p w14:paraId="7C7E5FA8">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孟州市</w:t>
            </w:r>
          </w:p>
        </w:tc>
        <w:tc>
          <w:tcPr>
            <w:tcW w:w="6543" w:type="dxa"/>
          </w:tcPr>
          <w:p w14:paraId="3823AAC4">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孟州岩山村村落、孟州白墙水库鸟类栖息地、孟州白墙水库日出、孟州白墙水库落日、孟州桑坡村野店、孟州白墙水库湿地、孟州美丽源沟景区攀岩基地、孟州美丽源沟景区水上游玩设施、孟州“炎黄福德”系列产品、孟州音乐说唱《踔厉奋发新时代》、孟州戏曲情意剧《文脉根魂》、孟州情景剧《韩愈贾岛话推敲》、孟州韩园景区侧柏41088300045、孟州韩园景区侧柏41088300046、孟州老家莫沟景区皂角树jzrnz157、孟州老家莫沟景区国槐41088300159、孟州涧西村皂角树41088300048、孟州老家莫沟景区知青展览馆、孟州老家莫沟游客接待中心、孟州老家莫沟景区演绎场、孟州老家莫沟景区青石板路、孟州老家莫沟景区炮楼、孟州老家莫沟景区牌坊、孟州老家莫沟景区露营地、孟州黄河明珠转盘、孟州风帆转盘、孟州老家莫沟景区大型实景剧《老家烽火》、孟州桑坡村上层店、孟州桑坡村上瘾店、孟州黄河澄泥砚展示馆、孟州黄河澄泥砚作品、孟州保税直购中心、孟州《韩愈镇州宣抚平叛》、孟州黄河左岸堤防起点中曹坡碑、孟州老家莫沟景区红色文化馆、孟州老家莫沟景区真人CS体验基地、孟州老家莫沟景区民俗展览馆、孟州老家莫沟景区老物展览馆、孟州老家莫沟景区国防体验基地、孟州老家莫沟景区望舒居水景观、孟州老家莫沟景区“赏舞龙·赛游船”活动、孟州黄河落日、孟州韩园国潮文化灯光秀、孟州顺涧湖、孟州涧沟水库、孟州范庄水库、孟州焦庄水库、孟州刘雷水库、孟州西孟庄水库、孟州美丽源沟景区水系、孟州老家莫沟景区古槐树、孟州明代古槐、孟州韩愈故里文化节、孟州炒面、孟州老家莫沟景区窑洞村部、孟州岑村九郎王庙大殿、孟州堤北头村刘氏三门宗祠、孟州东小仇村李氏宗祠、孟州耿沟村耿则璞地坑窑院、孟州耿沟村清代耿氏老院、孟州缑村薛氏宗祠、孟州观音堂、孟州大佛殿、孟州黄河楼、孟州柳湾村杨氏宗祠、孟州落驾头村席氏宗祠、孟州宋家祠堂、孟州南临水村翟家宗祠、孟州桑洼村白衣堂、孟州上口村清代民居、孟州圣佛寺、孟州苏庄村韩家寨、孟州西田丈村杜家祠堂、孟州西武章村韩文公祠、孟州新城村救苦天尊庙、孟州姚庄村汤王庙大殿、孟州义井龙山文化遗址、孟州禹寺遗址、孟州袁圪套上清宫、孟州岳云宫大殿、孟州中曹村大王庙、孟州韩湘子传说、孟州河阳花鼓戏、孟州乔家制鼓坊、孟州老家莫沟景区老万家民宿、孟州雷疙瘩张桥、孟州岩山村红色教育展览馆、孟州美丽源沟景区和兴文化广场、孟州老家莫沟景区大舞台、孟州武松公园、孟州政协岩山党建教育实践基地、孟州岩山抗日战争胜利纪念碑、孟州韩园陨石、孟州美丽源沟景区佛祖峰、孟州美丽源沟景区骆驼峰、孟州美丽源沟景区母子峰、孟州清音雅乐《韩愈家风赋》、孟州白墙水库、孟州顺涧水库、孟州小柴河水库、孟州老家莫沟景区汶水湖、孟州美丽源沟景区古槐树、孟州美丽源沟景区古皂角树、孟州苏庄村韩愈祖茔、孟州韩园景区仿唐大门、孟州韩园山门、孟州韩园飨堂、孟州老家莫沟景区菊园民宿、孟州老家莫沟苗家小院、孟州老家莫沟景区听湖·尚院民宿、孟州老家莫沟景区杏园民宿、孟州老家莫沟景区雅南民宿、孟州美丽源沟景区沐光茶舍、孟州老家莫沟景区何家大院、孟州田田小筑农家院、孟州美丽源沟景区幸福桥、孟州美丽源沟景区村史馆、孟州老家莫沟景区村史馆、孟州韩园展厅、孟州老家莫沟景区修济书阁、孟州韩园祭祀台、孟州老家莫沟景区红色文化园、孟州韩园景区东花园、孟州韩园景韩亭、孟州韩园文公踪迹图、孟州韩园壁画、孟州韩园陈迎佛骨壁画、孟州韩园牌楼、孟州美丽源沟景区沟下步道、孟州韩园石阶、孟州韩园踔厉奋发景观石碑、孟州韩园韩愈雕像、孟州韩园碑廊、孟州韩园重修韩文公墓前飨堂碑、孟州韩园景区乾隆与盘谷考证碑、孟州韩园重修韩昌黎伯冢前碑、孟州韩园景区神道碑、孟州韩园景区唐韩文公墓碑、孟州韩飞鱼跃碑、孟州韩愈国际学术研讨会纪念碑、孟州韩园匾额、孟州韩力生楹联、孟州徐宗颜题词碑、孟州任继愈题词碑、孟州韩愈手迹“白鹦鹉赋”碑刻、孟州考察韩愈籍贯谋略碑、孟州唐柏双奇碑、孟州唐柏双奇碑廊、孟州谕祭文碑、孟州吉祥湖碑、孟州“太极文化百村行——咱村有戏”沟村夏季村晚活动、孟州莫沟村全国“村晚”示范展示活动、孟州“韩愈故里·大美孟州”首届全省戏曲邀请赛开幕式、孟州老家莫沟景区医养示范基地、孟州韩园碑林、孟州市首届汉服赏月节、孟州古周城村古官道、孟州老家莫沟景区香椿树、孟州老家莫沟景区嘉年华游园、孟州老家莫沟景区谷香苑、孟州老家莫沟景区石磨组、孟州老家莫沟景区古史文化馆、孟州老家莫沟景区地道战、孟州老家莫沟景区国防知识教育展览馆、孟州老家莫沟景区民间文化博物馆、孟州老家莫沟景区书法展厅、孟州老家莫沟景区国防科普教育基地一号展厅、孟州桑坡村IBIZA店、孟州红色上段纪念馆、孟州隆丰可污生活馆、孟州老家莫沟景区林海雪原、孟州老家莫沟景区环村小火车、孟州老家莫沟景区小松鼠游乐园、孟州老家莫沟景区一畹香饭店、孟州老家莫沟景区玻璃桥、孟州老家莫沟景区水上娱乐设施、孟州黄河景观文化长廊、孟州华鑫宾馆、孟州金亚国际大酒店、孟州滨河公园、孟州文化公园、孟州人民公园、孟州祥和公园、孟州麦草画技艺、孟州桑坡村大书城、孟州桑坡村龙城、孟州桑坡村阳光城、孟州美丽源沟景区冰雪大世界、孟州西武章传统村落、孟州苏庄村传统村落、孟州刘庄村古塘村民宿、孟州稍村古槐特色民宿、孟州糖饼、孟州吉利湖公园、孟州引沁渠</w:t>
            </w:r>
          </w:p>
        </w:tc>
      </w:tr>
      <w:tr w14:paraId="40DFE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tcPr>
          <w:p w14:paraId="60AF9858">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武陟县</w:t>
            </w:r>
          </w:p>
        </w:tc>
        <w:tc>
          <w:tcPr>
            <w:tcW w:w="6543" w:type="dxa"/>
          </w:tcPr>
          <w:p w14:paraId="18081EDE">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武陟何瑭家风家训教育基地、武陟嘉应观景区龙凤图、武陟千佛阁后大殿、武陟千佛阁山门殿、武陟县万花村龙王塑像、武陟圣博美术馆、武陟圣博怀药博物馆、武陟县图书馆、武陟博物馆、武陟道清战役牺牲八路军墓地、武陟思圆酸辣粉、武陟思圆方便面、武陟嘉应观传说、武陟黄河泥埙、武陟嘉应观西更衣殿、武陟嘉应观西配殿、武陟嘉应观鼓楼、武陟嘉应观中大殿、武陟嘉应观禹王阁、武陟嘉应观庙产碑、武陟嘉应观恭仪厅、武陟人民胜利渠罐区秦厂村段、武陟驾部控导工程、武陟老龙湾险工段、武陟白马泉堤坝、武陟青龙宫戏楼、武陟舞狮、武陟护国寺、武陟吉祥寺大佛殿、武陟三官庙、武陟周隰城遗址、武陟修陟县抗日民主政府和武陟县民主政府、武陟县青少年思政教育基地、武陟运粮河河道遗址、武陟太行军区黄新友办公旧址、武陟人民胜利渠开灌三十周年纪念碑</w:t>
            </w:r>
          </w:p>
        </w:tc>
      </w:tr>
      <w:tr w14:paraId="3390D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tcPr>
          <w:p w14:paraId="5E2A108F">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解放区</w:t>
            </w:r>
          </w:p>
        </w:tc>
        <w:tc>
          <w:tcPr>
            <w:tcW w:w="6543" w:type="dxa"/>
          </w:tcPr>
          <w:p w14:paraId="2B0D79D7">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焦作洪河村秋赏金叶、焦作国家方志馆南水北调分馆科普馆、焦作国家方志馆南水北调分馆儿童馆、焦作孙真庙、焦作新店火神庙、焦作圣佛寺、焦作东王褚旧址、焦作龙泉池记碑、焦作商业街、焦作灵泉寺、焦作锦祥商业街、焦作郑府繁昌王柘城县主墓、焦作财富中源睿景酒店、焦作云水涧酒店、焦作影视城演武场、焦作影视城周王宫大殿、焦作影视城太学堂、焦作解放区小零西餐厅、焦作南水北调提槽机、焦作大唐煎茶法、焦作上白作民居、河南电力有限公司培训中心、焦作老电厂一期主厂房、焦作老电厂二期主厂房、董家全驴宴、焦作月季公园遗址、膏药制作技艺（董氏膏药制作技艺）、焦作菜茶制作技艺、焦作解放区正骨膏药、焦作小庄村南遗址、焦作解放区德生活血膏、焦作老电厂一期烟囱、焦作解放区陆羽茶经二十四器制作技艺、焦作解放区陆羽煮茶法、焦作太极庄怀山药纤食粉、焦作九制地黄、焦作珍珠菊、焦作太极庄山药小麻花、焦作山药粉条、焦作太极庄冰菊、焦作铁棍山药面、焦作垆土地铁棍山药、焦作市城乡规划展览馆、焦作狮涧窑址、焦作都市•麦田里主题公园、焦作太极庄公司、焦作龙佰国际康养城中式蝶园、焦作龙佰国际康养城太极文体中心、焦作龙佰国际康养城太极养生酒店、焦作龙佰国家康养城民俗婚床博物馆、焦作龙佰国际康养城鲁斋学堂、焦作影视城灵台、焦作影视城三皇像雕塑、焦作童梦森林王国游乐场、焦作人民广场喷泉、焦作解放区春节大联欢、焦作解放区“山的礼物”山货节、王忠殿、焦作解放区猫岔民宿、焦作解放区道清铁路局火药库旧址、焦作解放区狮涧石桥、焦作解放区平光墓群、焦作解放区狼坡窑址、焦作解放区张氏民间诗书画艺制作技艺、焦作解放区云山道教合香传统制作技艺、焦作解放区魔术、焦作解放区何氏膏药制作技艺、焦作花园街、焦作缝山针公园西子湖、焦作人民公园翠月湖、焦作解放区烈士陵园英烈石刻、焦作解放区烈士碑廊、焦作解放区烈士事迹纪念馆、焦作太行第八军区纪念馆、焦作福盛坊绞胎瓷展览馆、焦作道清铁路机车供水站台旧址、焦作解放区森林动物园灯展、焦作南水北调天河公园（玉花承泽游园）、焦作南水北调天河公园（踏雪寻梅游园）、焦作南水北调天河公园彩虹步道、焦作南水北调天河公园（千里云梦游园）、焦作南水北调天河公园（临山印水游园）、焦作枫林晚秋公园、焦作丰收路大转盘、焦作人民公园、焦作火车站、焦作蒋氏豆沫制作技艺、焦作大杨树商业街、焦作铜马雕塑、焦作影视城楚王宫、焦作影视城周王宫、焦作南水北调法制公园、焦作缝山针雕塑、焦作影视城市井街、焦作崔长水墓、焦作春林村盘鼓队、焦作赵记烩面、焦作解放区中医药文化科普馆、郭生白中医养生、焦作怪坡园、焦作西于村孔庙大殿、焦作道清铁路供水塔旧址、焦作道清铁路马涧河桥、焦作西王褚民居、焦作上白作石桥、焦作月季公园、焦作嘉禾屯民居、焦作嘉禾屯汉墓冢遗址、焦作东于村瓷窑址、焦作烈士陵园英雄纪念碑、焦作嘉禾屯汉墓冢群、焦作居德寺唐碑、焦作市花卉市场、焦作北京烩饼、焦作刘氏空灵针刺法、焦作崔氏通痹汤、焦作显仲堂抑菌液疗法、焦作农民政治夜校旧址、焦作箜篌、焦作太行古埙演奏、焦作马家大爷牛肉面、焦作曲式点穴术、焦作国民精成推拿术、焦作邱氏舒筋骨伤膏、焦作解放区剪纸、焦作郑氏导引疗法、焦作龙源世家商业街、焦作解放区面塑、焦作解式（锤）拳、焦作万达广场、焦作解放区孙氏装裱技艺、焦作解放区靳贤书烧饼制作技艺、焦作曹氏传统书法匾额制作技艺、焦作三家村酒、焦作市京水岸古玩城、焦作中医理筋手法、焦作张氏人物剪影、焦作方言快书、焦作老董家菜茶、焦作市印象大舞台小吃街、焦作新田坊商业街、焦作百货大楼、焦作王府井城市奥莱、焦作雅正博物馆、焦作近代工业遗存博物馆、焦作解放区文化馆、焦作解放区图书馆</w:t>
            </w:r>
          </w:p>
        </w:tc>
      </w:tr>
      <w:tr w14:paraId="5985D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tcPr>
          <w:p w14:paraId="7A0069C4">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中站区</w:t>
            </w:r>
          </w:p>
        </w:tc>
        <w:tc>
          <w:tcPr>
            <w:tcW w:w="6543" w:type="dxa"/>
          </w:tcPr>
          <w:p w14:paraId="41520CB2">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焦作龙翔山龙渡桥、焦作龙翔山中原婚庆博物馆、焦作盘古洞玻璃栈道、焦作盘古洞海底世界、焦作盘古洞石笋林、焦作盘古洞石瀑、焦作盘古洞千年一吻、焦作盘古洞荔枝壁、焦作盘古洞盘古石、焦作盘古洞石佛壁、焦作西大井觉醒雕塑、焦作西大井宣誓广场、焦作西大井蕴英亭、焦作西大井洞见1969地下隧洞、焦作东冯封文武高跷、焦作北业云田里、焦作西大井英福公司王封矿井架、焦作赵庄悠然居、焦作初心馆、焦作周窑图书馆、焦作太行八英馆、北业中共焦作城市工作委员会办公旧址、焦作赵庄流苏树、焦作盘古洞佛耳山、焦作盘古洞顶天柱、焦作龙翔山一线天</w:t>
            </w:r>
          </w:p>
        </w:tc>
      </w:tr>
      <w:tr w14:paraId="1305A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tcPr>
          <w:p w14:paraId="5A211693">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马村区</w:t>
            </w:r>
          </w:p>
        </w:tc>
        <w:tc>
          <w:tcPr>
            <w:tcW w:w="6543" w:type="dxa"/>
          </w:tcPr>
          <w:p w14:paraId="4FC6F02E">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焦作茁成生态农庄奶油草莓、焦作白鹭湖湿地公园、焦作仓上村二鬼摔跤、焦作下马马村烧鸡、焦作下马村王家祠堂、焦作马村区图书馆、焦作马村区文化馆、焦作下马村小洪拳、焦作下马村舞老虎、焦作石佛寺</w:t>
            </w:r>
          </w:p>
        </w:tc>
      </w:tr>
    </w:tbl>
    <w:p w14:paraId="0F3D05B4">
      <w:pPr>
        <w:rPr>
          <w:color w:val="auto"/>
        </w:rPr>
      </w:pPr>
    </w:p>
    <w:p w14:paraId="782F8FE1">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0" w:leftChars="0" w:firstLineChars="0"/>
        <w:jc w:val="center"/>
        <w:textAlignment w:val="auto"/>
        <w:outlineLvl w:val="1"/>
        <w:rPr>
          <w:rFonts w:hint="eastAsia" w:ascii="宋体" w:hAnsi="宋体" w:eastAsia="宋体" w:cs="宋体"/>
          <w:b/>
          <w:bCs/>
          <w:color w:val="auto"/>
          <w:sz w:val="30"/>
          <w:szCs w:val="30"/>
          <w:lang w:val="en-US" w:eastAsia="zh-CN"/>
        </w:rPr>
      </w:pPr>
      <w:r>
        <w:rPr>
          <w:rFonts w:hint="eastAsia" w:ascii="宋体" w:hAnsi="宋体" w:cs="宋体"/>
          <w:b/>
          <w:bCs/>
          <w:color w:val="auto"/>
          <w:sz w:val="30"/>
          <w:szCs w:val="30"/>
          <w:lang w:val="en-US" w:eastAsia="zh-CN"/>
        </w:rPr>
        <w:t xml:space="preserve"> </w:t>
      </w:r>
      <w:bookmarkStart w:id="78" w:name="_Toc32200"/>
      <w:r>
        <w:rPr>
          <w:rFonts w:hint="eastAsia" w:ascii="宋体" w:hAnsi="宋体" w:eastAsia="宋体" w:cs="宋体"/>
          <w:b/>
          <w:bCs/>
          <w:color w:val="auto"/>
          <w:sz w:val="30"/>
          <w:szCs w:val="30"/>
          <w:lang w:val="en-US" w:eastAsia="zh-CN"/>
        </w:rPr>
        <w:t>旅游资源地域分布及评价</w:t>
      </w:r>
      <w:bookmarkEnd w:id="78"/>
    </w:p>
    <w:p w14:paraId="506CFEA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2"/>
        <w:rPr>
          <w:rFonts w:hint="eastAsia" w:ascii="宋体" w:hAnsi="宋体" w:cs="宋体"/>
          <w:b/>
          <w:bCs/>
          <w:color w:val="auto"/>
          <w:sz w:val="28"/>
          <w:szCs w:val="28"/>
          <w:lang w:val="en-US" w:eastAsia="zh-CN"/>
        </w:rPr>
      </w:pPr>
      <w:bookmarkStart w:id="79" w:name="_Toc20516"/>
      <w:r>
        <w:rPr>
          <w:rFonts w:hint="eastAsia" w:ascii="宋体" w:hAnsi="宋体" w:cs="宋体"/>
          <w:b/>
          <w:bCs/>
          <w:color w:val="auto"/>
          <w:sz w:val="28"/>
          <w:szCs w:val="28"/>
          <w:lang w:val="en-US" w:eastAsia="zh-CN"/>
        </w:rPr>
        <w:t>一、修武县</w:t>
      </w:r>
      <w:bookmarkEnd w:id="79"/>
    </w:p>
    <w:p w14:paraId="6E1CAA9B">
      <w:pPr>
        <w:keepNext w:val="0"/>
        <w:keepLines w:val="0"/>
        <w:pageBreakBefore w:val="0"/>
        <w:widowControl w:val="0"/>
        <w:numPr>
          <w:ilvl w:val="0"/>
          <w:numId w:val="16"/>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资源类型结构</w:t>
      </w:r>
    </w:p>
    <w:p w14:paraId="64FD2FB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Style w:val="18"/>
          <w:rFonts w:hint="eastAsia" w:cs="宋体"/>
          <w:b w:val="0"/>
          <w:bCs w:val="0"/>
          <w:i w:val="0"/>
          <w:iCs w:val="0"/>
          <w:caps w:val="0"/>
          <w:color w:val="auto"/>
          <w:spacing w:val="0"/>
          <w:sz w:val="24"/>
          <w:szCs w:val="24"/>
          <w:shd w:val="clear" w:color="auto" w:fill="FFFFFF"/>
          <w:lang w:val="en-US" w:eastAsia="zh-CN"/>
        </w:rPr>
      </w:pPr>
      <w:r>
        <w:rPr>
          <w:rFonts w:hint="eastAsia" w:ascii="宋体" w:hAnsi="宋体" w:cs="宋体"/>
          <w:b w:val="0"/>
          <w:bCs w:val="0"/>
          <w:color w:val="auto"/>
          <w:sz w:val="24"/>
          <w:szCs w:val="24"/>
          <w:lang w:val="en-US" w:eastAsia="zh-CN"/>
        </w:rPr>
        <w:t>修武县共有旅游资源单体3029处，其中，</w:t>
      </w:r>
      <w:r>
        <w:rPr>
          <w:rStyle w:val="18"/>
          <w:rFonts w:hint="eastAsia" w:cs="宋体"/>
          <w:b w:val="0"/>
          <w:bCs w:val="0"/>
          <w:i w:val="0"/>
          <w:iCs w:val="0"/>
          <w:caps w:val="0"/>
          <w:color w:val="auto"/>
          <w:spacing w:val="0"/>
          <w:sz w:val="24"/>
          <w:szCs w:val="24"/>
          <w:shd w:val="clear" w:color="auto" w:fill="FFFFFF"/>
          <w:lang w:val="en-US" w:eastAsia="zh-CN"/>
        </w:rPr>
        <w:t>地文景观534处，占比17.63%；水域景观240处，占比7.92%；生物景观209处，占比6.90%；天象与气候景观26处，占比0.86%；建筑与设施1719处，占比56.75%；历史遗迹137处，占4.52%；旅游购品81处，占2.67%；人文活动83处，占比2.74%，详情如图4-3所示。</w:t>
      </w:r>
    </w:p>
    <w:p w14:paraId="63BD705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9"/>
        <w:rPr>
          <w:rFonts w:hint="eastAsia" w:eastAsiaTheme="minorEastAsia"/>
          <w:color w:val="auto"/>
          <w:lang w:eastAsia="zh-CN"/>
        </w:rPr>
      </w:pPr>
      <w:r>
        <w:rPr>
          <w:rFonts w:hint="eastAsia" w:eastAsiaTheme="minorEastAsia"/>
          <w:color w:val="auto"/>
          <w:lang w:eastAsia="zh-CN"/>
        </w:rPr>
        <w:drawing>
          <wp:inline distT="0" distB="0" distL="114300" distR="114300">
            <wp:extent cx="5256530" cy="2988310"/>
            <wp:effectExtent l="5080" t="4445" r="15240" b="1714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0E2EBB84">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图4-3 修武县旅游资源类型结构图</w:t>
      </w:r>
    </w:p>
    <w:p w14:paraId="729C2799">
      <w:pPr>
        <w:keepNext w:val="0"/>
        <w:keepLines w:val="0"/>
        <w:pageBreakBefore w:val="0"/>
        <w:widowControl w:val="0"/>
        <w:numPr>
          <w:ilvl w:val="0"/>
          <w:numId w:val="16"/>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资源等级结构</w:t>
      </w:r>
    </w:p>
    <w:p w14:paraId="703B31C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Style w:val="18"/>
          <w:rFonts w:hint="eastAsia" w:cs="宋体"/>
          <w:b w:val="0"/>
          <w:bCs w:val="0"/>
          <w:i w:val="0"/>
          <w:iCs w:val="0"/>
          <w:caps w:val="0"/>
          <w:color w:val="auto"/>
          <w:spacing w:val="0"/>
          <w:sz w:val="24"/>
          <w:szCs w:val="24"/>
          <w:shd w:val="clear" w:color="auto" w:fill="FFFFFF"/>
          <w:lang w:val="en-US" w:eastAsia="zh-CN"/>
        </w:rPr>
      </w:pPr>
      <w:r>
        <w:rPr>
          <w:rFonts w:hint="eastAsia" w:ascii="宋体" w:hAnsi="宋体" w:cs="宋体"/>
          <w:b w:val="0"/>
          <w:bCs w:val="0"/>
          <w:color w:val="auto"/>
          <w:sz w:val="24"/>
          <w:szCs w:val="24"/>
          <w:lang w:val="en-US" w:eastAsia="zh-CN"/>
        </w:rPr>
        <w:t>从资源等级结构来看，一级旅游资源</w:t>
      </w:r>
      <w:r>
        <w:rPr>
          <w:rStyle w:val="18"/>
          <w:rFonts w:hint="eastAsia" w:cs="宋体"/>
          <w:b w:val="0"/>
          <w:bCs w:val="0"/>
          <w:i w:val="0"/>
          <w:iCs w:val="0"/>
          <w:caps w:val="0"/>
          <w:color w:val="auto"/>
          <w:spacing w:val="0"/>
          <w:sz w:val="24"/>
          <w:szCs w:val="24"/>
          <w:shd w:val="clear" w:color="auto" w:fill="FFFFFF"/>
          <w:lang w:val="en-US" w:eastAsia="zh-CN"/>
        </w:rPr>
        <w:t>1511处，占比49.88%；</w:t>
      </w:r>
      <w:r>
        <w:rPr>
          <w:rFonts w:hint="eastAsia" w:ascii="宋体" w:hAnsi="宋体" w:cs="宋体"/>
          <w:b w:val="0"/>
          <w:bCs w:val="0"/>
          <w:color w:val="auto"/>
          <w:sz w:val="24"/>
          <w:szCs w:val="24"/>
          <w:lang w:val="en-US" w:eastAsia="zh-CN"/>
        </w:rPr>
        <w:t>二级旅游资源</w:t>
      </w:r>
      <w:r>
        <w:rPr>
          <w:rStyle w:val="18"/>
          <w:rFonts w:hint="eastAsia" w:cs="宋体"/>
          <w:b w:val="0"/>
          <w:bCs w:val="0"/>
          <w:i w:val="0"/>
          <w:iCs w:val="0"/>
          <w:caps w:val="0"/>
          <w:color w:val="auto"/>
          <w:spacing w:val="0"/>
          <w:sz w:val="24"/>
          <w:szCs w:val="24"/>
          <w:shd w:val="clear" w:color="auto" w:fill="FFFFFF"/>
          <w:lang w:val="en-US" w:eastAsia="zh-CN"/>
        </w:rPr>
        <w:t>975处，占比32.19%；三</w:t>
      </w:r>
      <w:r>
        <w:rPr>
          <w:rFonts w:hint="eastAsia" w:ascii="宋体" w:hAnsi="宋体" w:cs="宋体"/>
          <w:b w:val="0"/>
          <w:bCs w:val="0"/>
          <w:color w:val="auto"/>
          <w:sz w:val="24"/>
          <w:szCs w:val="24"/>
          <w:lang w:val="en-US" w:eastAsia="zh-CN"/>
        </w:rPr>
        <w:t>级旅游资源</w:t>
      </w:r>
      <w:r>
        <w:rPr>
          <w:rStyle w:val="18"/>
          <w:rFonts w:hint="eastAsia" w:cs="宋体"/>
          <w:b w:val="0"/>
          <w:bCs w:val="0"/>
          <w:i w:val="0"/>
          <w:iCs w:val="0"/>
          <w:caps w:val="0"/>
          <w:color w:val="auto"/>
          <w:spacing w:val="0"/>
          <w:sz w:val="24"/>
          <w:szCs w:val="24"/>
          <w:shd w:val="clear" w:color="auto" w:fill="FFFFFF"/>
          <w:lang w:val="en-US" w:eastAsia="zh-CN"/>
        </w:rPr>
        <w:t>336处，占比11.09%；</w:t>
      </w:r>
      <w:r>
        <w:rPr>
          <w:rFonts w:hint="eastAsia" w:ascii="宋体" w:hAnsi="宋体" w:cs="宋体"/>
          <w:b w:val="0"/>
          <w:bCs w:val="0"/>
          <w:color w:val="auto"/>
          <w:sz w:val="24"/>
          <w:szCs w:val="24"/>
          <w:lang w:val="en-US" w:eastAsia="zh-CN"/>
        </w:rPr>
        <w:t>四级旅游资源136</w:t>
      </w:r>
      <w:r>
        <w:rPr>
          <w:rStyle w:val="18"/>
          <w:rFonts w:hint="eastAsia" w:cs="宋体"/>
          <w:b w:val="0"/>
          <w:bCs w:val="0"/>
          <w:i w:val="0"/>
          <w:iCs w:val="0"/>
          <w:caps w:val="0"/>
          <w:color w:val="auto"/>
          <w:spacing w:val="0"/>
          <w:sz w:val="24"/>
          <w:szCs w:val="24"/>
          <w:shd w:val="clear" w:color="auto" w:fill="FFFFFF"/>
          <w:lang w:val="en-US" w:eastAsia="zh-CN"/>
        </w:rPr>
        <w:t>处，占比4.49%；</w:t>
      </w:r>
      <w:r>
        <w:rPr>
          <w:rFonts w:hint="eastAsia" w:ascii="宋体" w:hAnsi="宋体" w:cs="宋体"/>
          <w:b w:val="0"/>
          <w:bCs w:val="0"/>
          <w:color w:val="auto"/>
          <w:sz w:val="24"/>
          <w:szCs w:val="24"/>
          <w:lang w:val="en-US" w:eastAsia="zh-CN"/>
        </w:rPr>
        <w:t>五级旅游资源71</w:t>
      </w:r>
      <w:r>
        <w:rPr>
          <w:rStyle w:val="18"/>
          <w:rFonts w:hint="eastAsia" w:cs="宋体"/>
          <w:b w:val="0"/>
          <w:bCs w:val="0"/>
          <w:i w:val="0"/>
          <w:iCs w:val="0"/>
          <w:caps w:val="0"/>
          <w:color w:val="auto"/>
          <w:spacing w:val="0"/>
          <w:sz w:val="24"/>
          <w:szCs w:val="24"/>
          <w:shd w:val="clear" w:color="auto" w:fill="FFFFFF"/>
          <w:lang w:val="en-US" w:eastAsia="zh-CN"/>
        </w:rPr>
        <w:t>处，占比2.34%；详情如图4-4所示。</w:t>
      </w:r>
    </w:p>
    <w:p w14:paraId="0B48351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outlineLvl w:val="9"/>
        <w:rPr>
          <w:rFonts w:hint="eastAsia" w:eastAsiaTheme="minorEastAsia"/>
          <w:color w:val="auto"/>
          <w:lang w:eastAsia="zh-CN"/>
        </w:rPr>
      </w:pPr>
      <w:r>
        <w:rPr>
          <w:rFonts w:hint="eastAsia" w:eastAsiaTheme="minorEastAsia"/>
          <w:color w:val="auto"/>
          <w:lang w:eastAsia="zh-CN"/>
        </w:rPr>
        <w:drawing>
          <wp:inline distT="0" distB="0" distL="114300" distR="114300">
            <wp:extent cx="5256530" cy="2988310"/>
            <wp:effectExtent l="5080" t="4445" r="15240" b="17145"/>
            <wp:docPr id="14" name="图表 14" title="修武县"/>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31B7486E">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图4-4 修武县旅游资源等级结构图</w:t>
      </w:r>
    </w:p>
    <w:p w14:paraId="61123FB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2"/>
        <w:rPr>
          <w:rFonts w:hint="default" w:ascii="宋体" w:hAnsi="宋体" w:cs="宋体"/>
          <w:b/>
          <w:bCs/>
          <w:color w:val="auto"/>
          <w:sz w:val="28"/>
          <w:szCs w:val="28"/>
          <w:lang w:val="en-US" w:eastAsia="zh-CN"/>
        </w:rPr>
      </w:pPr>
      <w:bookmarkStart w:id="80" w:name="_Toc9468"/>
      <w:r>
        <w:rPr>
          <w:rFonts w:hint="eastAsia" w:ascii="宋体" w:hAnsi="宋体" w:cs="宋体"/>
          <w:b/>
          <w:bCs/>
          <w:color w:val="auto"/>
          <w:sz w:val="28"/>
          <w:szCs w:val="28"/>
          <w:lang w:val="en-US" w:eastAsia="zh-CN"/>
        </w:rPr>
        <w:t>二、博爱县</w:t>
      </w:r>
      <w:bookmarkEnd w:id="80"/>
    </w:p>
    <w:p w14:paraId="495FC2A8">
      <w:pPr>
        <w:keepNext w:val="0"/>
        <w:keepLines w:val="0"/>
        <w:pageBreakBefore w:val="0"/>
        <w:widowControl w:val="0"/>
        <w:numPr>
          <w:ilvl w:val="0"/>
          <w:numId w:val="17"/>
        </w:numPr>
        <w:kinsoku/>
        <w:wordWrap/>
        <w:overflowPunct/>
        <w:topLinePunct w:val="0"/>
        <w:autoSpaceDE/>
        <w:autoSpaceDN/>
        <w:bidi w:val="0"/>
        <w:adjustRightInd/>
        <w:snapToGrid/>
        <w:spacing w:line="360" w:lineRule="auto"/>
        <w:jc w:val="both"/>
        <w:textAlignment w:val="auto"/>
        <w:outlineLvl w:val="3"/>
        <w:rPr>
          <w:rFonts w:hint="default"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资源类型结构</w:t>
      </w:r>
    </w:p>
    <w:p w14:paraId="01D1F89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Fonts w:hint="eastAsia" w:eastAsiaTheme="minorEastAsia"/>
          <w:color w:val="auto"/>
          <w:lang w:eastAsia="zh-CN"/>
        </w:rPr>
      </w:pPr>
      <w:r>
        <w:rPr>
          <w:rFonts w:hint="eastAsia" w:asciiTheme="minorEastAsia" w:hAnsiTheme="minorEastAsia" w:eastAsiaTheme="minorEastAsia" w:cstheme="minorEastAsia"/>
          <w:b w:val="0"/>
          <w:bCs w:val="0"/>
          <w:color w:val="auto"/>
          <w:sz w:val="24"/>
          <w:szCs w:val="24"/>
          <w:lang w:val="en-US" w:eastAsia="zh-CN"/>
        </w:rPr>
        <w:t>博爱县共有旅游资源单体1647处，其中，</w:t>
      </w:r>
      <w:r>
        <w:rPr>
          <w:rStyle w:val="18"/>
          <w:rFonts w:hint="eastAsia" w:asciiTheme="minorEastAsia" w:hAnsiTheme="minorEastAsia" w:eastAsiaTheme="minorEastAsia" w:cstheme="minorEastAsia"/>
          <w:b w:val="0"/>
          <w:bCs w:val="0"/>
          <w:i w:val="0"/>
          <w:iCs w:val="0"/>
          <w:caps w:val="0"/>
          <w:color w:val="auto"/>
          <w:spacing w:val="0"/>
          <w:sz w:val="24"/>
          <w:szCs w:val="24"/>
          <w:shd w:val="clear" w:color="auto" w:fill="FFFFFF"/>
          <w:lang w:val="en-US" w:eastAsia="zh-CN"/>
        </w:rPr>
        <w:t>地文景观172处，占比10.44%；水域景观206处，占比12.51%；生物景观124处</w:t>
      </w:r>
      <w:r>
        <w:rPr>
          <w:rStyle w:val="18"/>
          <w:rFonts w:hint="eastAsia" w:asciiTheme="minorEastAsia" w:hAnsiTheme="minorEastAsia" w:eastAsiaTheme="minorEastAsia" w:cstheme="minorEastAsia"/>
          <w:b w:val="0"/>
          <w:bCs/>
          <w:i w:val="0"/>
          <w:iCs w:val="0"/>
          <w:caps w:val="0"/>
          <w:color w:val="auto"/>
          <w:spacing w:val="0"/>
          <w:sz w:val="24"/>
          <w:szCs w:val="24"/>
          <w:shd w:val="clear" w:color="auto" w:fill="FFFFFF"/>
          <w:lang w:val="en-US" w:eastAsia="zh-CN"/>
        </w:rPr>
        <w:t>，占比7.53%；天象与气候景观31处，占比1.88%；建筑与设施762处，占比46.27%；历史遗迹139处，占8.44%；旅游购品179处，占10.87%；人文活动34处，占比2.06%，详情如图4-5所示。</w:t>
      </w:r>
      <w:r>
        <w:rPr>
          <w:rFonts w:hint="eastAsia" w:eastAsiaTheme="minorEastAsia"/>
          <w:color w:val="auto"/>
          <w:lang w:eastAsia="zh-CN"/>
        </w:rPr>
        <w:drawing>
          <wp:inline distT="0" distB="0" distL="114300" distR="114300">
            <wp:extent cx="5256530" cy="2988310"/>
            <wp:effectExtent l="5080" t="4445" r="8890" b="1714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2140F9C">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图4-5 博爱县旅游资源类型结构图</w:t>
      </w:r>
    </w:p>
    <w:p w14:paraId="3ACCFF09">
      <w:pPr>
        <w:keepNext w:val="0"/>
        <w:keepLines w:val="0"/>
        <w:pageBreakBefore w:val="0"/>
        <w:widowControl w:val="0"/>
        <w:numPr>
          <w:ilvl w:val="0"/>
          <w:numId w:val="17"/>
        </w:numPr>
        <w:kinsoku/>
        <w:wordWrap/>
        <w:overflowPunct/>
        <w:topLinePunct w:val="0"/>
        <w:autoSpaceDE/>
        <w:autoSpaceDN/>
        <w:bidi w:val="0"/>
        <w:adjustRightInd/>
        <w:snapToGrid/>
        <w:spacing w:line="360" w:lineRule="auto"/>
        <w:jc w:val="both"/>
        <w:textAlignment w:val="auto"/>
        <w:outlineLvl w:val="3"/>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资源等级结构</w:t>
      </w:r>
    </w:p>
    <w:p w14:paraId="6AA5F09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从资源等级结构来看，一级旅游资源864处，占比52.46%；二级旅游资源584处，占比35.46%；三级旅游资源121处，占比7.35%；四级旅游资源61处，占比3.7%；五级旅游资源17处，占比1.03%；详情如图4-6所示。</w:t>
      </w:r>
    </w:p>
    <w:p w14:paraId="0B30B96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drawing>
          <wp:inline distT="0" distB="0" distL="114300" distR="114300">
            <wp:extent cx="5256530" cy="2988310"/>
            <wp:effectExtent l="5080" t="4445" r="15240" b="17145"/>
            <wp:docPr id="7" name="图表 7" title="修武县"/>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30123552">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图4-6 博爱县旅游资源等级结构图</w:t>
      </w:r>
    </w:p>
    <w:p w14:paraId="5802D77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2"/>
        <w:rPr>
          <w:rFonts w:hint="default" w:ascii="宋体" w:hAnsi="宋体" w:cs="宋体"/>
          <w:b/>
          <w:bCs/>
          <w:color w:val="auto"/>
          <w:sz w:val="28"/>
          <w:szCs w:val="28"/>
          <w:lang w:val="en-US" w:eastAsia="zh-CN"/>
        </w:rPr>
      </w:pPr>
      <w:bookmarkStart w:id="81" w:name="_Toc8610"/>
      <w:r>
        <w:rPr>
          <w:rFonts w:hint="eastAsia" w:ascii="宋体" w:hAnsi="宋体" w:cs="宋体"/>
          <w:b/>
          <w:bCs/>
          <w:color w:val="auto"/>
          <w:sz w:val="28"/>
          <w:szCs w:val="28"/>
          <w:lang w:val="en-US" w:eastAsia="zh-CN"/>
        </w:rPr>
        <w:t>三、沁阳市</w:t>
      </w:r>
      <w:bookmarkEnd w:id="81"/>
    </w:p>
    <w:p w14:paraId="53E2CEA1">
      <w:pPr>
        <w:keepNext w:val="0"/>
        <w:keepLines w:val="0"/>
        <w:pageBreakBefore w:val="0"/>
        <w:widowControl w:val="0"/>
        <w:numPr>
          <w:ilvl w:val="0"/>
          <w:numId w:val="18"/>
        </w:numPr>
        <w:kinsoku/>
        <w:wordWrap/>
        <w:overflowPunct/>
        <w:topLinePunct w:val="0"/>
        <w:autoSpaceDE/>
        <w:autoSpaceDN/>
        <w:bidi w:val="0"/>
        <w:adjustRightInd/>
        <w:snapToGrid/>
        <w:spacing w:line="360" w:lineRule="auto"/>
        <w:jc w:val="both"/>
        <w:textAlignment w:val="auto"/>
        <w:outlineLvl w:val="3"/>
        <w:rPr>
          <w:rFonts w:hint="default"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资源类型结构</w:t>
      </w:r>
    </w:p>
    <w:p w14:paraId="12E94CF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Fonts w:hint="eastAsia" w:eastAsiaTheme="minorEastAsia"/>
          <w:color w:val="auto"/>
          <w:lang w:eastAsia="zh-CN"/>
        </w:rPr>
      </w:pPr>
      <w:r>
        <w:rPr>
          <w:rFonts w:hint="eastAsia" w:asciiTheme="minorEastAsia" w:hAnsiTheme="minorEastAsia" w:eastAsiaTheme="minorEastAsia" w:cstheme="minorEastAsia"/>
          <w:b w:val="0"/>
          <w:bCs w:val="0"/>
          <w:color w:val="auto"/>
          <w:sz w:val="24"/>
          <w:szCs w:val="24"/>
          <w:lang w:val="en-US" w:eastAsia="zh-CN"/>
        </w:rPr>
        <w:t>沁阳市共有旅游资源单体1571处，其中，</w:t>
      </w:r>
      <w:r>
        <w:rPr>
          <w:rStyle w:val="18"/>
          <w:rFonts w:hint="eastAsia" w:asciiTheme="minorEastAsia" w:hAnsiTheme="minorEastAsia" w:eastAsiaTheme="minorEastAsia" w:cstheme="minorEastAsia"/>
          <w:b w:val="0"/>
          <w:bCs w:val="0"/>
          <w:i w:val="0"/>
          <w:iCs w:val="0"/>
          <w:caps w:val="0"/>
          <w:color w:val="auto"/>
          <w:spacing w:val="0"/>
          <w:sz w:val="24"/>
          <w:szCs w:val="24"/>
          <w:shd w:val="clear" w:color="auto" w:fill="FFFFFF"/>
          <w:lang w:val="en-US" w:eastAsia="zh-CN"/>
        </w:rPr>
        <w:t>地文景观150处，占比9.55%；水域景观50处，占比3.18%；生物景观170处，占比10.82%；天象与气候景观9处，占比0.57%；建筑与设施839处，占比53.41%；历史遗迹136处，占比8.66%；旅游购品108处，占比6.87%；人文活动109处，占比6.94%，</w:t>
      </w:r>
      <w:r>
        <w:rPr>
          <w:rFonts w:hint="eastAsia" w:ascii="宋体" w:hAnsi="宋体" w:cs="宋体"/>
          <w:b w:val="0"/>
          <w:bCs w:val="0"/>
          <w:color w:val="auto"/>
          <w:sz w:val="24"/>
          <w:szCs w:val="24"/>
          <w:lang w:val="en-US" w:eastAsia="zh-CN"/>
        </w:rPr>
        <w:t>详情如图4-7所示</w:t>
      </w:r>
      <w:r>
        <w:rPr>
          <w:rStyle w:val="18"/>
          <w:rFonts w:hint="eastAsia" w:asciiTheme="minorEastAsia" w:hAnsiTheme="minorEastAsia" w:eastAsiaTheme="minorEastAsia" w:cstheme="minorEastAsia"/>
          <w:b w:val="0"/>
          <w:bCs w:val="0"/>
          <w:i w:val="0"/>
          <w:iCs w:val="0"/>
          <w:caps w:val="0"/>
          <w:color w:val="auto"/>
          <w:spacing w:val="0"/>
          <w:sz w:val="24"/>
          <w:szCs w:val="24"/>
          <w:shd w:val="clear" w:color="auto" w:fill="FFFFFF"/>
          <w:lang w:val="en-US" w:eastAsia="zh-CN"/>
        </w:rPr>
        <w:t>。</w:t>
      </w:r>
      <w:r>
        <w:rPr>
          <w:rFonts w:hint="eastAsia" w:eastAsiaTheme="minorEastAsia"/>
          <w:color w:val="auto"/>
          <w:lang w:eastAsia="zh-CN"/>
        </w:rPr>
        <w:drawing>
          <wp:inline distT="0" distB="0" distL="114300" distR="114300">
            <wp:extent cx="5256530" cy="2988310"/>
            <wp:effectExtent l="5080" t="4445" r="15240" b="17145"/>
            <wp:docPr id="25" name="图表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9AFEB09">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图4-7 沁阳市旅游资源类型结构图</w:t>
      </w:r>
    </w:p>
    <w:p w14:paraId="47EE8C6F">
      <w:pPr>
        <w:keepNext w:val="0"/>
        <w:keepLines w:val="0"/>
        <w:pageBreakBefore w:val="0"/>
        <w:widowControl w:val="0"/>
        <w:numPr>
          <w:ilvl w:val="0"/>
          <w:numId w:val="18"/>
        </w:numPr>
        <w:kinsoku/>
        <w:wordWrap/>
        <w:overflowPunct/>
        <w:topLinePunct w:val="0"/>
        <w:autoSpaceDE/>
        <w:autoSpaceDN/>
        <w:bidi w:val="0"/>
        <w:adjustRightInd/>
        <w:snapToGrid/>
        <w:spacing w:line="360" w:lineRule="auto"/>
        <w:jc w:val="both"/>
        <w:textAlignment w:val="auto"/>
        <w:outlineLvl w:val="3"/>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资源等级结构</w:t>
      </w:r>
    </w:p>
    <w:p w14:paraId="39ABF5E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Fonts w:hint="eastAsia" w:eastAsiaTheme="minorEastAsia"/>
          <w:color w:val="auto"/>
          <w:lang w:eastAsia="zh-CN"/>
        </w:rPr>
      </w:pPr>
      <w:r>
        <w:rPr>
          <w:rFonts w:hint="eastAsia" w:ascii="宋体" w:hAnsi="宋体" w:cs="宋体"/>
          <w:b w:val="0"/>
          <w:bCs w:val="0"/>
          <w:color w:val="auto"/>
          <w:sz w:val="24"/>
          <w:szCs w:val="24"/>
          <w:lang w:val="en-US" w:eastAsia="zh-CN"/>
        </w:rPr>
        <w:t>从资源等级结构来看，未定级14处，占比0.89%；一级旅游资源1028处，占比65.44%；二级旅游资源293处，占比18.65%；三级旅游资源132处，占比8.40%；四级旅游资源73处，占比4.65%；五级旅游资源31处，占比1.97%；详情如图4-8所示。</w:t>
      </w:r>
      <w:r>
        <w:rPr>
          <w:rFonts w:hint="eastAsia" w:eastAsiaTheme="minorEastAsia"/>
          <w:color w:val="auto"/>
          <w:lang w:eastAsia="zh-CN"/>
        </w:rPr>
        <w:drawing>
          <wp:inline distT="0" distB="0" distL="114300" distR="114300">
            <wp:extent cx="5256530" cy="2988310"/>
            <wp:effectExtent l="5080" t="4445" r="15240" b="17145"/>
            <wp:docPr id="9" name="图表 9" title="修武县"/>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72682EF">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图4-8 沁阳市旅游资源等级结构图</w:t>
      </w:r>
    </w:p>
    <w:p w14:paraId="62FABE7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2"/>
        <w:rPr>
          <w:rFonts w:hint="eastAsia" w:ascii="宋体" w:hAnsi="宋体" w:cs="宋体"/>
          <w:b/>
          <w:bCs/>
          <w:color w:val="auto"/>
          <w:sz w:val="28"/>
          <w:szCs w:val="28"/>
          <w:lang w:val="en-US" w:eastAsia="zh-CN"/>
        </w:rPr>
      </w:pPr>
      <w:bookmarkStart w:id="82" w:name="_Toc23888"/>
      <w:r>
        <w:rPr>
          <w:rFonts w:hint="eastAsia" w:ascii="宋体" w:hAnsi="宋体" w:cs="宋体"/>
          <w:b/>
          <w:bCs/>
          <w:color w:val="auto"/>
          <w:sz w:val="28"/>
          <w:szCs w:val="28"/>
          <w:lang w:val="en-US" w:eastAsia="zh-CN"/>
        </w:rPr>
        <w:t>四、山阳区</w:t>
      </w:r>
      <w:bookmarkEnd w:id="82"/>
    </w:p>
    <w:p w14:paraId="29B00F5B">
      <w:pPr>
        <w:keepNext w:val="0"/>
        <w:keepLines w:val="0"/>
        <w:pageBreakBefore w:val="0"/>
        <w:widowControl w:val="0"/>
        <w:numPr>
          <w:ilvl w:val="0"/>
          <w:numId w:val="19"/>
        </w:numPr>
        <w:kinsoku/>
        <w:wordWrap/>
        <w:overflowPunct/>
        <w:topLinePunct w:val="0"/>
        <w:autoSpaceDE/>
        <w:autoSpaceDN/>
        <w:bidi w:val="0"/>
        <w:adjustRightInd/>
        <w:snapToGrid/>
        <w:spacing w:line="360" w:lineRule="auto"/>
        <w:jc w:val="both"/>
        <w:textAlignment w:val="auto"/>
        <w:outlineLvl w:val="3"/>
        <w:rPr>
          <w:rFonts w:hint="default"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资源类型结构</w:t>
      </w:r>
    </w:p>
    <w:p w14:paraId="20E33D0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Fonts w:hint="eastAsia" w:eastAsiaTheme="minorEastAsia"/>
          <w:color w:val="auto"/>
          <w:lang w:eastAsia="zh-CN"/>
        </w:rPr>
      </w:pPr>
      <w:r>
        <w:rPr>
          <w:rFonts w:hint="eastAsia" w:ascii="宋体" w:hAnsi="宋体" w:cs="宋体"/>
          <w:b w:val="0"/>
          <w:bCs w:val="0"/>
          <w:color w:val="auto"/>
          <w:sz w:val="24"/>
          <w:szCs w:val="24"/>
          <w:lang w:val="en-US" w:eastAsia="zh-CN"/>
        </w:rPr>
        <w:t>山阳区共有旅游资源单体1053处，其中，地文景观0处，占比0%；水域景观9处，占比0.85%；生物景观116处，占比11.02%；天象景观2处，占比0.19%；建筑与设施505处，占比47.96%；历史遗迹255处，占比24.22%；旅游购品102处，占比9.69%；人文活动64处，占比6.08%，详情如图4-9所示。</w:t>
      </w:r>
      <w:r>
        <w:rPr>
          <w:rFonts w:hint="eastAsia" w:eastAsiaTheme="minorEastAsia"/>
          <w:color w:val="auto"/>
          <w:lang w:eastAsia="zh-CN"/>
        </w:rPr>
        <w:drawing>
          <wp:inline distT="0" distB="0" distL="114300" distR="114300">
            <wp:extent cx="5256530" cy="2988310"/>
            <wp:effectExtent l="5080" t="4445" r="15240" b="17145"/>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0F0B25F5">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图4-9 山阳区旅游资源类型结构图</w:t>
      </w:r>
    </w:p>
    <w:p w14:paraId="688354BF">
      <w:pPr>
        <w:keepNext w:val="0"/>
        <w:keepLines w:val="0"/>
        <w:pageBreakBefore w:val="0"/>
        <w:widowControl w:val="0"/>
        <w:numPr>
          <w:ilvl w:val="0"/>
          <w:numId w:val="19"/>
        </w:numPr>
        <w:kinsoku/>
        <w:wordWrap/>
        <w:overflowPunct/>
        <w:topLinePunct w:val="0"/>
        <w:autoSpaceDE/>
        <w:autoSpaceDN/>
        <w:bidi w:val="0"/>
        <w:adjustRightInd/>
        <w:snapToGrid/>
        <w:spacing w:line="360" w:lineRule="auto"/>
        <w:jc w:val="both"/>
        <w:textAlignment w:val="auto"/>
        <w:outlineLvl w:val="3"/>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资源等级结构</w:t>
      </w:r>
    </w:p>
    <w:p w14:paraId="681876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Style w:val="18"/>
          <w:rFonts w:hint="eastAsia" w:ascii="Times New Roman" w:hAnsi="Times New Roman" w:cs="宋体"/>
          <w:b w:val="0"/>
          <w:bCs w:val="0"/>
          <w:i w:val="0"/>
          <w:iCs w:val="0"/>
          <w:caps w:val="0"/>
          <w:color w:val="auto"/>
          <w:spacing w:val="0"/>
          <w:sz w:val="24"/>
          <w:szCs w:val="24"/>
          <w:shd w:val="clear" w:color="auto" w:fill="FFFFFF"/>
          <w:lang w:val="en-US" w:eastAsia="zh-CN"/>
        </w:rPr>
      </w:pPr>
      <w:r>
        <w:rPr>
          <w:rFonts w:hint="eastAsia" w:ascii="宋体" w:hAnsi="宋体" w:cs="宋体"/>
          <w:b w:val="0"/>
          <w:bCs w:val="0"/>
          <w:color w:val="auto"/>
          <w:sz w:val="24"/>
          <w:szCs w:val="24"/>
          <w:lang w:val="en-US" w:eastAsia="zh-CN"/>
        </w:rPr>
        <w:t>从资源等级结构来看，一级旅游资源527处，占比50.05%；二级旅游资源421处，占比39.98%；三级旅游资源80处，占比7.60%；四级旅游资源17处，占比1.61%；五级旅游资源8处，占比0.76%；详情如图4-10所示。</w:t>
      </w:r>
      <w:r>
        <w:rPr>
          <w:rStyle w:val="18"/>
          <w:rFonts w:hint="eastAsia" w:ascii="Times New Roman" w:hAnsi="Times New Roman" w:cs="宋体"/>
          <w:b w:val="0"/>
          <w:bCs w:val="0"/>
          <w:i w:val="0"/>
          <w:iCs w:val="0"/>
          <w:caps w:val="0"/>
          <w:color w:val="auto"/>
          <w:spacing w:val="0"/>
          <w:sz w:val="24"/>
          <w:szCs w:val="24"/>
          <w:shd w:val="clear" w:color="auto" w:fill="FFFFFF"/>
          <w:lang w:val="en-US" w:eastAsia="zh-CN"/>
        </w:rPr>
        <w:drawing>
          <wp:inline distT="0" distB="0" distL="114300" distR="114300">
            <wp:extent cx="5256530" cy="2988310"/>
            <wp:effectExtent l="5080" t="4445" r="15240" b="17145"/>
            <wp:docPr id="8" name="图表 8" title="修武县"/>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640F8676">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图4-10 山阳区旅游资源等级结构图</w:t>
      </w:r>
    </w:p>
    <w:p w14:paraId="234C006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2"/>
        <w:rPr>
          <w:rFonts w:hint="default" w:ascii="宋体" w:hAnsi="宋体" w:cs="宋体"/>
          <w:b/>
          <w:bCs/>
          <w:color w:val="auto"/>
          <w:sz w:val="28"/>
          <w:szCs w:val="28"/>
          <w:lang w:val="en-US" w:eastAsia="zh-CN"/>
        </w:rPr>
      </w:pPr>
      <w:bookmarkStart w:id="83" w:name="_Toc27598"/>
      <w:r>
        <w:rPr>
          <w:rFonts w:hint="eastAsia" w:ascii="宋体" w:hAnsi="宋体" w:cs="宋体"/>
          <w:b/>
          <w:bCs/>
          <w:color w:val="auto"/>
          <w:sz w:val="28"/>
          <w:szCs w:val="28"/>
          <w:lang w:val="en-US" w:eastAsia="zh-CN"/>
        </w:rPr>
        <w:t>五、温县</w:t>
      </w:r>
      <w:bookmarkEnd w:id="83"/>
    </w:p>
    <w:p w14:paraId="39737F0B">
      <w:pPr>
        <w:keepNext w:val="0"/>
        <w:keepLines w:val="0"/>
        <w:pageBreakBefore w:val="0"/>
        <w:widowControl w:val="0"/>
        <w:numPr>
          <w:ilvl w:val="0"/>
          <w:numId w:val="20"/>
        </w:numPr>
        <w:kinsoku/>
        <w:wordWrap/>
        <w:overflowPunct/>
        <w:topLinePunct w:val="0"/>
        <w:autoSpaceDE/>
        <w:autoSpaceDN/>
        <w:bidi w:val="0"/>
        <w:adjustRightInd/>
        <w:snapToGrid/>
        <w:spacing w:line="360" w:lineRule="auto"/>
        <w:jc w:val="both"/>
        <w:textAlignment w:val="auto"/>
        <w:outlineLvl w:val="3"/>
        <w:rPr>
          <w:rFonts w:hint="default"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资源类型结构</w:t>
      </w:r>
    </w:p>
    <w:p w14:paraId="3DD8272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Fonts w:hint="eastAsia" w:eastAsiaTheme="minorEastAsia"/>
          <w:color w:val="auto"/>
          <w:lang w:eastAsia="zh-CN"/>
        </w:rPr>
      </w:pPr>
      <w:r>
        <w:rPr>
          <w:rFonts w:hint="eastAsia" w:ascii="宋体" w:hAnsi="宋体" w:cs="宋体"/>
          <w:b w:val="0"/>
          <w:bCs w:val="0"/>
          <w:color w:val="auto"/>
          <w:sz w:val="24"/>
          <w:szCs w:val="24"/>
          <w:lang w:val="en-US" w:eastAsia="zh-CN"/>
        </w:rPr>
        <w:t>温县共有旅游资源单体1031处，其中，地文景观3处，占比0.29%；水域景观18处，占比1.75%；生物景观46处，占比4.46%；天象景观2处，占比0.19%；建筑与设施554处，占比53.73%；历史遗迹154处，占比14.94；旅游购品46处，占比4.46%；人文活动208处，占比20.17%，详情如图4-11所示。</w:t>
      </w:r>
      <w:r>
        <w:rPr>
          <w:rFonts w:hint="eastAsia" w:eastAsiaTheme="minorEastAsia"/>
          <w:color w:val="auto"/>
          <w:lang w:eastAsia="zh-CN"/>
        </w:rPr>
        <w:drawing>
          <wp:inline distT="0" distB="0" distL="114300" distR="114300">
            <wp:extent cx="5256530" cy="2988310"/>
            <wp:effectExtent l="5080" t="4445" r="15240" b="17145"/>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62F8A4B2">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图4-11 温县旅游资源类型结构图</w:t>
      </w:r>
    </w:p>
    <w:p w14:paraId="243CC4F1">
      <w:pPr>
        <w:keepNext w:val="0"/>
        <w:keepLines w:val="0"/>
        <w:pageBreakBefore w:val="0"/>
        <w:widowControl w:val="0"/>
        <w:numPr>
          <w:ilvl w:val="0"/>
          <w:numId w:val="20"/>
        </w:numPr>
        <w:kinsoku/>
        <w:wordWrap/>
        <w:overflowPunct/>
        <w:topLinePunct w:val="0"/>
        <w:autoSpaceDE/>
        <w:autoSpaceDN/>
        <w:bidi w:val="0"/>
        <w:adjustRightInd/>
        <w:snapToGrid/>
        <w:spacing w:line="360" w:lineRule="auto"/>
        <w:jc w:val="both"/>
        <w:textAlignment w:val="auto"/>
        <w:outlineLvl w:val="3"/>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资源等级结构</w:t>
      </w:r>
    </w:p>
    <w:p w14:paraId="5F22C29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Fonts w:hint="eastAsia" w:eastAsiaTheme="minorEastAsia"/>
          <w:color w:val="auto"/>
          <w:lang w:eastAsia="zh-CN"/>
        </w:rPr>
      </w:pPr>
      <w:r>
        <w:rPr>
          <w:rFonts w:hint="eastAsia" w:ascii="宋体" w:hAnsi="宋体" w:cs="宋体"/>
          <w:b w:val="0"/>
          <w:bCs w:val="0"/>
          <w:color w:val="auto"/>
          <w:sz w:val="24"/>
          <w:szCs w:val="24"/>
          <w:lang w:val="en-US" w:eastAsia="zh-CN"/>
        </w:rPr>
        <w:t>从资源等级结构来看，一级旅游资源395处，占比38.31%；二级旅游资源431处，占比41.80%；三级旅游资源150处，占比14.55%；四级旅游资源22处，占比2.13%；五级旅游资源33处，占比3.20%，详情如图4-12所示。</w:t>
      </w:r>
      <w:r>
        <w:rPr>
          <w:rFonts w:hint="eastAsia" w:eastAsiaTheme="minorEastAsia"/>
          <w:color w:val="auto"/>
          <w:lang w:eastAsia="zh-CN"/>
        </w:rPr>
        <w:drawing>
          <wp:inline distT="0" distB="0" distL="114300" distR="114300">
            <wp:extent cx="5256530" cy="2988310"/>
            <wp:effectExtent l="5080" t="4445" r="15240" b="17145"/>
            <wp:docPr id="12" name="图表 12" title="修武县"/>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2AC7DD2E">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图4-12 温县旅游资源等级结构图</w:t>
      </w:r>
    </w:p>
    <w:p w14:paraId="2ABDFEF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2"/>
        <w:rPr>
          <w:rFonts w:hint="default" w:ascii="宋体" w:hAnsi="宋体" w:cs="宋体"/>
          <w:b/>
          <w:bCs/>
          <w:color w:val="auto"/>
          <w:sz w:val="28"/>
          <w:szCs w:val="28"/>
          <w:lang w:val="en-US" w:eastAsia="zh-CN"/>
        </w:rPr>
      </w:pPr>
      <w:bookmarkStart w:id="84" w:name="_Toc14447"/>
      <w:r>
        <w:rPr>
          <w:rFonts w:hint="eastAsia" w:ascii="宋体" w:hAnsi="宋体" w:cs="宋体"/>
          <w:b/>
          <w:bCs/>
          <w:color w:val="auto"/>
          <w:sz w:val="28"/>
          <w:szCs w:val="28"/>
          <w:lang w:val="en-US" w:eastAsia="zh-CN"/>
        </w:rPr>
        <w:t>六、孟州市</w:t>
      </w:r>
      <w:bookmarkEnd w:id="84"/>
    </w:p>
    <w:p w14:paraId="5098CB1E">
      <w:pPr>
        <w:keepNext w:val="0"/>
        <w:keepLines w:val="0"/>
        <w:pageBreakBefore w:val="0"/>
        <w:widowControl w:val="0"/>
        <w:numPr>
          <w:ilvl w:val="0"/>
          <w:numId w:val="21"/>
        </w:numPr>
        <w:kinsoku/>
        <w:wordWrap/>
        <w:overflowPunct/>
        <w:topLinePunct w:val="0"/>
        <w:autoSpaceDE/>
        <w:autoSpaceDN/>
        <w:bidi w:val="0"/>
        <w:adjustRightInd/>
        <w:snapToGrid/>
        <w:spacing w:line="360" w:lineRule="auto"/>
        <w:jc w:val="both"/>
        <w:textAlignment w:val="auto"/>
        <w:outlineLvl w:val="3"/>
        <w:rPr>
          <w:rFonts w:hint="default"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资源类型结构</w:t>
      </w:r>
    </w:p>
    <w:p w14:paraId="1304EF3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eastAsiaTheme="minorEastAsia"/>
          <w:color w:val="auto"/>
          <w:lang w:eastAsia="zh-CN"/>
        </w:rPr>
      </w:pPr>
      <w:r>
        <w:rPr>
          <w:rFonts w:hint="eastAsia" w:ascii="宋体" w:hAnsi="宋体" w:cs="宋体"/>
          <w:b w:val="0"/>
          <w:bCs w:val="0"/>
          <w:color w:val="auto"/>
          <w:sz w:val="24"/>
          <w:szCs w:val="24"/>
          <w:lang w:val="en-US" w:eastAsia="zh-CN"/>
        </w:rPr>
        <w:t>孟州市共有旅游资源单体1026处，其中，地文景观16处，占比1.56%；水域景观43处，占比4.19%；生物景观188处，占比18.32%；天象与气候景观4处，占比0.39%；建筑与设施632处，占比61.60%；历史遗迹48处，占比4.68%；旅游购品37处，占比3.61%；人文活动58处，占比5.65%，详情如图4-13所示。</w:t>
      </w:r>
      <w:r>
        <w:rPr>
          <w:rFonts w:hint="eastAsia" w:eastAsiaTheme="minorEastAsia"/>
          <w:color w:val="auto"/>
          <w:lang w:eastAsia="zh-CN"/>
        </w:rPr>
        <w:drawing>
          <wp:inline distT="0" distB="0" distL="114300" distR="114300">
            <wp:extent cx="5256530" cy="2988310"/>
            <wp:effectExtent l="5080" t="4445" r="15240" b="17145"/>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203584C0">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图4-13 孟州旅游资源类型结构图</w:t>
      </w:r>
    </w:p>
    <w:p w14:paraId="13E41720">
      <w:pPr>
        <w:keepNext w:val="0"/>
        <w:keepLines w:val="0"/>
        <w:pageBreakBefore w:val="0"/>
        <w:widowControl w:val="0"/>
        <w:numPr>
          <w:ilvl w:val="0"/>
          <w:numId w:val="21"/>
        </w:numPr>
        <w:kinsoku/>
        <w:wordWrap/>
        <w:overflowPunct/>
        <w:topLinePunct w:val="0"/>
        <w:autoSpaceDE/>
        <w:autoSpaceDN/>
        <w:bidi w:val="0"/>
        <w:adjustRightInd/>
        <w:snapToGrid/>
        <w:spacing w:line="360" w:lineRule="auto"/>
        <w:jc w:val="both"/>
        <w:textAlignment w:val="auto"/>
        <w:outlineLvl w:val="3"/>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资源等级结构</w:t>
      </w:r>
    </w:p>
    <w:p w14:paraId="1A12CB9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Fonts w:hint="eastAsia" w:eastAsiaTheme="minorEastAsia"/>
          <w:color w:val="auto"/>
          <w:lang w:eastAsia="zh-CN"/>
        </w:rPr>
      </w:pPr>
      <w:r>
        <w:rPr>
          <w:rFonts w:hint="eastAsia" w:ascii="宋体" w:hAnsi="宋体" w:cs="宋体"/>
          <w:b w:val="0"/>
          <w:bCs w:val="0"/>
          <w:color w:val="auto"/>
          <w:sz w:val="24"/>
          <w:szCs w:val="24"/>
          <w:lang w:val="en-US" w:eastAsia="zh-CN"/>
        </w:rPr>
        <w:t>从资源等级结构来看，一级旅游资源358处，占比34.89%；二级旅游资源438处，占比42.69%；三级旅游资源194处，占比18.91%；四级旅游资源28处，占比2.73%；五级旅游资源8处，占比0.78%；详情如图4-14所示。</w:t>
      </w:r>
      <w:r>
        <w:rPr>
          <w:rFonts w:hint="eastAsia" w:eastAsiaTheme="minorEastAsia"/>
          <w:color w:val="auto"/>
          <w:lang w:eastAsia="zh-CN"/>
        </w:rPr>
        <w:drawing>
          <wp:inline distT="0" distB="0" distL="114300" distR="114300">
            <wp:extent cx="5256530" cy="2988310"/>
            <wp:effectExtent l="5080" t="4445" r="15240" b="17145"/>
            <wp:docPr id="15" name="图表 15" title="修武县"/>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18C14490">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图4-14 孟州旅游资源等级结构图</w:t>
      </w:r>
    </w:p>
    <w:p w14:paraId="7114A58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2"/>
        <w:rPr>
          <w:rFonts w:hint="default" w:ascii="宋体" w:hAnsi="宋体" w:cs="宋体"/>
          <w:b/>
          <w:bCs/>
          <w:color w:val="auto"/>
          <w:sz w:val="28"/>
          <w:szCs w:val="28"/>
          <w:lang w:val="en-US" w:eastAsia="zh-CN"/>
        </w:rPr>
      </w:pPr>
      <w:bookmarkStart w:id="85" w:name="_Toc29742"/>
      <w:r>
        <w:rPr>
          <w:rFonts w:hint="eastAsia" w:ascii="宋体" w:hAnsi="宋体" w:cs="宋体"/>
          <w:b/>
          <w:bCs/>
          <w:color w:val="auto"/>
          <w:sz w:val="28"/>
          <w:szCs w:val="28"/>
          <w:lang w:val="en-US" w:eastAsia="zh-CN"/>
        </w:rPr>
        <w:t>七、武陟县</w:t>
      </w:r>
      <w:bookmarkEnd w:id="85"/>
    </w:p>
    <w:p w14:paraId="56B067CA">
      <w:pPr>
        <w:keepNext w:val="0"/>
        <w:keepLines w:val="0"/>
        <w:pageBreakBefore w:val="0"/>
        <w:widowControl w:val="0"/>
        <w:numPr>
          <w:ilvl w:val="0"/>
          <w:numId w:val="22"/>
        </w:numPr>
        <w:kinsoku/>
        <w:wordWrap/>
        <w:overflowPunct/>
        <w:topLinePunct w:val="0"/>
        <w:autoSpaceDE/>
        <w:autoSpaceDN/>
        <w:bidi w:val="0"/>
        <w:adjustRightInd/>
        <w:snapToGrid/>
        <w:spacing w:line="360" w:lineRule="auto"/>
        <w:jc w:val="both"/>
        <w:textAlignment w:val="auto"/>
        <w:outlineLvl w:val="3"/>
        <w:rPr>
          <w:rFonts w:hint="default"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资源类型结构</w:t>
      </w:r>
    </w:p>
    <w:p w14:paraId="0297D17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Fonts w:hint="eastAsia" w:eastAsiaTheme="minorEastAsia"/>
          <w:color w:val="auto"/>
          <w:lang w:eastAsia="zh-CN"/>
        </w:rPr>
      </w:pPr>
      <w:r>
        <w:rPr>
          <w:rFonts w:hint="eastAsia" w:ascii="宋体" w:hAnsi="宋体" w:cs="宋体"/>
          <w:b w:val="0"/>
          <w:bCs w:val="0"/>
          <w:color w:val="auto"/>
          <w:sz w:val="24"/>
          <w:szCs w:val="24"/>
          <w:lang w:val="en-US" w:eastAsia="zh-CN"/>
        </w:rPr>
        <w:t>武陟县共有旅游资源单体893处，其中，地文景观3处，占比0.34%；水域景观26处，占比2.91%；生物景观85处，占比9.52%；天象与气候景观2处，占比0.22%；建筑与设施457处，占比51.18%；历史遗迹194处，占比21.72%；旅游购品81处，占比9.07%；人文活动45处，占比5.04%，详见图4-15。</w:t>
      </w:r>
      <w:r>
        <w:rPr>
          <w:rFonts w:hint="eastAsia" w:eastAsiaTheme="minorEastAsia"/>
          <w:color w:val="auto"/>
          <w:lang w:eastAsia="zh-CN"/>
        </w:rPr>
        <w:drawing>
          <wp:inline distT="0" distB="0" distL="114300" distR="114300">
            <wp:extent cx="5256530" cy="2988310"/>
            <wp:effectExtent l="5080" t="4445" r="15240" b="17145"/>
            <wp:docPr id="16"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79A073F4">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图4-15 武陟旅游资源类型结构图</w:t>
      </w:r>
    </w:p>
    <w:p w14:paraId="3C45ACA0">
      <w:pPr>
        <w:keepNext w:val="0"/>
        <w:keepLines w:val="0"/>
        <w:pageBreakBefore w:val="0"/>
        <w:widowControl w:val="0"/>
        <w:numPr>
          <w:ilvl w:val="0"/>
          <w:numId w:val="22"/>
        </w:numPr>
        <w:kinsoku/>
        <w:wordWrap/>
        <w:overflowPunct/>
        <w:topLinePunct w:val="0"/>
        <w:autoSpaceDE/>
        <w:autoSpaceDN/>
        <w:bidi w:val="0"/>
        <w:adjustRightInd/>
        <w:snapToGrid/>
        <w:spacing w:line="360" w:lineRule="auto"/>
        <w:jc w:val="both"/>
        <w:textAlignment w:val="auto"/>
        <w:outlineLvl w:val="3"/>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资源等级结构</w:t>
      </w:r>
    </w:p>
    <w:p w14:paraId="0C24816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Fonts w:hint="eastAsia" w:eastAsiaTheme="minorEastAsia"/>
          <w:color w:val="auto"/>
          <w:lang w:eastAsia="zh-CN"/>
        </w:rPr>
      </w:pPr>
      <w:r>
        <w:rPr>
          <w:rFonts w:hint="eastAsia" w:ascii="宋体" w:hAnsi="宋体" w:cs="宋体"/>
          <w:b w:val="0"/>
          <w:bCs w:val="0"/>
          <w:color w:val="auto"/>
          <w:sz w:val="24"/>
          <w:szCs w:val="24"/>
          <w:lang w:val="en-US" w:eastAsia="zh-CN"/>
        </w:rPr>
        <w:t>从资源等级结构来看，未定级1处，占比0.11%；一级旅游资源</w:t>
      </w:r>
      <w:r>
        <w:rPr>
          <w:rStyle w:val="18"/>
          <w:rFonts w:hint="eastAsia" w:cs="宋体"/>
          <w:b w:val="0"/>
          <w:bCs w:val="0"/>
          <w:i w:val="0"/>
          <w:iCs w:val="0"/>
          <w:caps w:val="0"/>
          <w:color w:val="auto"/>
          <w:spacing w:val="0"/>
          <w:sz w:val="24"/>
          <w:szCs w:val="24"/>
          <w:shd w:val="clear" w:color="auto" w:fill="FFFFFF"/>
          <w:lang w:val="en-US" w:eastAsia="zh-CN"/>
        </w:rPr>
        <w:t>566处，占比63.38%；</w:t>
      </w:r>
      <w:r>
        <w:rPr>
          <w:rFonts w:hint="eastAsia" w:ascii="宋体" w:hAnsi="宋体" w:cs="宋体"/>
          <w:b w:val="0"/>
          <w:bCs w:val="0"/>
          <w:color w:val="auto"/>
          <w:sz w:val="24"/>
          <w:szCs w:val="24"/>
          <w:lang w:val="en-US" w:eastAsia="zh-CN"/>
        </w:rPr>
        <w:t>二级旅游资源</w:t>
      </w:r>
      <w:r>
        <w:rPr>
          <w:rStyle w:val="18"/>
          <w:rFonts w:hint="eastAsia" w:cs="宋体"/>
          <w:b w:val="0"/>
          <w:bCs w:val="0"/>
          <w:i w:val="0"/>
          <w:iCs w:val="0"/>
          <w:caps w:val="0"/>
          <w:color w:val="auto"/>
          <w:spacing w:val="0"/>
          <w:sz w:val="24"/>
          <w:szCs w:val="24"/>
          <w:shd w:val="clear" w:color="auto" w:fill="FFFFFF"/>
          <w:lang w:val="en-US" w:eastAsia="zh-CN"/>
        </w:rPr>
        <w:t>255处，占比28.56%；三</w:t>
      </w:r>
      <w:r>
        <w:rPr>
          <w:rFonts w:hint="eastAsia" w:ascii="宋体" w:hAnsi="宋体" w:cs="宋体"/>
          <w:b w:val="0"/>
          <w:bCs w:val="0"/>
          <w:color w:val="auto"/>
          <w:sz w:val="24"/>
          <w:szCs w:val="24"/>
          <w:lang w:val="en-US" w:eastAsia="zh-CN"/>
        </w:rPr>
        <w:t>级旅游资源</w:t>
      </w:r>
      <w:r>
        <w:rPr>
          <w:rStyle w:val="18"/>
          <w:rFonts w:hint="eastAsia" w:cs="宋体"/>
          <w:b w:val="0"/>
          <w:bCs w:val="0"/>
          <w:i w:val="0"/>
          <w:iCs w:val="0"/>
          <w:caps w:val="0"/>
          <w:color w:val="auto"/>
          <w:spacing w:val="0"/>
          <w:sz w:val="24"/>
          <w:szCs w:val="24"/>
          <w:shd w:val="clear" w:color="auto" w:fill="FFFFFF"/>
          <w:lang w:val="en-US" w:eastAsia="zh-CN"/>
        </w:rPr>
        <w:t>36处，占比4.03%；</w:t>
      </w:r>
      <w:r>
        <w:rPr>
          <w:rFonts w:hint="eastAsia" w:ascii="宋体" w:hAnsi="宋体" w:cs="宋体"/>
          <w:b w:val="0"/>
          <w:bCs w:val="0"/>
          <w:color w:val="auto"/>
          <w:sz w:val="24"/>
          <w:szCs w:val="24"/>
          <w:lang w:val="en-US" w:eastAsia="zh-CN"/>
        </w:rPr>
        <w:t>四级旅游资源25</w:t>
      </w:r>
      <w:r>
        <w:rPr>
          <w:rStyle w:val="18"/>
          <w:rFonts w:hint="eastAsia" w:cs="宋体"/>
          <w:b w:val="0"/>
          <w:bCs w:val="0"/>
          <w:i w:val="0"/>
          <w:iCs w:val="0"/>
          <w:caps w:val="0"/>
          <w:color w:val="auto"/>
          <w:spacing w:val="0"/>
          <w:sz w:val="24"/>
          <w:szCs w:val="24"/>
          <w:shd w:val="clear" w:color="auto" w:fill="FFFFFF"/>
          <w:lang w:val="en-US" w:eastAsia="zh-CN"/>
        </w:rPr>
        <w:t>处，占比2.8%；</w:t>
      </w:r>
      <w:r>
        <w:rPr>
          <w:rFonts w:hint="eastAsia" w:ascii="宋体" w:hAnsi="宋体" w:cs="宋体"/>
          <w:b w:val="0"/>
          <w:bCs w:val="0"/>
          <w:color w:val="auto"/>
          <w:sz w:val="24"/>
          <w:szCs w:val="24"/>
          <w:lang w:val="en-US" w:eastAsia="zh-CN"/>
        </w:rPr>
        <w:t>五级旅游资源10</w:t>
      </w:r>
      <w:r>
        <w:rPr>
          <w:rStyle w:val="18"/>
          <w:rFonts w:hint="eastAsia" w:cs="宋体"/>
          <w:b w:val="0"/>
          <w:bCs w:val="0"/>
          <w:i w:val="0"/>
          <w:iCs w:val="0"/>
          <w:caps w:val="0"/>
          <w:color w:val="auto"/>
          <w:spacing w:val="0"/>
          <w:sz w:val="24"/>
          <w:szCs w:val="24"/>
          <w:shd w:val="clear" w:color="auto" w:fill="FFFFFF"/>
          <w:lang w:val="en-US" w:eastAsia="zh-CN"/>
        </w:rPr>
        <w:t>处，占比1.12%；详情如图4-16所示。</w:t>
      </w:r>
      <w:r>
        <w:rPr>
          <w:rFonts w:hint="eastAsia" w:eastAsiaTheme="minorEastAsia"/>
          <w:color w:val="auto"/>
          <w:lang w:eastAsia="zh-CN"/>
        </w:rPr>
        <w:drawing>
          <wp:inline distT="0" distB="0" distL="114300" distR="114300">
            <wp:extent cx="5256530" cy="2988310"/>
            <wp:effectExtent l="5080" t="4445" r="11430" b="9525"/>
            <wp:docPr id="17" name="图表 17" title="修武县"/>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6D1C0C57">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图4-16 武陟旅游资源等级结构图</w:t>
      </w:r>
    </w:p>
    <w:p w14:paraId="6E10B98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2"/>
        <w:rPr>
          <w:rFonts w:hint="default" w:ascii="宋体" w:hAnsi="宋体" w:cs="宋体"/>
          <w:b/>
          <w:bCs/>
          <w:color w:val="auto"/>
          <w:sz w:val="28"/>
          <w:szCs w:val="28"/>
          <w:lang w:val="en-US" w:eastAsia="zh-CN"/>
        </w:rPr>
      </w:pPr>
      <w:bookmarkStart w:id="86" w:name="_Toc32315"/>
      <w:r>
        <w:rPr>
          <w:rFonts w:hint="eastAsia" w:ascii="宋体" w:hAnsi="宋体" w:cs="宋体"/>
          <w:b/>
          <w:bCs/>
          <w:color w:val="auto"/>
          <w:sz w:val="28"/>
          <w:szCs w:val="28"/>
          <w:lang w:val="en-US" w:eastAsia="zh-CN"/>
        </w:rPr>
        <w:t>八、解放区</w:t>
      </w:r>
      <w:bookmarkEnd w:id="86"/>
    </w:p>
    <w:p w14:paraId="0BB66A74">
      <w:pPr>
        <w:keepNext w:val="0"/>
        <w:keepLines w:val="0"/>
        <w:pageBreakBefore w:val="0"/>
        <w:widowControl w:val="0"/>
        <w:numPr>
          <w:ilvl w:val="0"/>
          <w:numId w:val="23"/>
        </w:numPr>
        <w:kinsoku/>
        <w:wordWrap/>
        <w:overflowPunct/>
        <w:topLinePunct w:val="0"/>
        <w:autoSpaceDE/>
        <w:autoSpaceDN/>
        <w:bidi w:val="0"/>
        <w:adjustRightInd/>
        <w:snapToGrid/>
        <w:spacing w:line="360" w:lineRule="auto"/>
        <w:jc w:val="both"/>
        <w:textAlignment w:val="auto"/>
        <w:outlineLvl w:val="3"/>
        <w:rPr>
          <w:rFonts w:hint="default"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资源类型结构</w:t>
      </w:r>
    </w:p>
    <w:p w14:paraId="69F048A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Fonts w:hint="eastAsia" w:eastAsiaTheme="minorEastAsia"/>
          <w:color w:val="auto"/>
          <w:lang w:eastAsia="zh-CN"/>
        </w:rPr>
      </w:pPr>
      <w:r>
        <w:rPr>
          <w:rFonts w:hint="eastAsia" w:asciiTheme="minorEastAsia" w:hAnsiTheme="minorEastAsia" w:eastAsiaTheme="minorEastAsia" w:cstheme="minorEastAsia"/>
          <w:b w:val="0"/>
          <w:bCs w:val="0"/>
          <w:color w:val="auto"/>
          <w:sz w:val="24"/>
          <w:szCs w:val="24"/>
          <w:lang w:val="en-US" w:eastAsia="zh-CN"/>
        </w:rPr>
        <w:t>解放区共有旅游资源单体801处，其中，</w:t>
      </w:r>
      <w:r>
        <w:rPr>
          <w:rStyle w:val="18"/>
          <w:rFonts w:hint="eastAsia" w:asciiTheme="minorEastAsia" w:hAnsiTheme="minorEastAsia" w:eastAsiaTheme="minorEastAsia" w:cstheme="minorEastAsia"/>
          <w:b w:val="0"/>
          <w:bCs w:val="0"/>
          <w:i w:val="0"/>
          <w:iCs w:val="0"/>
          <w:caps w:val="0"/>
          <w:color w:val="auto"/>
          <w:spacing w:val="0"/>
          <w:sz w:val="24"/>
          <w:szCs w:val="24"/>
          <w:shd w:val="clear" w:color="auto" w:fill="FFFFFF"/>
          <w:lang w:val="en-US" w:eastAsia="zh-CN"/>
        </w:rPr>
        <w:t>地</w:t>
      </w:r>
      <w:r>
        <w:rPr>
          <w:rStyle w:val="18"/>
          <w:rFonts w:hint="eastAsia" w:asciiTheme="minorEastAsia" w:hAnsiTheme="minorEastAsia" w:eastAsiaTheme="minorEastAsia" w:cstheme="minorEastAsia"/>
          <w:b w:val="0"/>
          <w:bCs/>
          <w:i w:val="0"/>
          <w:iCs w:val="0"/>
          <w:caps w:val="0"/>
          <w:color w:val="auto"/>
          <w:spacing w:val="0"/>
          <w:sz w:val="24"/>
          <w:szCs w:val="24"/>
          <w:shd w:val="clear" w:color="auto" w:fill="FFFFFF"/>
          <w:lang w:val="en-US" w:eastAsia="zh-CN"/>
        </w:rPr>
        <w:t>文景观5处，占比0.62%；水域景观5处，占比0.62%；生物景观85处，占比10.61%；天象与气候景观1处，占比0.12%；建筑与设施350处，占比43.70%；历史遗迹115处，占比14.36%；旅游购品142处，占比17.73%；人文活动98处，占比12.23%，详见图4-17。</w:t>
      </w:r>
      <w:r>
        <w:rPr>
          <w:rFonts w:hint="eastAsia" w:eastAsiaTheme="minorEastAsia"/>
          <w:color w:val="auto"/>
          <w:lang w:eastAsia="zh-CN"/>
        </w:rPr>
        <w:drawing>
          <wp:inline distT="0" distB="0" distL="114300" distR="114300">
            <wp:extent cx="5256530" cy="2988310"/>
            <wp:effectExtent l="5080" t="4445" r="15240" b="17145"/>
            <wp:docPr id="18" name="图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554D7758">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图4-17 解放区旅游资源类型结构图</w:t>
      </w:r>
    </w:p>
    <w:p w14:paraId="0620134A">
      <w:pPr>
        <w:keepNext w:val="0"/>
        <w:keepLines w:val="0"/>
        <w:pageBreakBefore w:val="0"/>
        <w:widowControl w:val="0"/>
        <w:numPr>
          <w:ilvl w:val="0"/>
          <w:numId w:val="23"/>
        </w:numPr>
        <w:kinsoku/>
        <w:wordWrap/>
        <w:overflowPunct/>
        <w:topLinePunct w:val="0"/>
        <w:autoSpaceDE/>
        <w:autoSpaceDN/>
        <w:bidi w:val="0"/>
        <w:adjustRightInd/>
        <w:snapToGrid/>
        <w:spacing w:line="360" w:lineRule="auto"/>
        <w:jc w:val="both"/>
        <w:textAlignment w:val="auto"/>
        <w:outlineLvl w:val="3"/>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资源等级结构</w:t>
      </w:r>
    </w:p>
    <w:p w14:paraId="4ED8500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Fonts w:hint="eastAsia" w:eastAsiaTheme="minorEastAsia"/>
          <w:color w:val="auto"/>
          <w:lang w:eastAsia="zh-CN"/>
        </w:rPr>
      </w:pPr>
      <w:r>
        <w:rPr>
          <w:rFonts w:hint="eastAsia" w:ascii="宋体" w:hAnsi="宋体" w:cs="宋体"/>
          <w:b w:val="0"/>
          <w:bCs w:val="0"/>
          <w:color w:val="auto"/>
          <w:sz w:val="24"/>
          <w:szCs w:val="24"/>
          <w:lang w:val="en-US" w:eastAsia="zh-CN"/>
        </w:rPr>
        <w:t>从资源等级结构来看，一级旅游资源</w:t>
      </w:r>
      <w:r>
        <w:rPr>
          <w:rStyle w:val="18"/>
          <w:rFonts w:hint="eastAsia" w:cs="宋体"/>
          <w:b w:val="0"/>
          <w:bCs w:val="0"/>
          <w:i w:val="0"/>
          <w:iCs w:val="0"/>
          <w:caps w:val="0"/>
          <w:color w:val="auto"/>
          <w:spacing w:val="0"/>
          <w:sz w:val="24"/>
          <w:szCs w:val="24"/>
          <w:shd w:val="clear" w:color="auto" w:fill="FFFFFF"/>
          <w:lang w:val="en-US" w:eastAsia="zh-CN"/>
        </w:rPr>
        <w:t>440处，占比54.93%；</w:t>
      </w:r>
      <w:r>
        <w:rPr>
          <w:rFonts w:hint="eastAsia" w:ascii="宋体" w:hAnsi="宋体" w:cs="宋体"/>
          <w:b w:val="0"/>
          <w:bCs w:val="0"/>
          <w:color w:val="auto"/>
          <w:sz w:val="24"/>
          <w:szCs w:val="24"/>
          <w:lang w:val="en-US" w:eastAsia="zh-CN"/>
        </w:rPr>
        <w:t>二级旅游资源</w:t>
      </w:r>
      <w:r>
        <w:rPr>
          <w:rStyle w:val="18"/>
          <w:rFonts w:hint="eastAsia" w:cs="宋体"/>
          <w:b w:val="0"/>
          <w:bCs w:val="0"/>
          <w:i w:val="0"/>
          <w:iCs w:val="0"/>
          <w:caps w:val="0"/>
          <w:color w:val="auto"/>
          <w:spacing w:val="0"/>
          <w:sz w:val="24"/>
          <w:szCs w:val="24"/>
          <w:shd w:val="clear" w:color="auto" w:fill="FFFFFF"/>
          <w:lang w:val="en-US" w:eastAsia="zh-CN"/>
        </w:rPr>
        <w:t>160处，占比19.98%；三</w:t>
      </w:r>
      <w:r>
        <w:rPr>
          <w:rFonts w:hint="eastAsia" w:ascii="宋体" w:hAnsi="宋体" w:cs="宋体"/>
          <w:b w:val="0"/>
          <w:bCs w:val="0"/>
          <w:color w:val="auto"/>
          <w:sz w:val="24"/>
          <w:szCs w:val="24"/>
          <w:lang w:val="en-US" w:eastAsia="zh-CN"/>
        </w:rPr>
        <w:t>级旅游资源</w:t>
      </w:r>
      <w:r>
        <w:rPr>
          <w:rStyle w:val="18"/>
          <w:rFonts w:hint="eastAsia" w:cs="宋体"/>
          <w:b w:val="0"/>
          <w:bCs w:val="0"/>
          <w:i w:val="0"/>
          <w:iCs w:val="0"/>
          <w:caps w:val="0"/>
          <w:color w:val="auto"/>
          <w:spacing w:val="0"/>
          <w:sz w:val="24"/>
          <w:szCs w:val="24"/>
          <w:shd w:val="clear" w:color="auto" w:fill="FFFFFF"/>
          <w:lang w:val="en-US" w:eastAsia="zh-CN"/>
        </w:rPr>
        <w:t>147处，占比18.35%；</w:t>
      </w:r>
      <w:r>
        <w:rPr>
          <w:rFonts w:hint="eastAsia" w:ascii="宋体" w:hAnsi="宋体" w:cs="宋体"/>
          <w:b w:val="0"/>
          <w:bCs w:val="0"/>
          <w:color w:val="auto"/>
          <w:sz w:val="24"/>
          <w:szCs w:val="24"/>
          <w:lang w:val="en-US" w:eastAsia="zh-CN"/>
        </w:rPr>
        <w:t>四级旅游资源49</w:t>
      </w:r>
      <w:r>
        <w:rPr>
          <w:rStyle w:val="18"/>
          <w:rFonts w:hint="eastAsia" w:cs="宋体"/>
          <w:b w:val="0"/>
          <w:bCs w:val="0"/>
          <w:i w:val="0"/>
          <w:iCs w:val="0"/>
          <w:caps w:val="0"/>
          <w:color w:val="auto"/>
          <w:spacing w:val="0"/>
          <w:sz w:val="24"/>
          <w:szCs w:val="24"/>
          <w:shd w:val="clear" w:color="auto" w:fill="FFFFFF"/>
          <w:lang w:val="en-US" w:eastAsia="zh-CN"/>
        </w:rPr>
        <w:t>处，占比6.12%；</w:t>
      </w:r>
      <w:r>
        <w:rPr>
          <w:rFonts w:hint="eastAsia" w:ascii="宋体" w:hAnsi="宋体" w:cs="宋体"/>
          <w:b w:val="0"/>
          <w:bCs w:val="0"/>
          <w:color w:val="auto"/>
          <w:sz w:val="24"/>
          <w:szCs w:val="24"/>
          <w:lang w:val="en-US" w:eastAsia="zh-CN"/>
        </w:rPr>
        <w:t>五级旅游资源5</w:t>
      </w:r>
      <w:r>
        <w:rPr>
          <w:rStyle w:val="18"/>
          <w:rFonts w:hint="eastAsia" w:cs="宋体"/>
          <w:b w:val="0"/>
          <w:bCs w:val="0"/>
          <w:i w:val="0"/>
          <w:iCs w:val="0"/>
          <w:caps w:val="0"/>
          <w:color w:val="auto"/>
          <w:spacing w:val="0"/>
          <w:sz w:val="24"/>
          <w:szCs w:val="24"/>
          <w:shd w:val="clear" w:color="auto" w:fill="FFFFFF"/>
          <w:lang w:val="en-US" w:eastAsia="zh-CN"/>
        </w:rPr>
        <w:t>处，占比0.62%；详情如图4-18所示。</w:t>
      </w:r>
      <w:r>
        <w:rPr>
          <w:rFonts w:hint="eastAsia" w:eastAsiaTheme="minorEastAsia"/>
          <w:color w:val="auto"/>
          <w:lang w:eastAsia="zh-CN"/>
        </w:rPr>
        <w:drawing>
          <wp:inline distT="0" distB="0" distL="114300" distR="114300">
            <wp:extent cx="5256530" cy="2988310"/>
            <wp:effectExtent l="5080" t="4445" r="15240" b="17145"/>
            <wp:docPr id="19" name="图表 19" title="修武县"/>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2F5218B">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图4-18 解放区旅游资源等级结构图</w:t>
      </w:r>
    </w:p>
    <w:p w14:paraId="15D6AEC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2"/>
        <w:rPr>
          <w:rFonts w:hint="default" w:ascii="宋体" w:hAnsi="宋体" w:cs="宋体"/>
          <w:b/>
          <w:bCs/>
          <w:color w:val="auto"/>
          <w:sz w:val="28"/>
          <w:szCs w:val="28"/>
          <w:lang w:val="en-US" w:eastAsia="zh-CN"/>
        </w:rPr>
      </w:pPr>
      <w:bookmarkStart w:id="87" w:name="_Toc428"/>
      <w:r>
        <w:rPr>
          <w:rFonts w:hint="eastAsia" w:ascii="宋体" w:hAnsi="宋体" w:cs="宋体"/>
          <w:b/>
          <w:bCs/>
          <w:color w:val="auto"/>
          <w:sz w:val="28"/>
          <w:szCs w:val="28"/>
          <w:lang w:val="en-US" w:eastAsia="zh-CN"/>
        </w:rPr>
        <w:t>九、中站区</w:t>
      </w:r>
      <w:bookmarkEnd w:id="87"/>
    </w:p>
    <w:p w14:paraId="4EDA3DEA">
      <w:pPr>
        <w:keepNext w:val="0"/>
        <w:keepLines w:val="0"/>
        <w:pageBreakBefore w:val="0"/>
        <w:widowControl w:val="0"/>
        <w:numPr>
          <w:ilvl w:val="0"/>
          <w:numId w:val="24"/>
        </w:numPr>
        <w:kinsoku/>
        <w:wordWrap/>
        <w:overflowPunct/>
        <w:topLinePunct w:val="0"/>
        <w:autoSpaceDE/>
        <w:autoSpaceDN/>
        <w:bidi w:val="0"/>
        <w:adjustRightInd/>
        <w:snapToGrid/>
        <w:spacing w:line="360" w:lineRule="auto"/>
        <w:jc w:val="both"/>
        <w:textAlignment w:val="auto"/>
        <w:outlineLvl w:val="3"/>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资源类型结构</w:t>
      </w:r>
    </w:p>
    <w:p w14:paraId="1A96484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Fonts w:hint="eastAsia" w:eastAsiaTheme="minorEastAsia"/>
          <w:color w:val="auto"/>
          <w:lang w:eastAsia="zh-CN"/>
        </w:rPr>
      </w:pPr>
      <w:r>
        <w:rPr>
          <w:rFonts w:hint="eastAsia" w:asciiTheme="minorEastAsia" w:hAnsiTheme="minorEastAsia" w:eastAsiaTheme="minorEastAsia" w:cstheme="minorEastAsia"/>
          <w:b w:val="0"/>
          <w:bCs w:val="0"/>
          <w:color w:val="auto"/>
          <w:sz w:val="24"/>
          <w:szCs w:val="24"/>
          <w:lang w:val="en-US" w:eastAsia="zh-CN"/>
        </w:rPr>
        <w:t>中站区共有旅游资源单体504处，其中，</w:t>
      </w:r>
      <w:r>
        <w:rPr>
          <w:rStyle w:val="18"/>
          <w:rFonts w:hint="eastAsia" w:asciiTheme="minorEastAsia" w:hAnsiTheme="minorEastAsia" w:eastAsiaTheme="minorEastAsia" w:cstheme="minorEastAsia"/>
          <w:b w:val="0"/>
          <w:bCs w:val="0"/>
          <w:i w:val="0"/>
          <w:iCs w:val="0"/>
          <w:caps w:val="0"/>
          <w:color w:val="auto"/>
          <w:spacing w:val="0"/>
          <w:sz w:val="24"/>
          <w:szCs w:val="24"/>
          <w:shd w:val="clear" w:color="auto" w:fill="FFFFFF"/>
          <w:lang w:val="en-US" w:eastAsia="zh-CN"/>
        </w:rPr>
        <w:t>地文景观</w:t>
      </w:r>
      <w:r>
        <w:rPr>
          <w:rStyle w:val="18"/>
          <w:rFonts w:hint="eastAsia" w:asciiTheme="minorEastAsia" w:hAnsiTheme="minorEastAsia" w:eastAsiaTheme="minorEastAsia" w:cstheme="minorEastAsia"/>
          <w:b w:val="0"/>
          <w:bCs/>
          <w:i w:val="0"/>
          <w:iCs w:val="0"/>
          <w:caps w:val="0"/>
          <w:color w:val="auto"/>
          <w:spacing w:val="0"/>
          <w:sz w:val="24"/>
          <w:szCs w:val="24"/>
          <w:shd w:val="clear" w:color="auto" w:fill="FFFFFF"/>
          <w:lang w:val="en-US" w:eastAsia="zh-CN"/>
        </w:rPr>
        <w:t>56处，占比11.11%；水域景观9处，占比1.79%；生物景观48处，占比9.52%；天象与气候景观3处，占比0.60%；建筑与设施209处，占比41.47%；历史遗迹149处，占比29.56%；旅游购品10处，占比1.98%；人文活动20处，占比3.97%，详见图4-19。</w:t>
      </w:r>
      <w:r>
        <w:rPr>
          <w:rFonts w:hint="eastAsia" w:eastAsiaTheme="minorEastAsia"/>
          <w:color w:val="auto"/>
          <w:lang w:eastAsia="zh-CN"/>
        </w:rPr>
        <w:drawing>
          <wp:inline distT="0" distB="0" distL="114300" distR="114300">
            <wp:extent cx="5256530" cy="2988310"/>
            <wp:effectExtent l="5080" t="4445" r="15240" b="17145"/>
            <wp:docPr id="2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0679E483">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图4-19 中站区旅游资源类型结构图</w:t>
      </w:r>
    </w:p>
    <w:p w14:paraId="4BA8F0C1">
      <w:pPr>
        <w:keepNext w:val="0"/>
        <w:keepLines w:val="0"/>
        <w:pageBreakBefore w:val="0"/>
        <w:widowControl w:val="0"/>
        <w:numPr>
          <w:ilvl w:val="0"/>
          <w:numId w:val="24"/>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资源等级结构</w:t>
      </w:r>
    </w:p>
    <w:p w14:paraId="4DF839B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Fonts w:hint="eastAsia" w:eastAsiaTheme="minorEastAsia"/>
          <w:color w:val="auto"/>
          <w:lang w:eastAsia="zh-CN"/>
        </w:rPr>
      </w:pPr>
      <w:r>
        <w:rPr>
          <w:rFonts w:hint="eastAsia" w:ascii="宋体" w:hAnsi="宋体" w:cs="宋体"/>
          <w:b w:val="0"/>
          <w:bCs w:val="0"/>
          <w:color w:val="auto"/>
          <w:sz w:val="24"/>
          <w:szCs w:val="24"/>
          <w:lang w:val="en-US" w:eastAsia="zh-CN"/>
        </w:rPr>
        <w:t>从资源等级结构来看，未定级资源80处，占比15.87%；一级旅游资源</w:t>
      </w:r>
      <w:r>
        <w:rPr>
          <w:rStyle w:val="18"/>
          <w:rFonts w:hint="eastAsia" w:cs="宋体"/>
          <w:b w:val="0"/>
          <w:bCs w:val="0"/>
          <w:i w:val="0"/>
          <w:iCs w:val="0"/>
          <w:caps w:val="0"/>
          <w:color w:val="auto"/>
          <w:spacing w:val="0"/>
          <w:sz w:val="24"/>
          <w:szCs w:val="24"/>
          <w:shd w:val="clear" w:color="auto" w:fill="FFFFFF"/>
          <w:lang w:val="en-US" w:eastAsia="zh-CN"/>
        </w:rPr>
        <w:t>306处，占比60.71%；</w:t>
      </w:r>
      <w:r>
        <w:rPr>
          <w:rFonts w:hint="eastAsia" w:ascii="宋体" w:hAnsi="宋体" w:cs="宋体"/>
          <w:b w:val="0"/>
          <w:bCs w:val="0"/>
          <w:color w:val="auto"/>
          <w:sz w:val="24"/>
          <w:szCs w:val="24"/>
          <w:lang w:val="en-US" w:eastAsia="zh-CN"/>
        </w:rPr>
        <w:t>二级旅游资源</w:t>
      </w:r>
      <w:r>
        <w:rPr>
          <w:rStyle w:val="18"/>
          <w:rFonts w:hint="eastAsia" w:cs="宋体"/>
          <w:b w:val="0"/>
          <w:bCs w:val="0"/>
          <w:i w:val="0"/>
          <w:iCs w:val="0"/>
          <w:caps w:val="0"/>
          <w:color w:val="auto"/>
          <w:spacing w:val="0"/>
          <w:sz w:val="24"/>
          <w:szCs w:val="24"/>
          <w:shd w:val="clear" w:color="auto" w:fill="FFFFFF"/>
          <w:lang w:val="en-US" w:eastAsia="zh-CN"/>
        </w:rPr>
        <w:t>78处，占比15.48%；三</w:t>
      </w:r>
      <w:r>
        <w:rPr>
          <w:rFonts w:hint="eastAsia" w:ascii="宋体" w:hAnsi="宋体" w:cs="宋体"/>
          <w:b w:val="0"/>
          <w:bCs w:val="0"/>
          <w:color w:val="auto"/>
          <w:sz w:val="24"/>
          <w:szCs w:val="24"/>
          <w:lang w:val="en-US" w:eastAsia="zh-CN"/>
        </w:rPr>
        <w:t>级旅游资源</w:t>
      </w:r>
      <w:r>
        <w:rPr>
          <w:rStyle w:val="18"/>
          <w:rFonts w:hint="eastAsia" w:cs="宋体"/>
          <w:b w:val="0"/>
          <w:bCs w:val="0"/>
          <w:i w:val="0"/>
          <w:iCs w:val="0"/>
          <w:caps w:val="0"/>
          <w:color w:val="auto"/>
          <w:spacing w:val="0"/>
          <w:sz w:val="24"/>
          <w:szCs w:val="24"/>
          <w:shd w:val="clear" w:color="auto" w:fill="FFFFFF"/>
          <w:lang w:val="en-US" w:eastAsia="zh-CN"/>
        </w:rPr>
        <w:t>26处，占比5.16%；</w:t>
      </w:r>
      <w:r>
        <w:rPr>
          <w:rFonts w:hint="eastAsia" w:ascii="宋体" w:hAnsi="宋体" w:cs="宋体"/>
          <w:b w:val="0"/>
          <w:bCs w:val="0"/>
          <w:color w:val="auto"/>
          <w:sz w:val="24"/>
          <w:szCs w:val="24"/>
          <w:lang w:val="en-US" w:eastAsia="zh-CN"/>
        </w:rPr>
        <w:t>四级旅游资源8</w:t>
      </w:r>
      <w:r>
        <w:rPr>
          <w:rStyle w:val="18"/>
          <w:rFonts w:hint="eastAsia" w:cs="宋体"/>
          <w:b w:val="0"/>
          <w:bCs w:val="0"/>
          <w:i w:val="0"/>
          <w:iCs w:val="0"/>
          <w:caps w:val="0"/>
          <w:color w:val="auto"/>
          <w:spacing w:val="0"/>
          <w:sz w:val="24"/>
          <w:szCs w:val="24"/>
          <w:shd w:val="clear" w:color="auto" w:fill="FFFFFF"/>
          <w:lang w:val="en-US" w:eastAsia="zh-CN"/>
        </w:rPr>
        <w:t>处，占比1.59%；</w:t>
      </w:r>
      <w:r>
        <w:rPr>
          <w:rFonts w:hint="eastAsia" w:ascii="宋体" w:hAnsi="宋体" w:cs="宋体"/>
          <w:b w:val="0"/>
          <w:bCs w:val="0"/>
          <w:color w:val="auto"/>
          <w:sz w:val="24"/>
          <w:szCs w:val="24"/>
          <w:lang w:val="en-US" w:eastAsia="zh-CN"/>
        </w:rPr>
        <w:t>五级旅游资源6</w:t>
      </w:r>
      <w:r>
        <w:rPr>
          <w:rStyle w:val="18"/>
          <w:rFonts w:hint="eastAsia" w:cs="宋体"/>
          <w:b w:val="0"/>
          <w:bCs w:val="0"/>
          <w:i w:val="0"/>
          <w:iCs w:val="0"/>
          <w:caps w:val="0"/>
          <w:color w:val="auto"/>
          <w:spacing w:val="0"/>
          <w:sz w:val="24"/>
          <w:szCs w:val="24"/>
          <w:shd w:val="clear" w:color="auto" w:fill="FFFFFF"/>
          <w:lang w:val="en-US" w:eastAsia="zh-CN"/>
        </w:rPr>
        <w:t>处，占比1.19%；详情如图4-20所示。</w:t>
      </w:r>
      <w:r>
        <w:rPr>
          <w:rFonts w:hint="eastAsia" w:eastAsiaTheme="minorEastAsia"/>
          <w:color w:val="auto"/>
          <w:lang w:eastAsia="zh-CN"/>
        </w:rPr>
        <w:drawing>
          <wp:inline distT="0" distB="0" distL="114300" distR="114300">
            <wp:extent cx="5256530" cy="2988310"/>
            <wp:effectExtent l="5080" t="4445" r="15240" b="17145"/>
            <wp:docPr id="21" name="图表 21" title="修武县"/>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32E844ED">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图4-20 中站区旅游资源等级结构图</w:t>
      </w:r>
    </w:p>
    <w:p w14:paraId="71A37E5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2"/>
        <w:rPr>
          <w:rFonts w:hint="default" w:ascii="宋体" w:hAnsi="宋体" w:cs="宋体"/>
          <w:b/>
          <w:bCs/>
          <w:color w:val="auto"/>
          <w:sz w:val="28"/>
          <w:szCs w:val="28"/>
          <w:lang w:val="en-US" w:eastAsia="zh-CN"/>
        </w:rPr>
      </w:pPr>
      <w:bookmarkStart w:id="88" w:name="_Toc17981"/>
      <w:r>
        <w:rPr>
          <w:rFonts w:hint="eastAsia" w:ascii="宋体" w:hAnsi="宋体" w:cs="宋体"/>
          <w:b/>
          <w:bCs/>
          <w:color w:val="auto"/>
          <w:sz w:val="28"/>
          <w:szCs w:val="28"/>
          <w:lang w:val="en-US" w:eastAsia="zh-CN"/>
        </w:rPr>
        <w:t>十、马村区</w:t>
      </w:r>
      <w:bookmarkEnd w:id="88"/>
    </w:p>
    <w:p w14:paraId="78308080">
      <w:pPr>
        <w:keepNext w:val="0"/>
        <w:keepLines w:val="0"/>
        <w:pageBreakBefore w:val="0"/>
        <w:widowControl w:val="0"/>
        <w:numPr>
          <w:ilvl w:val="0"/>
          <w:numId w:val="25"/>
        </w:numPr>
        <w:kinsoku/>
        <w:wordWrap/>
        <w:overflowPunct/>
        <w:topLinePunct w:val="0"/>
        <w:autoSpaceDE/>
        <w:autoSpaceDN/>
        <w:bidi w:val="0"/>
        <w:adjustRightInd/>
        <w:snapToGrid/>
        <w:spacing w:line="360" w:lineRule="auto"/>
        <w:ind w:left="420" w:leftChars="0" w:firstLineChars="0"/>
        <w:jc w:val="both"/>
        <w:textAlignment w:val="auto"/>
        <w:outlineLvl w:val="3"/>
        <w:rPr>
          <w:rFonts w:hint="default"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资源类型结构</w:t>
      </w:r>
    </w:p>
    <w:p w14:paraId="3E4F18E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eastAsia="宋体" w:cs="宋体"/>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马村区共有旅游资源单体453处，其中，</w:t>
      </w:r>
      <w:r>
        <w:rPr>
          <w:rStyle w:val="18"/>
          <w:rFonts w:hint="eastAsia" w:asciiTheme="minorEastAsia" w:hAnsiTheme="minorEastAsia" w:eastAsiaTheme="minorEastAsia" w:cstheme="minorEastAsia"/>
          <w:b w:val="0"/>
          <w:bCs w:val="0"/>
          <w:i w:val="0"/>
          <w:iCs w:val="0"/>
          <w:caps w:val="0"/>
          <w:color w:val="auto"/>
          <w:spacing w:val="0"/>
          <w:sz w:val="24"/>
          <w:szCs w:val="24"/>
          <w:shd w:val="clear" w:color="auto" w:fill="FFFFFF"/>
          <w:lang w:val="en-US" w:eastAsia="zh-CN"/>
        </w:rPr>
        <w:t>地文景观1处，占比0.22%；水域景观5处，占比1.10%；生物景观4处，占比0.88%；天象景观0处，占比0%；建筑与设施238处，占比52.54%；历史遗迹136处，占比30.02%；旅游购品38处，占比8.39%；人文活动31处，占比6.84%，详见图4-21。</w:t>
      </w:r>
    </w:p>
    <w:p w14:paraId="75AD9071">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9"/>
        <w:rPr>
          <w:rFonts w:hint="eastAsia" w:eastAsiaTheme="minorEastAsia"/>
          <w:color w:val="auto"/>
          <w:lang w:eastAsia="zh-CN"/>
        </w:rPr>
      </w:pPr>
      <w:r>
        <w:rPr>
          <w:rFonts w:hint="eastAsia" w:eastAsiaTheme="minorEastAsia"/>
          <w:color w:val="auto"/>
          <w:lang w:eastAsia="zh-CN"/>
        </w:rPr>
        <w:drawing>
          <wp:inline distT="0" distB="0" distL="114300" distR="114300">
            <wp:extent cx="5256530" cy="2988310"/>
            <wp:effectExtent l="5080" t="4445" r="11430" b="9525"/>
            <wp:docPr id="23" name="图表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3FD36AFD">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图4-21 马村区旅游资源类型结构图</w:t>
      </w:r>
    </w:p>
    <w:p w14:paraId="58504F5A">
      <w:pPr>
        <w:keepNext w:val="0"/>
        <w:keepLines w:val="0"/>
        <w:pageBreakBefore w:val="0"/>
        <w:widowControl w:val="0"/>
        <w:numPr>
          <w:ilvl w:val="0"/>
          <w:numId w:val="25"/>
        </w:numPr>
        <w:kinsoku/>
        <w:wordWrap/>
        <w:overflowPunct/>
        <w:topLinePunct w:val="0"/>
        <w:autoSpaceDE/>
        <w:autoSpaceDN/>
        <w:bidi w:val="0"/>
        <w:adjustRightInd/>
        <w:snapToGrid/>
        <w:spacing w:line="360" w:lineRule="auto"/>
        <w:ind w:left="420" w:leftChars="0" w:firstLineChars="0"/>
        <w:jc w:val="both"/>
        <w:textAlignment w:val="auto"/>
        <w:outlineLvl w:val="3"/>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资源等级结构</w:t>
      </w:r>
    </w:p>
    <w:p w14:paraId="7244D2C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Fonts w:hint="eastAsia" w:eastAsiaTheme="minorEastAsia"/>
          <w:color w:val="auto"/>
          <w:lang w:eastAsia="zh-CN"/>
        </w:rPr>
      </w:pPr>
      <w:r>
        <w:rPr>
          <w:rFonts w:hint="eastAsia" w:ascii="宋体" w:hAnsi="宋体" w:cs="宋体"/>
          <w:b w:val="0"/>
          <w:bCs w:val="0"/>
          <w:color w:val="auto"/>
          <w:sz w:val="24"/>
          <w:szCs w:val="24"/>
          <w:lang w:val="en-US" w:eastAsia="zh-CN"/>
        </w:rPr>
        <w:t>从资源等级结构来看，未定级资源3处，占比0.66%；一级旅游资源</w:t>
      </w:r>
      <w:r>
        <w:rPr>
          <w:rStyle w:val="18"/>
          <w:rFonts w:hint="eastAsia" w:cs="宋体"/>
          <w:b w:val="0"/>
          <w:bCs w:val="0"/>
          <w:i w:val="0"/>
          <w:iCs w:val="0"/>
          <w:caps w:val="0"/>
          <w:color w:val="auto"/>
          <w:spacing w:val="0"/>
          <w:sz w:val="24"/>
          <w:szCs w:val="24"/>
          <w:shd w:val="clear" w:color="auto" w:fill="FFFFFF"/>
          <w:lang w:val="en-US" w:eastAsia="zh-CN"/>
        </w:rPr>
        <w:t>374处，占比82.56%；</w:t>
      </w:r>
      <w:r>
        <w:rPr>
          <w:rFonts w:hint="eastAsia" w:ascii="宋体" w:hAnsi="宋体" w:cs="宋体"/>
          <w:b w:val="0"/>
          <w:bCs w:val="0"/>
          <w:color w:val="auto"/>
          <w:sz w:val="24"/>
          <w:szCs w:val="24"/>
          <w:lang w:val="en-US" w:eastAsia="zh-CN"/>
        </w:rPr>
        <w:t>二级旅游资源</w:t>
      </w:r>
      <w:r>
        <w:rPr>
          <w:rStyle w:val="18"/>
          <w:rFonts w:hint="eastAsia" w:cs="宋体"/>
          <w:b w:val="0"/>
          <w:bCs w:val="0"/>
          <w:i w:val="0"/>
          <w:iCs w:val="0"/>
          <w:caps w:val="0"/>
          <w:color w:val="auto"/>
          <w:spacing w:val="0"/>
          <w:sz w:val="24"/>
          <w:szCs w:val="24"/>
          <w:shd w:val="clear" w:color="auto" w:fill="FFFFFF"/>
          <w:lang w:val="en-US" w:eastAsia="zh-CN"/>
        </w:rPr>
        <w:t>65处，占比14.35%；三</w:t>
      </w:r>
      <w:r>
        <w:rPr>
          <w:rFonts w:hint="eastAsia" w:ascii="宋体" w:hAnsi="宋体" w:cs="宋体"/>
          <w:b w:val="0"/>
          <w:bCs w:val="0"/>
          <w:color w:val="auto"/>
          <w:sz w:val="24"/>
          <w:szCs w:val="24"/>
          <w:lang w:val="en-US" w:eastAsia="zh-CN"/>
        </w:rPr>
        <w:t>级旅游资源</w:t>
      </w:r>
      <w:r>
        <w:rPr>
          <w:rStyle w:val="18"/>
          <w:rFonts w:hint="eastAsia" w:cs="宋体"/>
          <w:b w:val="0"/>
          <w:bCs w:val="0"/>
          <w:i w:val="0"/>
          <w:iCs w:val="0"/>
          <w:caps w:val="0"/>
          <w:color w:val="auto"/>
          <w:spacing w:val="0"/>
          <w:sz w:val="24"/>
          <w:szCs w:val="24"/>
          <w:shd w:val="clear" w:color="auto" w:fill="FFFFFF"/>
          <w:lang w:val="en-US" w:eastAsia="zh-CN"/>
        </w:rPr>
        <w:t>10处，占比2.21%；</w:t>
      </w:r>
      <w:r>
        <w:rPr>
          <w:rFonts w:hint="eastAsia" w:ascii="宋体" w:hAnsi="宋体" w:cs="宋体"/>
          <w:b w:val="0"/>
          <w:bCs w:val="0"/>
          <w:color w:val="auto"/>
          <w:sz w:val="24"/>
          <w:szCs w:val="24"/>
          <w:lang w:val="en-US" w:eastAsia="zh-CN"/>
        </w:rPr>
        <w:t>四级旅游资源1</w:t>
      </w:r>
      <w:r>
        <w:rPr>
          <w:rStyle w:val="18"/>
          <w:rFonts w:hint="eastAsia" w:cs="宋体"/>
          <w:b w:val="0"/>
          <w:bCs w:val="0"/>
          <w:i w:val="0"/>
          <w:iCs w:val="0"/>
          <w:caps w:val="0"/>
          <w:color w:val="auto"/>
          <w:spacing w:val="0"/>
          <w:sz w:val="24"/>
          <w:szCs w:val="24"/>
          <w:shd w:val="clear" w:color="auto" w:fill="FFFFFF"/>
          <w:lang w:val="en-US" w:eastAsia="zh-CN"/>
        </w:rPr>
        <w:t>处，占比0.22%；</w:t>
      </w:r>
      <w:r>
        <w:rPr>
          <w:rFonts w:hint="eastAsia" w:ascii="宋体" w:hAnsi="宋体" w:cs="宋体"/>
          <w:b w:val="0"/>
          <w:bCs w:val="0"/>
          <w:color w:val="auto"/>
          <w:sz w:val="24"/>
          <w:szCs w:val="24"/>
          <w:lang w:val="en-US" w:eastAsia="zh-CN"/>
        </w:rPr>
        <w:t>五级旅游资源0</w:t>
      </w:r>
      <w:r>
        <w:rPr>
          <w:rStyle w:val="18"/>
          <w:rFonts w:hint="eastAsia" w:cs="宋体"/>
          <w:b w:val="0"/>
          <w:bCs w:val="0"/>
          <w:i w:val="0"/>
          <w:iCs w:val="0"/>
          <w:caps w:val="0"/>
          <w:color w:val="auto"/>
          <w:spacing w:val="0"/>
          <w:sz w:val="24"/>
          <w:szCs w:val="24"/>
          <w:shd w:val="clear" w:color="auto" w:fill="FFFFFF"/>
          <w:lang w:val="en-US" w:eastAsia="zh-CN"/>
        </w:rPr>
        <w:t>处，占比0%；详情如图4-22所示。</w:t>
      </w:r>
      <w:r>
        <w:rPr>
          <w:rFonts w:hint="eastAsia" w:eastAsiaTheme="minorEastAsia"/>
          <w:color w:val="auto"/>
          <w:lang w:eastAsia="zh-CN"/>
        </w:rPr>
        <w:drawing>
          <wp:inline distT="0" distB="0" distL="114300" distR="114300">
            <wp:extent cx="5256530" cy="2988310"/>
            <wp:effectExtent l="5080" t="4445" r="15240" b="17145"/>
            <wp:docPr id="22" name="图表 22" title="修武县"/>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02E7A825">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图4-22马村区旅游资源等级结构图</w:t>
      </w:r>
    </w:p>
    <w:p w14:paraId="2D953B71">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0" w:leftChars="0" w:firstLine="0" w:firstLineChars="0"/>
        <w:jc w:val="center"/>
        <w:textAlignment w:val="auto"/>
        <w:outlineLvl w:val="1"/>
        <w:rPr>
          <w:rFonts w:hint="eastAsia" w:ascii="宋体" w:hAnsi="宋体" w:eastAsia="宋体" w:cs="宋体"/>
          <w:b/>
          <w:bCs/>
          <w:color w:val="auto"/>
          <w:sz w:val="30"/>
          <w:szCs w:val="30"/>
          <w:lang w:val="en-US" w:eastAsia="zh-CN"/>
        </w:rPr>
      </w:pPr>
      <w:bookmarkStart w:id="89" w:name="_Toc12492"/>
      <w:r>
        <w:rPr>
          <w:rFonts w:hint="eastAsia" w:ascii="宋体" w:hAnsi="宋体" w:eastAsia="宋体" w:cs="宋体"/>
          <w:b/>
          <w:bCs/>
          <w:color w:val="auto"/>
          <w:sz w:val="30"/>
          <w:szCs w:val="30"/>
          <w:lang w:val="en-US" w:eastAsia="zh-CN"/>
        </w:rPr>
        <w:t>旅游资源组合及评价</w:t>
      </w:r>
      <w:bookmarkEnd w:id="89"/>
    </w:p>
    <w:p w14:paraId="18ECA71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2"/>
        <w:rPr>
          <w:rFonts w:hint="eastAsia" w:ascii="宋体" w:hAnsi="宋体" w:eastAsia="宋体" w:cs="宋体"/>
          <w:b/>
          <w:bCs/>
          <w:color w:val="auto"/>
          <w:sz w:val="28"/>
          <w:szCs w:val="28"/>
          <w:lang w:val="en-US" w:eastAsia="zh-CN"/>
        </w:rPr>
      </w:pPr>
      <w:bookmarkStart w:id="90" w:name="_Toc6536"/>
      <w:r>
        <w:rPr>
          <w:rFonts w:hint="eastAsia" w:ascii="宋体" w:hAnsi="宋体" w:eastAsia="宋体" w:cs="宋体"/>
          <w:b/>
          <w:bCs/>
          <w:color w:val="auto"/>
          <w:sz w:val="28"/>
          <w:szCs w:val="28"/>
          <w:lang w:val="en-US" w:eastAsia="zh-CN"/>
        </w:rPr>
        <w:t>一、自然观光类旅游资源组合</w:t>
      </w:r>
      <w:bookmarkEnd w:id="90"/>
    </w:p>
    <w:p w14:paraId="3AD2B54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自然观光类旅游资源是以自然景观为核心吸引物，供游客进行观赏、游览和审美体验的旅游载体，其界定需满足以自然地理环境或生物构成为主体，具备美学价值或科学价值，并能引发旅游者兴趣的自然景观要素。此类资源具有自然性、观赏性、季节性、生态脆弱性等特性，其价值体现在美学享受、科学探索、经济收益与社会文化交流等多方面。这包括山岳、水域、生物、气象气候、地质地貌等自然要素。</w:t>
      </w:r>
    </w:p>
    <w:p w14:paraId="2AFBA6C0">
      <w:pPr>
        <w:spacing w:line="360" w:lineRule="auto"/>
        <w:ind w:firstLine="480" w:firstLineChars="200"/>
        <w:jc w:val="left"/>
        <w:rPr>
          <w:rFonts w:hint="eastAsia" w:ascii="宋体" w:hAnsi="宋体"/>
          <w:color w:val="auto"/>
          <w:sz w:val="24"/>
        </w:rPr>
      </w:pPr>
      <w:r>
        <w:rPr>
          <w:rFonts w:hint="eastAsia" w:ascii="宋体" w:hAnsi="宋体" w:eastAsia="宋体" w:cs="宋体"/>
          <w:b w:val="0"/>
          <w:bCs w:val="0"/>
          <w:color w:val="auto"/>
          <w:sz w:val="24"/>
          <w:szCs w:val="24"/>
          <w:lang w:val="en-US" w:eastAsia="zh-CN"/>
        </w:rPr>
        <w:t>全市共有自然观光类旅游资源</w:t>
      </w:r>
      <w:r>
        <w:rPr>
          <w:rFonts w:hint="eastAsia"/>
          <w:b w:val="0"/>
          <w:bCs w:val="0"/>
          <w:color w:val="auto"/>
          <w:sz w:val="24"/>
          <w:szCs w:val="24"/>
          <w:lang w:val="en-US" w:eastAsia="zh-CN"/>
        </w:rPr>
        <w:t>（包含地文景观、水域景观、生物景观和天象与气候景观4个大类）2706处，占资源总量的22.53%。</w:t>
      </w:r>
      <w:r>
        <w:rPr>
          <w:rFonts w:hint="eastAsia" w:ascii="宋体" w:hAnsi="宋体"/>
          <w:color w:val="auto"/>
          <w:sz w:val="24"/>
        </w:rPr>
        <w:t>分属于全</w:t>
      </w:r>
      <w:r>
        <w:rPr>
          <w:rFonts w:hint="eastAsia" w:ascii="宋体" w:hAnsi="宋体"/>
          <w:color w:val="auto"/>
          <w:sz w:val="24"/>
          <w:lang w:val="en-US" w:eastAsia="zh-CN"/>
        </w:rPr>
        <w:t>市</w:t>
      </w:r>
      <w:r>
        <w:rPr>
          <w:rFonts w:hint="eastAsia" w:ascii="宋体" w:hAnsi="宋体"/>
          <w:color w:val="auto"/>
          <w:sz w:val="24"/>
        </w:rPr>
        <w:t>1</w:t>
      </w:r>
      <w:r>
        <w:rPr>
          <w:rFonts w:hint="eastAsia" w:ascii="宋体" w:hAnsi="宋体"/>
          <w:color w:val="auto"/>
          <w:sz w:val="24"/>
          <w:lang w:val="en-US" w:eastAsia="zh-CN"/>
        </w:rPr>
        <w:t>0</w:t>
      </w:r>
      <w:r>
        <w:rPr>
          <w:rFonts w:hint="eastAsia" w:ascii="宋体" w:hAnsi="宋体"/>
          <w:color w:val="auto"/>
          <w:sz w:val="24"/>
        </w:rPr>
        <w:t>个</w:t>
      </w:r>
      <w:r>
        <w:rPr>
          <w:rFonts w:hint="eastAsia" w:ascii="宋体" w:hAnsi="宋体"/>
          <w:color w:val="auto"/>
          <w:sz w:val="24"/>
          <w:lang w:val="en-US" w:eastAsia="zh-CN"/>
        </w:rPr>
        <w:t>县（市、区）</w:t>
      </w:r>
      <w:r>
        <w:rPr>
          <w:rFonts w:hint="eastAsia" w:ascii="宋体" w:hAnsi="宋体"/>
          <w:color w:val="auto"/>
          <w:sz w:val="24"/>
        </w:rPr>
        <w:t>，</w:t>
      </w:r>
      <w:r>
        <w:rPr>
          <w:rFonts w:hint="eastAsia" w:ascii="宋体" w:hAnsi="宋体"/>
          <w:color w:val="auto"/>
          <w:sz w:val="24"/>
          <w:lang w:val="en-US" w:eastAsia="zh-CN"/>
        </w:rPr>
        <w:t>其中，修武县1009处，博爱县533处，沁阳市379处，孟州251处，山阳区127处，武陟县和中站区均为116处，解放区96处，温县69处，马村区10处，</w:t>
      </w:r>
      <w:r>
        <w:rPr>
          <w:rFonts w:hint="eastAsia" w:ascii="宋体" w:hAnsi="宋体"/>
          <w:color w:val="auto"/>
          <w:sz w:val="24"/>
        </w:rPr>
        <w:t>见图4-</w:t>
      </w:r>
      <w:r>
        <w:rPr>
          <w:rFonts w:hint="eastAsia" w:ascii="宋体" w:hAnsi="宋体"/>
          <w:color w:val="auto"/>
          <w:sz w:val="24"/>
          <w:lang w:val="en-US" w:eastAsia="zh-CN"/>
        </w:rPr>
        <w:t>23</w:t>
      </w:r>
      <w:r>
        <w:rPr>
          <w:rFonts w:hint="eastAsia" w:ascii="宋体" w:hAnsi="宋体"/>
          <w:color w:val="auto"/>
          <w:sz w:val="24"/>
        </w:rPr>
        <w:t>。</w:t>
      </w:r>
    </w:p>
    <w:p w14:paraId="4499EB8E">
      <w:pPr>
        <w:spacing w:line="360" w:lineRule="auto"/>
        <w:ind w:firstLine="420" w:firstLineChars="200"/>
        <w:jc w:val="left"/>
        <w:rPr>
          <w:color w:val="auto"/>
        </w:rPr>
      </w:pPr>
      <w:r>
        <w:rPr>
          <w:color w:val="auto"/>
        </w:rPr>
        <w:drawing>
          <wp:inline distT="0" distB="0" distL="114300" distR="114300">
            <wp:extent cx="4826000" cy="2743200"/>
            <wp:effectExtent l="4445" t="4445" r="8255" b="14605"/>
            <wp:docPr id="27" name="图表 2" descr="7b0a202020202263686172745265734964223a20223230343736383039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7269E00B">
      <w:pPr>
        <w:snapToGrid w:val="0"/>
        <w:spacing w:line="240" w:lineRule="auto"/>
        <w:jc w:val="center"/>
        <w:outlineLvl w:val="9"/>
        <w:rPr>
          <w:rFonts w:hint="default"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图4-23  自然观光类旅游资源地区分布图</w:t>
      </w:r>
    </w:p>
    <w:p w14:paraId="4C23856A">
      <w:pPr>
        <w:spacing w:line="360" w:lineRule="auto"/>
        <w:ind w:firstLine="480" w:firstLineChars="200"/>
        <w:jc w:val="left"/>
        <w:rPr>
          <w:rFonts w:hint="default" w:ascii="宋体" w:hAnsi="宋体" w:eastAsia="宋体" w:cs="宋体"/>
          <w:b w:val="0"/>
          <w:bCs w:val="0"/>
          <w:color w:val="auto"/>
          <w:sz w:val="24"/>
          <w:szCs w:val="24"/>
          <w:lang w:val="en-US" w:eastAsia="zh-CN"/>
        </w:rPr>
      </w:pPr>
      <w:r>
        <w:rPr>
          <w:rFonts w:hint="eastAsia" w:ascii="宋体" w:hAnsi="宋体"/>
          <w:color w:val="auto"/>
          <w:sz w:val="24"/>
        </w:rPr>
        <w:t>由图4-</w:t>
      </w:r>
      <w:r>
        <w:rPr>
          <w:rFonts w:hint="eastAsia" w:ascii="宋体" w:hAnsi="宋体"/>
          <w:color w:val="auto"/>
          <w:sz w:val="24"/>
          <w:lang w:val="en-US" w:eastAsia="zh-CN"/>
        </w:rPr>
        <w:t>23</w:t>
      </w:r>
      <w:r>
        <w:rPr>
          <w:rFonts w:hint="eastAsia" w:ascii="宋体" w:hAnsi="宋体"/>
          <w:color w:val="auto"/>
          <w:sz w:val="24"/>
        </w:rPr>
        <w:t>可以看出，</w:t>
      </w:r>
      <w:r>
        <w:rPr>
          <w:rFonts w:hint="eastAsia" w:ascii="宋体" w:hAnsi="宋体"/>
          <w:color w:val="auto"/>
          <w:sz w:val="24"/>
          <w:lang w:val="en-US" w:eastAsia="zh-CN"/>
        </w:rPr>
        <w:t>自然观光类旅游</w:t>
      </w:r>
      <w:r>
        <w:rPr>
          <w:rFonts w:hint="eastAsia" w:ascii="宋体" w:hAnsi="宋体"/>
          <w:color w:val="auto"/>
          <w:sz w:val="24"/>
        </w:rPr>
        <w:t>资源单体地理空间分布相对较多的是</w:t>
      </w:r>
      <w:r>
        <w:rPr>
          <w:rFonts w:hint="eastAsia" w:ascii="宋体" w:hAnsi="宋体"/>
          <w:color w:val="auto"/>
          <w:sz w:val="24"/>
          <w:lang w:val="en-US" w:eastAsia="zh-CN"/>
        </w:rPr>
        <w:t>修武县</w:t>
      </w:r>
      <w:r>
        <w:rPr>
          <w:rFonts w:hint="eastAsia" w:ascii="宋体" w:hAnsi="宋体"/>
          <w:color w:val="auto"/>
          <w:sz w:val="24"/>
        </w:rPr>
        <w:t>、</w:t>
      </w:r>
      <w:r>
        <w:rPr>
          <w:rFonts w:hint="eastAsia" w:ascii="宋体" w:hAnsi="宋体"/>
          <w:color w:val="auto"/>
          <w:sz w:val="24"/>
          <w:lang w:val="en-US" w:eastAsia="zh-CN"/>
        </w:rPr>
        <w:t>博爱县</w:t>
      </w:r>
      <w:r>
        <w:rPr>
          <w:rFonts w:hint="eastAsia" w:ascii="宋体" w:hAnsi="宋体"/>
          <w:color w:val="auto"/>
          <w:sz w:val="24"/>
        </w:rPr>
        <w:t>和</w:t>
      </w:r>
      <w:r>
        <w:rPr>
          <w:rFonts w:hint="eastAsia" w:ascii="宋体" w:hAnsi="宋体"/>
          <w:color w:val="auto"/>
          <w:sz w:val="24"/>
          <w:lang w:val="en-US" w:eastAsia="zh-CN"/>
        </w:rPr>
        <w:t>沁阳</w:t>
      </w:r>
      <w:r>
        <w:rPr>
          <w:rFonts w:hint="eastAsia" w:ascii="宋体" w:hAnsi="宋体"/>
          <w:color w:val="auto"/>
          <w:sz w:val="24"/>
        </w:rPr>
        <w:t>市，较少的有</w:t>
      </w:r>
      <w:r>
        <w:rPr>
          <w:rFonts w:hint="eastAsia" w:ascii="宋体" w:hAnsi="宋体"/>
          <w:color w:val="auto"/>
          <w:sz w:val="24"/>
          <w:lang w:val="en-US" w:eastAsia="zh-CN"/>
        </w:rPr>
        <w:t>解放区、温县</w:t>
      </w:r>
      <w:r>
        <w:rPr>
          <w:rFonts w:hint="eastAsia" w:ascii="宋体" w:hAnsi="宋体"/>
          <w:color w:val="auto"/>
          <w:sz w:val="24"/>
        </w:rPr>
        <w:t>和</w:t>
      </w:r>
      <w:r>
        <w:rPr>
          <w:rFonts w:hint="eastAsia" w:ascii="宋体" w:hAnsi="宋体"/>
          <w:color w:val="auto"/>
          <w:sz w:val="24"/>
          <w:lang w:val="en-US" w:eastAsia="zh-CN"/>
        </w:rPr>
        <w:t>马村区</w:t>
      </w:r>
      <w:r>
        <w:rPr>
          <w:rFonts w:hint="eastAsia" w:ascii="宋体" w:hAnsi="宋体"/>
          <w:color w:val="auto"/>
          <w:sz w:val="24"/>
        </w:rPr>
        <w:t>，其他</w:t>
      </w:r>
      <w:r>
        <w:rPr>
          <w:rFonts w:hint="eastAsia" w:ascii="宋体" w:hAnsi="宋体"/>
          <w:color w:val="auto"/>
          <w:sz w:val="24"/>
          <w:lang w:val="en-US" w:eastAsia="zh-CN"/>
        </w:rPr>
        <w:t>县（</w:t>
      </w:r>
      <w:r>
        <w:rPr>
          <w:rFonts w:hint="eastAsia" w:ascii="宋体" w:hAnsi="宋体"/>
          <w:color w:val="auto"/>
          <w:sz w:val="24"/>
        </w:rPr>
        <w:t>市</w:t>
      </w:r>
      <w:r>
        <w:rPr>
          <w:rFonts w:hint="eastAsia" w:ascii="宋体" w:hAnsi="宋体"/>
          <w:color w:val="auto"/>
          <w:sz w:val="24"/>
          <w:lang w:eastAsia="zh-CN"/>
        </w:rPr>
        <w:t>、</w:t>
      </w:r>
      <w:r>
        <w:rPr>
          <w:rFonts w:hint="eastAsia" w:ascii="宋体" w:hAnsi="宋体"/>
          <w:color w:val="auto"/>
          <w:sz w:val="24"/>
        </w:rPr>
        <w:t>区</w:t>
      </w:r>
      <w:r>
        <w:rPr>
          <w:rFonts w:hint="eastAsia" w:ascii="宋体" w:hAnsi="宋体"/>
          <w:color w:val="auto"/>
          <w:sz w:val="24"/>
          <w:lang w:val="en-US" w:eastAsia="zh-CN"/>
        </w:rPr>
        <w:t>）自然观光类</w:t>
      </w:r>
      <w:r>
        <w:rPr>
          <w:rFonts w:hint="eastAsia" w:ascii="宋体" w:hAnsi="宋体"/>
          <w:color w:val="auto"/>
          <w:sz w:val="24"/>
        </w:rPr>
        <w:t>资源单体分布位居中间。</w:t>
      </w:r>
      <w:r>
        <w:rPr>
          <w:rFonts w:hint="eastAsia" w:ascii="宋体" w:hAnsi="宋体"/>
          <w:color w:val="auto"/>
          <w:sz w:val="24"/>
          <w:lang w:val="en-US" w:eastAsia="zh-CN"/>
        </w:rPr>
        <w:t>这与焦作市西北部太行山覆盖区域保持一致，修武县有云台山、博爱有青天河、沁阳神农山、中站有龙翔山等。孟州市251处，主要类型为生物景观，数量为188处，占自然观光资源比例达到74.90%。山阳区生物景观资源116处，占自然观光资源比例达到91.34%。武陟和解放区生物景观资源均为85处，占比分别为73.28%，88.54%。</w:t>
      </w:r>
    </w:p>
    <w:p w14:paraId="532AF1D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2"/>
        <w:rPr>
          <w:rFonts w:hint="eastAsia" w:ascii="宋体" w:hAnsi="宋体" w:eastAsia="宋体" w:cs="宋体"/>
          <w:b/>
          <w:bCs/>
          <w:color w:val="auto"/>
          <w:sz w:val="28"/>
          <w:szCs w:val="28"/>
          <w:lang w:val="en-US" w:eastAsia="zh-CN"/>
        </w:rPr>
      </w:pPr>
      <w:bookmarkStart w:id="91" w:name="_Toc12940"/>
      <w:r>
        <w:rPr>
          <w:rFonts w:hint="eastAsia" w:ascii="宋体" w:hAnsi="宋体" w:eastAsia="宋体" w:cs="宋体"/>
          <w:b/>
          <w:bCs/>
          <w:color w:val="auto"/>
          <w:sz w:val="28"/>
          <w:szCs w:val="28"/>
          <w:lang w:val="en-US" w:eastAsia="zh-CN"/>
        </w:rPr>
        <w:t>二、乡村旅游资源组合</w:t>
      </w:r>
      <w:bookmarkEnd w:id="91"/>
    </w:p>
    <w:p w14:paraId="1FD2E1E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统计范围界定：乡村旅游必须发生在非城市化的乡村地域，包括农田、村落、自然景观等。这一空间界定区别于城市旅游，强调与城市不同的地理特征（如广阔田野、自然山水）和文化属性（如传统农耕、乡土建筑）。本质属性是乡村性</w:t>
      </w:r>
      <w:r>
        <w:rPr>
          <w:rFonts w:hint="default" w:ascii="Times New Roman" w:hAnsi="Times New Roman" w:eastAsia="宋体" w:cs="Times New Roman"/>
          <w:b w:val="0"/>
          <w:bCs w:val="0"/>
          <w:color w:val="auto"/>
          <w:sz w:val="24"/>
          <w:szCs w:val="24"/>
          <w:lang w:val="en-US" w:eastAsia="zh-CN"/>
        </w:rPr>
        <w:t>（Rurality）。</w:t>
      </w:r>
    </w:p>
    <w:p w14:paraId="2ED80CC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乡村旅游资源是乡村地区吸引旅游者并产生综合效益的景观客体总和，涵盖自然、人文、产业、设施与文化五大维度，其核心在于以乡村地域为载体，整合乡土风情与生态资源，满足游客回归自然与体验乡野生活的需求。自然景观资源包括连片农田、经济果林、山川湿地等生态要素。人文景观资源则由传统民居、农耕文化、民俗节庆及手工艺品构成；产业融合资源体现为农业观光、农旅结合与非遗活化；基础设施与配套涵盖民宿、主题酒店、交通服务及文创商品；软性文化资源则聚焦民俗风情、地方饮食与民间艺术。这些资源呈现多样性、地域性、季节性、参与性、文化性与生态性特征。</w:t>
      </w:r>
    </w:p>
    <w:p w14:paraId="6DDA5664">
      <w:pPr>
        <w:spacing w:line="360" w:lineRule="auto"/>
        <w:ind w:firstLine="480" w:firstLineChars="200"/>
        <w:jc w:val="left"/>
        <w:rPr>
          <w:rFonts w:hint="eastAsia" w:ascii="宋体" w:hAnsi="宋体"/>
          <w:color w:val="auto"/>
          <w:sz w:val="24"/>
        </w:rPr>
      </w:pPr>
      <w:r>
        <w:rPr>
          <w:rFonts w:hint="eastAsia" w:ascii="宋体" w:hAnsi="宋体" w:eastAsia="宋体" w:cs="宋体"/>
          <w:b w:val="0"/>
          <w:bCs w:val="0"/>
          <w:color w:val="auto"/>
          <w:sz w:val="24"/>
          <w:szCs w:val="24"/>
          <w:lang w:val="en-US" w:eastAsia="zh-CN"/>
        </w:rPr>
        <w:t>全市共有乡村旅游资源</w:t>
      </w:r>
      <w:r>
        <w:rPr>
          <w:rFonts w:hint="eastAsia"/>
          <w:b w:val="0"/>
          <w:bCs w:val="0"/>
          <w:color w:val="auto"/>
          <w:sz w:val="24"/>
          <w:szCs w:val="24"/>
          <w:lang w:val="en-US" w:eastAsia="zh-CN"/>
        </w:rPr>
        <w:t>4525处，占资源总量的37.68%。</w:t>
      </w:r>
      <w:r>
        <w:rPr>
          <w:rFonts w:hint="eastAsia" w:ascii="宋体" w:hAnsi="宋体"/>
          <w:color w:val="auto"/>
          <w:sz w:val="24"/>
        </w:rPr>
        <w:t>分属于全</w:t>
      </w:r>
      <w:r>
        <w:rPr>
          <w:rFonts w:hint="eastAsia" w:ascii="宋体" w:hAnsi="宋体"/>
          <w:color w:val="auto"/>
          <w:sz w:val="24"/>
          <w:lang w:val="en-US" w:eastAsia="zh-CN"/>
        </w:rPr>
        <w:t>市</w:t>
      </w:r>
      <w:r>
        <w:rPr>
          <w:rFonts w:hint="eastAsia" w:ascii="宋体" w:hAnsi="宋体"/>
          <w:color w:val="auto"/>
          <w:sz w:val="24"/>
        </w:rPr>
        <w:t>1</w:t>
      </w:r>
      <w:r>
        <w:rPr>
          <w:rFonts w:hint="eastAsia" w:ascii="宋体" w:hAnsi="宋体"/>
          <w:color w:val="auto"/>
          <w:sz w:val="24"/>
          <w:lang w:val="en-US" w:eastAsia="zh-CN"/>
        </w:rPr>
        <w:t>0</w:t>
      </w:r>
      <w:r>
        <w:rPr>
          <w:rFonts w:hint="eastAsia" w:ascii="宋体" w:hAnsi="宋体"/>
          <w:color w:val="auto"/>
          <w:sz w:val="24"/>
        </w:rPr>
        <w:t>个</w:t>
      </w:r>
      <w:r>
        <w:rPr>
          <w:rFonts w:hint="eastAsia" w:ascii="宋体" w:hAnsi="宋体"/>
          <w:color w:val="auto"/>
          <w:sz w:val="24"/>
          <w:lang w:val="en-US" w:eastAsia="zh-CN"/>
        </w:rPr>
        <w:t>县（市、区）</w:t>
      </w:r>
      <w:r>
        <w:rPr>
          <w:rFonts w:hint="eastAsia" w:ascii="宋体" w:hAnsi="宋体"/>
          <w:color w:val="auto"/>
          <w:sz w:val="24"/>
        </w:rPr>
        <w:t>，</w:t>
      </w:r>
      <w:r>
        <w:rPr>
          <w:rFonts w:hint="eastAsia" w:ascii="宋体" w:hAnsi="宋体"/>
          <w:color w:val="auto"/>
          <w:sz w:val="24"/>
          <w:lang w:val="en-US" w:eastAsia="zh-CN"/>
        </w:rPr>
        <w:t>其中，修武县1122处，博爱县858处，温县626处、沁阳市472处，武陟县443处、孟州400处，中站区256处、马村区202处、山阳区129处、解放区17处，</w:t>
      </w:r>
      <w:r>
        <w:rPr>
          <w:rFonts w:hint="eastAsia" w:ascii="宋体" w:hAnsi="宋体"/>
          <w:color w:val="auto"/>
          <w:sz w:val="24"/>
        </w:rPr>
        <w:t>见图4-</w:t>
      </w:r>
      <w:r>
        <w:rPr>
          <w:rFonts w:hint="eastAsia" w:ascii="宋体" w:hAnsi="宋体"/>
          <w:color w:val="auto"/>
          <w:sz w:val="24"/>
          <w:lang w:val="en-US" w:eastAsia="zh-CN"/>
        </w:rPr>
        <w:t>24</w:t>
      </w:r>
      <w:r>
        <w:rPr>
          <w:rFonts w:hint="eastAsia" w:ascii="宋体" w:hAnsi="宋体"/>
          <w:color w:val="auto"/>
          <w:sz w:val="24"/>
        </w:rPr>
        <w:t>。</w:t>
      </w:r>
    </w:p>
    <w:p w14:paraId="66221707">
      <w:pPr>
        <w:spacing w:line="360" w:lineRule="auto"/>
        <w:ind w:firstLine="420" w:firstLineChars="200"/>
        <w:jc w:val="left"/>
        <w:rPr>
          <w:rFonts w:hint="eastAsia" w:ascii="宋体" w:hAnsi="宋体"/>
          <w:color w:val="auto"/>
          <w:sz w:val="24"/>
        </w:rPr>
      </w:pPr>
      <w:r>
        <w:rPr>
          <w:color w:val="auto"/>
        </w:rPr>
        <w:drawing>
          <wp:inline distT="0" distB="0" distL="114300" distR="114300">
            <wp:extent cx="4826000" cy="2743200"/>
            <wp:effectExtent l="4445" t="4445" r="8255" b="14605"/>
            <wp:docPr id="2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3C8D9CBD">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图4-24  乡村旅游资源地区分布图</w:t>
      </w:r>
    </w:p>
    <w:p w14:paraId="4D02BC0B">
      <w:pPr>
        <w:spacing w:line="360" w:lineRule="auto"/>
        <w:ind w:firstLine="480" w:firstLineChars="200"/>
        <w:jc w:val="left"/>
        <w:rPr>
          <w:rFonts w:hint="default" w:ascii="宋体" w:hAnsi="宋体" w:eastAsia="宋体" w:cs="宋体"/>
          <w:b w:val="0"/>
          <w:bCs w:val="0"/>
          <w:color w:val="auto"/>
          <w:sz w:val="24"/>
          <w:szCs w:val="24"/>
          <w:lang w:val="en-US" w:eastAsia="zh-CN"/>
        </w:rPr>
      </w:pPr>
      <w:r>
        <w:rPr>
          <w:rFonts w:hint="eastAsia" w:ascii="宋体" w:hAnsi="宋体"/>
          <w:color w:val="auto"/>
          <w:sz w:val="24"/>
        </w:rPr>
        <w:t>由图4-</w:t>
      </w:r>
      <w:r>
        <w:rPr>
          <w:rFonts w:hint="eastAsia" w:ascii="宋体" w:hAnsi="宋体"/>
          <w:color w:val="auto"/>
          <w:sz w:val="24"/>
          <w:lang w:val="en-US" w:eastAsia="zh-CN"/>
        </w:rPr>
        <w:t>24</w:t>
      </w:r>
      <w:r>
        <w:rPr>
          <w:rFonts w:hint="eastAsia" w:ascii="宋体" w:hAnsi="宋体"/>
          <w:color w:val="auto"/>
          <w:sz w:val="24"/>
        </w:rPr>
        <w:t>可以看出，</w:t>
      </w:r>
      <w:r>
        <w:rPr>
          <w:rFonts w:hint="eastAsia" w:ascii="宋体" w:hAnsi="宋体"/>
          <w:color w:val="auto"/>
          <w:sz w:val="24"/>
          <w:lang w:val="en-US" w:eastAsia="zh-CN"/>
        </w:rPr>
        <w:t>乡村旅游</w:t>
      </w:r>
      <w:r>
        <w:rPr>
          <w:rFonts w:hint="eastAsia" w:ascii="宋体" w:hAnsi="宋体"/>
          <w:color w:val="auto"/>
          <w:sz w:val="24"/>
        </w:rPr>
        <w:t>资源单体地理空间分布相对较多的是</w:t>
      </w:r>
      <w:r>
        <w:rPr>
          <w:rFonts w:hint="eastAsia" w:ascii="宋体" w:hAnsi="宋体"/>
          <w:color w:val="auto"/>
          <w:sz w:val="24"/>
          <w:lang w:val="en-US" w:eastAsia="zh-CN"/>
        </w:rPr>
        <w:t>修武县</w:t>
      </w:r>
      <w:r>
        <w:rPr>
          <w:rFonts w:hint="eastAsia" w:ascii="宋体" w:hAnsi="宋体"/>
          <w:color w:val="auto"/>
          <w:sz w:val="24"/>
        </w:rPr>
        <w:t>、</w:t>
      </w:r>
      <w:r>
        <w:rPr>
          <w:rFonts w:hint="eastAsia" w:ascii="宋体" w:hAnsi="宋体"/>
          <w:color w:val="auto"/>
          <w:sz w:val="24"/>
          <w:lang w:val="en-US" w:eastAsia="zh-CN"/>
        </w:rPr>
        <w:t>博爱县</w:t>
      </w:r>
      <w:r>
        <w:rPr>
          <w:rFonts w:hint="eastAsia" w:ascii="宋体" w:hAnsi="宋体"/>
          <w:color w:val="auto"/>
          <w:sz w:val="24"/>
        </w:rPr>
        <w:t>和</w:t>
      </w:r>
      <w:r>
        <w:rPr>
          <w:rFonts w:hint="eastAsia" w:ascii="宋体" w:hAnsi="宋体"/>
          <w:color w:val="auto"/>
          <w:sz w:val="24"/>
          <w:lang w:val="en-US" w:eastAsia="zh-CN"/>
        </w:rPr>
        <w:t>温县</w:t>
      </w:r>
      <w:r>
        <w:rPr>
          <w:rFonts w:hint="eastAsia" w:ascii="宋体" w:hAnsi="宋体"/>
          <w:color w:val="auto"/>
          <w:sz w:val="24"/>
        </w:rPr>
        <w:t>，较少的有</w:t>
      </w:r>
      <w:r>
        <w:rPr>
          <w:rFonts w:hint="eastAsia" w:ascii="宋体" w:hAnsi="宋体"/>
          <w:color w:val="auto"/>
          <w:sz w:val="24"/>
          <w:lang w:val="en-US" w:eastAsia="zh-CN"/>
        </w:rPr>
        <w:t>解放区、山阳区和马村区</w:t>
      </w:r>
      <w:r>
        <w:rPr>
          <w:rFonts w:hint="eastAsia" w:ascii="宋体" w:hAnsi="宋体"/>
          <w:color w:val="auto"/>
          <w:sz w:val="24"/>
        </w:rPr>
        <w:t>，其他</w:t>
      </w:r>
      <w:r>
        <w:rPr>
          <w:rFonts w:hint="eastAsia" w:ascii="宋体" w:hAnsi="宋体"/>
          <w:color w:val="auto"/>
          <w:sz w:val="24"/>
          <w:lang w:val="en-US" w:eastAsia="zh-CN"/>
        </w:rPr>
        <w:t>县（</w:t>
      </w:r>
      <w:r>
        <w:rPr>
          <w:rFonts w:hint="eastAsia" w:ascii="宋体" w:hAnsi="宋体"/>
          <w:color w:val="auto"/>
          <w:sz w:val="24"/>
        </w:rPr>
        <w:t>市</w:t>
      </w:r>
      <w:r>
        <w:rPr>
          <w:rFonts w:hint="eastAsia" w:ascii="宋体" w:hAnsi="宋体"/>
          <w:color w:val="auto"/>
          <w:sz w:val="24"/>
          <w:lang w:eastAsia="zh-CN"/>
        </w:rPr>
        <w:t>、</w:t>
      </w:r>
      <w:r>
        <w:rPr>
          <w:rFonts w:hint="eastAsia" w:ascii="宋体" w:hAnsi="宋体"/>
          <w:color w:val="auto"/>
          <w:sz w:val="24"/>
        </w:rPr>
        <w:t>区</w:t>
      </w:r>
      <w:r>
        <w:rPr>
          <w:rFonts w:hint="eastAsia" w:ascii="宋体" w:hAnsi="宋体"/>
          <w:color w:val="auto"/>
          <w:sz w:val="24"/>
          <w:lang w:val="en-US" w:eastAsia="zh-CN"/>
        </w:rPr>
        <w:t>）乡村旅游</w:t>
      </w:r>
      <w:r>
        <w:rPr>
          <w:rFonts w:hint="eastAsia" w:ascii="宋体" w:hAnsi="宋体"/>
          <w:color w:val="auto"/>
          <w:sz w:val="24"/>
        </w:rPr>
        <w:t>资源单体分布位居中间。</w:t>
      </w:r>
      <w:r>
        <w:rPr>
          <w:rFonts w:hint="eastAsia" w:ascii="宋体" w:hAnsi="宋体"/>
          <w:color w:val="auto"/>
          <w:sz w:val="24"/>
          <w:lang w:val="en-US" w:eastAsia="zh-CN"/>
        </w:rPr>
        <w:t>符合各</w:t>
      </w:r>
      <w:r>
        <w:rPr>
          <w:rFonts w:hint="eastAsia" w:ascii="宋体" w:hAnsi="宋体" w:eastAsia="宋体" w:cs="Times New Roman"/>
          <w:color w:val="auto"/>
          <w:sz w:val="24"/>
          <w:lang w:val="en-US" w:eastAsia="zh-CN"/>
        </w:rPr>
        <w:t>区县实际情况，修武县主要有云台山、西村乡长岭村，博爱有许良镇西赶张、下伏头等传统村落等，</w:t>
      </w:r>
      <w:r>
        <w:rPr>
          <w:rFonts w:hint="eastAsia" w:ascii="宋体" w:hAnsi="宋体" w:cs="Times New Roman"/>
          <w:color w:val="auto"/>
          <w:sz w:val="24"/>
          <w:lang w:val="en-US" w:eastAsia="zh-CN"/>
        </w:rPr>
        <w:t>乡村</w:t>
      </w:r>
      <w:r>
        <w:rPr>
          <w:rFonts w:hint="eastAsia" w:ascii="宋体" w:hAnsi="宋体" w:eastAsia="宋体" w:cs="Times New Roman"/>
          <w:color w:val="auto"/>
          <w:sz w:val="24"/>
          <w:lang w:val="en-US" w:eastAsia="zh-CN"/>
        </w:rPr>
        <w:t>旅游资源较为丰富。</w:t>
      </w:r>
    </w:p>
    <w:p w14:paraId="212B6C2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9"/>
        <w:rPr>
          <w:rFonts w:hint="default" w:ascii="宋体" w:hAnsi="宋体" w:cs="宋体"/>
          <w:b/>
          <w:bCs/>
          <w:color w:val="auto"/>
          <w:sz w:val="28"/>
          <w:szCs w:val="28"/>
          <w:lang w:val="en-US" w:eastAsia="zh-CN"/>
        </w:rPr>
      </w:pPr>
      <w:r>
        <w:rPr>
          <w:rFonts w:hint="eastAsia" w:ascii="宋体" w:hAnsi="宋体" w:eastAsia="宋体" w:cs="宋体"/>
          <w:b/>
          <w:bCs/>
          <w:color w:val="auto"/>
          <w:sz w:val="28"/>
          <w:szCs w:val="28"/>
          <w:lang w:val="en-US" w:eastAsia="zh-CN"/>
        </w:rPr>
        <w:t xml:space="preserve"> 三、红色文化旅游资源</w:t>
      </w:r>
      <w:r>
        <w:rPr>
          <w:rFonts w:hint="eastAsia" w:ascii="宋体" w:hAnsi="宋体" w:cs="宋体"/>
          <w:b/>
          <w:bCs/>
          <w:color w:val="auto"/>
          <w:sz w:val="28"/>
          <w:szCs w:val="28"/>
          <w:lang w:val="en-US" w:eastAsia="zh-CN"/>
        </w:rPr>
        <w:t>组合</w:t>
      </w:r>
    </w:p>
    <w:p w14:paraId="6DD9A27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eastAsia="宋体" w:cs="宋体"/>
          <w:b w:val="0"/>
          <w:bCs w:val="0"/>
          <w:color w:val="auto"/>
          <w:sz w:val="24"/>
          <w:szCs w:val="24"/>
          <w:lang w:val="en-US" w:eastAsia="zh-CN"/>
        </w:rPr>
      </w:pPr>
      <w:r>
        <w:rPr>
          <w:rFonts w:hint="default" w:ascii="宋体" w:hAnsi="宋体" w:eastAsia="宋体" w:cs="宋体"/>
          <w:b w:val="0"/>
          <w:bCs w:val="0"/>
          <w:color w:val="auto"/>
          <w:sz w:val="24"/>
          <w:szCs w:val="24"/>
          <w:lang w:val="en-US" w:eastAsia="zh-CN"/>
        </w:rPr>
        <w:t>红色文化旅游资源是中国共产党领导人民在革命、建设</w:t>
      </w:r>
      <w:r>
        <w:rPr>
          <w:rFonts w:hint="eastAsia" w:ascii="宋体" w:hAnsi="宋体" w:cs="宋体"/>
          <w:b w:val="0"/>
          <w:bCs w:val="0"/>
          <w:color w:val="auto"/>
          <w:sz w:val="24"/>
          <w:szCs w:val="24"/>
          <w:lang w:val="en-US" w:eastAsia="zh-CN"/>
        </w:rPr>
        <w:t>、</w:t>
      </w:r>
      <w:r>
        <w:rPr>
          <w:rFonts w:hint="default" w:ascii="宋体" w:hAnsi="宋体" w:eastAsia="宋体" w:cs="宋体"/>
          <w:b w:val="0"/>
          <w:bCs w:val="0"/>
          <w:color w:val="auto"/>
          <w:sz w:val="24"/>
          <w:szCs w:val="24"/>
          <w:lang w:val="en-US" w:eastAsia="zh-CN"/>
        </w:rPr>
        <w:t>改革时期形成的，承载着爱国主义、革命传统和社会主义核心价值观的各类资源总和，其界定需满足以下核心要素：以革命遗址、纪念场馆、英雄人物故里等物质载体为基础，融合革命精神、历史记忆等非物质内涵，具有历史见证、教育启迪与旅游吸引的复合价值。从分类维度看，其涵盖五大类型：一是伟人故里；二是革命历史遗址遗迹，记录着重大历史事件与斗争历程；三是纪念场馆，通过文物陈列与场景还原传递历史信息；四是革命非物质文化遗产，反映社会人类学文化遗产；五是红色主题公园与综合体，融合游览、教育、娱乐多功能于一体。</w:t>
      </w:r>
    </w:p>
    <w:p w14:paraId="5375ADED">
      <w:pPr>
        <w:spacing w:line="360" w:lineRule="auto"/>
        <w:ind w:firstLine="480" w:firstLineChars="200"/>
        <w:jc w:val="left"/>
        <w:rPr>
          <w:rFonts w:hint="eastAsia" w:ascii="宋体" w:hAnsi="宋体"/>
          <w:color w:val="auto"/>
          <w:sz w:val="24"/>
        </w:rPr>
      </w:pPr>
      <w:r>
        <w:rPr>
          <w:rFonts w:hint="eastAsia" w:ascii="宋体" w:hAnsi="宋体" w:eastAsia="宋体" w:cs="宋体"/>
          <w:b w:val="0"/>
          <w:bCs w:val="0"/>
          <w:color w:val="auto"/>
          <w:sz w:val="24"/>
          <w:szCs w:val="24"/>
          <w:lang w:val="en-US" w:eastAsia="zh-CN"/>
        </w:rPr>
        <w:t>全市共有红色旅游资源</w:t>
      </w:r>
      <w:r>
        <w:rPr>
          <w:rFonts w:hint="eastAsia"/>
          <w:b w:val="0"/>
          <w:bCs w:val="0"/>
          <w:color w:val="auto"/>
          <w:sz w:val="24"/>
          <w:szCs w:val="24"/>
          <w:lang w:val="en-US" w:eastAsia="zh-CN"/>
        </w:rPr>
        <w:t>408处，占资源总量的3.40%。</w:t>
      </w:r>
      <w:r>
        <w:rPr>
          <w:rFonts w:hint="eastAsia" w:ascii="宋体" w:hAnsi="宋体"/>
          <w:color w:val="auto"/>
          <w:sz w:val="24"/>
        </w:rPr>
        <w:t>分属于全</w:t>
      </w:r>
      <w:r>
        <w:rPr>
          <w:rFonts w:hint="eastAsia" w:ascii="宋体" w:hAnsi="宋体"/>
          <w:color w:val="auto"/>
          <w:sz w:val="24"/>
          <w:lang w:val="en-US" w:eastAsia="zh-CN"/>
        </w:rPr>
        <w:t>市</w:t>
      </w:r>
      <w:r>
        <w:rPr>
          <w:rFonts w:hint="eastAsia" w:ascii="宋体" w:hAnsi="宋体"/>
          <w:color w:val="auto"/>
          <w:sz w:val="24"/>
        </w:rPr>
        <w:t>1</w:t>
      </w:r>
      <w:r>
        <w:rPr>
          <w:rFonts w:hint="eastAsia" w:ascii="宋体" w:hAnsi="宋体"/>
          <w:color w:val="auto"/>
          <w:sz w:val="24"/>
          <w:lang w:val="en-US" w:eastAsia="zh-CN"/>
        </w:rPr>
        <w:t>0</w:t>
      </w:r>
      <w:r>
        <w:rPr>
          <w:rFonts w:hint="eastAsia" w:ascii="宋体" w:hAnsi="宋体"/>
          <w:color w:val="auto"/>
          <w:sz w:val="24"/>
        </w:rPr>
        <w:t>个</w:t>
      </w:r>
      <w:r>
        <w:rPr>
          <w:rFonts w:hint="eastAsia" w:ascii="宋体" w:hAnsi="宋体"/>
          <w:color w:val="auto"/>
          <w:sz w:val="24"/>
          <w:lang w:val="en-US" w:eastAsia="zh-CN"/>
        </w:rPr>
        <w:t>县（市、区）</w:t>
      </w:r>
      <w:r>
        <w:rPr>
          <w:rFonts w:hint="eastAsia" w:ascii="宋体" w:hAnsi="宋体"/>
          <w:color w:val="auto"/>
          <w:sz w:val="24"/>
        </w:rPr>
        <w:t>，</w:t>
      </w:r>
      <w:r>
        <w:rPr>
          <w:rFonts w:hint="eastAsia" w:ascii="宋体" w:hAnsi="宋体"/>
          <w:color w:val="auto"/>
          <w:sz w:val="24"/>
          <w:lang w:val="en-US" w:eastAsia="zh-CN"/>
        </w:rPr>
        <w:t>其中，博爱县77处、解放区59处、中站区47处、温县44处、武陟县42处、沁阳市36处、山阳区34处、马村区30处、修武县27处、孟州12处，</w:t>
      </w:r>
      <w:r>
        <w:rPr>
          <w:rFonts w:hint="eastAsia" w:ascii="宋体" w:hAnsi="宋体"/>
          <w:color w:val="auto"/>
          <w:sz w:val="24"/>
        </w:rPr>
        <w:t>见图4-</w:t>
      </w:r>
      <w:r>
        <w:rPr>
          <w:rFonts w:hint="eastAsia" w:ascii="宋体" w:hAnsi="宋体"/>
          <w:color w:val="auto"/>
          <w:sz w:val="24"/>
          <w:lang w:val="en-US" w:eastAsia="zh-CN"/>
        </w:rPr>
        <w:t>25</w:t>
      </w:r>
      <w:r>
        <w:rPr>
          <w:rFonts w:hint="eastAsia" w:ascii="宋体" w:hAnsi="宋体"/>
          <w:color w:val="auto"/>
          <w:sz w:val="24"/>
        </w:rPr>
        <w:t>。</w:t>
      </w:r>
    </w:p>
    <w:p w14:paraId="2F55745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outlineLvl w:val="9"/>
        <w:rPr>
          <w:color w:val="auto"/>
        </w:rPr>
      </w:pPr>
      <w:r>
        <w:rPr>
          <w:color w:val="auto"/>
        </w:rPr>
        <w:drawing>
          <wp:inline distT="0" distB="0" distL="114300" distR="114300">
            <wp:extent cx="4826000" cy="2743200"/>
            <wp:effectExtent l="4445" t="4445" r="8255" b="14605"/>
            <wp:docPr id="2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7F0249DC">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图4-25  红色旅游资源地区分布图</w:t>
      </w:r>
    </w:p>
    <w:p w14:paraId="4E082D3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160" w:firstLineChars="900"/>
        <w:jc w:val="both"/>
        <w:textAlignment w:val="auto"/>
        <w:outlineLvl w:val="9"/>
        <w:rPr>
          <w:rStyle w:val="18"/>
          <w:rFonts w:hint="eastAsia" w:asciiTheme="minorEastAsia" w:hAnsiTheme="minorEastAsia" w:eastAsiaTheme="minorEastAsia" w:cstheme="minorEastAsia"/>
          <w:b w:val="0"/>
          <w:bCs w:val="0"/>
          <w:i w:val="0"/>
          <w:iCs w:val="0"/>
          <w:caps w:val="0"/>
          <w:color w:val="auto"/>
          <w:spacing w:val="0"/>
          <w:sz w:val="24"/>
          <w:szCs w:val="24"/>
          <w:shd w:val="clear" w:color="auto" w:fill="FFFFFF"/>
          <w:lang w:val="en-US" w:eastAsia="zh-CN"/>
        </w:rPr>
      </w:pPr>
    </w:p>
    <w:p w14:paraId="4883B75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主要有各地区的烈士陵园，此外还有</w:t>
      </w:r>
      <w:r>
        <w:rPr>
          <w:rFonts w:hint="eastAsia" w:ascii="宋体" w:hAnsi="宋体" w:cs="宋体"/>
          <w:b w:val="0"/>
          <w:bCs w:val="0"/>
          <w:color w:val="auto"/>
          <w:sz w:val="24"/>
          <w:szCs w:val="24"/>
          <w:lang w:val="en-US" w:eastAsia="zh-CN"/>
        </w:rPr>
        <w:t>武陟县</w:t>
      </w:r>
      <w:r>
        <w:rPr>
          <w:rFonts w:hint="default" w:ascii="宋体" w:hAnsi="宋体" w:eastAsia="宋体" w:cs="宋体"/>
          <w:b w:val="0"/>
          <w:bCs w:val="0"/>
          <w:color w:val="auto"/>
          <w:sz w:val="24"/>
          <w:szCs w:val="24"/>
          <w:lang w:val="en-US" w:eastAsia="zh-CN"/>
        </w:rPr>
        <w:t>抗日民主政府和武陟县民主政府</w:t>
      </w:r>
      <w:r>
        <w:rPr>
          <w:rFonts w:hint="eastAsia" w:ascii="宋体" w:hAnsi="宋体" w:eastAsia="宋体" w:cs="宋体"/>
          <w:b w:val="0"/>
          <w:bCs w:val="0"/>
          <w:color w:val="auto"/>
          <w:sz w:val="24"/>
          <w:szCs w:val="24"/>
          <w:lang w:val="en-US" w:eastAsia="zh-CN"/>
        </w:rPr>
        <w:t>、</w:t>
      </w:r>
      <w:r>
        <w:rPr>
          <w:rFonts w:hint="default" w:ascii="宋体" w:hAnsi="宋体" w:eastAsia="宋体" w:cs="宋体"/>
          <w:b w:val="0"/>
          <w:bCs w:val="0"/>
          <w:color w:val="auto"/>
          <w:sz w:val="24"/>
          <w:szCs w:val="24"/>
          <w:lang w:val="en-US" w:eastAsia="zh-CN"/>
        </w:rPr>
        <w:t>武陟</w:t>
      </w:r>
      <w:r>
        <w:rPr>
          <w:rFonts w:hint="eastAsia" w:ascii="宋体" w:hAnsi="宋体" w:eastAsia="宋体" w:cs="宋体"/>
          <w:b w:val="0"/>
          <w:bCs w:val="0"/>
          <w:color w:val="auto"/>
          <w:sz w:val="24"/>
          <w:szCs w:val="24"/>
          <w:lang w:val="en-US" w:eastAsia="zh-CN"/>
        </w:rPr>
        <w:t>人民胜利渠、解放区焦作煤矿工人大罢工，中站西大井，博爱许湾村、柏山村，沁阳宋学义故居、杨介人故居等。</w:t>
      </w:r>
    </w:p>
    <w:p w14:paraId="24FE6A9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100"/>
        <w:jc w:val="both"/>
        <w:textAlignment w:val="auto"/>
        <w:outlineLvl w:val="2"/>
        <w:rPr>
          <w:rFonts w:hint="default" w:ascii="宋体" w:hAnsi="宋体" w:cs="宋体"/>
          <w:b/>
          <w:bCs/>
          <w:color w:val="auto"/>
          <w:sz w:val="28"/>
          <w:szCs w:val="28"/>
          <w:lang w:val="en-US" w:eastAsia="zh-CN"/>
        </w:rPr>
      </w:pPr>
      <w:bookmarkStart w:id="92" w:name="_Toc18571"/>
      <w:r>
        <w:rPr>
          <w:rFonts w:hint="eastAsia" w:ascii="宋体" w:hAnsi="宋体" w:cs="宋体"/>
          <w:b/>
          <w:bCs/>
          <w:color w:val="auto"/>
          <w:sz w:val="28"/>
          <w:szCs w:val="28"/>
          <w:lang w:val="en-US" w:eastAsia="zh-CN"/>
        </w:rPr>
        <w:t>四、工业旅游资源组合</w:t>
      </w:r>
      <w:bookmarkEnd w:id="92"/>
    </w:p>
    <w:p w14:paraId="495B108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100"/>
        <w:jc w:val="both"/>
        <w:textAlignment w:val="auto"/>
        <w:outlineLvl w:val="9"/>
        <w:rPr>
          <w:rFonts w:hint="default" w:ascii="宋体" w:hAnsi="宋体" w:eastAsia="宋体" w:cs="宋体"/>
          <w:b w:val="0"/>
          <w:bCs w:val="0"/>
          <w:color w:val="auto"/>
          <w:sz w:val="24"/>
          <w:szCs w:val="24"/>
          <w:lang w:val="en-US" w:eastAsia="zh-CN"/>
        </w:rPr>
      </w:pPr>
      <w:r>
        <w:rPr>
          <w:rFonts w:hint="eastAsia" w:ascii="宋体" w:hAnsi="宋体" w:cs="宋体"/>
          <w:b/>
          <w:bCs/>
          <w:color w:val="auto"/>
          <w:sz w:val="28"/>
          <w:szCs w:val="28"/>
          <w:lang w:val="en-US" w:eastAsia="zh-CN"/>
        </w:rPr>
        <w:t xml:space="preserve"> </w:t>
      </w:r>
      <w:r>
        <w:rPr>
          <w:rFonts w:hint="eastAsia" w:ascii="宋体" w:hAnsi="宋体" w:eastAsia="宋体" w:cs="宋体"/>
          <w:b w:val="0"/>
          <w:bCs w:val="0"/>
          <w:color w:val="auto"/>
          <w:sz w:val="24"/>
          <w:szCs w:val="24"/>
          <w:lang w:val="en-US" w:eastAsia="zh-CN"/>
        </w:rPr>
        <w:t xml:space="preserve"> </w:t>
      </w:r>
      <w:r>
        <w:rPr>
          <w:rFonts w:hint="default" w:ascii="宋体" w:hAnsi="宋体" w:eastAsia="宋体" w:cs="宋体"/>
          <w:b w:val="0"/>
          <w:bCs w:val="0"/>
          <w:color w:val="auto"/>
          <w:sz w:val="24"/>
          <w:szCs w:val="24"/>
          <w:lang w:val="en-US" w:eastAsia="zh-CN"/>
        </w:rPr>
        <w:t>工业旅游资源是以工业生产过程、工厂风貌、工人工作生活场景为核心吸引物，兼具观光、教育、科普功能的人文旅游资源。其界定需满足三大核心要素：以工业遗产、现代工厂、生产工艺等为物质载体，体现工业文明的历史价值与科技内涵；具备知识性、参与性、文化性等特征，能够满足游客求知、审美、体验等需求；同时具有旅游吸引力与经济价值，可通过开发实现产业融合与可持续发展。</w:t>
      </w:r>
    </w:p>
    <w:p w14:paraId="614CDE64">
      <w:pPr>
        <w:spacing w:line="360" w:lineRule="auto"/>
        <w:ind w:firstLine="480" w:firstLineChars="200"/>
        <w:jc w:val="left"/>
        <w:rPr>
          <w:rFonts w:hint="eastAsia" w:ascii="宋体" w:hAnsi="宋体"/>
          <w:color w:val="auto"/>
          <w:sz w:val="24"/>
        </w:rPr>
      </w:pPr>
      <w:r>
        <w:rPr>
          <w:rFonts w:hint="eastAsia" w:ascii="宋体" w:hAnsi="宋体" w:eastAsia="宋体" w:cs="宋体"/>
          <w:b w:val="0"/>
          <w:bCs w:val="0"/>
          <w:color w:val="auto"/>
          <w:sz w:val="24"/>
          <w:szCs w:val="24"/>
          <w:lang w:val="en-US" w:eastAsia="zh-CN"/>
        </w:rPr>
        <w:t>全市共有工业旅游资源</w:t>
      </w:r>
      <w:r>
        <w:rPr>
          <w:rFonts w:hint="eastAsia"/>
          <w:b w:val="0"/>
          <w:bCs w:val="0"/>
          <w:color w:val="auto"/>
          <w:sz w:val="24"/>
          <w:szCs w:val="24"/>
          <w:lang w:val="en-US" w:eastAsia="zh-CN"/>
        </w:rPr>
        <w:t>190处，占资源总量的1.58%。</w:t>
      </w:r>
      <w:r>
        <w:rPr>
          <w:rFonts w:hint="eastAsia" w:ascii="宋体" w:hAnsi="宋体"/>
          <w:color w:val="auto"/>
          <w:sz w:val="24"/>
        </w:rPr>
        <w:t>分属于全</w:t>
      </w:r>
      <w:r>
        <w:rPr>
          <w:rFonts w:hint="eastAsia" w:ascii="宋体" w:hAnsi="宋体"/>
          <w:color w:val="auto"/>
          <w:sz w:val="24"/>
          <w:lang w:val="en-US" w:eastAsia="zh-CN"/>
        </w:rPr>
        <w:t>市</w:t>
      </w:r>
      <w:r>
        <w:rPr>
          <w:rFonts w:hint="eastAsia" w:ascii="宋体" w:hAnsi="宋体"/>
          <w:color w:val="auto"/>
          <w:sz w:val="24"/>
        </w:rPr>
        <w:t>1</w:t>
      </w:r>
      <w:r>
        <w:rPr>
          <w:rFonts w:hint="eastAsia" w:ascii="宋体" w:hAnsi="宋体"/>
          <w:color w:val="auto"/>
          <w:sz w:val="24"/>
          <w:lang w:val="en-US" w:eastAsia="zh-CN"/>
        </w:rPr>
        <w:t>0</w:t>
      </w:r>
      <w:r>
        <w:rPr>
          <w:rFonts w:hint="eastAsia" w:ascii="宋体" w:hAnsi="宋体"/>
          <w:color w:val="auto"/>
          <w:sz w:val="24"/>
        </w:rPr>
        <w:t>个</w:t>
      </w:r>
      <w:r>
        <w:rPr>
          <w:rFonts w:hint="eastAsia" w:ascii="宋体" w:hAnsi="宋体"/>
          <w:color w:val="auto"/>
          <w:sz w:val="24"/>
          <w:lang w:val="en-US" w:eastAsia="zh-CN"/>
        </w:rPr>
        <w:t>县（市、区）</w:t>
      </w:r>
      <w:r>
        <w:rPr>
          <w:rFonts w:hint="eastAsia" w:ascii="宋体" w:hAnsi="宋体"/>
          <w:color w:val="auto"/>
          <w:sz w:val="24"/>
        </w:rPr>
        <w:t>，</w:t>
      </w:r>
      <w:r>
        <w:rPr>
          <w:rFonts w:hint="eastAsia" w:ascii="宋体" w:hAnsi="宋体"/>
          <w:color w:val="auto"/>
          <w:sz w:val="24"/>
          <w:lang w:val="en-US" w:eastAsia="zh-CN"/>
        </w:rPr>
        <w:t>其中，山阳区47处、温县和中站区各30处、武陟县28处、博爱县14处、解放区13处、沁阳市和马村区10处、修武县7处、孟州市1处，</w:t>
      </w:r>
      <w:r>
        <w:rPr>
          <w:rFonts w:hint="eastAsia" w:ascii="宋体" w:hAnsi="宋体"/>
          <w:color w:val="auto"/>
          <w:sz w:val="24"/>
        </w:rPr>
        <w:t>见图4-</w:t>
      </w:r>
      <w:r>
        <w:rPr>
          <w:rFonts w:hint="eastAsia" w:ascii="宋体" w:hAnsi="宋体"/>
          <w:color w:val="auto"/>
          <w:sz w:val="24"/>
          <w:lang w:val="en-US" w:eastAsia="zh-CN"/>
        </w:rPr>
        <w:t>26</w:t>
      </w:r>
      <w:r>
        <w:rPr>
          <w:rFonts w:hint="eastAsia" w:ascii="宋体" w:hAnsi="宋体"/>
          <w:color w:val="auto"/>
          <w:sz w:val="24"/>
        </w:rPr>
        <w:t>。</w:t>
      </w:r>
    </w:p>
    <w:p w14:paraId="39AADC5C">
      <w:pPr>
        <w:spacing w:line="360" w:lineRule="auto"/>
        <w:ind w:firstLine="420" w:firstLineChars="200"/>
        <w:jc w:val="left"/>
        <w:rPr>
          <w:color w:val="auto"/>
        </w:rPr>
      </w:pPr>
      <w:r>
        <w:rPr>
          <w:color w:val="auto"/>
        </w:rPr>
        <w:drawing>
          <wp:inline distT="0" distB="0" distL="114300" distR="114300">
            <wp:extent cx="4826000" cy="2743200"/>
            <wp:effectExtent l="4445" t="4445" r="8255" b="14605"/>
            <wp:docPr id="3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099AA9B2">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图4-26  工业旅游资源地区分布图</w:t>
      </w:r>
    </w:p>
    <w:p w14:paraId="6639EAF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主要有中站区西大井1919文旅景区，温县大咖国际、太极庄生物科技有限公司，解放区英福公司旧址、焦作老电厂，山阳区明仁天然药物有限公司、陶瓷工业园、焦作蒙牛乳业，武陟圣博中药产业园、西滑封斯美特食品有限公司，博爱丹河480电厂等。</w:t>
      </w:r>
    </w:p>
    <w:p w14:paraId="1C312E1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100"/>
        <w:jc w:val="both"/>
        <w:textAlignment w:val="auto"/>
        <w:outlineLvl w:val="2"/>
        <w:rPr>
          <w:rFonts w:hint="eastAsia" w:ascii="宋体" w:hAnsi="宋体" w:cs="宋体"/>
          <w:b/>
          <w:bCs/>
          <w:color w:val="auto"/>
          <w:sz w:val="28"/>
          <w:szCs w:val="28"/>
          <w:lang w:val="en-US" w:eastAsia="zh-CN"/>
        </w:rPr>
      </w:pPr>
      <w:bookmarkStart w:id="93" w:name="_Toc4955"/>
      <w:r>
        <w:rPr>
          <w:rFonts w:hint="eastAsia" w:ascii="宋体" w:hAnsi="宋体" w:cs="宋体"/>
          <w:b/>
          <w:bCs/>
          <w:color w:val="auto"/>
          <w:sz w:val="28"/>
          <w:szCs w:val="28"/>
          <w:lang w:val="en-US" w:eastAsia="zh-CN"/>
        </w:rPr>
        <w:t>五、康养旅游资源组合</w:t>
      </w:r>
      <w:bookmarkEnd w:id="93"/>
      <w:r>
        <w:rPr>
          <w:rFonts w:hint="eastAsia" w:ascii="宋体" w:hAnsi="宋体" w:cs="宋体"/>
          <w:b/>
          <w:bCs/>
          <w:color w:val="auto"/>
          <w:sz w:val="28"/>
          <w:szCs w:val="28"/>
          <w:lang w:val="en-US" w:eastAsia="zh-CN"/>
        </w:rPr>
        <w:t xml:space="preserve"> </w:t>
      </w:r>
    </w:p>
    <w:p w14:paraId="141F09A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eastAsia="宋体" w:cs="宋体"/>
          <w:b w:val="0"/>
          <w:bCs w:val="0"/>
          <w:color w:val="auto"/>
          <w:sz w:val="24"/>
          <w:szCs w:val="24"/>
          <w:lang w:val="en-US" w:eastAsia="zh-CN"/>
        </w:rPr>
      </w:pPr>
      <w:r>
        <w:rPr>
          <w:rFonts w:hint="default" w:ascii="宋体" w:hAnsi="宋体" w:eastAsia="宋体" w:cs="宋体"/>
          <w:b w:val="0"/>
          <w:bCs w:val="0"/>
          <w:color w:val="auto"/>
          <w:sz w:val="24"/>
          <w:szCs w:val="24"/>
          <w:lang w:val="en-US" w:eastAsia="zh-CN"/>
        </w:rPr>
        <w:t>康养旅游资源是以自然生态、人文环境、医疗设施等为基础，能够满足人们康体养生、健康疗养、休闲度假等需求的旅游资源总和。其界定需满足三大核心要素：以良好的生态环境、气候条件、温泉地热等自然资源，或中医药文化、民俗疗法等人文资源为依托；具备健康促进、疾病预防、康复疗养等功能，能够满足游客对身心健康的需求；同时具有旅游吸引力与经济价值，可通过开发实现产业融合与可持续发展。</w:t>
      </w:r>
    </w:p>
    <w:p w14:paraId="4C00344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eastAsia="宋体" w:cs="宋体"/>
          <w:b w:val="0"/>
          <w:bCs w:val="0"/>
          <w:color w:val="auto"/>
          <w:sz w:val="24"/>
          <w:szCs w:val="24"/>
          <w:lang w:val="en-US" w:eastAsia="zh-CN"/>
        </w:rPr>
      </w:pPr>
      <w:r>
        <w:rPr>
          <w:rFonts w:hint="default" w:ascii="宋体" w:hAnsi="宋体" w:eastAsia="宋体" w:cs="宋体"/>
          <w:b w:val="0"/>
          <w:bCs w:val="0"/>
          <w:color w:val="auto"/>
          <w:sz w:val="24"/>
          <w:szCs w:val="24"/>
          <w:lang w:val="en-US" w:eastAsia="zh-CN"/>
        </w:rPr>
        <w:t>从分类维度看，康养旅游资源涵盖多种类型。按资源类型划分，包括自然生态型，如森林、温泉、海滨等，提供清新空气与放松环境；人文景观型，如中医药博物馆、禅修院、道教名山等，融合传统养生文化；产业融合型，如温泉度假村、中医药健康产业园、医美小镇等，结合医疗、美容、体育等产业。按功能划分，则包括康体疗养类，如温泉疗养、中医药理疗；休闲度假类，如森林浴、海滨度假；健康管理类，如体检中心、康复医院；养生文化类，如禅修课程、太极培训。此外，还有气候康养、森林康养、温泉康养、中医药康养、运动康养等类型。</w:t>
      </w:r>
    </w:p>
    <w:p w14:paraId="2E4C2D8F">
      <w:pPr>
        <w:spacing w:line="360" w:lineRule="auto"/>
        <w:ind w:firstLine="480" w:firstLineChars="200"/>
        <w:jc w:val="left"/>
        <w:rPr>
          <w:rFonts w:hint="eastAsia" w:ascii="宋体" w:hAnsi="宋体"/>
          <w:color w:val="auto"/>
          <w:sz w:val="24"/>
        </w:rPr>
      </w:pPr>
      <w:r>
        <w:rPr>
          <w:rFonts w:hint="eastAsia" w:ascii="宋体" w:hAnsi="宋体" w:eastAsia="宋体" w:cs="宋体"/>
          <w:b w:val="0"/>
          <w:bCs w:val="0"/>
          <w:color w:val="auto"/>
          <w:sz w:val="24"/>
          <w:szCs w:val="24"/>
          <w:lang w:val="en-US" w:eastAsia="zh-CN"/>
        </w:rPr>
        <w:t>全市共有</w:t>
      </w:r>
      <w:r>
        <w:rPr>
          <w:rFonts w:hint="eastAsia" w:ascii="宋体" w:hAnsi="宋体" w:cs="宋体"/>
          <w:b w:val="0"/>
          <w:bCs w:val="0"/>
          <w:color w:val="auto"/>
          <w:sz w:val="24"/>
          <w:szCs w:val="24"/>
          <w:lang w:val="en-US" w:eastAsia="zh-CN"/>
        </w:rPr>
        <w:t>康养</w:t>
      </w:r>
      <w:r>
        <w:rPr>
          <w:rFonts w:hint="eastAsia" w:ascii="宋体" w:hAnsi="宋体" w:eastAsia="宋体" w:cs="宋体"/>
          <w:b w:val="0"/>
          <w:bCs w:val="0"/>
          <w:color w:val="auto"/>
          <w:sz w:val="24"/>
          <w:szCs w:val="24"/>
          <w:lang w:val="en-US" w:eastAsia="zh-CN"/>
        </w:rPr>
        <w:t>旅游资源</w:t>
      </w:r>
      <w:r>
        <w:rPr>
          <w:rFonts w:hint="eastAsia"/>
          <w:b w:val="0"/>
          <w:bCs w:val="0"/>
          <w:color w:val="auto"/>
          <w:sz w:val="24"/>
          <w:szCs w:val="24"/>
          <w:lang w:val="en-US" w:eastAsia="zh-CN"/>
        </w:rPr>
        <w:t>708处，占资源总量的6.06%。</w:t>
      </w:r>
      <w:r>
        <w:rPr>
          <w:rFonts w:hint="eastAsia" w:ascii="宋体" w:hAnsi="宋体"/>
          <w:color w:val="auto"/>
          <w:sz w:val="24"/>
        </w:rPr>
        <w:t>分属于全</w:t>
      </w:r>
      <w:r>
        <w:rPr>
          <w:rFonts w:hint="eastAsia" w:ascii="宋体" w:hAnsi="宋体"/>
          <w:color w:val="auto"/>
          <w:sz w:val="24"/>
          <w:lang w:val="en-US" w:eastAsia="zh-CN"/>
        </w:rPr>
        <w:t>市</w:t>
      </w:r>
      <w:r>
        <w:rPr>
          <w:rFonts w:hint="eastAsia" w:ascii="宋体" w:hAnsi="宋体"/>
          <w:color w:val="auto"/>
          <w:sz w:val="24"/>
        </w:rPr>
        <w:t>1</w:t>
      </w:r>
      <w:r>
        <w:rPr>
          <w:rFonts w:hint="eastAsia" w:ascii="宋体" w:hAnsi="宋体"/>
          <w:color w:val="auto"/>
          <w:sz w:val="24"/>
          <w:lang w:val="en-US" w:eastAsia="zh-CN"/>
        </w:rPr>
        <w:t>0</w:t>
      </w:r>
      <w:r>
        <w:rPr>
          <w:rFonts w:hint="eastAsia" w:ascii="宋体" w:hAnsi="宋体"/>
          <w:color w:val="auto"/>
          <w:sz w:val="24"/>
        </w:rPr>
        <w:t>个</w:t>
      </w:r>
      <w:r>
        <w:rPr>
          <w:rFonts w:hint="eastAsia" w:ascii="宋体" w:hAnsi="宋体"/>
          <w:color w:val="auto"/>
          <w:sz w:val="24"/>
          <w:lang w:val="en-US" w:eastAsia="zh-CN"/>
        </w:rPr>
        <w:t>县（市、区）</w:t>
      </w:r>
      <w:r>
        <w:rPr>
          <w:rFonts w:hint="eastAsia" w:ascii="宋体" w:hAnsi="宋体"/>
          <w:color w:val="auto"/>
          <w:sz w:val="24"/>
        </w:rPr>
        <w:t>，</w:t>
      </w:r>
      <w:r>
        <w:rPr>
          <w:rFonts w:hint="eastAsia" w:ascii="宋体" w:hAnsi="宋体"/>
          <w:color w:val="auto"/>
          <w:sz w:val="24"/>
          <w:lang w:val="en-US" w:eastAsia="zh-CN"/>
        </w:rPr>
        <w:t>其中，博爱县346处、温县194处、修武县41处、中站区33处、解放区28处、沁阳市27处、马村区14处、山阳区12处、武陟县7处、孟州6处，</w:t>
      </w:r>
      <w:r>
        <w:rPr>
          <w:rFonts w:hint="eastAsia" w:ascii="宋体" w:hAnsi="宋体"/>
          <w:color w:val="auto"/>
          <w:sz w:val="24"/>
        </w:rPr>
        <w:t>见图4-</w:t>
      </w:r>
      <w:r>
        <w:rPr>
          <w:rFonts w:hint="eastAsia" w:ascii="宋体" w:hAnsi="宋体"/>
          <w:color w:val="auto"/>
          <w:sz w:val="24"/>
          <w:lang w:val="en-US" w:eastAsia="zh-CN"/>
        </w:rPr>
        <w:t>27</w:t>
      </w:r>
      <w:r>
        <w:rPr>
          <w:rFonts w:hint="eastAsia" w:ascii="宋体" w:hAnsi="宋体"/>
          <w:color w:val="auto"/>
          <w:sz w:val="24"/>
        </w:rPr>
        <w:t>。</w:t>
      </w:r>
    </w:p>
    <w:p w14:paraId="08AED4C9">
      <w:pPr>
        <w:spacing w:line="360" w:lineRule="auto"/>
        <w:ind w:firstLine="420" w:firstLineChars="200"/>
        <w:jc w:val="left"/>
        <w:rPr>
          <w:color w:val="auto"/>
        </w:rPr>
      </w:pPr>
      <w:r>
        <w:rPr>
          <w:color w:val="auto"/>
        </w:rPr>
        <w:drawing>
          <wp:inline distT="0" distB="0" distL="114300" distR="114300">
            <wp:extent cx="4826000" cy="2743200"/>
            <wp:effectExtent l="4445" t="4445" r="8255" b="14605"/>
            <wp:docPr id="2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42F21E7B">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图4-27  康养旅游资源地区分布图</w:t>
      </w:r>
    </w:p>
    <w:p w14:paraId="22BF8B1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康养旅游资源中自然生态类的有修武云台山、一斗水传统村落，博爱青天河、靳家岭、丹河峡谷、博爱公园、李商隐文化园等，沁阳神农山，温县山药小镇，孟州老家莫沟等，人文景观类的有温县陈家沟太极拳，解放区的龙佰国际康养城、焦作云氏小儿化集散和针灸、四大怀药膳食等。</w:t>
      </w:r>
    </w:p>
    <w:p w14:paraId="1798662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100"/>
        <w:jc w:val="both"/>
        <w:textAlignment w:val="auto"/>
        <w:outlineLvl w:val="2"/>
        <w:rPr>
          <w:rFonts w:hint="eastAsia" w:ascii="宋体" w:hAnsi="宋体" w:cs="宋体"/>
          <w:b/>
          <w:bCs/>
          <w:color w:val="auto"/>
          <w:sz w:val="28"/>
          <w:szCs w:val="28"/>
          <w:lang w:val="en-US" w:eastAsia="zh-CN"/>
        </w:rPr>
      </w:pPr>
      <w:bookmarkStart w:id="94" w:name="_Toc15536"/>
      <w:r>
        <w:rPr>
          <w:rFonts w:hint="eastAsia" w:ascii="宋体" w:hAnsi="宋体" w:cs="宋体"/>
          <w:b/>
          <w:bCs/>
          <w:color w:val="auto"/>
          <w:sz w:val="28"/>
          <w:szCs w:val="28"/>
          <w:lang w:val="en-US" w:eastAsia="zh-CN"/>
        </w:rPr>
        <w:t>六、体育旅游资源组合</w:t>
      </w:r>
      <w:bookmarkEnd w:id="94"/>
      <w:r>
        <w:rPr>
          <w:rFonts w:hint="eastAsia" w:ascii="宋体" w:hAnsi="宋体" w:cs="宋体"/>
          <w:b/>
          <w:bCs/>
          <w:color w:val="auto"/>
          <w:sz w:val="28"/>
          <w:szCs w:val="28"/>
          <w:lang w:val="en-US" w:eastAsia="zh-CN"/>
        </w:rPr>
        <w:t xml:space="preserve"> </w:t>
      </w:r>
    </w:p>
    <w:p w14:paraId="22E72B7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体育旅游资源是以体育活动为核心，结合自然或人文景观，为游客提供参与、观赏或体验体育活动的旅游吸引物总和。其界定需满足三大核心要素：以自然地貌、体育场馆、赛事活动等为物质载体，体现体育竞技、健身休闲或文化传承的功能；具备参与性、观赏性、挑战性等特征，能够满足游客对运动体验、健康促进或文化认知的需求；同时具有旅游吸引力与经济价值，可通过开发实现产业融合与可持续发展。</w:t>
      </w:r>
    </w:p>
    <w:p w14:paraId="6653A35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从分类维度看，体育旅游资源涵盖多种类型。按资源类型划分，包括自然资源型，如山地、水域、沙漠等，提供徒步、滑雪、漂流、帆船等户外运动场景；人文设施型，如体育场馆、主题公园、健身步道等，满足专业训练与大众健身需求；赛事活动型，如奥运会、世界杯、马拉松等大型赛事，吸引全球观众与参与者；民俗体育型，如那达慕大会、龙舟赛、武术表演等，传承民族体育文化。按功能划分，则包括参与体验类，如攀岩、潜水、骑行；观赏竞技类，如足球比赛、F1赛车；健身养生类，如瑜伽修行、太极养生；文化教育类，如体育博物馆、奥林匹克公园。此外，还有极限运动型（如蹦极、跳伞）、休闲运动型（如高尔夫、温泉高尔夫）、传统体育型（如武术、摔跤）等细分类型。</w:t>
      </w:r>
    </w:p>
    <w:p w14:paraId="7BC4E766">
      <w:pPr>
        <w:spacing w:line="360" w:lineRule="auto"/>
        <w:ind w:firstLine="480" w:firstLineChars="200"/>
        <w:jc w:val="left"/>
        <w:rPr>
          <w:rFonts w:hint="eastAsia" w:ascii="宋体" w:hAnsi="宋体"/>
          <w:color w:val="auto"/>
          <w:sz w:val="24"/>
        </w:rPr>
      </w:pPr>
      <w:r>
        <w:rPr>
          <w:rFonts w:hint="eastAsia" w:ascii="宋体" w:hAnsi="宋体" w:eastAsia="宋体" w:cs="宋体"/>
          <w:b w:val="0"/>
          <w:bCs w:val="0"/>
          <w:color w:val="auto"/>
          <w:sz w:val="24"/>
          <w:szCs w:val="24"/>
          <w:lang w:val="en-US" w:eastAsia="zh-CN"/>
        </w:rPr>
        <w:t>全市共有</w:t>
      </w:r>
      <w:r>
        <w:rPr>
          <w:rFonts w:hint="eastAsia" w:ascii="宋体" w:hAnsi="宋体" w:cs="宋体"/>
          <w:b w:val="0"/>
          <w:bCs w:val="0"/>
          <w:color w:val="auto"/>
          <w:sz w:val="24"/>
          <w:szCs w:val="24"/>
          <w:lang w:val="en-US" w:eastAsia="zh-CN"/>
        </w:rPr>
        <w:t>体育</w:t>
      </w:r>
      <w:r>
        <w:rPr>
          <w:rFonts w:hint="eastAsia" w:ascii="宋体" w:hAnsi="宋体" w:eastAsia="宋体" w:cs="宋体"/>
          <w:b w:val="0"/>
          <w:bCs w:val="0"/>
          <w:color w:val="auto"/>
          <w:sz w:val="24"/>
          <w:szCs w:val="24"/>
          <w:lang w:val="en-US" w:eastAsia="zh-CN"/>
        </w:rPr>
        <w:t>旅游资源</w:t>
      </w:r>
      <w:r>
        <w:rPr>
          <w:rFonts w:hint="eastAsia"/>
          <w:b w:val="0"/>
          <w:bCs w:val="0"/>
          <w:color w:val="auto"/>
          <w:sz w:val="24"/>
          <w:szCs w:val="24"/>
          <w:lang w:val="en-US" w:eastAsia="zh-CN"/>
        </w:rPr>
        <w:t>277处，占资源总量的2.31%。</w:t>
      </w:r>
      <w:r>
        <w:rPr>
          <w:rFonts w:hint="eastAsia" w:ascii="宋体" w:hAnsi="宋体"/>
          <w:color w:val="auto"/>
          <w:sz w:val="24"/>
        </w:rPr>
        <w:t>分属于全</w:t>
      </w:r>
      <w:r>
        <w:rPr>
          <w:rFonts w:hint="eastAsia" w:ascii="宋体" w:hAnsi="宋体"/>
          <w:color w:val="auto"/>
          <w:sz w:val="24"/>
          <w:lang w:val="en-US" w:eastAsia="zh-CN"/>
        </w:rPr>
        <w:t>市</w:t>
      </w:r>
      <w:r>
        <w:rPr>
          <w:rFonts w:hint="eastAsia" w:ascii="宋体" w:hAnsi="宋体"/>
          <w:color w:val="auto"/>
          <w:sz w:val="24"/>
        </w:rPr>
        <w:t>1</w:t>
      </w:r>
      <w:r>
        <w:rPr>
          <w:rFonts w:hint="eastAsia" w:ascii="宋体" w:hAnsi="宋体"/>
          <w:color w:val="auto"/>
          <w:sz w:val="24"/>
          <w:lang w:val="en-US" w:eastAsia="zh-CN"/>
        </w:rPr>
        <w:t>0</w:t>
      </w:r>
      <w:r>
        <w:rPr>
          <w:rFonts w:hint="eastAsia" w:ascii="宋体" w:hAnsi="宋体"/>
          <w:color w:val="auto"/>
          <w:sz w:val="24"/>
        </w:rPr>
        <w:t>个</w:t>
      </w:r>
      <w:r>
        <w:rPr>
          <w:rFonts w:hint="eastAsia" w:ascii="宋体" w:hAnsi="宋体"/>
          <w:color w:val="auto"/>
          <w:sz w:val="24"/>
          <w:lang w:val="en-US" w:eastAsia="zh-CN"/>
        </w:rPr>
        <w:t>县（市、区）</w:t>
      </w:r>
      <w:r>
        <w:rPr>
          <w:rFonts w:hint="eastAsia" w:ascii="宋体" w:hAnsi="宋体"/>
          <w:color w:val="auto"/>
          <w:sz w:val="24"/>
        </w:rPr>
        <w:t>，</w:t>
      </w:r>
      <w:r>
        <w:rPr>
          <w:rFonts w:hint="eastAsia" w:ascii="宋体" w:hAnsi="宋体"/>
          <w:color w:val="auto"/>
          <w:sz w:val="24"/>
          <w:lang w:val="en-US" w:eastAsia="zh-CN"/>
        </w:rPr>
        <w:t>其中，温县179处、山阳区40处、修武县23处、博爱县11处、中站区9处、解放区6处、沁阳市4处、武陟县和孟州各2处、马村区1处，</w:t>
      </w:r>
      <w:r>
        <w:rPr>
          <w:rFonts w:hint="eastAsia" w:ascii="宋体" w:hAnsi="宋体"/>
          <w:color w:val="auto"/>
          <w:sz w:val="24"/>
        </w:rPr>
        <w:t>见图4-</w:t>
      </w:r>
      <w:r>
        <w:rPr>
          <w:rFonts w:hint="eastAsia" w:ascii="宋体" w:hAnsi="宋体"/>
          <w:color w:val="auto"/>
          <w:sz w:val="24"/>
          <w:lang w:val="en-US" w:eastAsia="zh-CN"/>
        </w:rPr>
        <w:t>28</w:t>
      </w:r>
      <w:r>
        <w:rPr>
          <w:rFonts w:hint="eastAsia" w:ascii="宋体" w:hAnsi="宋体"/>
          <w:color w:val="auto"/>
          <w:sz w:val="24"/>
        </w:rPr>
        <w:t>。</w:t>
      </w:r>
    </w:p>
    <w:p w14:paraId="0A66B82C">
      <w:pPr>
        <w:spacing w:line="360" w:lineRule="auto"/>
        <w:ind w:firstLine="420" w:firstLineChars="200"/>
        <w:jc w:val="left"/>
        <w:rPr>
          <w:color w:val="auto"/>
        </w:rPr>
      </w:pPr>
      <w:r>
        <w:rPr>
          <w:color w:val="auto"/>
        </w:rPr>
        <w:drawing>
          <wp:inline distT="0" distB="0" distL="114300" distR="114300">
            <wp:extent cx="4826000" cy="2743200"/>
            <wp:effectExtent l="4445" t="4445" r="8255" b="14605"/>
            <wp:docPr id="3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5E6A3521">
      <w:pPr>
        <w:snapToGrid w:val="0"/>
        <w:spacing w:line="240" w:lineRule="auto"/>
        <w:jc w:val="center"/>
        <w:outlineLvl w:val="9"/>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pPr>
      <w:r>
        <w:rPr>
          <w:rFonts w:hint="eastAsia" w:ascii="宋体" w:hAnsi="宋体" w:eastAsia="宋体" w:cs="宋体"/>
          <w:color w:val="auto"/>
          <w:spacing w:val="7"/>
          <w:sz w:val="21"/>
          <w:szCs w:val="21"/>
          <w:lang w:val="en-US" w:eastAsia="zh-CN"/>
          <w14:textOutline w14:w="3795" w14:cap="flat" w14:cmpd="sng">
            <w14:solidFill>
              <w14:srgbClr w14:val="000000"/>
            </w14:solidFill>
            <w14:prstDash w14:val="solid"/>
            <w14:miter w14:val="0"/>
          </w14:textOutline>
        </w:rPr>
        <w:t>图4-28  体育旅游资源地区分布图</w:t>
      </w:r>
    </w:p>
    <w:p w14:paraId="1365FC7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体育旅游资源主要有陈氏太极拳、和氏太极拳、焦作猿仙通背拳、焦作查拳、博爱磨头王堡枪，以陈王廷、王西安、朱天才、陈小旺、陈正雷、和有禄为代表的国家级和省级非遗传承人以及焦作国际太极拳交流大赛、焦作篮球文化节、神农山“三山同登”健身节等体育赛事。</w:t>
      </w:r>
    </w:p>
    <w:p w14:paraId="654C141A">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0" w:leftChars="0" w:firstLine="0" w:firstLineChars="0"/>
        <w:jc w:val="center"/>
        <w:textAlignment w:val="auto"/>
        <w:outlineLvl w:val="1"/>
        <w:rPr>
          <w:rFonts w:hint="eastAsia" w:ascii="宋体" w:hAnsi="宋体" w:eastAsia="宋体" w:cs="宋体"/>
          <w:b/>
          <w:bCs/>
          <w:color w:val="auto"/>
          <w:sz w:val="30"/>
          <w:szCs w:val="30"/>
          <w:lang w:val="en-US" w:eastAsia="zh-CN"/>
        </w:rPr>
      </w:pPr>
      <w:bookmarkStart w:id="95" w:name="_Toc21202"/>
      <w:r>
        <w:rPr>
          <w:rFonts w:hint="eastAsia" w:ascii="宋体" w:hAnsi="宋体" w:eastAsia="宋体" w:cs="宋体"/>
          <w:b/>
          <w:bCs/>
          <w:color w:val="auto"/>
          <w:sz w:val="30"/>
          <w:szCs w:val="30"/>
          <w:lang w:val="en-US" w:eastAsia="zh-CN"/>
        </w:rPr>
        <w:t>旅游资源富集区评价</w:t>
      </w:r>
      <w:bookmarkEnd w:id="95"/>
    </w:p>
    <w:p w14:paraId="692DBB05">
      <w:pPr>
        <w:keepNext w:val="0"/>
        <w:keepLines w:val="0"/>
        <w:pageBreakBefore w:val="0"/>
        <w:widowControl w:val="0"/>
        <w:numPr>
          <w:ilvl w:val="0"/>
          <w:numId w:val="26"/>
        </w:numPr>
        <w:kinsoku/>
        <w:wordWrap/>
        <w:overflowPunct/>
        <w:topLinePunct w:val="0"/>
        <w:autoSpaceDE/>
        <w:autoSpaceDN/>
        <w:bidi w:val="0"/>
        <w:adjustRightInd/>
        <w:snapToGrid/>
        <w:spacing w:line="360" w:lineRule="auto"/>
        <w:ind w:left="0" w:leftChars="0" w:firstLine="0" w:firstLineChars="0"/>
        <w:jc w:val="both"/>
        <w:textAlignment w:val="auto"/>
        <w:outlineLvl w:val="2"/>
        <w:rPr>
          <w:rFonts w:hint="eastAsia" w:ascii="宋体" w:hAnsi="宋体" w:cs="宋体"/>
          <w:b/>
          <w:bCs/>
          <w:color w:val="auto"/>
          <w:sz w:val="28"/>
          <w:szCs w:val="28"/>
          <w:lang w:val="en-US" w:eastAsia="zh-CN"/>
        </w:rPr>
      </w:pPr>
      <w:bookmarkStart w:id="96" w:name="_Toc3002"/>
      <w:r>
        <w:rPr>
          <w:rFonts w:hint="eastAsia" w:ascii="宋体" w:hAnsi="宋体" w:cs="宋体"/>
          <w:b/>
          <w:bCs/>
          <w:color w:val="auto"/>
          <w:sz w:val="28"/>
          <w:szCs w:val="28"/>
          <w:lang w:val="en-US" w:eastAsia="zh-CN"/>
        </w:rPr>
        <w:t>资源空间分布特征与富集区认定条件</w:t>
      </w:r>
      <w:bookmarkEnd w:id="96"/>
    </w:p>
    <w:p w14:paraId="21272C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color w:val="auto"/>
          <w:lang w:val="en-US" w:eastAsia="zh-CN"/>
        </w:rPr>
      </w:pPr>
      <w:r>
        <w:rPr>
          <w:rFonts w:hint="eastAsia" w:ascii="宋体" w:hAnsi="宋体" w:cs="宋体"/>
          <w:b w:val="0"/>
          <w:bCs w:val="0"/>
          <w:color w:val="auto"/>
          <w:sz w:val="24"/>
          <w:szCs w:val="24"/>
          <w:lang w:val="en-US" w:eastAsia="zh-CN"/>
        </w:rPr>
        <w:t>焦作市旅游资源分布在空间上呈现出“北密南疏、两带一区多点”的集聚分布特征，北部主要是以沿南太行山脉呈现出东北-西南向集聚带，主要包括修武县北部云台山景区-青龙峡景区-净影风景区-中站区北部龙翔山旅游区-博爱县北部青天河景区-月山寺-沁阳市北部丹河峡谷、西北部神农山景区。南部主要以沿黄河生态带形成的西-东向集聚带，主要包括孟州市西虢镇-城区-桑坡村-温县城区-东部陈家沟。中部主要为博爱县县城-焦作西部寨卜昌村-焦作城区-影视城-南水北调天河公园-大沙河-马村区-修武县城区-修武县城区及嘉应观形成大面积集聚区。此外还有小面积的资源集聚点，主要在沁阳市城区和武陟县西北部的虹桥乡。</w:t>
      </w:r>
    </w:p>
    <w:p w14:paraId="27D0902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依据《河南省旅游资源普查工作手册》</w:t>
      </w:r>
      <w:r>
        <w:rPr>
          <w:rFonts w:hint="default" w:ascii="宋体" w:hAnsi="宋体" w:cs="宋体"/>
          <w:b w:val="0"/>
          <w:bCs w:val="0"/>
          <w:color w:val="auto"/>
          <w:sz w:val="24"/>
          <w:szCs w:val="24"/>
          <w:lang w:val="en-US" w:eastAsia="zh-CN"/>
        </w:rPr>
        <w:t>资源富集区认定与评价</w:t>
      </w:r>
      <w:r>
        <w:rPr>
          <w:rFonts w:hint="eastAsia" w:ascii="宋体" w:hAnsi="宋体" w:cs="宋体"/>
          <w:b w:val="0"/>
          <w:bCs w:val="0"/>
          <w:color w:val="auto"/>
          <w:sz w:val="24"/>
          <w:szCs w:val="24"/>
          <w:lang w:val="en-US" w:eastAsia="zh-CN"/>
        </w:rPr>
        <w:t>标准，富集区的</w:t>
      </w:r>
      <w:r>
        <w:rPr>
          <w:rFonts w:hint="default" w:ascii="宋体" w:hAnsi="宋体" w:cs="宋体"/>
          <w:b w:val="0"/>
          <w:bCs w:val="0"/>
          <w:color w:val="auto"/>
          <w:sz w:val="24"/>
          <w:szCs w:val="24"/>
          <w:lang w:val="en-US" w:eastAsia="zh-CN"/>
        </w:rPr>
        <w:t>基本条件</w:t>
      </w:r>
      <w:r>
        <w:rPr>
          <w:rFonts w:hint="eastAsia" w:ascii="宋体" w:hAnsi="宋体" w:cs="宋体"/>
          <w:b w:val="0"/>
          <w:bCs w:val="0"/>
          <w:color w:val="auto"/>
          <w:sz w:val="24"/>
          <w:szCs w:val="24"/>
          <w:lang w:val="en-US" w:eastAsia="zh-CN"/>
        </w:rPr>
        <w:t>为一是</w:t>
      </w:r>
      <w:r>
        <w:rPr>
          <w:rFonts w:hint="default" w:ascii="宋体" w:hAnsi="宋体" w:cs="宋体"/>
          <w:b w:val="0"/>
          <w:bCs w:val="0"/>
          <w:color w:val="auto"/>
          <w:sz w:val="24"/>
          <w:szCs w:val="24"/>
          <w:lang w:val="en-US" w:eastAsia="zh-CN"/>
        </w:rPr>
        <w:t>成因关联性：资源单体之间存在自然或文化上的紧密联系。</w:t>
      </w:r>
      <w:r>
        <w:rPr>
          <w:rFonts w:hint="eastAsia" w:ascii="宋体" w:hAnsi="宋体" w:cs="宋体"/>
          <w:b w:val="0"/>
          <w:bCs w:val="0"/>
          <w:color w:val="auto"/>
          <w:sz w:val="24"/>
          <w:szCs w:val="24"/>
          <w:lang w:val="en-US" w:eastAsia="zh-CN"/>
        </w:rPr>
        <w:t>二是</w:t>
      </w:r>
      <w:r>
        <w:rPr>
          <w:rFonts w:hint="default" w:ascii="宋体" w:hAnsi="宋体" w:cs="宋体"/>
          <w:b w:val="0"/>
          <w:bCs w:val="0"/>
          <w:color w:val="auto"/>
          <w:sz w:val="24"/>
          <w:szCs w:val="24"/>
          <w:lang w:val="en-US" w:eastAsia="zh-CN"/>
        </w:rPr>
        <w:t>结构合理性：资源单体数量丰富，有代表当地自然或文化特征的优良级资源单体，类型多样且组合良好。</w:t>
      </w:r>
      <w:r>
        <w:rPr>
          <w:rFonts w:hint="eastAsia" w:ascii="宋体" w:hAnsi="宋体" w:cs="宋体"/>
          <w:b w:val="0"/>
          <w:bCs w:val="0"/>
          <w:color w:val="auto"/>
          <w:sz w:val="24"/>
          <w:szCs w:val="24"/>
          <w:lang w:val="en-US" w:eastAsia="zh-CN"/>
        </w:rPr>
        <w:t>三是</w:t>
      </w:r>
      <w:r>
        <w:rPr>
          <w:rFonts w:hint="default" w:ascii="宋体" w:hAnsi="宋体" w:cs="宋体"/>
          <w:b w:val="0"/>
          <w:bCs w:val="0"/>
          <w:color w:val="auto"/>
          <w:sz w:val="24"/>
          <w:szCs w:val="24"/>
          <w:lang w:val="en-US" w:eastAsia="zh-CN"/>
        </w:rPr>
        <w:t>功能完整性：富集区内当地自然或文化生态系统保持相对完整。</w:t>
      </w:r>
      <w:r>
        <w:rPr>
          <w:rFonts w:hint="eastAsia" w:ascii="宋体" w:hAnsi="宋体" w:cs="宋体"/>
          <w:b w:val="0"/>
          <w:bCs w:val="0"/>
          <w:color w:val="auto"/>
          <w:sz w:val="24"/>
          <w:szCs w:val="24"/>
          <w:lang w:val="en-US" w:eastAsia="zh-CN"/>
        </w:rPr>
        <w:t>四是</w:t>
      </w:r>
      <w:r>
        <w:rPr>
          <w:rFonts w:hint="default" w:ascii="宋体" w:hAnsi="宋体" w:cs="宋体"/>
          <w:b w:val="0"/>
          <w:bCs w:val="0"/>
          <w:color w:val="auto"/>
          <w:sz w:val="24"/>
          <w:szCs w:val="24"/>
          <w:lang w:val="en-US" w:eastAsia="zh-CN"/>
        </w:rPr>
        <w:t>利用可行性：具有较高</w:t>
      </w:r>
      <w:r>
        <w:rPr>
          <w:rFonts w:hint="eastAsia" w:ascii="宋体" w:hAnsi="宋体" w:cs="宋体"/>
          <w:b w:val="0"/>
          <w:bCs w:val="0"/>
          <w:color w:val="auto"/>
          <w:sz w:val="24"/>
          <w:szCs w:val="24"/>
          <w:lang w:val="en-US" w:eastAsia="zh-CN"/>
        </w:rPr>
        <w:t>的</w:t>
      </w:r>
      <w:r>
        <w:rPr>
          <w:rFonts w:hint="default" w:ascii="宋体" w:hAnsi="宋体" w:cs="宋体"/>
          <w:b w:val="0"/>
          <w:bCs w:val="0"/>
          <w:color w:val="auto"/>
          <w:sz w:val="24"/>
          <w:szCs w:val="24"/>
          <w:lang w:val="en-US" w:eastAsia="zh-CN"/>
        </w:rPr>
        <w:t>市场开发利用前景。</w:t>
      </w:r>
    </w:p>
    <w:p w14:paraId="4D8EBFC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在基本条件下，</w:t>
      </w:r>
      <w:r>
        <w:rPr>
          <w:rFonts w:hint="default" w:ascii="宋体" w:hAnsi="宋体" w:cs="宋体"/>
          <w:b w:val="0"/>
          <w:bCs w:val="0"/>
          <w:color w:val="auto"/>
          <w:sz w:val="24"/>
          <w:szCs w:val="24"/>
          <w:lang w:val="en-US" w:eastAsia="zh-CN"/>
        </w:rPr>
        <w:t>资源富集区的认定建立在资源单体调查与评价基础上，同时满足下列3个条件，可确定为资源富集区</w:t>
      </w:r>
      <w:r>
        <w:rPr>
          <w:rFonts w:hint="eastAsia" w:ascii="宋体" w:hAnsi="宋体" w:cs="宋体"/>
          <w:b w:val="0"/>
          <w:bCs w:val="0"/>
          <w:color w:val="auto"/>
          <w:sz w:val="24"/>
          <w:szCs w:val="24"/>
          <w:lang w:val="en-US" w:eastAsia="zh-CN"/>
        </w:rPr>
        <w:t>。一是</w:t>
      </w:r>
      <w:r>
        <w:rPr>
          <w:rFonts w:hint="default" w:ascii="宋体" w:hAnsi="宋体" w:cs="宋体"/>
          <w:b w:val="0"/>
          <w:bCs w:val="0"/>
          <w:color w:val="auto"/>
          <w:sz w:val="24"/>
          <w:szCs w:val="24"/>
          <w:lang w:val="en-US" w:eastAsia="zh-CN"/>
        </w:rPr>
        <w:t>空间范围：空间合理，核心范围不宜超过5平方公里，具有系统完整性的区域可视情放大。</w:t>
      </w:r>
      <w:r>
        <w:rPr>
          <w:rFonts w:hint="eastAsia" w:ascii="宋体" w:hAnsi="宋体" w:cs="宋体"/>
          <w:b w:val="0"/>
          <w:bCs w:val="0"/>
          <w:color w:val="auto"/>
          <w:sz w:val="24"/>
          <w:szCs w:val="24"/>
          <w:lang w:val="en-US" w:eastAsia="zh-CN"/>
        </w:rPr>
        <w:t>二是</w:t>
      </w:r>
      <w:r>
        <w:rPr>
          <w:rFonts w:hint="default" w:ascii="宋体" w:hAnsi="宋体" w:cs="宋体"/>
          <w:b w:val="0"/>
          <w:bCs w:val="0"/>
          <w:color w:val="auto"/>
          <w:sz w:val="24"/>
          <w:szCs w:val="24"/>
          <w:lang w:val="en-US" w:eastAsia="zh-CN"/>
        </w:rPr>
        <w:t>资源单体密度：核心范围内每平方公里内资源单体类型至少包含3个主类，其中自然类资源与人文类资源至少各有1个；等级资源单体数量不少于15个。</w:t>
      </w:r>
      <w:r>
        <w:rPr>
          <w:rFonts w:hint="eastAsia" w:ascii="宋体" w:hAnsi="宋体" w:cs="宋体"/>
          <w:b w:val="0"/>
          <w:bCs w:val="0"/>
          <w:color w:val="auto"/>
          <w:sz w:val="24"/>
          <w:szCs w:val="24"/>
          <w:lang w:val="en-US" w:eastAsia="zh-CN"/>
        </w:rPr>
        <w:t>三是</w:t>
      </w:r>
      <w:r>
        <w:rPr>
          <w:rFonts w:hint="default" w:ascii="宋体" w:hAnsi="宋体" w:cs="宋体"/>
          <w:b w:val="0"/>
          <w:bCs w:val="0"/>
          <w:color w:val="auto"/>
          <w:sz w:val="24"/>
          <w:szCs w:val="24"/>
          <w:lang w:val="en-US" w:eastAsia="zh-CN"/>
        </w:rPr>
        <w:t>资源单体等级：排名前十的资源单体平均分不少于70分，其中至少包含1个五级资源单体或2个四级资源单体。</w:t>
      </w:r>
    </w:p>
    <w:p w14:paraId="3381F8E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依据富集区认定与评价标准，焦作市内共有15个旅游资源富集区。除马村区外，各县区均有分布。其中，修武县有云台山旅游区、峡谷风光旅游区、历史文化与人文景区3处，博爱县青天河生态旅游区和博爱县历史文化区2处，沁阳市有神农山-丹河峡谷自然与文化双重旅游区和古城历史文化旅游区2处，山阳区历史文化与自然景观区1处，温县陈家沟太极文化旅游区和黄河生态与四大怀药现代农业旅游区2处，孟州市韩园黄河文化旅游区1处，武陟县嘉应观黄河文化旅游区1处，解放区有国家南水北调旅游区和工业遗产旅游</w:t>
      </w:r>
      <w:r>
        <w:rPr>
          <w:rFonts w:hint="eastAsia" w:ascii="宋体" w:hAnsi="宋体" w:cs="宋体"/>
          <w:b w:val="0"/>
          <w:bCs w:val="0"/>
          <w:color w:val="auto"/>
          <w:sz w:val="24"/>
          <w:szCs w:val="24"/>
          <w:lang w:val="en-US" w:eastAsia="zh-CN"/>
        </w:rPr>
        <w:tab/>
      </w:r>
      <w:r>
        <w:rPr>
          <w:rFonts w:hint="eastAsia" w:ascii="宋体" w:hAnsi="宋体" w:cs="宋体"/>
          <w:b w:val="0"/>
          <w:bCs w:val="0"/>
          <w:color w:val="auto"/>
          <w:sz w:val="24"/>
          <w:szCs w:val="24"/>
          <w:lang w:val="en-US" w:eastAsia="zh-CN"/>
        </w:rPr>
        <w:t>区2处，中站区乡村旅游融合发展区1处。</w:t>
      </w:r>
    </w:p>
    <w:p w14:paraId="7D4A07A6">
      <w:pPr>
        <w:keepNext w:val="0"/>
        <w:keepLines w:val="0"/>
        <w:pageBreakBefore w:val="0"/>
        <w:widowControl w:val="0"/>
        <w:numPr>
          <w:ilvl w:val="0"/>
          <w:numId w:val="26"/>
        </w:numPr>
        <w:kinsoku/>
        <w:wordWrap/>
        <w:overflowPunct/>
        <w:topLinePunct w:val="0"/>
        <w:autoSpaceDE/>
        <w:autoSpaceDN/>
        <w:bidi w:val="0"/>
        <w:adjustRightInd/>
        <w:snapToGrid/>
        <w:spacing w:line="360" w:lineRule="auto"/>
        <w:ind w:left="0" w:leftChars="0" w:firstLine="0" w:firstLineChars="0"/>
        <w:jc w:val="both"/>
        <w:textAlignment w:val="auto"/>
        <w:outlineLvl w:val="2"/>
        <w:rPr>
          <w:rFonts w:hint="default" w:ascii="宋体" w:hAnsi="宋体" w:cs="宋体"/>
          <w:b/>
          <w:bCs/>
          <w:color w:val="auto"/>
          <w:sz w:val="28"/>
          <w:szCs w:val="28"/>
          <w:lang w:val="en-US" w:eastAsia="zh-CN"/>
        </w:rPr>
      </w:pPr>
      <w:bookmarkStart w:id="97" w:name="_Toc6665"/>
      <w:r>
        <w:rPr>
          <w:rFonts w:hint="eastAsia" w:ascii="宋体" w:hAnsi="宋体" w:cs="宋体"/>
          <w:b/>
          <w:bCs/>
          <w:color w:val="auto"/>
          <w:sz w:val="28"/>
          <w:szCs w:val="28"/>
          <w:lang w:val="en-US" w:eastAsia="zh-CN"/>
        </w:rPr>
        <w:t>修武县旅游资源富集区现状与评价</w:t>
      </w:r>
      <w:bookmarkEnd w:id="97"/>
    </w:p>
    <w:p w14:paraId="05B653F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（一）云台山旅游区</w:t>
      </w:r>
    </w:p>
    <w:p w14:paraId="3EEB444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1、区域概况与核心资源</w:t>
      </w:r>
    </w:p>
    <w:p w14:paraId="5F5842E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云台山旅游区拥有五级资源30处，四级资源60处。</w:t>
      </w:r>
    </w:p>
    <w:p w14:paraId="14D94F6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云台山，作为修武县旅游资源的核心代表，是国家AAAAA级旅游景区、世界地质公园，以其独特的“北方岩溶地貌”和丰富的自然生态景观闻名遐迩。景区总面积达240平方公里，涵盖了红石峡、潭瀑峡、泉瀑峡、茱萸峰、子房湖、万善寺、百家岩等众多精华景点。红石峡，作为云台山的标志性景观，以丹霞地貌著称，峡谷内红色岩石陡峭如削，碧水环绕，形成一幅壮丽的画卷。茱萸峰，海拔1308米，是云台山的主峰，峰顶云台寺古朴庄严，香火旺盛，登顶可俯瞰群山连绵，感受“会当凌绝顶，一览众山小”的豪迈。子房湖，湖水清澈碧绿，两岸青山对峙，乘船游湖，可领略“高峡出平湖”的壮美景色。此外，青龙峡、峰林峡等景点，峡长谷幽，潭瀑相连，是避暑休闲、亲近自然的绝佳去处。</w:t>
      </w:r>
    </w:p>
    <w:p w14:paraId="7182BA6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云台山风景名胜区不仅自然景观出众，其周边区域也形成了完善的旅游配套设施。岸上小镇，作为云台山景区的重要服务区，依托景区优势，大力发展民宿、餐饮、娱乐等旅游服务业，已成为全省典型的“旅游富民”示范区。小镇内民宿风格多样，既有充满传统古建筑设计魅力的阿佤纳·随园民宿，也有现代简约的精品民宿，可满足不同游客的住宿需求。同时，小镇还汇聚了众多特色餐馆，如和记老烩面、郭记烩面等，让游客在品尝地道豫菜的同时，也能感受到浓郁的地方文化。</w:t>
      </w:r>
    </w:p>
    <w:p w14:paraId="0815BA7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2、富集区评价</w:t>
      </w:r>
    </w:p>
    <w:p w14:paraId="55DC168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（1）资源类型与数量</w:t>
      </w:r>
    </w:p>
    <w:p w14:paraId="359F6B3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云台山风景名胜区，作为国家AAAAA级旅游景区、世界地质公园，其资源类型之丰富、数量之庞大，堪称一座天然的自然博物馆。景区总面积达240平方公里，涵盖了红石峡、潭瀑峡、泉瀑峡、茱萸峰、子房湖、万善寺、百家岩、青龙峡、峰林峡等众多精华景点，形成了以峡谷地貌为核心，集山水景观、地质遗迹、生物多样性、宗教文化、历史人文于一体的综合性旅游资源体系。</w:t>
      </w:r>
    </w:p>
    <w:p w14:paraId="18B3E95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从自然景观类型来看，云台山拥有壮观的峡谷地貌，如红石峡，以其丹霞地貌和“一线天”景观著称，峡谷内红色岩石陡峭如削，碧水环绕，构成一幅壮丽的画卷。同时，景区内瀑布、溪流、湖泊、潭池等水文景观星罗棋布，如泉瀑峡的云台天瀑，落差达314米，是全国落差最大的瀑布之一，气势磅礴，蔚为壮观。此外，云台山还拥有丰富的地质遗迹，如百家岩的竹林七贤隐居地，留存着大量的摩崖石刻和历史遗迹，是研究地质变迁和历史文化的重要载体。</w:t>
      </w:r>
    </w:p>
    <w:p w14:paraId="7FA95A5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在生物多样性方面，云台山风景名胜区森林覆盖率极高，植被茂密，拥有众多珍稀植物和野生动物，如红豆杉、山茱萸等，构成了复杂的生态系统，为游客提供了亲近自然、感受生态之美的机会。</w:t>
      </w:r>
    </w:p>
    <w:p w14:paraId="11C8DB0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除了自然景观，云台山还拥有一定的人文景观，如万善寺、子房湖等。万善寺始建于明朝，是佛教信徒朝拜的圣地，寺内佛像庄严，香火旺盛。子房湖则因汉代名臣张良（字子房）曾在此隐居而得名，湖水清澈碧绿，两岸青山对峙，是游客泛舟游湖、领略“高峡出平湖”壮美景色的绝佳去处。</w:t>
      </w:r>
    </w:p>
    <w:p w14:paraId="1E59A11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（2）资源品质与特色</w:t>
      </w:r>
    </w:p>
    <w:p w14:paraId="48BEA19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云台山风景名胜区的资源品质与特色，主要体现在其世界级的地质奇观和生态瑰宝价值上。作为世界地质公园，云台山以其独特的“北方岩溶地貌”而闻名于世。红石峡的丹霞地貌，是地质历史上水流侵蚀和重力崩塌共同作用的结果，其红色岩层和陡峭的峡谷形态，具有极高的科学价值和观赏价值。泉瀑峡的云台天瀑，落差巨大，气势磅礴，是云台山标志性的景观之一，也是研究瀑布形成和演化的重要实例。</w:t>
      </w:r>
    </w:p>
    <w:p w14:paraId="72B72A5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除了地质奇观，云台山还是一座生态瑰宝。景区内森林覆盖率极高，植被茂密，生物多样性丰富，是众多珍稀植物和野生动物的栖息地。红豆杉、山茱萸等珍稀植物，以及金钱豹、红腹锦鸡等野生动物，都在这里繁衍生息，构成了云台山独特的生态系统。这种丰富的生物多样性，不仅为游客提供了亲近自然、感受生态之美的机会，也为科学研究提供了宝贵的资源。</w:t>
      </w:r>
    </w:p>
    <w:p w14:paraId="33781DD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此外，云台山还承载着深厚的历史文化底蕴。万善寺、子房湖等人文景观，以及百家岩的竹林七贤隐居地，都见证了云台山悠久的历史和灿烂的文化。这些人文景观与自然景观的完美结合，使得云台山成为了一处集科学价值、美学价值、历史文化价值于一体的综合性旅游胜地。</w:t>
      </w:r>
    </w:p>
    <w:p w14:paraId="525CD85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（3）资源集中度与空间分布</w:t>
      </w:r>
    </w:p>
    <w:p w14:paraId="74174AE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云台山风景名胜区的资源集中度与空间分布，呈现出“核心引领、全域联动”的特点。云台山景区作为核心景区，以其丰富的自然和人文资源吸引了大量游客前来游览。红石峡、潭瀑峡、泉瀑峡、茱萸峰等核心景点，通过完善的旅游线路和交通设施实现串联，形成了便捷的游览路线。这种空间布局既保证了核心景区的集聚效应，又通过全域联动实现了旅游资源的均衡发展。</w:t>
      </w:r>
    </w:p>
    <w:p w14:paraId="5D950E4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为了提升游客的旅游体验，云台山风景名胜区还不断完善旅游配套设施。岸上小镇作为景区的重要服务区，依托景区优势，大力发展民宿、餐饮、娱乐等旅游服务业，已成为全省典型的“旅游富民”示范区。小镇内民宿风格多样，既有充满传统古建筑设计魅力的精品民宿，也有现代简约的度假酒店，可满足不同游客的住宿需求。同时，小镇还汇聚了众多特色餐馆，如和记老烩面、郭记烩面等，让游客在品尝地道豫菜的同时，也能感受到浓郁的地方文化。</w:t>
      </w:r>
    </w:p>
    <w:p w14:paraId="29CA777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（二）修武峡谷风光旅游区</w:t>
      </w:r>
    </w:p>
    <w:p w14:paraId="1540AED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1、区域概况与核心资源</w:t>
      </w:r>
    </w:p>
    <w:p w14:paraId="15A0390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修武峡谷风光旅游区拥有五级资源19处，四级资源19处。</w:t>
      </w:r>
    </w:p>
    <w:p w14:paraId="24FC7A7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修武峡谷风光旅游区，将青龙峡与峰林峡两大自然景区整合，打造以峡谷地貌、山水景观为核心，兼具探险、观光、休闲于一体的综合性旅游目的地。</w:t>
      </w:r>
    </w:p>
    <w:p w14:paraId="2862ECC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青龙峡，位于河南省焦作市北部25公里的深山区，是云台山世界地质公园的重要组成部分。峡谷全长约7.5公里，以峰、崖、岭、巅、台、沟、涧、川、瀑、洞等多元地貌景观著称。峡谷底部泉、潭、瀑、溪交织，形成“百潭峡谷”的奇观，如望龙瀑的波澜壮阔、七彩潭的奇幻色彩，皆令人叹为观止。此外，青龙峡还拥有独特的溶洞景观，如青龙洞、黄龙洞等，洞内地貌奇特，形态各异，增添了几分神秘色彩。景区内森林覆盖率高达95%，植物种类繁多，空气清新，被誉为“天然氧吧”，是生态徒步、攀岩探险、溶洞探秘的绝佳去处。</w:t>
      </w:r>
    </w:p>
    <w:p w14:paraId="37209F8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峰林峡，原名群英湖，位于焦作市修武县西村乡双庙村，同样属于云台山世界地质公园。景区面积50平方公里，以“兼有南北山水特色”而闻名。这里河流、湖泊深秀，高山、峡谷险峻，悬崖、溶洞遍布，奇峰、怪石林立，构成一幅壮美的山水画卷。主要景点包括小孤山、天然毛主席像、峰林峡大坝、老君滩、葫芦岛、天王岩、睡美人、三潭印月等。其中，峰林峡大坝高100.5米，为中国第一高砌石拱坝，气势恢宏；老君滩则充满神话色彩，相传为老子修行之地，泛舟其间，恍若世外桃源。此外，游客还可体验玻璃栈道、天空之恋360度全景玻璃廊桥等现代游乐设施，感受刺激与美景的双重享受。</w:t>
      </w:r>
    </w:p>
    <w:p w14:paraId="31CE247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青龙峡与峰林峡，一南一北，共同构成了焦作峡谷风光旅游区的核心。两者均以峡谷地貌为基础，但景观特色各异：青龙峡以原始生态和溶洞景观见长，峰林峡则以山水风光和人文景观取胜。游客可在此进行徒步探险、乘船游湖、玻璃栈道漫步等多种活动，尽情领略峡谷的壮美与神秘。</w:t>
      </w:r>
    </w:p>
    <w:p w14:paraId="7181971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2、富集区评价</w:t>
      </w:r>
    </w:p>
    <w:p w14:paraId="45C1F6E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（1）资源类型与数量</w:t>
      </w:r>
    </w:p>
    <w:p w14:paraId="1F36D64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修武青龙峡-峰林峡峡谷风光旅游区，作为云台山世界地质公园的核心组成部分，汇聚了极为丰富的旅游资源类型与数量。该区域以峡谷地貌为核心，同时融合了山水景观、地质遗迹、生物多样性以及人文景观，构成了一幅壮美的自然画卷。</w:t>
      </w:r>
    </w:p>
    <w:p w14:paraId="25B0DDC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从自然景观类型来看，青龙峡与峰林峡共同展现了峡谷地貌的多样性。青龙峡全长约7.5公里，以峰、崖、岭、巅、台、沟、涧、川、瀑、洞等多元地貌景观著称，尤其是其“百潭峡谷”的奇观，令人叹为观止。峰林峡则以山水风光见长，河流、湖泊深秀，高山、峡谷险峻，悬崖、溶洞遍布，奇峰、怪石林立，构成了一幅幅如诗如画的景色。</w:t>
      </w:r>
    </w:p>
    <w:p w14:paraId="7C923C2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除了自然景观，该区域还拥有一定的人文景观。青龙峡内的溶洞景观，如青龙洞、黄龙洞等，不仅地貌奇特，还蕴含着丰富的历史文化内涵。峰林峡则留下了许多神话传说和历史遗迹，如老君滩，相传为老子修行之地，为景区增添了几分神秘色彩。</w:t>
      </w:r>
    </w:p>
    <w:p w14:paraId="3B5A342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此外，该区域还是生物多样性的宝库。青龙峡与峰林峡内森林覆盖率极高，植被茂密，拥有众多珍稀植物和野生动物，构成了复杂的生态系统，为游客提供了亲近自然、感受生态之美的机会。</w:t>
      </w:r>
    </w:p>
    <w:p w14:paraId="39167DD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（2）资源品质与特色</w:t>
      </w:r>
    </w:p>
    <w:p w14:paraId="1BB33C8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修武青龙峡-峰林峡峡谷风光旅游区的资源品质与特色，主要体现在其世界级的地质奇观和生态秘境价值上。作为云台山世界地质公园的重要组成部分，该区域以其独特的“北方岩溶地貌”而闻名于世。青龙峡的丹霞地貌和峰林峡的峡谷地貌，都是地质历史上水流侵蚀和重力崩塌共同作用的结果，具有极高的科学价值和观赏价值。</w:t>
      </w:r>
    </w:p>
    <w:p w14:paraId="6DDCF0C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青龙峡内的溶洞景观，如青龙洞、黄龙洞等，洞内地貌奇特，形态各异，是研究地质变迁和喀斯特地貌的重要实例。峰林峡则以其壮观的瀑布、溪流、湖泊等水文景观著称，如云台天瀑，落差达314米，是全国落差最大的瀑布之一，气势磅礴，蔚为壮观。</w:t>
      </w:r>
    </w:p>
    <w:p w14:paraId="6FBE19A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除了地质奇观，该区域还是一座生态秘境。青龙峡与峰林峡内森林覆盖率极高，植被茂密，生物多样性丰富，是众多珍稀植物和野生动物的栖息地。这种丰富的生物多样性，不仅为游客提供了亲近自然、感受生态之美的机会，也为科学研究提供了宝贵的资源。</w:t>
      </w:r>
    </w:p>
    <w:p w14:paraId="65820BC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此外，该区域还承载着深厚的历史文化底蕴。青龙峡与峰林峡内的许多景点，都蕴含着丰富的神话传说和历史遗迹，如老君滩等，为景区增添了几分神秘色彩和人文气息。</w:t>
      </w:r>
    </w:p>
    <w:p w14:paraId="30A592F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（3）资源集中度与空间分布</w:t>
      </w:r>
    </w:p>
    <w:p w14:paraId="0A8B350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修武青龙峡-峰林峡峡谷风光旅游区的资源集中度与空间分布，呈现出“双峡联动、全域发展”的特点。青龙峡与峰林峡作为两大核心景区，通过完善的旅游线路和交通设施实现串联，形成了便捷的游览路线。这种空间布局既保证了核心景区的集聚效应，又通过全域联动实现了旅游资源的均衡发展。</w:t>
      </w:r>
    </w:p>
    <w:p w14:paraId="412E1D8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为了提升游客的旅游体验，该区域还不断完善旅游配套设施。青龙峡与峰林峡内均设有游客服务中心、停车场、餐饮住宿等设施，为游客提供了便捷的服务。同时，该区域还积极拓展旅游新业态，如玻璃栈道、天空之恋360度全景玻璃廊桥等现代游乐设施，为游客提供了更加丰富的旅游体验。</w:t>
      </w:r>
    </w:p>
    <w:p w14:paraId="18E8FA9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此外，该区域还注重与周边景区的联动发展。青龙峡-峰林峡峡谷风光旅游区与云台山风景名胜区的其他景区，如红石峡、潭瀑峡等，通过旅游线路的串联和资源的共享，形成了全域旅游的发展格局。这种发展格局不仅提升了整个云台山风景名胜区的吸引力，也为修武青龙峡-峰林峡峡谷风光旅游区的发展注入了新的活力。</w:t>
      </w:r>
    </w:p>
    <w:p w14:paraId="4CD1FC3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（三）修武历史文化与人文景观区</w:t>
      </w:r>
    </w:p>
    <w:p w14:paraId="5CD396D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1、区域概况与核心资源</w:t>
      </w:r>
    </w:p>
    <w:p w14:paraId="5E71A06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修武历史文化与人文景观区拥有五级资源3处，四级资源4处。3处五级资源分别是圆融寺、当阳峪瓷窑遗址、当阳峪绞胎瓷。</w:t>
      </w:r>
    </w:p>
    <w:p w14:paraId="154A9F7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修武县历史文化悠久，人文景观丰富，形成了以圆融无碍禅寺、当阳峪古瓷窑遗址、双庙村传统民居等为代表的历史文化与人文景观区。圆融无碍禅寺，始建于东晋永和七年，是国家AAAA级旅游景区，也是韩国圆融宗祖庭。寺庙坐落在吕涧山上，四周山峦叠翠，溪水潺潺，环境清幽。寺内建筑古朴典雅，佛像庄严，是佛教信徒朝拜的圣地，也是游客感受佛教文化、领略古建筑魅力的绝佳去处。</w:t>
      </w:r>
    </w:p>
    <w:p w14:paraId="6CB462A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当阳峪古瓷窑遗址，位于修武县西村乡当阳峪村，是北宋时期著名的瓷窑遗址。遗址东西长约2000米，南北宽约1000米，出土了大量精美的剔花瓷与绞胎瓷，这些瓷器以其独特的工艺和精美的纹饰，闻名中外，对研究北宋时期的瓷器制作工艺和历史文化具有重要意义。双庙村传统民居，位于修武县西村乡双庙村，是河南省第七批文物保护单位。这些民居始建于明、清时期，依山傍水，错落有致，保存了传统的建筑风格和布局。村内街道狭窄曲折，青石铺就，两旁民居多为石头砌成，冬暖夏凉，古朴典雅。漫步在双庙村的街头巷尾，仿佛穿越时空，回到了那个遥远的年代，可以深刻感受到传统村落的宁静与美好。此外，修武县还有胜果寺塔、海蟾宫、百家岩寺塔、李固遗址等众多历史文化遗迹，这些遗迹见证了修武县悠久的历史和灿烂的文化，是游客了解修武、感受历史的重要窗口。</w:t>
      </w:r>
    </w:p>
    <w:p w14:paraId="27D545D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2、富集区评价</w:t>
      </w:r>
    </w:p>
    <w:p w14:paraId="11D949E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（1）资源类型与数量</w:t>
      </w:r>
    </w:p>
    <w:p w14:paraId="4850898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修武历史文化与人文景观区，作为修武县文化旅游的重要组成部分，汇聚了丰富的历史文化资源。该区域以圆融无碍禅寺、当阳峪古瓷窑遗址、双庙村传统民居等为核心，涵盖了历史遗迹、文化场馆、传统村落等多种资源类型，数量众多，品类齐全。</w:t>
      </w:r>
    </w:p>
    <w:p w14:paraId="17E0716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从历史遗迹类型来看，修武县拥有众多具有历史价值的遗址和建筑。圆融无碍禅寺，始建于东晋永和七年，是国家AAAA级旅游景区，也是韩国圆融宗祖庭，寺内建筑古朴典雅，佛像庄严，是佛教信徒朝拜的圣地。当阳峪古瓷窑遗址，是北宋时期著名的瓷窑遗址，出土了大量精美的剔花瓷与绞胎瓷，对研究北宋时期的瓷器制作工艺和历史文化具有重要意义。此外，修武县还有胜果寺塔、海蟾宫、百家岩寺塔、李固遗址等众多历史文化遗迹，这些遗迹见证了修武县悠久的历史和灿烂的文化。</w:t>
      </w:r>
    </w:p>
    <w:p w14:paraId="7373784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除了历史遗迹，修武县还拥有一定的文化场馆。这些场馆通过展示文物、艺术品、历史文献等，向游客传递着修武县的历史和文化信息，是游客了解修武、感受历史的重要窗口。</w:t>
      </w:r>
    </w:p>
    <w:p w14:paraId="2DC0A82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此外，修武县还保留着众多传统村落，如双庙村等。这些村落保存了传统的建筑风格和布局，是游客感受传统村落宁静与美好的绝佳去处。</w:t>
      </w:r>
    </w:p>
    <w:p w14:paraId="2E6F620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（2）资源品质与特色</w:t>
      </w:r>
    </w:p>
    <w:p w14:paraId="413C5BD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修武历史文化与人文景观区的资源品质与特色，主要体现在其千年古县的深厚底蕴和多元文化的交相辉映上。修武县历史悠久，文化底蕴深厚，是千年古县，其历史可追溯至秦朝，历来为豫西北政治、经济、文化中心。这种悠久的历史，使得修武县内保存了大量的历史遗存，如圆融无碍禅寺、当阳峪古瓷窑遗址等，这些遗存不仅具有极高的历史价值，还展现了古代建筑、宗教文化、瓷器制作工艺等多方面的成就。</w:t>
      </w:r>
    </w:p>
    <w:p w14:paraId="2A2CBB2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同时，修武县还是多元文化的交汇地。这里是佛教文化、陶瓷文化、传统村落文化等多元文化体系的发源地或重要传承地。圆融无碍禅寺作为佛教圣地，见证了佛教文化在修武县的传播与发展；当阳峪古瓷窑遗址则展示了修武县在陶瓷制作方面的卓越成就；双庙村等传统村落则保留了丰富的传统村落文化，如传统建筑、民俗风情等。这些文化在修武县内相互交融，形成了独特的文化氛围。</w:t>
      </w:r>
    </w:p>
    <w:p w14:paraId="2C3FCA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（3）资源集中度与空间分布</w:t>
      </w:r>
    </w:p>
    <w:p w14:paraId="5719BED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修武历史文化与人文景观区的资源集中度与空间分布，呈现出“核心引领、轴线串联”的特点。圆融无碍禅寺、当阳峪古瓷窑遗址、双庙村传统民居等核心资源，构成了修武历史文化与人文景观区的核心区域。这些核心资源通过城市道路、旅游专线等交通设施实现串联，形成了便捷的旅游线路。同时，修武县内还保留着众多历史遗迹和文化场馆，如胜果寺塔、海蟾宫等，这些资源与核心区域共同构成了修武县的历史文化轴线。</w:t>
      </w:r>
    </w:p>
    <w:p w14:paraId="3130047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此外，修武县还通过“全域旅游”的发展理念，将历史文化资源与自然景观、乡村旅游等资源相结合，形成了全域文化探访网络。这种空间布局既保证了核心景区的集聚效应，又通过轴线延伸和全域拓展，实现了旅游资源的均衡发展，提升了旅游区的整体吸引力。游客可以在修武县内游览历史遗迹、参观文化场馆、体验传统村落生活，全方位感受修武县的历史与文化魅力。</w:t>
      </w:r>
    </w:p>
    <w:p w14:paraId="22B9658B">
      <w:pPr>
        <w:keepNext w:val="0"/>
        <w:keepLines w:val="0"/>
        <w:pageBreakBefore w:val="0"/>
        <w:widowControl w:val="0"/>
        <w:numPr>
          <w:ilvl w:val="0"/>
          <w:numId w:val="26"/>
        </w:numPr>
        <w:kinsoku/>
        <w:wordWrap/>
        <w:overflowPunct/>
        <w:topLinePunct w:val="0"/>
        <w:autoSpaceDE/>
        <w:autoSpaceDN/>
        <w:bidi w:val="0"/>
        <w:adjustRightInd/>
        <w:snapToGrid/>
        <w:spacing w:line="360" w:lineRule="auto"/>
        <w:ind w:left="0" w:leftChars="0" w:firstLine="0" w:firstLineChars="0"/>
        <w:jc w:val="both"/>
        <w:textAlignment w:val="auto"/>
        <w:outlineLvl w:val="2"/>
        <w:rPr>
          <w:rFonts w:hint="default" w:ascii="宋体" w:hAnsi="宋体" w:cs="宋体"/>
          <w:b/>
          <w:bCs/>
          <w:color w:val="auto"/>
          <w:sz w:val="28"/>
          <w:szCs w:val="28"/>
          <w:lang w:val="en-US" w:eastAsia="zh-CN"/>
        </w:rPr>
      </w:pPr>
      <w:bookmarkStart w:id="98" w:name="_Toc825"/>
      <w:r>
        <w:rPr>
          <w:rFonts w:hint="eastAsia" w:ascii="宋体" w:hAnsi="宋体" w:cs="宋体"/>
          <w:b/>
          <w:bCs/>
          <w:color w:val="auto"/>
          <w:sz w:val="28"/>
          <w:szCs w:val="28"/>
          <w:lang w:val="en-US" w:eastAsia="zh-CN"/>
        </w:rPr>
        <w:t>博爱县旅游资源富集区现状与评价</w:t>
      </w:r>
      <w:bookmarkEnd w:id="98"/>
    </w:p>
    <w:p w14:paraId="33F56CF1">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（一）青天河山水生态旅游区</w:t>
      </w:r>
    </w:p>
    <w:p w14:paraId="24C2262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1、区域概况与核心资源</w:t>
      </w:r>
    </w:p>
    <w:p w14:paraId="21DA7BE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青天河山水生态旅游区拥有5级资源6处，4级资源10处。</w:t>
      </w:r>
    </w:p>
    <w:p w14:paraId="56D463A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以青天河风景名胜区为核心，打造集自然观光、生态休闲、水上娱乐于一体的综合性旅游目的地。青天河风景名胜区，作为国家AAAAA级旅游景区，以其独特的山水景观和丰富的生态资源而著称。景区地处太行山南麓，集江南水乡与北国田园风光于一体，素有“北方三峡”和“桂林山水”之美誉。大泉湖是景区的核心景点，湖水清澈碧绿，两岸山峰耸立，形成了壮观的峡谷风光。游客可以乘船游览，感受“船行碧波上，人在画中游”的意境。三姑泉泉水清澈甘甜，传说为三位仙女沐浴之处，为景区增添了几分神秘色彩。观音峡峡谷深邃，两岸峭壁如削，观音像等景点分布其间，是游客祈福求祥的好去处。佛耳峡因峡谷形状如佛耳而得名，峡谷内植被茂密，溪流潺潺，是徒步探险、亲近自然的好地方。靳家岭岭上植被茂密，四季景色各异，是观赏红叶、避暑纳凉的好去处。此外，景区还开发了多种生态休闲项目，如竹筏漂流、垂钓、露营等，让游客在欣赏自然风光的同时，也能体验到生态休闲的乐趣。</w:t>
      </w:r>
    </w:p>
    <w:p w14:paraId="2050F97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2、富集区评价</w:t>
      </w:r>
    </w:p>
    <w:p w14:paraId="45D5D47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（1）资源类型与数量</w:t>
      </w:r>
    </w:p>
    <w:p w14:paraId="45D6A0F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青天河山水生态旅游区以青天河风景名胜区为核心，整合了极为丰富的旅游资源。自然景观方面，青天河风景名胜区地处太行山南麓，集江南水乡与北国田园风光于一体，素有“北方三峡”和“桂林山水”之美誉。景区内拥有大泉湖、三姑泉、观音峡、佛耳峡、靳家岭等多个核心景点。大泉湖湖水清澈碧绿，两岸山峰耸立，形成了壮观的峡谷风光；三姑泉泉水清澈甘甜，为景区增添了几分神秘色彩；观音峡峡谷深邃，两岸峭壁如削，是游客祈福求祥的好去处；佛耳峡峡谷内植被茂密，溪流潺潺，是徒步探险、亲近自然的好地方；靳家岭岭上植被茂密，四季景色各异，是观赏红叶、避暑纳凉的好去处。此外，景区内还拥有丰富的生态资源，如竹林、溪流、瀑布等，为游客提供了亲近自然、感受生态之美的机会。除了自然景观，青天河风景名胜区还拥有一定的人文景观，如月山寺等佛教文化遗址，为景区增添了几分文化底蕴。</w:t>
      </w:r>
    </w:p>
    <w:p w14:paraId="6B8CC5E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（2）资源品质与特色</w:t>
      </w:r>
    </w:p>
    <w:p w14:paraId="5EEEE89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青天河山水生态旅游区的资源品质与特色主要体现在其山水奇观与生态体验的完美结合上。青天河风景名胜区以其独特的山水景观和丰富的生态资源而著称。大泉湖作为景区的核心景点，以其清澈碧绿的湖水和壮观的山峰耸立而吸引了无数游客。三姑泉、观音峡、佛耳峡等景点也各具特色，有的以泉水清澈甘甜而著称，有的以峡谷深邃、峭壁如削而闻名。靳家岭则以其茂密的植被和四季各异的景色而成为游客观赏红叶、避暑纳凉的好去处。此外，景区内的生态资源也极为丰富，如竹林、溪流、瀑布等，为游客提供了亲近自然、感受生态之美的机会。游客可以在此进行徒步探险、垂钓、露营等多种生态休闲活动，感受大自然的宁静与和谐。这种山水奇观与生态体验的完美结合，使得青天河山水生态旅游区具有了独特的魅力和吸引力。</w:t>
      </w:r>
    </w:p>
    <w:p w14:paraId="05D48D1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（3）资源集中度与空间分布</w:t>
      </w:r>
    </w:p>
    <w:p w14:paraId="01298C2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青天河山水生态旅游区的资源集中度与空间分布呈现出“核心引领、轴线延伸”的特点。青天河风景名胜区作为旅游区的核心景区，以其丰富的自然和生态资源吸引了大量游客前来游览。景区内的大泉湖、三姑泉、观音峡、佛耳峡、靳家岭等核心景点通过旅游线路实现串联，形成了便捷的游览路线。这种空间布局既保证了核心景区的集聚效应，又通过轴线延伸实现了全域旅游资源的均衡发展。游客可以在青天河风景名胜区内欣赏到壮观的峡谷风光、感受到清澈的泉水、领略到茂密的植被和四季各异的景色。同时，景区还通过开发多种生态休闲项目，如竹筏漂流、垂钓、露营等，让游客在欣赏自然风光的同时，也能体验到生态休闲的乐趣。这种“核心引领、轴线延伸”的空间布局不仅提升了旅游区的整体吸引力，还有利于旅游区的可持续发展。</w:t>
      </w:r>
    </w:p>
    <w:p w14:paraId="3A4CE901">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（二）博爱县历史文化旅游区</w:t>
      </w:r>
    </w:p>
    <w:p w14:paraId="454DD83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1、区域概况与核心资源</w:t>
      </w:r>
    </w:p>
    <w:p w14:paraId="498DFFE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博爱县历史文化旅游区拥有5级资源3处，4级资源12处。</w:t>
      </w:r>
    </w:p>
    <w:p w14:paraId="12FA724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整合月山寺风景区、博爱县博物馆与李商隐文化园、太行博竹苑等资源，打造集宗教文化、历史博览、科普教育于一体的城市文化旅游区。月山寺风景区是佛教圣地，始建于公元1158年，历史上曾与少林寺、白马寺等齐名，有“中州四大名寺”之称。景区内古迹众多，文化底蕴深厚。月山寺内建筑古朴典雅，保存有大量的佛教文物和古籍，游客可以在此感受佛教文化的博大精深。连环井寺内两口古井相连，井水清澈甘甜，相传为寺内僧人饮水之源。七星塔塔身挺拔秀丽，为月山寺的标志性建筑之一。博爱县博物馆是了解博爱历史文化的重要场所，馆内收藏有大量的历史文物和民俗展品，展示了博爱的历史沿革、文化传承和民俗风情。李商隐文化园则是为了纪念唐代著名诗人李商隐而建，园内设有李商隐雕像、诗碑等文化设施，游客可以在此感受唐代诗人的文学魅力。太行博竹苑是北方地区规模最大的竹类主题公园，集竹类科研、科普教育、生态观光于一体。园内竹林茂密，品种繁多，形成了独特的竹林风光。游客可以在此漫步竹林小道，感受竹子的清雅与高洁，同时也可以在科普教育基地了解竹子的生长习性、用途等知识。</w:t>
      </w:r>
    </w:p>
    <w:p w14:paraId="081DCAA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2、富集区评价</w:t>
      </w:r>
    </w:p>
    <w:p w14:paraId="3C06FFA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（1）资源类型与数量</w:t>
      </w:r>
    </w:p>
    <w:p w14:paraId="10B5CC1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博爱县历史文化旅游区整合了月山寺风景区、博爱县博物馆与李商隐文化园、太行博竹苑等资源，构建了丰富的城市文化矩阵。月山寺风景区作为佛教圣地，拥有月山寺、连环井、七星塔等众多古迹，这些古迹不仅具有极高的历史价值，还展现了古代建筑的精湛工艺和佛教文化的独特魅力。博爱县博物馆则是了解博爱历史文化的重要场所，馆内收藏有大量的历史文物和民俗展品，展示了博爱的历史沿革、文化传承和民俗风情。李商隐文化园则是为了纪念唐代著名诗人李商隐而建，园内设有李商隐雕像、诗碑等文化设施，让游客能够感受到唐代诗人的文学魅力。此外，太行博竹苑作为北方地区规模最大的竹类主题公园，不仅拥有茂密的竹林和丰富的竹类品种，还集竹类科研、科普教育、生态观光于一体，为游客提供了独特的文化体验。</w:t>
      </w:r>
    </w:p>
    <w:p w14:paraId="069B218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（2）资源品质与特色</w:t>
      </w:r>
    </w:p>
    <w:p w14:paraId="0856E35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博爱县历史文化旅游区的资源品质与特色主要体现在其千年古刹与名人文化的交相辉映上。月山寺风景区作为佛教圣地，历史悠久，文化底蕴深厚。月山寺始建于公元1158年，历史上曾与少林寺、白马寺等齐名，有“中州四大名寺”之称。寺内建筑古朴典雅，保存有大量的佛教文物和古籍，让游客能够感受到佛教文化的博大精深。同时，月山寺还是博爱县的重要历史遗存，见证了博爱县的历史变迁和文化发展。李商隐文化园则是为了纪念唐代著名诗人李商隐而建，李商隐作为唐代文学史上的重要人物，其诗歌作品具有极高的文学价值。园内设有李商隐雕像、诗碑等文化设施，让游客能够感受到唐代诗人的文学魅力，同时也了解了李商隐的生平事迹和文学成就。此外，太行博竹苑的竹类文化也是博爱县历史文化旅游区的一大特色，园内竹林茂密，品种繁多，形成了独特的竹林风光，让游客在欣赏竹林美景的同时，也能了解到竹类的生长习性和用途等知识。</w:t>
      </w:r>
    </w:p>
    <w:p w14:paraId="64EBA8F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（3）资源集中度与空间分布</w:t>
      </w:r>
    </w:p>
    <w:p w14:paraId="0C8B259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博爱县历史文化旅游区的资源集中度与空间分布呈现出“核心引领、轴线串联”的特点。月山寺风景区、博爱县博物馆与李商隐文化园、太行博竹苑等核心资源构成了博爱县历史文化旅游区的核心区域。这些核心资源通过城市道路、旅游专线等交通设施实现串联，形成了便捷的旅游线路。同时，博爱县历史文化旅游区还通过“一心、两轴、三区”的全域旅游发展格局，将历史文化资源与自然景观、乡村旅游等资源相结合，形成了全域文化探访网络。这种空间布局既保证了核心景区的集聚效应，又通过轴线延伸和全域拓展，实现了旅游资源的均衡发展，提升了旅游区的整体吸引力。游客可以在月山寺感受佛教文化的博大精深，在博爱县博物馆了解博爱的历史文化，在李商隐文化园感受唐代诗人的文学魅力，在太行博竹苑欣赏竹林美景并了解竹类文化。</w:t>
      </w:r>
    </w:p>
    <w:p w14:paraId="3C9B08F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2"/>
        <w:rPr>
          <w:rFonts w:hint="default" w:ascii="宋体" w:hAnsi="宋体" w:eastAsia="宋体" w:cs="宋体"/>
          <w:b/>
          <w:bCs/>
          <w:color w:val="auto"/>
          <w:sz w:val="30"/>
          <w:szCs w:val="30"/>
          <w:lang w:val="en-US" w:eastAsia="zh-CN"/>
        </w:rPr>
      </w:pPr>
      <w:bookmarkStart w:id="99" w:name="_Toc3520"/>
      <w:r>
        <w:rPr>
          <w:rFonts w:hint="eastAsia" w:ascii="宋体" w:hAnsi="宋体" w:cs="宋体"/>
          <w:b/>
          <w:bCs/>
          <w:color w:val="auto"/>
          <w:sz w:val="30"/>
          <w:szCs w:val="30"/>
          <w:lang w:val="en-US" w:eastAsia="zh-CN"/>
        </w:rPr>
        <w:t>四、沁阳市旅游资源富集区现状与评价</w:t>
      </w:r>
      <w:bookmarkEnd w:id="99"/>
    </w:p>
    <w:p w14:paraId="124F8A4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（一）神农山-丹河峡谷自然与文化双重旅游区</w:t>
      </w:r>
    </w:p>
    <w:p w14:paraId="1755236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1、区域概况与核心资源</w:t>
      </w:r>
    </w:p>
    <w:p w14:paraId="04EAC3D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神农山-丹河峡谷自然与文化双重旅游区拥有五级资源14处，四级资源30处。</w:t>
      </w:r>
    </w:p>
    <w:p w14:paraId="15915D8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神农山-丹河峡谷自然与文化双重旅游区，以神农山为核心，辐射联动丹河峡谷、二仙庙与仙神河景区，形成了一个集自然奇观、宗教文化、历史遗存于一体的综合性旅游区。神农山风景名胜区，作为国家AAAAA级旅游景区，以其险峻的山势和丰富的文化内涵吸引着无数游客。主峰紫金顶海拔1028米，云阳河、仙神河两大峡谷纵贯全境，形成了“一山两河”的壮丽地貌。这里植被茂密，覆盖率高达90%以上，珍稀植物如太行花、青檀等遍布山间，野生动物如金钱豹、红腹锦鸡等也在此栖息，构成了一个生物多样性极为丰富的宝库。除了自然景观，神农山还承载着深厚的人文历史。炎帝神农氏祭坛、云阳寺、清静宫等古迹星罗棋布，见证了这片土地的悠久历史和灿烂文化。丹河峡谷风景区则以其险峻的峡谷和清澈的河水著称。峡谷全长30公里，谷深300-500米，两岸峭壁如削，丹河在谷底蜿蜒流淌，形成了“九曲十八弯”的壮丽景观。这里不仅自然风光秀美，还蕴含着丰富的历史文化。古栈道遗址沿峡谷蜿蜒，全长约5公里，是唐代以来连接晋豫的重要交通要道，现存石孔、碑刻等遗迹，让人仿佛能听到历史的回响。二仙庙与仙神河景区则以其宗教文化和山水融合的特色而闻名。二仙庙是祭祀道教真泽二仙子的宫观，始建于金代，现存大殿为河南省重点文物保护单位。庙内的“二仙乐女”壁画为明代精品，展现了道教音乐舞蹈的生动场景。仙神河发源于神农山，在二仙庙前形成深潭，河水清澈见底，两岸植被茂密，与二仙庙共同构成了一幅美丽的山水画卷。这三个景区通过S238省道、旅游专线巴士等交通设施实现串联，车程均在1小时内，为游客提供了便捷的旅游线路。</w:t>
      </w:r>
    </w:p>
    <w:p w14:paraId="446CA84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2、富集区评价</w:t>
      </w:r>
    </w:p>
    <w:p w14:paraId="4436AB2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（1）资源类型与数量</w:t>
      </w:r>
    </w:p>
    <w:p w14:paraId="56C071C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神农山-丹河峡谷自然与文化双重旅游区以神农山、丹河峡谷、二仙庙与仙神河景区为核心，整合了极为丰富的旅游资源。自然景观方面，神农山主峰紫金顶海拔1028米，云阳河、仙神河两大峡谷纵贯全境，形成了独特的“一山两河”地貌格局。景区内植被茂密，覆盖率高达90%以上，珍稀植物如太行花、青檀等遍布山间，野生动物如金钱豹、红腹锦鸡等也在此栖息，构成了一个生物多样性极为丰富的自然宝库。此外，丹河峡谷风景区以其险峻的峡谷和清澈的河水著称，峡谷全长30公里，谷深300-500米，两岸峭壁如削，丹河在谷底蜿蜒流淌，形成了“九曲十八弯”的壮丽景观。在人文景观方面，神农山承载着深厚的历史文化底蕴，炎帝神农氏祭坛、云阳寺、清静宫等古迹星罗棋布。丹河峡谷内则分布着古栈道遗址、军事遗存等历史文化遗迹。二仙庙与仙神河景区则以其宗教文化和山水融合的特色而闻名，二仙庙是祭祀道教真泽二仙子的宫观，仙神河发源于神农山，在二仙庙前形成深潭，与二仙庙共同构成了一幅美丽的山水画卷。这些丰富的自然和人文资源共同构建了神农山-丹河峡谷旅游区复合型的旅游体系。</w:t>
      </w:r>
    </w:p>
    <w:p w14:paraId="77D3E5F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（2）资源品质与特色</w:t>
      </w:r>
    </w:p>
    <w:p w14:paraId="032B255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神农山-丹河峡谷旅游区的资源品质与特色主要体现在其自然奇观与历史遗存的完美结合上。神农山以其险峻的山势和丰富的生物多样性而著称，主峰紫金顶海拔较高，云阳河、仙神河两大峡谷的地貌特征独特，具有极高的科学价值和观赏价值。同时，神农山还是炎帝神农氏的祭祀圣地，炎帝神农氏祭坛、云阳寺、清静宫等古迹不仅具有深厚的历史文化底蕴，还展现了古代建筑的精湛工艺和宗教文化的独特魅力。丹河峡谷则以其险峻的峡谷和清澈的河水吸引着无数游客，峡谷内的古栈道遗址、军事遗存等历史文化遗迹则让游客在欣赏自然风光的同时，也能感受到历史的厚重与沧桑。二仙庙与仙神河景区则以其宗教文化和山水融合的特色而独具魅力，二仙庙的明代壁画、仙神河的清澈河水以及两岸的茂密植被共同构成了一幅美丽的画卷。这些自然奇观与历史遗存的完美结合，使得神农山-丹河峡谷旅游区具有了独特的魅力和吸引力。</w:t>
      </w:r>
    </w:p>
    <w:p w14:paraId="6A5711E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（3）资源集中度与空间分布</w:t>
      </w:r>
    </w:p>
    <w:p w14:paraId="190F43B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神农山-丹河峡谷旅游区的资源集中度与空间分布呈现出“核心带动、轴线延伸”的特点。神农山作为旅游区的核心景区，以其丰富的自然和人文资源吸引了大量游客前来游览。丹河峡谷、二仙庙与仙神河景区则作为神农山的延伸和补充，通过S238省道、旅游专线巴士等交通设施与神农山实现串联，车程均在1小时内，形成了便捷的旅游线路。这种空间布局既保证了核心景区的集聚效应，又通过轴线延伸实现了全域旅游资源的均衡发展。游客可以在神农山感受自然奇观与历史文化的交融，在丹河峡谷体验探险猎奇的乐趣，在二仙庙与仙神河景区领略宗教文化与山水风光的和谐之美。这种“核心带动、轴线延伸”的空间布局不仅提升了旅游区的整体吸引力，还有利于旅游区的可持续发展。</w:t>
      </w:r>
    </w:p>
    <w:p w14:paraId="3F2C7A01">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（二）沁阳古城历史文化旅游区</w:t>
      </w:r>
    </w:p>
    <w:p w14:paraId="0D0A6ED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1、区域概况与核心资源</w:t>
      </w:r>
    </w:p>
    <w:p w14:paraId="1A0CC60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沁阳古城历史文化旅游区拥有五级资源12处，四级资源20处。</w:t>
      </w:r>
    </w:p>
    <w:p w14:paraId="50BF649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沁阳古城历史文化旅游区，以沁阳城区为核心，整合了沁阳博物馆、天宁寺三圣塔、朱载堉纪念馆等众多文化资源，打造了一个集文物博览、古建观赏、学术研究于一体的城市文化会客厅。沁阳博物馆是了解沁阳历史文化的重要窗口，馆藏文物1.2万件，涵盖了新石器时代至近现代的各个时期。镇馆之宝“唐代石灯幢”为全国现存最早的石雕灯幢，其精湛的雕刻工艺和悠久的历史价值令人叹为观止。博物馆还陈列着“宋代瓷枕”系列，展示了当阳峪窑、扒村窑等北方名窑的精品瓷器，以及“明清宗谱”等记录沁阳世家大族传承历史的珍贵文献。与沁阳博物馆相距不远的天宁寺三圣塔，则是沁阳市的标志性建筑之一。这座始建于金大定年间的仿木结构密檐式砖塔，高32.7米，塔身嵌有16尊佛像砖雕，塔内保存的明代壁画《佛说弥勒上生经变相》更是艺术价值极高。朱载堉纪念馆则是为了纪念明代科学巨匠朱载堉而建，全面展示了他在音乐、数学、天文领域的卓越成就。馆内复原了朱载堉的“十二平均律”计算模型，陈列了《律吕精义》《嘉量算经》等著作，让游客能够深入了解这位科学巨匠的传奇人生。此外，沁阳古城历史文化旅游区还保留着众多传统建筑和手工艺传承。水南关明清街现存传统建筑80余处，包括“怀庆会馆”“山西会馆”等商号遗址，以及“李商隐故里碑”“药王庙”等文化地标。街道两侧保留着“前店后坊”的格局，传统手工艺如“黑陶制作”“野王纻器编织”等在此活态传承，让游客能够亲身感受到沁阳古城的独特魅力。</w:t>
      </w:r>
    </w:p>
    <w:p w14:paraId="3AF8CF4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2、富集区评价</w:t>
      </w:r>
    </w:p>
    <w:p w14:paraId="639A114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（1）资源类型与数量</w:t>
      </w:r>
    </w:p>
    <w:p w14:paraId="599ADC6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沁阳古城历史文化旅游区以沁阳城区为核心，整合了极为丰富的历史文化资源。全国重点文物保护单位多达6处，包括天宁寺三圣塔、沁阳北大寺、朱载堉墓等，这些古迹横跨金、元、明、清等朝代，展现了古代建筑、宗教文化、墓葬艺术等多方面的成就。省级文物保护单位有30处，沁阳市文物保护单位109处，这些不同级别的文物保护单位，构成了沁阳古城历史文化旅游区的主体框架。除了物质文化遗产，该区域还拥有5项国家级非物质文化遗产，如怀梆、唢呐艺术、高抬火轿等，以及12项省级非物质文化遗产，这些非物质文化遗产项目，涵盖了传统戏剧、音乐、舞蹈、技艺等多个领域，是沁阳古城历史文化旅游区的重要组成部分。此外，沁阳古城内还分布着多个历史街区和传统村落，如水南关明清街、桥口街等，这些街区保留了大量传统建筑和手工艺，如黑陶制作、野王纻器编织等，这些传统建筑和手工艺，是沁阳古城历史文化旅游区的活态文化展示。</w:t>
      </w:r>
    </w:p>
    <w:p w14:paraId="3E51AF3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（2）资源品质与特色</w:t>
      </w:r>
    </w:p>
    <w:p w14:paraId="3228B07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沁阳古城历史文化旅游区的资源品质与特色，主要体现在其千年古县的深厚底蕴和多元文化的交相辉映上。沁阳作为全国首批“千年古县”，其历史可追溯至夏代，商代属京畿重地，周代称“野王邑”，两汉设“野王县”，隋改“河内县”，明清设怀庆府，历来为豫西北政治、经济、文化中心。这种悠久的历史，使得沁阳古城内保存了大量的历史遗存，如天宁寺三圣塔、沁阳北大寺等，这些古迹不仅具有极高的历史价值，还展现了古代建筑的精湛工艺和宗教文化的独特魅力。同时，沁阳还是多元文化的交汇地，这里是神农文化、怀府文化、怀商文化等多元文化体系的发源地或重要传承地，这些文化在沁阳古城内相互交融，形成了独特的文化氛围。此外，沁阳古城的历史街区和传统村落，如桥口街等，自古以来就是文化中心，这些街区专营文房四宝、刊印典籍，形成了独特的文化氛围，是沁阳古城文化的重要组成部分。</w:t>
      </w:r>
    </w:p>
    <w:p w14:paraId="3CCD1D6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（3）资源集中度与空间分布</w:t>
      </w:r>
    </w:p>
    <w:p w14:paraId="793E3F3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沁阳古城历史文化旅游区的资源集中度与空间分布，呈现出“核心引领、轴线串联”的特点。沁阳博物馆、天宁寺三圣塔、朱载堉纪念馆等核心资源，构成了沁阳古城历史文化旅游区的核心区域，这些核心资源通过城市道路、旅游专线等交通设施实现串联，形成了便捷的旅游线路。同时，沁阳古城内还保留着众多传统建筑和手工艺传承，如水南关明清街、桥口街等，这些街区与核心资源共同构成了沁阳古城的历史文化轴线。此外，沁阳古城历史文化旅游区还通过“一心、两城、四区、多亮点”的全域旅游发展格局，将历史文化资源与自然景观、乡村旅游等资源相结合，形成了全域文化探访网络。这种空间布局既保证了核心景区的集聚效应，又通过轴线延伸和全域拓展，实现了旅游资源的均衡发展，提升了旅游区的整体吸引力。</w:t>
      </w:r>
    </w:p>
    <w:p w14:paraId="508D403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2"/>
        <w:rPr>
          <w:rFonts w:hint="default" w:ascii="宋体" w:hAnsi="宋体" w:eastAsia="宋体" w:cs="宋体"/>
          <w:b/>
          <w:bCs/>
          <w:color w:val="auto"/>
          <w:sz w:val="30"/>
          <w:szCs w:val="30"/>
          <w:lang w:val="en-US" w:eastAsia="zh-CN"/>
        </w:rPr>
      </w:pPr>
      <w:bookmarkStart w:id="100" w:name="_Toc21656"/>
      <w:r>
        <w:rPr>
          <w:rFonts w:hint="eastAsia" w:ascii="宋体" w:hAnsi="宋体" w:cs="宋体"/>
          <w:b/>
          <w:bCs/>
          <w:color w:val="auto"/>
          <w:sz w:val="30"/>
          <w:szCs w:val="30"/>
          <w:lang w:val="en-US" w:eastAsia="zh-CN"/>
        </w:rPr>
        <w:t>五、山阳区旅游资源富集区现状与评价</w:t>
      </w:r>
      <w:bookmarkEnd w:id="100"/>
    </w:p>
    <w:p w14:paraId="62D640B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（一）山阳区历史文化与自然景观区</w:t>
      </w:r>
    </w:p>
    <w:p w14:paraId="7B26D8F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1、区域概况与核心资源</w:t>
      </w:r>
    </w:p>
    <w:p w14:paraId="2BFF751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山阳区历史文化与自然景观区拥有五级资源8处，四级资源17处。</w:t>
      </w:r>
    </w:p>
    <w:p w14:paraId="13BF385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山阳区历史悠久，文化灿烂，拥有众多历史文化遗迹和人文景观。其中，山阳城遗址和药王庙作为省级文物保护单位，是了解山阳历史文化的重要窗口。山阳城遗址见证了山阳区的悠久历史，而药王庙则承载着丰富的中医药文化。此外，恩州驿古街也是山阳区的一大亮点，这条古街依托南水北调中线工程，对历史遗存进行了保护性开发，融入了山阳特有的文化元素。古街上，皮影戏、汉服游、国潮川剧、非遗文创、美食表演等多元文化碰撞，为游客呈现了一桌国庆文旅盛宴。漫步在恩州驿古街上，游客可以感受到浓厚的历史文化氛围和独特的山阳风情。</w:t>
      </w:r>
    </w:p>
    <w:p w14:paraId="27D6A1B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南水北调文旅小镇是山阳区依托南水北调中线工程打造的文旅新地标。小镇对原有历史遗存进行了保护性开发，并融入了山阳特有的文化元素，同时持续引入全新商业业态、非遗文化等，填补了焦作市仿古商业街区的空白。街区内，传统作坊、小吃、老茶馆等多业态混合，为游客提供了丰富的消费体验。此外，小镇还定期举办各种特色文旅活动，如“怀川·民俗文化节”等，吸引了大量游客前来参与。南水北调文旅小镇及周边区域以其独特的文化魅力和丰富的旅游体验，成为山阳区文旅产业的新亮点。</w:t>
      </w:r>
    </w:p>
    <w:p w14:paraId="59395A5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该区域还拥有丰富的自然风光和生态旅游资源。缝山公园、黎明脚步公园等自然景区，以其优美的自然风光和清新的空气，成为游客亲近自然、感受生态之美的绝佳去处。此外，黄龙山体育公园等生态旅游项目也为游客提供了更多的旅游选择。这些自然风光与生态旅游区不仅让游客在欣赏美景的同时，也能享受到生态休闲的乐趣。</w:t>
      </w:r>
    </w:p>
    <w:p w14:paraId="29FA582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2、富集区评价</w:t>
      </w:r>
    </w:p>
    <w:p w14:paraId="38B0E13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（1）资源类型与数量</w:t>
      </w:r>
    </w:p>
    <w:p w14:paraId="641E16C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山阳区历史文化与自然景观区，作为焦作市山阳区文旅融合发展的重要载体，汇聚了丰富的旅游资源类型与数量。该区域涵盖了历史文化遗迹、自然景观、生态旅游资源、科技教育场所等多种类型，数量众多，品类齐全，为游客提供了多样化的旅游选择。</w:t>
      </w:r>
    </w:p>
    <w:p w14:paraId="2DC0DCF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从历史文化遗迹类型来看，山阳区拥有山阳城遗址、药王庙等省级文物保护单位，这些遗址和建筑见证了山阳区的悠久历史和灿烂文化。同时，恩州驿古街、南水北调文旅小镇等区域，通过保护性开发和文化元素的融入，也成了展示山阳历史文化的重要窗口。</w:t>
      </w:r>
    </w:p>
    <w:p w14:paraId="070200B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在自然景观方面，山阳区拥有缝山公园、黎明脚步公园等自然景区，这些景区以其优美的自然风光和清新的空气，吸引了大量游客前来亲近自然、感受生态之美。此外，黄龙山体育公园等生态旅游项目，也为游客提供了更多的旅游选择。</w:t>
      </w:r>
    </w:p>
    <w:p w14:paraId="3504626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除了历史文化遗迹和自然景观，山阳区还拥有一定的科技教育场所，如焦作市科技馆等。这些场所为游客提供了丰富的科技展览和互动体验，是亲子游和科普教育的理想选择。</w:t>
      </w:r>
    </w:p>
    <w:p w14:paraId="7D49ADF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（2）资源品质与特色</w:t>
      </w:r>
    </w:p>
    <w:p w14:paraId="22AA827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山阳区历史文化与自然景观区的资源品质与特色，主要体现在其千年古县的文化璀璨和自然生态的魅力无限上。山阳区历史悠久，文化底蕴深厚，是千年古县，其历史可追溯至古代。这种悠久的历史，使得山阳区内保存了大量的历史遗存，如山阳城遗址、药王庙等，这些遗存不仅具有极高的历史价值，还展现了古代建筑、宗教文化、中医药文化等多方面的成就。</w:t>
      </w:r>
    </w:p>
    <w:p w14:paraId="48F609B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同时，山阳区的自然景观也独具特色。缝山公园、黎明脚步公园等自然景区，以其独特的自然风光和丰富的生态资源，成为游客亲近自然、感受生态之美的绝佳去处。此外，南水北调文旅小镇等区域，通过保护性开发和文化元素的融入，也展现了山阳区独特的文化魅力和旅游吸引力。</w:t>
      </w:r>
    </w:p>
    <w:p w14:paraId="2AB233F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（3）资源集中度与空间分布</w:t>
      </w:r>
    </w:p>
    <w:p w14:paraId="5E2D193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山阳区历史文化与自然景观区的资源集中度与空间分布，呈现出“核心引领、全域拓展”的特点。恩州驿古街、南水北调文旅小镇等核心区域，通过保护性开发和文化元素的融入，成为展示山阳历史文化的重要窗口和游客游览的热点区域。这些核心区域通过城市道路、旅游专线等交通设施实现串联，形成了便捷的旅游线路。</w:t>
      </w:r>
    </w:p>
    <w:p w14:paraId="797EA07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同时，山阳区还通过“全域旅游”的发展理念，将历史文化资源与自然景观、科技教育等资源相结合，形成了全域文旅融合的新格局。缝山公园、黎明脚步公园等自然景区，以及焦作市科技馆等科技教育场所，与核心区域相互补充，共同构成了山阳区丰富的旅游资源体系。这种空间布局既保证了核心景区的集聚效应，又通过全域拓展实现了旅游资源的均衡发展，提升了旅游区的整体吸引力。游客可以在山阳区内游览历史遗迹、欣赏自然风光、体验科技教育，全方位感受山阳区的文化魅力和旅游吸引力。</w:t>
      </w:r>
    </w:p>
    <w:p w14:paraId="058770E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2"/>
        <w:rPr>
          <w:rFonts w:hint="default" w:ascii="宋体" w:hAnsi="宋体" w:eastAsia="宋体" w:cs="宋体"/>
          <w:b/>
          <w:bCs/>
          <w:color w:val="auto"/>
          <w:sz w:val="30"/>
          <w:szCs w:val="30"/>
          <w:lang w:val="en-US" w:eastAsia="zh-CN"/>
        </w:rPr>
      </w:pPr>
      <w:bookmarkStart w:id="101" w:name="_Toc25273"/>
      <w:r>
        <w:rPr>
          <w:rFonts w:hint="eastAsia" w:ascii="宋体" w:hAnsi="宋体" w:cs="宋体"/>
          <w:b/>
          <w:bCs/>
          <w:color w:val="auto"/>
          <w:sz w:val="30"/>
          <w:szCs w:val="30"/>
          <w:lang w:val="en-US" w:eastAsia="zh-CN"/>
        </w:rPr>
        <w:t>六、温县旅游资源富集区现状与评价</w:t>
      </w:r>
      <w:bookmarkEnd w:id="101"/>
    </w:p>
    <w:p w14:paraId="58F4A43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（一）陈家沟太极文化旅游区</w:t>
      </w:r>
    </w:p>
    <w:p w14:paraId="2BCDDFD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1、区域概况与核心资源</w:t>
      </w:r>
    </w:p>
    <w:p w14:paraId="0EDE067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陈家沟太极文化旅游区拥有五级资源22处，四级资源9处。</w:t>
      </w:r>
    </w:p>
    <w:p w14:paraId="42671F9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陈家沟作为太极拳发源地，拥有400余年武术文化积淀，其核心景点包括太极拳祖祠、杨露禅学拳处、陈照丕陵园等。祖祠内供奉陈氏太极拳历代宗师，年接待游客超120万人次，成为全球太极拳爱好者朝圣之地。2025年启动的“太极·蜜雪文旅融合示范区”项目，标志着该区域从单一武术文化展示向“文化+消费+体验”综合体转型。项目总投资12亿元，覆盖面积达3.2平方公里，涵盖“雪王市集”“今夜·东沟”“太极创客中心”三大子项目，预计2027年全面建成。</w:t>
      </w:r>
    </w:p>
    <w:p w14:paraId="3F935E8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 “雪王市集”：IP经济赋能文化场景</w:t>
      </w:r>
    </w:p>
    <w:p w14:paraId="3D83332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项目以蜜雪冰城“雪王”IP为核心，打造占地1.8万平方米的沉浸式消费空间。巨型雪王街角广场设置30米高互动装置，游客可通过AR技术触发“雪王打太极”全息影像；怀旧主题广场复刻20世纪80年代乡村供销社场景，推出“太极雪王”限定奶茶、怀药冰激凌等跨界产品。数据显示，市集开业首月日均客流量达1.2万人次，带动周边商铺租金上涨40%，其中“太极奶茶”单日最高销量突破2万杯。</w:t>
      </w:r>
    </w:p>
    <w:p w14:paraId="388576F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（2）“今夜·东沟”：数字技术重构文化叙事</w:t>
      </w:r>
    </w:p>
    <w:p w14:paraId="6F50B60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东沟作为陈王廷创拳遗址，通过3D Mapping投影、智能感应灯光等科技手段，打造“创拳之夜”沉浸式演出。演出以《陈氏太极拳图说》为蓝本，将拳法招式转化为光影艺术，配合环绕立体声效，再现“夜观星象悟太极”的历史场景。夜间消费业态植入方面，开发“太极药膳火锅”“星空露营基地”等产品，使游客停留时间从平均2.3小时延长至5.8小时。2025年暑期数据显示，夜间消费占比达65%，带动周边民宿入住率提升至92%。</w:t>
      </w:r>
    </w:p>
    <w:p w14:paraId="41C58B9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（3）产业联动：武术培训与消费升级</w:t>
      </w:r>
    </w:p>
    <w:p w14:paraId="0AB1E60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示范区内的“太极创客中心”整合全球300余家拳馆资源，开发“线上学拳+线下体验”OMO模式。学员可通过VR设备远程学习陈氏太极拳，完成课程后获得区块链认证证书，凭证书可享受景区消费折扣。该模式吸引25-35岁都市白领占比达58%，较传统游客群体年轻化15岁。同时，创客中心孵化出“太极智能手环”“筋膜枪”等衍生品，年销售额突破8000万元。</w:t>
      </w:r>
    </w:p>
    <w:p w14:paraId="5115848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2、富集区评价</w:t>
      </w:r>
    </w:p>
    <w:p w14:paraId="2D0D2D2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（1）资源类型与数量</w:t>
      </w:r>
    </w:p>
    <w:p w14:paraId="65A6219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陈家沟太极文化旅游区以人文景观为核心，构建起“武术文化+现代消费”的复合型资源体系。核心资源包括太极拳祖祠、杨露禅学拳处、陈照丕陵园等4处国家级非遗相关景点，以及陈家沟太极拳博物馆、太极全域剧场等2处文化场馆，形成太极拳文化传承的完整链条。创新资源方面，该区域开发了“雪王市集”“今夜·东沟”等3处跨界文旅项目，将蜜雪冰城IP与太极拳文化深度融合，打造出巨型雪王街角广场、沉浸式灯光演绎等新型消费场景。配套设施包括太极拳国际交流中心、太极文化主题酒店等，形成集武术研学、文化体验、休闲度假于一体的综合性旅游目的地。资源总量达20余处，其中人文资源占比70%，创新资源占比30%，突破了传统武术景区单一模式，形成差异化竞争力。</w:t>
      </w:r>
    </w:p>
    <w:p w14:paraId="77B32E3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（2）资源品质与特色</w:t>
      </w:r>
    </w:p>
    <w:p w14:paraId="0E53C83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陈家沟区的资源品质体现在稀缺性与创新力的双重叠加。作为太极拳发源地，其核心资源具备全球唯一性，太极拳被列入联合国教科文组织人类非物质文化遗产代表作名录，祖祠、创拳遗址等成为全球太极拳爱好者的精神地标。同时，该区域通过“蜜雪冰城×太极拳”跨界合作，创造出“文化+商业”双IP叠加效应，例如“雪王市集”单日客流量突破1.2万人次，验证了创新模式的商业潜力。此外，东沟创拳处等遗址通过考古实证，增强了文化可信度，而“太极+科技”融合项目如VR学拳系统，则赋予传统文化现代传播方式，提升了资源吸引力。</w:t>
      </w:r>
    </w:p>
    <w:p w14:paraId="3D330A6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（3）资源集中度与空间分布</w:t>
      </w:r>
    </w:p>
    <w:p w14:paraId="555D6AD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陈家沟区采用“核心集聚+轴线延伸”布局，1平方公里核心区集中布局太极拳祖祠、国际交流中心等标志性景点，形成“武术朝圣轴线”，游客平均停留时间达5.8小时。拓展区通过“雪王市集”“今夜·东沟”等项目，与核心区形成“日游+夜宿”闭环，资源转化率达65%。交通方面，景区内设置3条电瓶车环线，串联各景点，平均步行距离≤800米，并与郑州新郑国际机场、高铁温县站实现无缝对接，游客可达性高。空间利用效率方面，通过“太极+蜜雪”“太极+怀药”等主题线路，实现资源互补与产业联动，例如怀药深加工体验项目年接待游客超10万人次，验证了空间集约化开发的成效。</w:t>
      </w:r>
    </w:p>
    <w:p w14:paraId="2663E0A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（二）黄河生态与四大怀药现代农业旅游区</w:t>
      </w:r>
    </w:p>
    <w:p w14:paraId="3829BF1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1、区域概况与核心资源</w:t>
      </w:r>
    </w:p>
    <w:p w14:paraId="3656B6F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黄河生态与现代农业旅游区拥有五级资源9处，四级资源10处。</w:t>
      </w:r>
    </w:p>
    <w:p w14:paraId="2196DDF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温县1.9万公顷黄河滩区形成“林-草-水-鸟”生态链，成为豫北重要的生态休闲目的地。番田镇大吴村慈胜寺的唐代壁画、司马懿故里的三国文化展馆，与滩区湿地观鸟、滩涂摄影等生态项目形成互补。特色农业方面，“四大怀药”种植基地开发出怀药宴、山药深加工体验等研学产品，怀山堂股份有限公司的工业旅游线路年接待游客超10万人次。2024年数据显示，该区域生态农业旅游收入占全县旅游总收入25%，成为乡村振兴的重要引擎。</w:t>
      </w:r>
    </w:p>
    <w:p w14:paraId="66EAA73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（1）湿地生态修复工程</w:t>
      </w:r>
    </w:p>
    <w:p w14:paraId="682CA2C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投资3.2亿元实施“黄河湿地保护与修复项目”，恢复退化湿地4200亩，建设生态观测站5座。开发“观鸟长廊”“滩涂摄影基地”等低干扰旅游产品，配备专业导览员引导游客使用望远镜、长焦镜头等设备。数据显示，项目实施后鸟类种群数量增加27%，游客环保行为合规率达98%。</w:t>
      </w:r>
    </w:p>
    <w:p w14:paraId="1FD1DBC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（2）农业文化遗产活化利用</w:t>
      </w:r>
    </w:p>
    <w:p w14:paraId="66B4394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将“四大怀药”种植系统申报为中国重要农业文化遗产，开发“怀药农耕体验游”。游客可参与山药种植、地黄采收等农事活动，体验古法炮制技艺。怀山堂工业旅游线路设置透明生产线参观、怀药药膳DIY等环节，年接待研学团队280批次，转化率达45%。</w:t>
      </w:r>
    </w:p>
    <w:p w14:paraId="715592A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（3）文化IP的场景化表达</w:t>
      </w:r>
    </w:p>
    <w:p w14:paraId="7A20BA6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慈胜寺壁画通过数字技术进行高精度复原，在游客中心设置“唐代壁画AR体验馆”。司马懿故里开发“三国主题剧本杀”，将历史事件转化为沉浸式游戏剧情，吸引年轻游客占比达61%。2024年数据显示，文化体验项目人均消费达180元，是传统观光游的2.3倍。</w:t>
      </w:r>
    </w:p>
    <w:p w14:paraId="4EF44A0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2、富集区评价</w:t>
      </w:r>
    </w:p>
    <w:p w14:paraId="7F8B4C6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（1）资源类型与数量</w:t>
      </w:r>
    </w:p>
    <w:p w14:paraId="121E12F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该区域以生态资源为基底，整合农业与文化遗产，形成“生态-农业-文化”三元结构。生态资源包括1.9万公顷黄河湿地、沁河故道等2处大型景观，其中湿地观测站记录到国家二级保护鸟类136种，生态价值突出。农业资源以“四大怀药”种植基地为核心，延伸出怀山堂工业旅游区、怀药博物馆等，形成种植、加工、研学全产业链。人文资源则包括慈胜寺唐代壁画、司马懿故里等2处国家级文保单位，以及滩区民俗村落等，例如大吴村壁画艺术村年接待写生学生超2万人次。此外，还开发了滩涂摄影基地、星空露营公园等2处特色体验项目，资源类型均衡且特色鲜明。</w:t>
      </w:r>
    </w:p>
    <w:p w14:paraId="677969F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（2）资源品质与特色</w:t>
      </w:r>
    </w:p>
    <w:p w14:paraId="35E6904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黄河滩区的资源独特性体现在生态价值与文化遗产的双重优势。黄河湿地作为中原地区唯一完整的“林-草-水-鸟”生态系统，列入《中国重要湿地名录》，其科学价值与美学价值兼具，例如芦苇迷宫、红柳栈道等节点获评“河南省十大最美摄影地”。慈胜寺唐代壁画被鉴定为吴道子流派真迹，被誉为“中原敦煌”，艺术价值极高。农业方面，“四大怀药”种植系统入选中国重要农业文化遗产，怀药炮制技艺列入国家级非遗，怀山堂工业旅游区通过透明生产线与药膳DIY体验，实现资源从“静态保护”到“活态传承”的升级，年接待研学团队280批次。</w:t>
      </w:r>
    </w:p>
    <w:p w14:paraId="406A811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（3）资源集中度与空间分布</w:t>
      </w:r>
    </w:p>
    <w:p w14:paraId="4AFA09E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该区域采用“核心区+拓展区+辐射区”三级布局，核心区以黄河湿地为中心，集中布局观鸟长廊、摄影基地、露营公园等，形成生态体验集群；拓展区串联怀药种植基地、工业旅游区、三国文化村，形成农文旅融合带；辐射区则连接大吴村、东留石村等特色村落，构建乡村旅游网络。交通方面，规划建设的3条旅游快速通道将各核心景点车程控制在30分钟以内，景区内设置共享电动车租赁点，解决“最后一公里”问题。协同效应方面，生态资源与农业资源联动，例如游客可先观鸟摄影，再体验怀药种植，最后品尝药膳，形成完整产业链，人均消费达180元，是传统观光游的2.3倍。</w:t>
      </w:r>
    </w:p>
    <w:p w14:paraId="107F353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2"/>
        <w:rPr>
          <w:rFonts w:hint="default" w:ascii="宋体" w:hAnsi="宋体" w:eastAsia="宋体" w:cs="宋体"/>
          <w:b/>
          <w:bCs/>
          <w:color w:val="auto"/>
          <w:sz w:val="30"/>
          <w:szCs w:val="30"/>
          <w:lang w:val="en-US" w:eastAsia="zh-CN"/>
        </w:rPr>
      </w:pPr>
      <w:bookmarkStart w:id="102" w:name="_Toc3720"/>
      <w:r>
        <w:rPr>
          <w:rFonts w:hint="eastAsia" w:ascii="宋体" w:hAnsi="宋体" w:cs="宋体"/>
          <w:b/>
          <w:bCs/>
          <w:color w:val="auto"/>
          <w:sz w:val="30"/>
          <w:szCs w:val="30"/>
          <w:lang w:val="en-US" w:eastAsia="zh-CN"/>
        </w:rPr>
        <w:t>七、孟州市旅游资源富集区现状与评价</w:t>
      </w:r>
      <w:bookmarkEnd w:id="102"/>
    </w:p>
    <w:p w14:paraId="58E1272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3"/>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（一）孟州韩园黄河文化旅游区</w:t>
      </w:r>
    </w:p>
    <w:p w14:paraId="673CB0C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1、区域概况与核心资源</w:t>
      </w:r>
    </w:p>
    <w:p w14:paraId="581333D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孟州黄河文化旅游区拥有五级资源7处，四级资源24处。</w:t>
      </w:r>
    </w:p>
    <w:p w14:paraId="1412EEF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eastAsia="宋体" w:cs="宋体"/>
          <w:b w:val="0"/>
          <w:bCs w:val="0"/>
          <w:color w:val="auto"/>
          <w:kern w:val="2"/>
          <w:sz w:val="24"/>
          <w:szCs w:val="24"/>
          <w:u w:val="none"/>
          <w:shd w:val="clear" w:fill="E6F0FF"/>
          <w:lang w:val="en-US" w:eastAsia="zh-CN" w:bidi="ar-SA"/>
        </w:rPr>
      </w:pPr>
      <w:r>
        <w:rPr>
          <w:rFonts w:hint="eastAsia" w:ascii="宋体" w:hAnsi="宋体" w:cs="宋体"/>
          <w:b w:val="0"/>
          <w:bCs w:val="0"/>
          <w:color w:val="auto"/>
          <w:sz w:val="24"/>
          <w:szCs w:val="24"/>
          <w:lang w:val="en-US" w:eastAsia="zh-CN"/>
        </w:rPr>
        <w:t>孟州黄河文化旅游区包含综合文化体验区和生态休闲度假区。</w:t>
      </w:r>
      <w:r>
        <w:rPr>
          <w:rFonts w:hint="eastAsia" w:ascii="宋体" w:hAnsi="宋体" w:eastAsia="宋体" w:cs="宋体"/>
          <w:b w:val="0"/>
          <w:bCs w:val="0"/>
          <w:color w:val="auto"/>
          <w:kern w:val="2"/>
          <w:sz w:val="24"/>
          <w:szCs w:val="24"/>
          <w:lang w:val="en-US" w:eastAsia="zh-CN" w:bidi="ar-SA"/>
        </w:rPr>
        <w:t xml:space="preserve">综合文化体验区以丰富的历史文化遗迹为依托，打造沉浸式的文化体验场景。游客可以走进古老的建筑，触摸岁月留下的痕迹，聆听历史故事，感受黄河文化的深厚底蕴。区内还设有多个文化展示馆，通过实物、图片、多媒体等形式，全方位展示黄河流域的历史变迁、民俗风情和艺术传承。生态休闲度假区则注重营造自然、宁静的氛围，让游客在繁忙的生活中寻得一片宁静之地。这里绿树成荫，花草繁茂，有清澈的溪流蜿蜒而过。度假区内配备了各种休闲设施，如露营基地、垂钓区、骑行道等，满足不同游客的休闲需求。同时，还提供特色生态餐饮，食材均取自当地绿色无污染的农产品，让游客品尝到原汁原味的乡村美食。 </w:t>
      </w:r>
    </w:p>
    <w:p w14:paraId="5ABE898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综合文化体验区融合了韩愈文化旅游区、古城历史文化旅游区以及红色文化旅游区，是一个集历史文化、名人文化、革命文化于一体的综合文化体验区。韩愈文化旅游区以唐代文学家韩愈的故里为核心，拥有韩愈墓（韩园）、韩愈雕像、韩愈祠堂等文化地标，是游客了解韩愈生平、感受韩愈文化的重要场所。古城历史文化旅游区则以孟州古城墙、古城门、古街巷等历史遗迹为主题，展现了孟州古城的历史风貌和文化底蕴，游客可以在这里漫步古城街巷，感受古城的历史韵味。此外，红色文化旅游区以革命历史为主题，展示了孟州市在革命战争时期的英勇斗争和光辉历程，游客可以在这里参观革命遗址、聆听革命故事，接受爱国主义教育。</w:t>
      </w:r>
    </w:p>
    <w:p w14:paraId="0D90C57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生态休闲度假区整合了黄河湿地生态旅游区与老家莫沟休闲度假区，形成了一个集自然生态观光、乡村休闲体验、民俗文化体验于一体的生态休闲度假区。黄河湿地生态旅游区以自然生态为主题，拥有广阔的湿地景观和丰富的生物多样性，是候鸟迁徙的重要通道，也是众多珍稀鸟类的栖息地，游客可以在这里观赏湿地风光，感受大自然的宁静与和谐。老家莫沟休闲度假区则保留了大量的明清时期传统建筑，如窑洞、四合院等，展现了豫北地区独特的乡村风貌，游客可以在这里体验传统的农耕文化，品尝地道的农家美食，享受乡村的宁静与淳朴。同时，该区域还开发了多种休闲度假项目，如民宿、温泉、水上乐园等，为游客提供了丰富的旅游体验。</w:t>
      </w:r>
    </w:p>
    <w:p w14:paraId="75031D4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2、富集区评价</w:t>
      </w:r>
    </w:p>
    <w:p w14:paraId="1B67082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（1）资源类型与数量</w:t>
      </w:r>
    </w:p>
    <w:p w14:paraId="684DAEC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孟州市旅游资源富集区呈现出“文化+生态+红色”的复合型资源结构，涵盖六大核心板块。韩愈文化旅游区以韩愈墓、韩园为核心，串联韩愈小学、韩愈大街等文化地标，形成完整的韩愈文化朝圣线路；黄河湿地生态旅游区依托广阔湿地，整合观鸟台、科普基地等设施，构建起生态观光与科普教育体系；老家莫沟休闲度假区则融合明清窑洞、四合院等传统建筑，配套民宿、温泉、水上乐园等休闲项目，展现豫北乡村风貌；红色文化旅游区以干沟桥爱国主义教育基地、岩山革命老区为载体，保存革命遗址，传承红色基因；古城历史文化旅游区以孟州古城墙、古城门、古街巷为脉络，勾勒出古城历史风貌；工业旅游示范区则以企业生产线、产品展示厅为窗口，展示孟州工业发展成就。六大区域资源总量达50余处，其中人文资源占比60%，生态资源占比30%，红色与工业资源占比10%，形成“文化为魂、生态为基、红色为脉、工业为辅”的多元旅游产品矩阵。</w:t>
      </w:r>
    </w:p>
    <w:p w14:paraId="30BC4AD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（2）资源品质与特色</w:t>
      </w:r>
    </w:p>
    <w:p w14:paraId="336B9F6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孟州市旅游资源富集区的品质与特色体现在三个方面。韩愈文化作为孟州的文化灵魂，具有全球唯一性。韩愈墓（韩园）作为国家AAA级旅游景区，不仅是韩愈的安息之地，更是研究韩愈生平、文学成就的重要场所。韩愈雕像、韩愈祠堂等文化地标，以及韩愈小学、韩愈大街等文化符号，共同构建起韩愈文化的立体展示体系。黄河湿地生态旅游区作为候鸟迁徙的重要通道，拥有丰富的生物多样性，观鸟台、科普基地等设施为游客提供了亲近自然、了解生态的机会。老家莫沟休闲度假区则保留了大量的明清时期传统建筑，如窑洞、四合院等，展现了豫北地区独特的乡村风貌，为游客提供了体验传统农耕文化、品尝地道农家美食的场所。此外，红色文化旅游区以革命历史为主题，展示了孟州市在革命战争时期的英勇斗争和光辉历程，为游客提供了接受爱国主义教育的机会。</w:t>
      </w:r>
    </w:p>
    <w:p w14:paraId="0527C8F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（3）资源集中度与空间分布</w:t>
      </w:r>
    </w:p>
    <w:p w14:paraId="22E9948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孟州市旅游资源富集区的空间布局呈现出“核心带动、轴线延伸、网络联动”的特点。韩愈文化旅游区、古城历史文化旅游区等核心区域位于孟州市中心地带，通过城市干道、公交专线等交通设施实现无缝衔接。黄河湿地生态旅游区、老家莫沟休闲度假区等区域则位于孟州市周边，通过旅游快速通道、共享电单车等设施与中心城区形成便捷联系。红色文化旅游区、工业旅游示范区等区域则根据资源分布特点，灵活布局在孟州市各地。这种空间布局既保证了核心景区的集聚效应，又通过轴线延伸与网络联动，实现了全域旅游资源的均衡发展。游客可以在孟州市内便捷地游览各大景区，感受孟州市丰富的旅游资源与深厚的文化底蕴。同时，孟州市还注重旅游资源的保护与开发，通过科学规划与管理，确保旅游资源的可持续利用与旅游产业的健康发展。</w:t>
      </w:r>
    </w:p>
    <w:p w14:paraId="05114EA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2"/>
        <w:rPr>
          <w:rFonts w:hint="default" w:ascii="宋体" w:hAnsi="宋体" w:eastAsia="宋体" w:cs="宋体"/>
          <w:b/>
          <w:bCs/>
          <w:color w:val="auto"/>
          <w:sz w:val="30"/>
          <w:szCs w:val="30"/>
          <w:lang w:val="en-US" w:eastAsia="zh-CN"/>
        </w:rPr>
      </w:pPr>
      <w:bookmarkStart w:id="103" w:name="_Toc19956"/>
      <w:r>
        <w:rPr>
          <w:rFonts w:hint="eastAsia" w:ascii="宋体" w:hAnsi="宋体" w:cs="宋体"/>
          <w:b/>
          <w:bCs/>
          <w:color w:val="auto"/>
          <w:sz w:val="30"/>
          <w:szCs w:val="30"/>
          <w:lang w:val="en-US" w:eastAsia="zh-CN"/>
        </w:rPr>
        <w:t>八、武陟县旅游资源富集区现状与评价</w:t>
      </w:r>
      <w:bookmarkEnd w:id="103"/>
    </w:p>
    <w:p w14:paraId="090DFE1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3"/>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（一）武陟嘉应观黄河文化旅游区</w:t>
      </w:r>
    </w:p>
    <w:p w14:paraId="0A115E3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1、区域概况与核心资源</w:t>
      </w:r>
    </w:p>
    <w:p w14:paraId="64B0439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武陟黄河文化旅游区拥有5级资源10处，四级资源21处。</w:t>
      </w:r>
    </w:p>
    <w:p w14:paraId="5C68F7B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武陟县，作为全国唯一的“中国黄河文化之乡”，其旅游资源富集且独具特色。武陟黄河文化旅游区包含黄河文化旅游核心区、历史文化遗产集聚区以及红色文化与研学旅游区，它们相互交融，共同构成了丰富多彩的旅游画卷。</w:t>
      </w:r>
    </w:p>
    <w:p w14:paraId="5631727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黄河文化旅游核心区以嘉应观、人民胜利渠渠首、黄河文化园等景点为代表，展现了黄河文化的深厚底蕴和独特魅力。嘉应观，这座被誉为“黄河故宫”的清代建筑，集宫、庙、衙于一体，是研究黄河文化的重要实物资料。人民胜利渠渠首则是新中国首个大型引黄灌溉工程，见证了人类治理黄河的伟大成就。黄河文化园则以沿河步道、观景台、文化雕塑等设施，让游客在欣赏黄河美景的同时，深入了解黄河文化的历史与现状。</w:t>
      </w:r>
    </w:p>
    <w:p w14:paraId="50B38A2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历史文化遗产集聚区则汇聚了妙乐寺塔、青龙宫、千佛阁等众多文保单位，以及董永故里、何瑭纪念馆等人文景点。妙乐寺塔为五代后周时期砖塔，是研究唐代以后佛塔建筑演变的珍贵实物；青龙宫作为道教宫观，现存明清建筑群，具有极高的建筑和艺术价值。这些古迹和遗址，不仅让游客领略到古代建筑的雄伟与精致，更能感受到武陟县悠久的历史和灿烂的文化。</w:t>
      </w:r>
    </w:p>
    <w:p w14:paraId="7524848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此外，武陟县还是红色文化的重要发祥地之一。西滑封精神展览馆、人民胜利渠渠首等红色景点，记录了革命先辈的英勇事迹和艰苦奋斗精神。这些红色景点已成为研学旅游的重要目的地，吸引着大量游客前来参观学习。在这里，游客可以深入了解革命历史，感受红色文化的熏陶和洗礼，从而更加珍惜今天的幸福生活。</w:t>
      </w:r>
    </w:p>
    <w:p w14:paraId="160ACE3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2、富集区评价</w:t>
      </w:r>
    </w:p>
    <w:p w14:paraId="020D3C4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（1）资源类型与数量</w:t>
      </w:r>
    </w:p>
    <w:p w14:paraId="245D9AC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武陟县“武陟黄河文化旅游区”整合了黄河文化、历史遗产与红色教育三大核心资源，形成“自然-人文-红色”三位一体的复合型旅游产品体系。这里既有黄河干流串联的嘉应观、人民胜利渠渠首、黄河文化园等生态与治水文明景观，又汇聚了妙乐寺塔、青龙宫、千佛阁等国家级文保单位，以及董永故里、何瑭纪念馆等人文遗迹，更以西滑封精神展览馆、御坝黄河文化研学营地等红色教育基地为特色，开发出红色教育、非遗手作、农耕体验等课程。资源总量达30余处，国家级文保单位3处，省级非遗项目15项，红色教育基地2处，研学实践场所5处，多元资源组合既保证了区域的文化深度，又通过体验项目延长游客停留时间，构建起全域旅游的新格局。</w:t>
      </w:r>
    </w:p>
    <w:p w14:paraId="32BDC41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（2）资源品质与特色</w:t>
      </w:r>
    </w:p>
    <w:p w14:paraId="2AB8932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该区域的资源品质与特色彰显出唯一性、稀缺性与独特性。嘉应观作为清代雍正皇帝敕建的“黄河故宫”，其建筑形制与御碑亭内铜碑具有极高的历史与艺术价值；人民胜利渠渠首见证了黄河治理的伟大成就，水利科技价值与时代意义无可替代。妙乐寺塔作为河南省现存最大五代砖塔，青龙宫“二月二庙会”作为省级非物质文化遗产，均展现出深厚的文化底蕴。西滑封精神展览馆以“治黄精神+集体经济”为主题，御坝研学营地通过“教育+旅游”深度融合，单日最高接待研学团队800人次，红色文化资源的教育价值与示范意义突出。</w:t>
      </w:r>
    </w:p>
    <w:p w14:paraId="307706B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（3）资源集中度与空间分布</w:t>
      </w:r>
    </w:p>
    <w:p w14:paraId="1632CD1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在空间布局上，该区域沿黄河干流形成“黄河文化旅游带”，核心景点车程均在30分钟以内，游客可单日完成“朝圣-观光-体验”全流程；以县城为中心，辐射妙乐寺塔、青龙宫、西滑封展览馆等资源，通过X022县道、胜利路等干线公路实现“景区-乡村-城区”无缝衔接。区域内部规划有3条旅游快速通道，配套共享电单车、公交专线等设施，距郑州新郑国际机场1.5小时车程，高铁武陟站至景区专线每30分钟一班，形成“快进慢游”体系。文化联动与产业融合方面，嘉应观与妙乐寺塔形成“黄河文化+佛教文化”双核驱动，青龙宫庙会与董永故里实景演出实现“民俗+非遗”互补，黄河滩区“四大怀药”种植基地与御坝研学营地结合，开发出“农耕体验+药膳餐饮”产品，带动周边农户年均增收1.8万元，为乡村振兴提供了文旅解决方案。</w:t>
      </w:r>
    </w:p>
    <w:p w14:paraId="6FE3E82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2"/>
        <w:rPr>
          <w:rFonts w:hint="default" w:ascii="宋体" w:hAnsi="宋体" w:eastAsia="宋体" w:cs="宋体"/>
          <w:b/>
          <w:bCs/>
          <w:color w:val="auto"/>
          <w:sz w:val="30"/>
          <w:szCs w:val="30"/>
          <w:lang w:val="en-US" w:eastAsia="zh-CN"/>
        </w:rPr>
      </w:pPr>
      <w:bookmarkStart w:id="104" w:name="_Toc14039"/>
      <w:r>
        <w:rPr>
          <w:rFonts w:hint="eastAsia" w:ascii="宋体" w:hAnsi="宋体" w:cs="宋体"/>
          <w:b/>
          <w:bCs/>
          <w:color w:val="auto"/>
          <w:sz w:val="30"/>
          <w:szCs w:val="30"/>
          <w:lang w:val="en-US" w:eastAsia="zh-CN"/>
        </w:rPr>
        <w:t>九、解放区旅游资源富集区现状与评价</w:t>
      </w:r>
      <w:bookmarkEnd w:id="104"/>
    </w:p>
    <w:p w14:paraId="033B514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3"/>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（一）南水北调旅游区</w:t>
      </w:r>
    </w:p>
    <w:p w14:paraId="5DF72EF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1、区域概况与核心资源</w:t>
      </w:r>
    </w:p>
    <w:p w14:paraId="4C72593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南水北调旅游区主要在国家方志馆南水北调分馆及周边区域。该区域拥有五级资源1处，四级资源5处。</w:t>
      </w:r>
    </w:p>
    <w:p w14:paraId="2279635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国家方志馆南水北调分馆及周边区域是解放区最为引人注目的旅游资源富集区之一。该馆位于南水北调焦作城区段总干渠入城拐角处，是全国科普教育基地，集收藏、展示、编撰、研究、开发利用、公共文化服务于一体。建筑外观以水为形、以南水北调渠道为意，简洁流畅、灵动时尚。室内展陈包含序厅、基本陈列厅以及故乡之水、和谐征迁、复兴之水三个专题展厅，主要以方志资料为基础，融入演艺、交互、体验等现代展陈手段，对中国南水北调工程建设进行“全景式的记录和传达”。室外展陈则有穿黄工程盾构机、沙河渡槽提槽机及其他大型施工机械。游客在此可沉浸式体验国家南水北调工程的魅力，了解这一伟大工程的历史与现状。</w:t>
      </w:r>
    </w:p>
    <w:p w14:paraId="676B15E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焦作影视城位于焦作市西北部，是中国十大影视城之一，以影视拍摄服务为主，兼具观光旅游、文化娱乐、休闲度假等功能。影视城占地面积3平方公里，建筑面积40万平方米，以春秋战国、秦汉、三国时期文化为背景，建有仿古建筑群。主要景点由文化广场区、周王宫区、市井区、楚王宫区、古战场区等组成，城门广场区以铜铸方鼎、西周东迁和大秦一统的大型浮雕等为代表，集中体现了影视城所处历史时期的政治文化色彩。游客在此可感受古代文化的魅力，体验影视拍摄的乐趣。</w:t>
      </w:r>
    </w:p>
    <w:p w14:paraId="66953D3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众盛大杨树餐饮文化商业街是解放区历史与现代交融的典范。该街区前身是杨树街，作为焦作市的历史标志街区，承载着河南工业文明发祥地的历史内涵。商业街充分借鉴成都宽窄巷设计运营理念，将百年焦作生活场景复原，集美食、民俗、生活、休闲购物于一体，成为原汁原味的生活场景体验地。游客在此可品尝地方美食，感受民俗文化，体验休闲购物的乐趣。</w:t>
      </w:r>
    </w:p>
    <w:p w14:paraId="2854430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2、富集区评价</w:t>
      </w:r>
    </w:p>
    <w:p w14:paraId="1EB89EF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（1）资源类型与数量</w:t>
      </w:r>
    </w:p>
    <w:p w14:paraId="21BB795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国家方志馆南水北调分馆及周边区域，作为焦作解放区的重要旅游资源富集区，汇聚了丰富的旅游资源类型与数量。该区域以国家方志馆南水北调分馆为核心，涵盖了历史文化、自然景观、娱乐设施、餐饮购物等多种类型，为游客提供了多样化的旅游选择。</w:t>
      </w:r>
    </w:p>
    <w:p w14:paraId="0665346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国家方志馆南水北调分馆本身便是一座资源的宝库。该馆集收藏、展示、编撰、研究、开发利用、公共文化服务于一体，室内展陈包含序厅、基本陈列厅以及故乡之水、和谐征迁、复兴之水三个专题展厅，主要以方志资料为基础，融入演艺、交互、体验等现代展陈手段，对中国南水北调工程建设进行“全景式的记录和传达”。室外展陈则有穿黄工程盾构机、沙河渡槽提槽机及其他大型施工机械，为游客提供了沉浸式的体验。</w:t>
      </w:r>
    </w:p>
    <w:p w14:paraId="2695794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除了国家方志馆南水北调分馆，该区域还包含了焦作影视城及周边区域、众盛大杨树餐饮文化商业街等重要旅游资源。焦作影视城以影视拍摄服务为主，兼具观光旅游、文化娱乐、休闲度假等功能，拥有仿古建筑群和丰富的文化内涵。众盛大杨树餐饮文化商业街则集美食、民俗、生活、休闲购物于一体，是焦作市民和游客娱乐、健身、游玩的理想去处。</w:t>
      </w:r>
    </w:p>
    <w:p w14:paraId="0F77DDD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（2）资源品质与特色</w:t>
      </w:r>
    </w:p>
    <w:p w14:paraId="1EA4C18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国家方志馆南水北调分馆及周边区域的资源品质与特色，主要体现在其科普教育与文化体验并重的特点上。国家方志馆南水北调分馆作为全国科普教育基地，不仅记录了南水北调工程的历史与现状，还通过现代展陈手段让游客沉浸式体验这一伟大工程的魅力，具有极高的科普教育价值。</w:t>
      </w:r>
    </w:p>
    <w:p w14:paraId="2E6B8BB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焦作影视城则以其独特的影视拍摄服务和丰富的文化内涵吸引着游客。这里以春秋战国、秦汉、三国时期文化为背景，建有仿古建筑群，让游客仿佛穿越时空，回到了那个遥远的年代。同时，影视城还兼具观光旅游、文化娱乐、休闲度假等功能，为游客提供了全方位的旅游体验。</w:t>
      </w:r>
    </w:p>
    <w:p w14:paraId="2DDF5C1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众盛大杨树餐饮文化商业街则是文化体验与休闲购物的完美结合。这里前身是杨树街，承载着河南工业文明发祥地的历史内涵。商业街充分借鉴成都宽窄巷设计运营理念，将百年焦作生活场景复原，集美食、民俗、生活、休闲购物于一体，让游客在品尝地方美食的同时，也能感受到浓郁的文化氛围。</w:t>
      </w:r>
    </w:p>
    <w:p w14:paraId="24461E7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（3）资源集中度与空间分布</w:t>
      </w:r>
    </w:p>
    <w:p w14:paraId="0258217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国家方志馆南水北调分馆及周边区域的资源集中度与空间分布，呈现出“核心引领、轴线延伸”的特点。国家方志馆南水北调分馆作为核心资源，通过其独特的科普教育价值和现代展陈手段，吸引了大量游客前来参观学习。同时，该馆与焦作影视城、众盛大杨树餐饮文化商业街等周边区域通过城市道路、旅游专线等交通设施实现串联，形成了便捷的旅游线路。</w:t>
      </w:r>
    </w:p>
    <w:p w14:paraId="7919502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这种空间布局既保证了核心景区的集聚效应，又通过轴线延伸实现了旅游资源的均衡发展。游客可以在国家方志馆南水北调分馆了解南水北调工程的历史与现状，在焦作影视城感受古代文化的魅力，在众盛大杨树餐饮文化商业街品尝地方美食、感受文化氛围。这三个区域相互补充、相互促进，共同构成了焦作解放区文旅融合发展的新网络。</w:t>
      </w:r>
    </w:p>
    <w:p w14:paraId="363EBA59">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3"/>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（二）焦作市工业遗产旅游区</w:t>
      </w:r>
    </w:p>
    <w:p w14:paraId="40F4652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1、区域概况与核心资源</w:t>
      </w:r>
    </w:p>
    <w:p w14:paraId="7CCB5A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焦作市工业遗产旅游区拥有</w:t>
      </w:r>
      <w:r>
        <w:rPr>
          <w:rFonts w:hint="eastAsia" w:ascii="宋体" w:hAnsi="宋体" w:cs="宋体"/>
          <w:b w:val="0"/>
          <w:bCs w:val="0"/>
          <w:color w:val="auto"/>
          <w:sz w:val="24"/>
          <w:szCs w:val="24"/>
          <w:lang w:val="en-US" w:eastAsia="zh-CN"/>
        </w:rPr>
        <w:t>五</w:t>
      </w:r>
      <w:r>
        <w:rPr>
          <w:rFonts w:hint="eastAsia" w:ascii="宋体" w:hAnsi="宋体" w:eastAsia="宋体" w:cs="宋体"/>
          <w:b w:val="0"/>
          <w:bCs w:val="0"/>
          <w:color w:val="auto"/>
          <w:sz w:val="24"/>
          <w:szCs w:val="24"/>
          <w:lang w:val="en-US" w:eastAsia="zh-CN"/>
        </w:rPr>
        <w:t>级资源</w:t>
      </w: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lang w:val="en-US" w:eastAsia="zh-CN"/>
        </w:rPr>
        <w:t>处</w:t>
      </w:r>
      <w:r>
        <w:rPr>
          <w:rFonts w:hint="eastAsia" w:ascii="宋体" w:hAnsi="宋体" w:cs="宋体"/>
          <w:b w:val="0"/>
          <w:bCs w:val="0"/>
          <w:color w:val="auto"/>
          <w:sz w:val="24"/>
          <w:szCs w:val="24"/>
          <w:lang w:val="en-US" w:eastAsia="zh-CN"/>
        </w:rPr>
        <w:t>，四</w:t>
      </w:r>
      <w:r>
        <w:rPr>
          <w:rFonts w:hint="eastAsia" w:ascii="宋体" w:hAnsi="宋体" w:eastAsia="宋体" w:cs="宋体"/>
          <w:b w:val="0"/>
          <w:bCs w:val="0"/>
          <w:color w:val="auto"/>
          <w:sz w:val="24"/>
          <w:szCs w:val="24"/>
          <w:lang w:val="en-US" w:eastAsia="zh-CN"/>
        </w:rPr>
        <w:t>4级资源</w:t>
      </w:r>
      <w:r>
        <w:rPr>
          <w:rFonts w:hint="eastAsia" w:ascii="宋体" w:hAnsi="宋体" w:cs="宋体"/>
          <w:b w:val="0"/>
          <w:bCs w:val="0"/>
          <w:color w:val="auto"/>
          <w:sz w:val="24"/>
          <w:szCs w:val="24"/>
          <w:lang w:val="en-US" w:eastAsia="zh-CN"/>
        </w:rPr>
        <w:t>15</w:t>
      </w:r>
      <w:r>
        <w:rPr>
          <w:rFonts w:hint="eastAsia" w:ascii="宋体" w:hAnsi="宋体" w:eastAsia="宋体" w:cs="宋体"/>
          <w:b w:val="0"/>
          <w:bCs w:val="0"/>
          <w:color w:val="auto"/>
          <w:sz w:val="24"/>
          <w:szCs w:val="24"/>
          <w:lang w:val="en-US" w:eastAsia="zh-CN"/>
        </w:rPr>
        <w:t>处。</w:t>
      </w:r>
    </w:p>
    <w:p w14:paraId="18F20FA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焦作市工业遗产旅游区是以英国福公司旧址为核心，整合周边工业遗存与文化资源打造而成的特色旅游区域。该区域以焦作近代工业发展史为脉络，集中展示了煤炭工业从兴起至转型的百年历程。核心景点英国福公司旧址保存有发电机房、水泵房、巷道遗址等完整设施体系，是省级文物保护单位，也是焦作煤矿工人反帝大罢工的历史见证。周边西大井1919文旅景区前身为王封矿，现存焦作市最完整的百年煤炭工业遗存，包括井架、英福公司发电机房等8处历史建筑，已列入国家工业遗产名录。景区通过工业遗存活化利用，融合红色文化教育，打造了集红色教育、工业旅游、文化体验于一体的综合性景区，获评国家AAA级旅游景区及全国煤炭行业首个红色教育基地。</w:t>
      </w:r>
    </w:p>
    <w:p w14:paraId="6DC1FD9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此外，该区域还规划了民国近现代风情街，以民国风格建筑群复原历史场景，布局“闲生活”“慢生活”“新生活”三大功能区，形成集旅游休闲、品牌商业、时尚消费于一体的特色街区。道清铁路遗址公园则利用原铁路系统线性空间，构建城市级工业文化旅游带，串联主要历史文物分布区。焦作·百年矿业遗址公园项目进一步整合英福公司发电机房旧址等9处文保点位，通过沉浸式旅游体验设计，深度挖掘展示焦作煤矿工业历史与文化。整个旅游区以工业遗产保护利用为核心，通过核心资源引领、轴线延伸、片区联动的发展模式，实现了历史遗存与现代文旅的有机融合，为游客提供了独特的工业文化旅游体验。</w:t>
      </w:r>
    </w:p>
    <w:p w14:paraId="6B6B7AE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2、富集区评价</w:t>
      </w:r>
    </w:p>
    <w:p w14:paraId="739EF7A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（1）资源类型与数量</w:t>
      </w:r>
    </w:p>
    <w:p w14:paraId="2B80BE6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焦作市工业遗产旅游区</w:t>
      </w:r>
      <w:r>
        <w:rPr>
          <w:rFonts w:hint="eastAsia" w:ascii="宋体" w:hAnsi="宋体" w:cs="宋体"/>
          <w:b w:val="0"/>
          <w:bCs w:val="0"/>
          <w:color w:val="auto"/>
          <w:sz w:val="24"/>
          <w:szCs w:val="24"/>
          <w:lang w:val="en-US" w:eastAsia="zh-CN"/>
        </w:rPr>
        <w:t>以英国福公司旧址为核心，汇聚了工业遗产、革命文物、文化街区、历史遗存及现代文旅项目等多种类型资源，数量丰富且类型多元。英国福公司旧址作为省级文物保护单位，保存有发电机房、水泵房、巷道遗址等完整的近代煤矿工业设施体系，是焦作近代工业发展的重要见证。周边西大井1919文旅景区，前身为英国福公司开凿的王封矿，现存焦作市最为系统和完整的百年煤炭工业遗存，包括王封矿井井架、英福公司发电机房等8个历史建筑，已成功入选国家工业遗产名录。</w:t>
      </w:r>
    </w:p>
    <w:p w14:paraId="14467AB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此外，该区域还规划了民国近现代风情街，以民国风格建筑群为主，布局“闲生活”“慢生活”“新生活”三大功能区，打造集旅游休闲、品牌商业、时尚消费于一体的特色街区。同时，道清铁路遗址公园的规划建设，将利用原铁路系统发展工业文化旅游带，串联主要历史文物分布区。焦作·百年矿业遗址公园项目的推进，更是整合了英福公司发电机房旧址等9处文保点位，打造沉浸式旅游体验新场景。</w:t>
      </w:r>
    </w:p>
    <w:p w14:paraId="4ACA8A6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（2）资源品质与特色</w:t>
      </w:r>
    </w:p>
    <w:p w14:paraId="4E177CE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焦作市工业遗产旅游区</w:t>
      </w:r>
      <w:r>
        <w:rPr>
          <w:rFonts w:hint="eastAsia" w:ascii="宋体" w:hAnsi="宋体" w:cs="宋体"/>
          <w:b w:val="0"/>
          <w:bCs w:val="0"/>
          <w:color w:val="auto"/>
          <w:sz w:val="24"/>
          <w:szCs w:val="24"/>
          <w:lang w:val="en-US" w:eastAsia="zh-CN"/>
        </w:rPr>
        <w:t>的资源品质卓越，文化特色鲜明。英国福公司旧址不仅承载着焦作近代工业发展的历史记忆，更是焦作煤矿工人反帝大罢工的指挥中枢，具有极高的历史价值和文化意义。西大井1919文旅景区则通过整合工业遗存与红色文化资源，打造出集红色教育、工业旅游、文化体验于一体的综合性景区，先后获评国家AAA级旅游景区、全国煤炭行业首个红色教育基地等荣誉。</w:t>
      </w:r>
    </w:p>
    <w:p w14:paraId="5D4B253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民国近现代风情街的规划建设，注重场景复原与业态植入，通过民国风格建筑群的打造和特色商业业态的布局，活化历史记忆，提升城市文化品位。道清铁路遗址公园则利用原铁路系统的线性空间，构建城市级工业文化旅游带，让游客在游览中感受焦作近代工业文明的独特魅力。焦作·百年矿业遗址公园项目则通过沉浸式旅游体验的设计，让游客在参与中深入了解焦作煤矿工业的历史与文化。</w:t>
      </w:r>
    </w:p>
    <w:p w14:paraId="66FCB44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（3）资源集中度与空间分布</w:t>
      </w:r>
    </w:p>
    <w:p w14:paraId="7E71EB1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焦作市工业遗产旅游区的资源集中度高，空间分布合理。以英国福公司旧址为核心，周边汇聚了西大井1919文旅景区、民国近现代风情街、道清铁路遗址公园、焦作·百年矿业遗址公园等多个重要旅游资源，形成了以工业遗产保护利用为核心的文化旅游集聚区。</w:t>
      </w:r>
    </w:p>
    <w:p w14:paraId="439DF1E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在空间分布上，该区域以核心资源为引领，通过城市道路、旅游专线等交通设施实现轴线延伸，形成了便捷的旅游线路。同时，通过片区联动发展，实现了多片区文化资源的共享与互补。例如，民国近现代风情街与道清铁路遗址公园的规划建设，不仅丰富了区域内的旅游资源类型，还通过线性空间的串联，构建了城市级工业文化旅游带。焦作·百年矿业遗址公园项目的推进，则通过整合周边文保点位，实现了区域文化的深度挖掘与展示。</w:t>
      </w:r>
    </w:p>
    <w:p w14:paraId="6031D40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此外，该区域还注重交通可达性的提升，通过慢行系统、城市道路优化等措施，增强了遗址与周边街区的可达性与游览便利性，为游客提供了更加舒适、便捷的旅游体验。</w:t>
      </w:r>
    </w:p>
    <w:p w14:paraId="55C6FC3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2"/>
        <w:rPr>
          <w:rFonts w:hint="eastAsia" w:ascii="宋体" w:hAnsi="宋体" w:eastAsia="宋体" w:cs="宋体"/>
          <w:b/>
          <w:bCs/>
          <w:color w:val="auto"/>
          <w:sz w:val="30"/>
          <w:szCs w:val="30"/>
          <w:lang w:val="en-US" w:eastAsia="zh-CN"/>
        </w:rPr>
      </w:pPr>
      <w:bookmarkStart w:id="105" w:name="_Toc30633"/>
      <w:r>
        <w:rPr>
          <w:rFonts w:hint="eastAsia" w:ascii="宋体" w:hAnsi="宋体" w:cs="宋体"/>
          <w:b/>
          <w:bCs/>
          <w:color w:val="auto"/>
          <w:sz w:val="30"/>
          <w:szCs w:val="30"/>
          <w:lang w:val="en-US" w:eastAsia="zh-CN"/>
        </w:rPr>
        <w:t>十</w:t>
      </w:r>
      <w:r>
        <w:rPr>
          <w:rFonts w:hint="eastAsia" w:ascii="宋体" w:hAnsi="宋体" w:eastAsia="宋体" w:cs="宋体"/>
          <w:b/>
          <w:bCs/>
          <w:color w:val="auto"/>
          <w:sz w:val="30"/>
          <w:szCs w:val="30"/>
          <w:lang w:val="en-US" w:eastAsia="zh-CN"/>
        </w:rPr>
        <w:t>、中站区旅游资源富集区现状与评价</w:t>
      </w:r>
      <w:bookmarkEnd w:id="105"/>
    </w:p>
    <w:p w14:paraId="3BCA346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3"/>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（一）中站乡村旅游融合发展区</w:t>
      </w:r>
    </w:p>
    <w:p w14:paraId="1EDADC6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1、区域概况与核心资源</w:t>
      </w:r>
    </w:p>
    <w:p w14:paraId="2F2D9E4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中站乡村旅游融合发展区拥有</w:t>
      </w:r>
      <w:r>
        <w:rPr>
          <w:rFonts w:hint="eastAsia" w:ascii="宋体" w:hAnsi="宋体" w:cs="宋体"/>
          <w:b w:val="0"/>
          <w:bCs w:val="0"/>
          <w:color w:val="auto"/>
          <w:sz w:val="24"/>
          <w:szCs w:val="24"/>
          <w:lang w:val="en-US" w:eastAsia="zh-CN"/>
        </w:rPr>
        <w:t>五</w:t>
      </w:r>
      <w:r>
        <w:rPr>
          <w:rFonts w:hint="eastAsia" w:ascii="宋体" w:hAnsi="宋体" w:eastAsia="宋体" w:cs="宋体"/>
          <w:b w:val="0"/>
          <w:bCs w:val="0"/>
          <w:color w:val="auto"/>
          <w:sz w:val="24"/>
          <w:szCs w:val="24"/>
          <w:lang w:val="en-US" w:eastAsia="zh-CN"/>
        </w:rPr>
        <w:t>级资源</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lang w:val="en-US" w:eastAsia="zh-CN"/>
        </w:rPr>
        <w:t>处，</w:t>
      </w:r>
      <w:r>
        <w:rPr>
          <w:rFonts w:hint="eastAsia" w:ascii="宋体" w:hAnsi="宋体" w:cs="宋体"/>
          <w:b w:val="0"/>
          <w:bCs w:val="0"/>
          <w:color w:val="auto"/>
          <w:sz w:val="24"/>
          <w:szCs w:val="24"/>
          <w:lang w:val="en-US" w:eastAsia="zh-CN"/>
        </w:rPr>
        <w:t>四</w:t>
      </w:r>
      <w:r>
        <w:rPr>
          <w:rFonts w:hint="eastAsia" w:ascii="宋体" w:hAnsi="宋体" w:eastAsia="宋体" w:cs="宋体"/>
          <w:b w:val="0"/>
          <w:bCs w:val="0"/>
          <w:color w:val="auto"/>
          <w:sz w:val="24"/>
          <w:szCs w:val="24"/>
          <w:lang w:val="en-US" w:eastAsia="zh-CN"/>
        </w:rPr>
        <w:t>级资源</w:t>
      </w:r>
      <w:r>
        <w:rPr>
          <w:rFonts w:hint="eastAsia" w:ascii="宋体" w:hAnsi="宋体" w:cs="宋体"/>
          <w:b w:val="0"/>
          <w:bCs w:val="0"/>
          <w:color w:val="auto"/>
          <w:sz w:val="24"/>
          <w:szCs w:val="24"/>
          <w:lang w:val="en-US" w:eastAsia="zh-CN"/>
        </w:rPr>
        <w:t>8</w:t>
      </w:r>
      <w:r>
        <w:rPr>
          <w:rFonts w:hint="eastAsia" w:ascii="宋体" w:hAnsi="宋体" w:eastAsia="宋体" w:cs="宋体"/>
          <w:b w:val="0"/>
          <w:bCs w:val="0"/>
          <w:color w:val="auto"/>
          <w:sz w:val="24"/>
          <w:szCs w:val="24"/>
          <w:lang w:val="en-US" w:eastAsia="zh-CN"/>
        </w:rPr>
        <w:t>处。</w:t>
      </w:r>
    </w:p>
    <w:p w14:paraId="0BDC7E8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北业云田生态农业示范园及周边区域是焦作中站区生态农业旅游的重要代表。该示范园位于中站区龙翔街道北业村，是一个集生态农业、休闲观光、科普教育于一体的综合性示范园。示范园内种植了各种有机蔬菜和水果，如草莓、葡萄、西红柿等，游客可以在这里体验采摘的乐趣，感受田园生活的宁静与美好。同时，示范园还开展了农业科普教育活动，让游客在游玩的同时，也能学到丰富的农业知识。</w:t>
      </w:r>
    </w:p>
    <w:p w14:paraId="3B3D8EE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十二会村红色教育基地及周边区域是焦作中站区红色旅游的重要景点。十二会村位于中站区北部深山区，是焦作市著名的红色教育基地。这里曾是焦作市党政军机关驻地，保留了大量的红色遗迹和革命文物，如焦作市党政军机关旧址、太行区第四专区及焦作市党政军机关旧址等。游客在这里可以参观红色遗迹，聆听革命故事，感受革命先烈的英勇事迹和崇高精神。</w:t>
      </w:r>
    </w:p>
    <w:p w14:paraId="571CD49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周窑十八坊民宿及周边区域是焦作中站区乡村旅游的新亮点。周窑十八坊民宿位于中站区龙翔街道周窑村，是一家以乡村文化为主题的民宿。民宿建筑风格独特，保留了传统的乡村建筑风貌，同时融入了现代的设计元素，为游客提供了一个舒适、宁静的住宿环境。游客在这里可以体验乡村生活的宁静与美好，感受乡村文化的独特魅力。</w:t>
      </w:r>
    </w:p>
    <w:p w14:paraId="0A462CF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栗井山美术馆及周边区域是焦作中站区文化旅游的新去处。栗井山美术馆位于中站区龙翔街道栗井村，是一家以艺术展览和文化交流为主题的美术馆。美术馆内收藏了大量的艺术作品，如绘画、雕塑、摄影等，定期举办各种艺术展览和文化交流活动，为游客提供了一个欣赏艺术、感受文化的平台。</w:t>
      </w:r>
    </w:p>
    <w:p w14:paraId="43025DF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赵庄村八英广场及周边区域是焦作中站区红色文化与乡村旅游结合的新典范。赵庄村位于中站区龙翔街道，是焦作市著名的红色文化村。八英广场是赵庄村的文化活动中心，广场上矗立着八位女英雄的雕像，她们是赵庄村在革命战争年代涌现出的杰出代表。游客在这里可以参观八英纪念馆，了解八位女英雄的英勇事迹，感受革命先烈的崇高精神。同时，赵庄村还开展了乡村旅游活动，如农家乐、采摘等，让游客在感受红色文化的同时，也能体验乡村生活的乐趣。</w:t>
      </w:r>
    </w:p>
    <w:p w14:paraId="5433793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北业村、赵庄村、周窑村、栗井村连片区域是焦作中站区乡村旅游的重点发展区域。该区域依托丰富的自然资源和文化底蕴，大力发展乡村旅游产业，打造了多个具有地方特色的旅游项目。如北业村的生态农业示范园、赵庄村的红色教育基地和乡村旅游项目、周窑村的民宿项目、栗井村的文化旅游项目等。这些项目相互补充、相互促进，共同构成了中站区乡村旅游的丰富内涵和独特魅力。</w:t>
      </w:r>
    </w:p>
    <w:p w14:paraId="12AABFD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2、富集区评价</w:t>
      </w:r>
    </w:p>
    <w:p w14:paraId="14A8CFA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（1）资源类型与数量</w:t>
      </w:r>
    </w:p>
    <w:p w14:paraId="28A36BB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中站乡村旅游融合发展区，作为焦作中站区乡村旅游的重点发展区域，汇聚了丰富的旅游资源类型与数量。该区域以北业村、赵庄村、周窑村、栗井村等为核心，涵盖了自然景观、文化遗产、乡村体验、生态农业、红色教育、艺术展览等多种类型，为游客提供了全方位的乡村旅游体验。</w:t>
      </w:r>
    </w:p>
    <w:p w14:paraId="721BFB6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在自然景观方面，该区域拥有得天独厚的自然条件，山清水秀，景色宜人，为游客提供了亲近自然、感受生态之美的绝佳去处。文化遗产方面，该区域保留了丰富的传统乡村建筑和文化，如赵庄村的八英纪念馆，不仅具有历史价值，还展现了乡村文化的独特魅力。乡村体验方面，游客可以在周窑十八坊民宿等场所体验乡村生活的宁静与美好，感受乡村文化的独特风情。生态农业方面，北业云田生态农业示范园等项目让游客亲身体验采摘的乐趣，了解农业知识，感受田园生活的魅力。红色教育方面，十二会村红色教育基地等景点让游客聆听革命故事，感受革命先烈的英勇事迹和崇高精神。艺术展览方面，栗井山美术馆等场所为游客提供了欣赏艺术、感受文化的平台。</w:t>
      </w:r>
    </w:p>
    <w:p w14:paraId="7BFC8B2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（2）资源品质与特色</w:t>
      </w:r>
    </w:p>
    <w:p w14:paraId="42929F7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中站乡村旅游融合发展区的资源品质与特色，主要体现在其品质卓越和特色鲜明上。该区域的自然景观美丽动人，如北业村的山水风光，让游客流连忘返。文化遗产方面，赵庄村的八英纪念馆等景点不仅具有历史价值，还通过生动的展示方式，让游客深刻感受到革命先烈的英勇事迹和崇高精神。乡村体验方面，周窑十八坊民宿等场所以其独特的建筑风格和舒适的住宿环境，为游客提供了高品质的乡村旅游体验。生态农业方面，北业云田生态农业示范园等项目注重生态环保，让游客在体验采摘乐趣的同时，也能学到丰富的农业知识。红色教育方面，十二会村红色教育基地等景点通过丰富的红色遗迹和革命文物，让游客在游览中接受革命传统教育。艺术展览方面，栗井山美术馆等场所收藏了大量的艺术作品，为游客提供了欣赏艺术、感受文化的平台，提升了区域的文化品位。</w:t>
      </w:r>
    </w:p>
    <w:p w14:paraId="7EDE0CE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（3）资源集中度与空间分布</w:t>
      </w:r>
    </w:p>
    <w:p w14:paraId="6D366D4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中站乡村旅游融合发展区的资源集中度与空间分布，呈现出“核心引领、全域联动”的特点。北业村、赵庄村、周窑村、栗井村等核心区域，通过各自的特色和优势，共同构成了中站乡村旅游融合发展区的核心吸引物。这些核心区域通过乡村道路、旅游专线等交通设施实现串联，形成了便捷的旅游线路，方便游客游览。同时，该区域还通过“全域旅游”的发展理念，将各类旅游资源进行有机整合，形成了全域联动的乡村旅游新格局。例如，北业村的生态农业示范园与周窑村的民宿项目相互补充，为游客提供了从采摘到住宿的一站式服务；赵庄村的红色教育基地与栗井村的艺术展览场所相互呼应，为游客提供了从革命传统教育到文化欣赏的全方位体验。这种空间布局既保证了核心景区的集聚效应，又通过全域联动实现了旅游资源的均衡发展，提升了中站乡村旅游融合发展区的整体吸引力。</w:t>
      </w:r>
    </w:p>
    <w:p w14:paraId="0E1E7A76">
      <w:pPr>
        <w:pStyle w:val="7"/>
        <w:rPr>
          <w:rFonts w:hint="eastAsia"/>
          <w:color w:val="auto"/>
          <w:lang w:val="en-US" w:eastAsia="zh-CN"/>
        </w:rPr>
      </w:pPr>
    </w:p>
    <w:p w14:paraId="66F99AEB">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rPr>
      </w:pPr>
      <w:bookmarkStart w:id="106" w:name="_Toc12279"/>
      <w:r>
        <w:rPr>
          <w:rFonts w:hint="eastAsia" w:ascii="宋体" w:hAnsi="宋体" w:eastAsia="宋体" w:cs="宋体"/>
          <w:b/>
          <w:bCs/>
          <w:color w:val="auto"/>
          <w:sz w:val="32"/>
          <w:szCs w:val="32"/>
        </w:rPr>
        <w:t>第</w:t>
      </w:r>
      <w:r>
        <w:rPr>
          <w:rFonts w:hint="eastAsia" w:ascii="宋体" w:hAnsi="宋体" w:eastAsia="宋体" w:cs="宋体"/>
          <w:b/>
          <w:bCs/>
          <w:color w:val="auto"/>
          <w:sz w:val="32"/>
          <w:szCs w:val="32"/>
          <w:lang w:eastAsia="zh-CN"/>
        </w:rPr>
        <w:t>五</w:t>
      </w:r>
      <w:r>
        <w:rPr>
          <w:rFonts w:hint="eastAsia" w:ascii="宋体" w:hAnsi="宋体" w:eastAsia="宋体" w:cs="宋体"/>
          <w:b/>
          <w:bCs/>
          <w:color w:val="auto"/>
          <w:sz w:val="32"/>
          <w:szCs w:val="32"/>
        </w:rPr>
        <w:t>章</w:t>
      </w:r>
      <w:r>
        <w:rPr>
          <w:rFonts w:hint="eastAsia" w:ascii="宋体" w:hAnsi="宋体" w:eastAsia="宋体" w:cs="宋体"/>
          <w:b/>
          <w:bCs/>
          <w:color w:val="auto"/>
          <w:sz w:val="32"/>
          <w:szCs w:val="32"/>
          <w:lang w:val="en-US" w:eastAsia="zh-CN"/>
        </w:rPr>
        <w:t xml:space="preserve"> 旅游资源特色优势及评价</w:t>
      </w:r>
      <w:bookmarkEnd w:id="106"/>
    </w:p>
    <w:p w14:paraId="75E4D372">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宋体" w:hAnsi="宋体" w:eastAsia="宋体" w:cs="宋体"/>
          <w:b/>
          <w:bCs/>
          <w:color w:val="auto"/>
          <w:sz w:val="30"/>
          <w:szCs w:val="30"/>
          <w:lang w:eastAsia="zh-CN"/>
        </w:rPr>
      </w:pPr>
      <w:bookmarkStart w:id="107" w:name="_Toc3890"/>
      <w:r>
        <w:rPr>
          <w:rFonts w:hint="eastAsia" w:ascii="宋体" w:hAnsi="宋体" w:eastAsia="宋体" w:cs="宋体"/>
          <w:b/>
          <w:bCs/>
          <w:color w:val="auto"/>
          <w:sz w:val="30"/>
          <w:szCs w:val="30"/>
        </w:rPr>
        <w:t>第</w:t>
      </w:r>
      <w:r>
        <w:rPr>
          <w:rFonts w:hint="eastAsia" w:ascii="宋体" w:hAnsi="宋体" w:eastAsia="宋体" w:cs="宋体"/>
          <w:b/>
          <w:bCs/>
          <w:color w:val="auto"/>
          <w:sz w:val="30"/>
          <w:szCs w:val="30"/>
          <w:lang w:eastAsia="zh-CN"/>
        </w:rPr>
        <w:t>一</w:t>
      </w:r>
      <w:r>
        <w:rPr>
          <w:rFonts w:hint="eastAsia" w:ascii="宋体" w:hAnsi="宋体" w:eastAsia="宋体" w:cs="宋体"/>
          <w:b/>
          <w:bCs/>
          <w:color w:val="auto"/>
          <w:sz w:val="30"/>
          <w:szCs w:val="30"/>
        </w:rPr>
        <w:t>节</w:t>
      </w:r>
      <w:r>
        <w:rPr>
          <w:rFonts w:hint="eastAsia" w:ascii="宋体" w:hAnsi="宋体" w:eastAsia="宋体" w:cs="宋体"/>
          <w:b/>
          <w:bCs/>
          <w:color w:val="auto"/>
          <w:sz w:val="30"/>
          <w:szCs w:val="30"/>
          <w:lang w:val="en-US" w:eastAsia="zh-CN"/>
        </w:rPr>
        <w:t xml:space="preserve"> 旅游资源特色评价</w:t>
      </w:r>
      <w:bookmarkEnd w:id="107"/>
    </w:p>
    <w:p w14:paraId="40E4DF3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auto"/>
          <w:kern w:val="2"/>
          <w:sz w:val="24"/>
          <w:szCs w:val="24"/>
          <w:lang w:val="en-US" w:eastAsia="zh-CN" w:bidi="ar-SA"/>
        </w:rPr>
        <w:t>焦作，这座位于河南省西北部的城市，南临黄河，北依太行，山水资源得天独厚，被誉为“太行山下小江南”。这里既有北方山水的雄浑，又兼具江南水乡的灵秀，是自然造化与人文积淀的完美结合。焦作市旅游资源呈现“山水为骨、文化铸魂、民俗点睛”的特色格局，兼具科学考察、文化体验与休闲度假价值。未来可聚焦地质公园集群、太极文化IP、非遗活态传承三大方向，构建“全季全时”旅游生态，进一步擦亮“山水焦作·太极圣地”品牌。</w:t>
      </w:r>
    </w:p>
    <w:p w14:paraId="69C3F47A">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val="en-US" w:eastAsia="zh-CN"/>
        </w:rPr>
      </w:pPr>
      <w:bookmarkStart w:id="108" w:name="_Toc12222"/>
      <w:r>
        <w:rPr>
          <w:rFonts w:hint="eastAsia" w:ascii="宋体" w:hAnsi="宋体" w:eastAsia="宋体" w:cs="宋体"/>
          <w:b/>
          <w:bCs/>
          <w:color w:val="auto"/>
          <w:sz w:val="28"/>
          <w:szCs w:val="28"/>
          <w:lang w:val="en-US" w:eastAsia="zh-CN"/>
        </w:rPr>
        <w:t>一、山水为骨</w:t>
      </w:r>
      <w:bookmarkEnd w:id="108"/>
    </w:p>
    <w:p w14:paraId="52547377">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（一）山脉：太行脊梁，峰林奇观</w:t>
      </w:r>
    </w:p>
    <w:p w14:paraId="34F28026">
      <w:pPr>
        <w:pageBreakBefore w:val="0"/>
        <w:widowControl w:val="0"/>
        <w:kinsoku/>
        <w:wordWrap/>
        <w:overflowPunct/>
        <w:topLinePunct w:val="0"/>
        <w:autoSpaceDE/>
        <w:autoSpaceDN/>
        <w:bidi w:val="0"/>
        <w:adjustRightInd/>
        <w:snapToGrid/>
        <w:spacing w:line="360" w:lineRule="auto"/>
        <w:ind w:left="239" w:leftChars="114" w:firstLine="240" w:firstLineChars="100"/>
        <w:jc w:val="both"/>
        <w:textAlignment w:val="auto"/>
        <w:rPr>
          <w:rFonts w:hint="default"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auto"/>
          <w:kern w:val="2"/>
          <w:sz w:val="24"/>
          <w:szCs w:val="24"/>
          <w:lang w:val="en-US" w:eastAsia="zh-CN" w:bidi="ar-SA"/>
        </w:rPr>
        <w:t>1</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云台山</w:t>
      </w:r>
    </w:p>
    <w:p w14:paraId="71E8C40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作为焦作的</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金字招牌</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云台山是太行山系的璀璨明珠。这里以红岩峡谷、飞瀑流泉和险峻栈道闻名，主峰茱萸峰海拔1297.6米，登临峰顶，可俯瞰群山连绵，云海翻腾。红石峡是云台山的精华所在，红色的丹霞地貌与绿色植被形成鲜明对比，峡谷内溪流潺潺，瀑布飞溅，被誉为</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北方小桂林</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。春季山花烂漫，夏季飞瀑流泉，秋季红叶满山，冬季冰挂银装，四季皆景，美不胜收。</w:t>
      </w:r>
    </w:p>
    <w:p w14:paraId="34E9F105">
      <w:pPr>
        <w:pageBreakBefore w:val="0"/>
        <w:widowControl w:val="0"/>
        <w:kinsoku/>
        <w:wordWrap/>
        <w:overflowPunct/>
        <w:topLinePunct w:val="0"/>
        <w:autoSpaceDE/>
        <w:autoSpaceDN/>
        <w:bidi w:val="0"/>
        <w:adjustRightInd/>
        <w:snapToGrid/>
        <w:spacing w:line="360" w:lineRule="auto"/>
        <w:ind w:left="239" w:leftChars="114" w:firstLine="240" w:firstLineChars="100"/>
        <w:jc w:val="both"/>
        <w:textAlignment w:val="auto"/>
        <w:rPr>
          <w:rFonts w:hint="default" w:ascii="Times New Roman" w:hAnsi="Times New Roman" w:eastAsia="宋体"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eastAsia="宋体" w:cs="Times New Roman"/>
          <w:bCs/>
          <w:color w:val="auto"/>
          <w:kern w:val="2"/>
          <w:sz w:val="24"/>
          <w:szCs w:val="24"/>
          <w:lang w:val="en-US" w:eastAsia="zh-CN" w:bidi="ar-SA"/>
        </w:rPr>
        <w:t>神农山</w:t>
      </w:r>
    </w:p>
    <w:p w14:paraId="344E79F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因炎帝神农氏在此辨五谷、尝百草而得名，神农山集自然风光与历史文化于一体。主峰紫金顶海拔1028米，山势雄伟，植被繁茂，登顶可俯瞰太行山脊如巨龙蜿蜒。景区内的白松岭拥有16000余株珍稀白皮松，姿态奇绝；龙脊长城则是地质奇观，蜿蜒曲折，气势磅礴。春季连翘花海金黄灿烂，秋季红叶漫山，宛如天然植物园。</w:t>
      </w:r>
    </w:p>
    <w:p w14:paraId="65699CC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eastAsia="宋体" w:cs="Times New Roman"/>
          <w:bCs/>
          <w:color w:val="auto"/>
          <w:kern w:val="2"/>
          <w:sz w:val="24"/>
          <w:szCs w:val="24"/>
          <w:lang w:val="en-US" w:eastAsia="zh-CN" w:bidi="ar-SA"/>
        </w:rPr>
        <w:t>其他山脉</w:t>
      </w:r>
    </w:p>
    <w:p w14:paraId="4D43A9A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青龙峡以</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峰林峡的翡翠湖</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著称，湖水碧绿，峡谷幽深；峰林峡则以丹霞地貌闻名，山体由红色砂岩构成，形成了独特的峰林景观，被称为</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太行第一剑</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。这些山脉共同构成了焦作的山地奇观，是户外探险、徒步爱好者的天堂。</w:t>
      </w:r>
    </w:p>
    <w:p w14:paraId="5C0936FA">
      <w:pPr>
        <w:spacing w:line="360" w:lineRule="auto"/>
        <w:ind w:firstLine="482" w:firstLineChars="200"/>
        <w:rPr>
          <w:rFonts w:hint="default"/>
          <w:color w:val="auto"/>
          <w:lang w:val="en-US" w:eastAsia="zh-CN"/>
        </w:rPr>
      </w:pPr>
      <w:r>
        <w:rPr>
          <w:rFonts w:hint="eastAsia" w:ascii="宋体" w:hAnsi="宋体" w:cs="宋体"/>
          <w:b/>
          <w:bCs/>
          <w:color w:val="auto"/>
          <w:sz w:val="24"/>
          <w:szCs w:val="24"/>
          <w:lang w:val="en-US" w:eastAsia="zh-CN"/>
        </w:rPr>
        <w:t>（</w:t>
      </w:r>
      <w:r>
        <w:rPr>
          <w:rFonts w:hint="default" w:ascii="宋体" w:hAnsi="宋体" w:cs="宋体"/>
          <w:b/>
          <w:bCs/>
          <w:color w:val="auto"/>
          <w:sz w:val="24"/>
          <w:szCs w:val="24"/>
          <w:lang w:val="en-US" w:eastAsia="zh-CN"/>
        </w:rPr>
        <w:t>二</w:t>
      </w:r>
      <w:r>
        <w:rPr>
          <w:rFonts w:hint="eastAsia" w:ascii="宋体" w:hAnsi="宋体" w:cs="宋体"/>
          <w:b/>
          <w:bCs/>
          <w:color w:val="auto"/>
          <w:sz w:val="24"/>
          <w:szCs w:val="24"/>
          <w:lang w:val="en-US" w:eastAsia="zh-CN"/>
        </w:rPr>
        <w:t>）</w:t>
      </w:r>
      <w:r>
        <w:rPr>
          <w:rFonts w:hint="default" w:ascii="宋体" w:hAnsi="宋体" w:cs="宋体"/>
          <w:b/>
          <w:bCs/>
          <w:color w:val="auto"/>
          <w:sz w:val="24"/>
          <w:szCs w:val="24"/>
          <w:lang w:val="en-US" w:eastAsia="zh-CN"/>
        </w:rPr>
        <w:t>河流：黄河之险，百川汇聚</w:t>
      </w:r>
    </w:p>
    <w:p w14:paraId="14AE85F3">
      <w:pPr>
        <w:pageBreakBefore w:val="0"/>
        <w:widowControl w:val="0"/>
        <w:kinsoku/>
        <w:wordWrap/>
        <w:overflowPunct/>
        <w:topLinePunct w:val="0"/>
        <w:autoSpaceDE/>
        <w:autoSpaceDN/>
        <w:bidi w:val="0"/>
        <w:adjustRightInd/>
        <w:snapToGrid/>
        <w:spacing w:line="360" w:lineRule="auto"/>
        <w:ind w:left="479" w:leftChars="228" w:firstLine="0" w:firstLineChars="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黄河</w:t>
      </w:r>
    </w:p>
    <w:p w14:paraId="0341146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焦作是黄河出山谷、入平原的第一个节点城市，被称作</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百川口、悬河头、华北轴</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。黄河在焦作境内形成了独特的自然景观，尤其是武陟段，历史上是黄河决口的高发区，因此留下了丰富的治水文化。清雍正皇帝为纪念修坝堵口、祭祀河神，在武陟修建了嘉应观，被誉为</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万里黄河第一观</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，是黄河文化的重要象征。</w:t>
      </w:r>
    </w:p>
    <w:p w14:paraId="7FAD1949">
      <w:pPr>
        <w:pageBreakBefore w:val="0"/>
        <w:widowControl w:val="0"/>
        <w:kinsoku/>
        <w:wordWrap/>
        <w:overflowPunct/>
        <w:topLinePunct w:val="0"/>
        <w:autoSpaceDE/>
        <w:autoSpaceDN/>
        <w:bidi w:val="0"/>
        <w:adjustRightInd/>
        <w:snapToGrid/>
        <w:spacing w:line="360" w:lineRule="auto"/>
        <w:ind w:left="239" w:leftChars="114" w:firstLine="240" w:firstLineChars="1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沁河</w:t>
      </w:r>
    </w:p>
    <w:p w14:paraId="2BAE46E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沁河是流经焦作的大型河流之一，发源于山西，流经沁阳、博爱、温县、武陟等地，最终汇入黄河。沁河干流全长485公里，流域面积13532平方公里，其中焦作境内河长80公里、流域面积1229平方公里。沁河年均径流量10余亿立方米，但随着上游开发利用程度的提高，来水量日趋减少，是焦作市重要的灌溉水源供应地。</w:t>
      </w:r>
    </w:p>
    <w:p w14:paraId="7C4440C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丹河、大沙河</w:t>
      </w:r>
    </w:p>
    <w:p w14:paraId="5C0DA4D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丹河，焦作境内的一条生命之河，发源于山西晋城丹朱岭，穿越太行山峡谷，</w:t>
      </w:r>
      <w:r>
        <w:rPr>
          <w:rFonts w:hint="eastAsia" w:ascii="Times New Roman" w:hAnsi="Times New Roman" w:cs="Times New Roman"/>
          <w:bCs/>
          <w:color w:val="auto"/>
          <w:kern w:val="2"/>
          <w:sz w:val="24"/>
          <w:szCs w:val="24"/>
          <w:lang w:val="en-US" w:eastAsia="zh-CN" w:bidi="ar-SA"/>
        </w:rPr>
        <w:t>自北向南蜿蜒至沁阳前陈庄出山，最终汇入沁河。干流全长169.1公里，流域面积3152平方公里，其中焦作境内河长50公里，流域面积196平方公里，是沁阳与博爱的界河。水源丰沛，依赖白洋泉、三姑泉等泉水补给，水质清冽，四季稳定。</w:t>
      </w:r>
      <w:r>
        <w:rPr>
          <w:rFonts w:hint="default" w:ascii="Times New Roman" w:hAnsi="Times New Roman" w:cs="Times New Roman"/>
          <w:bCs/>
          <w:color w:val="auto"/>
          <w:kern w:val="2"/>
          <w:sz w:val="24"/>
          <w:szCs w:val="24"/>
          <w:lang w:val="en-US" w:eastAsia="zh-CN" w:bidi="ar-SA"/>
        </w:rPr>
        <w:t>历史上，</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九道堰</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水利工程灌溉两岸农田，明清</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引丹济卫</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滋养卫河漕运，见证焦作繁华。如今，青天河水库保障水源，丹河峡谷风景区以碧水丹崖吸引游人，成为焦作山水画卷中的灵动一笔。</w:t>
      </w:r>
    </w:p>
    <w:p w14:paraId="53F333B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母亲河</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，源于山西陵川夺火镇，流经博爱、焦作城区、修武县，于新乡县西永康北入共产主义渠</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全长115.5公里，流域面积2688平方公里。北魏《水经注》载其踪，曾为隋唐大运河天然分流，滋养一方。近代因来水减少、污染淤积，生态受损，后经综合治理，城区核心段防洪标准达50年一遇。沿岸建公园、绿道，成休闲胜地。大沙河承载焦作记忆，串联城市水系，以</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草书之河</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设计理念，融合诗韵荷风、渔舟泛歌等景观，展现生态之美，助力全域旅游，焕发新生。</w:t>
      </w:r>
    </w:p>
    <w:p w14:paraId="328A6A4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丹河、大沙河等河流则构成了焦作的水系网络，为这座城市提供了丰富的水资源。这些河流不仅滋养了焦作的土地，还形成了许多湿地、湖泊，为动植物提供了栖息地。</w:t>
      </w:r>
    </w:p>
    <w:p w14:paraId="159F241B">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w:t>
      </w:r>
      <w:r>
        <w:rPr>
          <w:rFonts w:hint="default" w:ascii="宋体" w:hAnsi="宋体" w:cs="宋体"/>
          <w:b/>
          <w:bCs/>
          <w:color w:val="auto"/>
          <w:sz w:val="24"/>
          <w:szCs w:val="24"/>
          <w:lang w:val="en-US" w:eastAsia="zh-CN"/>
        </w:rPr>
        <w:t>三</w:t>
      </w:r>
      <w:r>
        <w:rPr>
          <w:rFonts w:hint="eastAsia" w:ascii="宋体" w:hAnsi="宋体" w:cs="宋体"/>
          <w:b/>
          <w:bCs/>
          <w:color w:val="auto"/>
          <w:sz w:val="24"/>
          <w:szCs w:val="24"/>
          <w:lang w:val="en-US" w:eastAsia="zh-CN"/>
        </w:rPr>
        <w:t>）</w:t>
      </w:r>
      <w:r>
        <w:rPr>
          <w:rFonts w:hint="default" w:ascii="宋体" w:hAnsi="宋体" w:cs="宋体"/>
          <w:b/>
          <w:bCs/>
          <w:color w:val="auto"/>
          <w:sz w:val="24"/>
          <w:szCs w:val="24"/>
          <w:lang w:val="en-US" w:eastAsia="zh-CN"/>
        </w:rPr>
        <w:t>湖泊与瀑布：碧水清波，飞瀑流泉</w:t>
      </w:r>
    </w:p>
    <w:p w14:paraId="2C4916F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青天河</w:t>
      </w:r>
    </w:p>
    <w:p w14:paraId="512D976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被誉为</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北方三峡</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青天河景区以碧波荡漾的湖面、奇峰林立的山峦著称。大泉湖是景区的精华，湖水清澈，两岸青山相对，乘船游览仿佛置身水墨画中。景区内还有世界罕见的天然长城、石鸡下蛋等地质奇观，以及靳家岭红叶林，秋季层林尽染，是摄影爱好者的天堂。</w:t>
      </w:r>
    </w:p>
    <w:p w14:paraId="7B82638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峰林峡</w:t>
      </w:r>
      <w:r>
        <w:rPr>
          <w:rFonts w:hint="eastAsia" w:ascii="Times New Roman" w:hAnsi="Times New Roman" w:cs="Times New Roman"/>
          <w:bCs/>
          <w:color w:val="auto"/>
          <w:kern w:val="2"/>
          <w:sz w:val="24"/>
          <w:szCs w:val="24"/>
          <w:lang w:val="en-US" w:eastAsia="zh-CN" w:bidi="ar-SA"/>
        </w:rPr>
        <w:t>瀑布群</w:t>
      </w:r>
    </w:p>
    <w:p w14:paraId="5C7BC6F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峰林峡以丹霞地貌和瀑布群闻名。一线天瀑布在雨季尤为壮观，声若雷鸣，气势磅礴。瀑布落下的水汇聚成平顶湖，湖面平静如镜，倒映着周围的山峦，美不胜收。小寨沟内溪流纵横，飞瀑连绵，九连瀑层层叠叠，宛如九个仙女从云端翩然而下。</w:t>
      </w:r>
    </w:p>
    <w:p w14:paraId="72F9B17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其他湖泊与瀑布</w:t>
      </w:r>
    </w:p>
    <w:p w14:paraId="00E4BB9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还拥有群英水库、青天河水库、白墙水库等较大水库，这些水库不仅为城市供水，还形成了美丽的湖光山色。此外，云台山的泉瀑峡、潭瀑峡等瀑布群，也是焦作山水资源的重要组成部分，它们或如白练悬空，或如银帘垂落，为焦作的山水画卷增添了灵动的气息。</w:t>
      </w:r>
    </w:p>
    <w:p w14:paraId="7CD969BB">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val="en-US" w:eastAsia="zh-CN"/>
        </w:rPr>
      </w:pPr>
      <w:bookmarkStart w:id="109" w:name="_Toc20305"/>
      <w:r>
        <w:rPr>
          <w:rFonts w:hint="eastAsia" w:ascii="宋体" w:hAnsi="宋体" w:eastAsia="宋体" w:cs="宋体"/>
          <w:b/>
          <w:bCs/>
          <w:color w:val="auto"/>
          <w:sz w:val="28"/>
          <w:szCs w:val="28"/>
          <w:lang w:val="en-US" w:eastAsia="zh-CN"/>
        </w:rPr>
        <w:t>二、文化铸魂</w:t>
      </w:r>
      <w:bookmarkEnd w:id="109"/>
    </w:p>
    <w:p w14:paraId="1A0124A6">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（一）传统文化旅游资源</w:t>
      </w:r>
    </w:p>
    <w:p w14:paraId="432ACBC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历史遗迹</w:t>
      </w:r>
    </w:p>
    <w:p w14:paraId="58E0412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的历史遗迹遍布各地，见证了这座城市悠久的历史。当阳峪瓷窑遗址是北宋时期的瓷器生产地，以剔花瓷与绞胎瓷名闻中外。贵城寨遗址、赵庄遗址和村北遗址则展示了不同历史时期的文化遗存，从仰韶文化、龙山文化到二里头文化和西周战国文化，这些遗址为考古学家提供了宝贵的研究资料。山阳故城遗址和府城遗址更是焦作市历史的重要见证，山阳故城遗址是汉朝时期的重要城市，而府城遗址则是一座早商城址，对研究商代文明史具有重要意义。</w:t>
      </w:r>
    </w:p>
    <w:p w14:paraId="3EA05EA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2、物质</w:t>
      </w:r>
      <w:r>
        <w:rPr>
          <w:rFonts w:hint="default" w:ascii="Times New Roman" w:hAnsi="Times New Roman" w:cs="Times New Roman"/>
          <w:bCs/>
          <w:color w:val="auto"/>
          <w:kern w:val="2"/>
          <w:sz w:val="24"/>
          <w:szCs w:val="24"/>
          <w:lang w:val="en-US" w:eastAsia="zh-CN" w:bidi="ar-SA"/>
        </w:rPr>
        <w:t>文化遗产</w:t>
      </w:r>
    </w:p>
    <w:p w14:paraId="4D1FE80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的文化遗产丰富多彩，体现了这座城市深厚的文化底蕴。焦作影视城是中原地区著名的影视基地，以春秋战国、秦汉、三国时期文化为背景的仿古建筑群，兼具观光旅游、文化娱乐等功能。嘉应观则是雍正皇帝为治理黄河水患御祭龙王处，是河南保存完好的清代建筑群，不仅建筑艺术精湛，还是研究黄河文化和古代水利工程的重要场所。圆融寺作为市佛教协会驻地，集历代圣迹于一处，庙宇建筑群落与秀丽环境相辉映，是众多信徒朝拜的圣地。而陈家沟作为太极拳的发源地，拥有太极拳历代宗师纪念馆、陈家沟武术馆等景点，是太极拳文化的传承地，也是国内外太极拳爱好者朝圣的地方。</w:t>
      </w:r>
    </w:p>
    <w:p w14:paraId="2183B90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非物质文化遗产</w:t>
      </w:r>
    </w:p>
    <w:p w14:paraId="4A5C007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的非物质文化遗产同样令人瞩目，展示了这座城市独特的文化魅力。2020年12月17日，联合国教科文组织保护非物质文化遗产政府间委员会第15届常会上，太极拳被正式列入人类非物质文化遗产代表作名录。这一古老的传统体育项目，自此成为联合国教科文组织名录（名册）项目中的璀璨明珠，也是我国传统武术类非遗项目中唯一的人类非物质文化遗产</w:t>
      </w:r>
      <w:r>
        <w:rPr>
          <w:rFonts w:hint="eastAsia" w:ascii="Times New Roman" w:hAnsi="Times New Roman" w:cs="Times New Roman"/>
          <w:bCs/>
          <w:color w:val="auto"/>
          <w:kern w:val="2"/>
          <w:sz w:val="24"/>
          <w:szCs w:val="24"/>
          <w:lang w:val="en-US" w:eastAsia="zh-CN" w:bidi="ar-SA"/>
        </w:rPr>
        <w:t>。太极拳归属于有关自然界和宇宙的知识和实践类别，它深深扎根于阴阳循环、天人合一的中国传统哲学思想以及养生观念，以中正圆活为显著运动特征，是极具特色的传统体育实践。自17世纪中叶于温县陈家沟村诞生后，太极拳便开启了世代传承的历程，逐渐衍生出众多流派，如今拥有80多套拳术与器械套路，以及20多种推手方法，其文化意义与社会功能在传承中不断丰富拓展。太极拳不仅承载着深厚的传统哲学思想，对当代社会的发展亦具有不可小觑的价值。它是中华武术的瑰宝，更是中华文化精神的生动体现，以其柔和而深邃的内涵，跨越时空界限，搭建起不同文化间沟通的桥梁。在国际舞台上，太极拳以其独特的文化韵味和健身价值，吸引了世界各地的爱好者，不仅增进了各国人民对中华文化的理解与欣赏，也有效提升了中华文化的国际影响力与软实力。</w:t>
      </w:r>
    </w:p>
    <w:p w14:paraId="74F5959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武陟盘鼓、河阳花鼓戏等非遗项目，体现了焦作市民间艺术的丰富多彩。</w:t>
      </w:r>
      <w:r>
        <w:rPr>
          <w:rFonts w:hint="eastAsia" w:ascii="Times New Roman" w:hAnsi="Times New Roman" w:cs="Times New Roman"/>
          <w:bCs/>
          <w:color w:val="auto"/>
          <w:kern w:val="2"/>
          <w:sz w:val="24"/>
          <w:szCs w:val="24"/>
          <w:lang w:val="en-US" w:eastAsia="zh-CN" w:bidi="ar-SA"/>
        </w:rPr>
        <w:t>在手工技艺方面，焦作市同样不乏佼佼者，当阳峪绞胎瓷烧制技艺、</w:t>
      </w:r>
      <w:r>
        <w:rPr>
          <w:rFonts w:hint="default" w:ascii="Times New Roman" w:hAnsi="Times New Roman" w:cs="Times New Roman"/>
          <w:bCs/>
          <w:color w:val="auto"/>
          <w:kern w:val="2"/>
          <w:sz w:val="24"/>
          <w:szCs w:val="24"/>
          <w:lang w:val="en-US" w:eastAsia="zh-CN" w:bidi="ar-SA"/>
        </w:rPr>
        <w:t>陈氏叶雕、根雕和木雕</w:t>
      </w:r>
      <w:r>
        <w:rPr>
          <w:rFonts w:hint="eastAsia" w:ascii="Times New Roman" w:hAnsi="Times New Roman" w:cs="Times New Roman"/>
          <w:bCs/>
          <w:color w:val="auto"/>
          <w:kern w:val="2"/>
          <w:sz w:val="24"/>
          <w:szCs w:val="24"/>
          <w:lang w:val="en-US" w:eastAsia="zh-CN" w:bidi="ar-SA"/>
        </w:rPr>
        <w:t>和中药炮制技术（“四大怀药”种植与炮制）等传统手工艺，不仅具有悠久的历史和深厚的文化底蕴，更是焦作市独特的文化名片，这些手工艺作品不仅美观实用，更是焦作人民智慧和技艺的结晶，</w:t>
      </w:r>
      <w:r>
        <w:rPr>
          <w:rFonts w:hint="default" w:ascii="Times New Roman" w:hAnsi="Times New Roman" w:cs="Times New Roman"/>
          <w:bCs/>
          <w:color w:val="auto"/>
          <w:kern w:val="2"/>
          <w:sz w:val="24"/>
          <w:szCs w:val="24"/>
          <w:lang w:val="en-US" w:eastAsia="zh-CN" w:bidi="ar-SA"/>
        </w:rPr>
        <w:t>展示了焦作市传统工艺的精湛。此外，还有清化传统竹扇制作技艺、五里源松花蛋制作技艺、武陟油茶、</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和酥</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芝麻糖手工技艺等非遗美食类项目，让游客在品尝美食的同时，也能感受到焦作市的饮食文化。而黄河泥埙作为中国古代乐器之一，更是饱含中华民族精神文化内涵，具有丰富的使用价值与观赏价值。</w:t>
      </w:r>
    </w:p>
    <w:p w14:paraId="6C452A8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董永传说、唢呐艺术、龙舞（火龙舞）、灯舞（苏家作龙凤灯舞）、高跷（高抬火轿）、耍老虎等民间舞蹈和表演艺术，深受人民喜爱。</w:t>
      </w:r>
      <w:r>
        <w:rPr>
          <w:rFonts w:ascii="Times New Roman" w:hAnsi="Times New Roman" w:eastAsia="宋体" w:cs="Times New Roman"/>
          <w:bCs/>
          <w:color w:val="auto"/>
          <w:kern w:val="2"/>
          <w:sz w:val="24"/>
          <w:szCs w:val="24"/>
          <w:lang w:bidi="ar-SA"/>
        </w:rPr>
        <w:t>这些艺术形式不仅展现了极高的观赏价值，更是焦作人民智慧和创造力的集中体现。</w:t>
      </w:r>
      <w:r>
        <w:rPr>
          <w:rFonts w:hint="eastAsia" w:ascii="Times New Roman" w:hAnsi="Times New Roman" w:cs="Times New Roman"/>
          <w:bCs/>
          <w:color w:val="auto"/>
          <w:kern w:val="2"/>
          <w:sz w:val="24"/>
          <w:szCs w:val="24"/>
          <w:lang w:val="en-US" w:eastAsia="zh-CN" w:bidi="ar-SA"/>
        </w:rPr>
        <w:t>此外，焦作市还有怀梆、二股弦等传统戏曲剧种，以及八极拳（月山八极拳）等武术流派，这些艺术形式共同构成了焦作市丰富多彩的民间艺术宝库。</w:t>
      </w:r>
    </w:p>
    <w:p w14:paraId="3A3E221C">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（二）红色文化旅游资源</w:t>
      </w:r>
    </w:p>
    <w:p w14:paraId="3466B0A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革命遗址</w:t>
      </w:r>
    </w:p>
    <w:p w14:paraId="10A5AF3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西大井1919：这里是英国开凿矿的旧址，现已被改造成反帝大罢工纪念馆、文化馆和人物馆等展馆，成为爱国主义教育的重要基地。游客可以在这里了解焦作煤矿工人的英勇斗争史，感受他们为争取权益而付出的艰辛努力。</w:t>
      </w:r>
    </w:p>
    <w:p w14:paraId="75DE141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赵庄村：作为电影《地雷战》的原型地，赵庄村保留了珍贵的石地雷、铁钎等红色文物。游客可以在这里亲眼目睹这些历史遗物，了解赵庄村在抗日战争中的英勇事迹，感受革命先烈的英勇无畏。</w:t>
      </w:r>
    </w:p>
    <w:p w14:paraId="44D7583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柏山村抗战地道：位于博爱县柏山镇柏山村，这条古道是抗日战争时期村民为抗击日本侵略者而建造的古地道。地道内设计和安装了各种生活和战斗设施，展示了人民群众的智慧和勇气。</w:t>
      </w:r>
    </w:p>
    <w:p w14:paraId="02F7EE2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北大段村：位于武陟县谢旗营镇，这里曾是中共修获武抗日民主政府所在地。如今，这里已成为红色教育基地，游客可以在这里了解修获武地区的抗日斗争史，感受革命先烈的英勇事迹。</w:t>
      </w:r>
    </w:p>
    <w:p w14:paraId="1037707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纪念场馆</w:t>
      </w:r>
    </w:p>
    <w:p w14:paraId="4138E2A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焦作红色纪念馆：位于焦作市中站区，这里收藏了大量红色文化藏品，包括历史照片、文献、实物等。通过展览，游客可以了解焦作地区的革命斗争史，感受红色文化的魅力。</w:t>
      </w:r>
    </w:p>
    <w:p w14:paraId="6714D8D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焦作市博物馆：虽然主要以历史文物为主，但也收藏了部分红色文化相关的展品。游客可以在这里了解焦作地区的历史文化，包括革命斗争的历程。</w:t>
      </w:r>
    </w:p>
    <w:p w14:paraId="31CF0B4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沁阳市博物馆：设有沁阳革命史迹陈列馆，展示了沁阳市在革命战争时期的英勇斗争和革命精神。</w:t>
      </w:r>
    </w:p>
    <w:p w14:paraId="79BF9F8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红色教育基地</w:t>
      </w:r>
    </w:p>
    <w:p w14:paraId="52C7043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焦作红色研学教育基地：位于温县，这里结合了红色文化与研学教育，为游客提供了丰富的红色文化体验。游客可以在这里参加各种红色文化活动，了解焦作地区的革命斗争史。</w:t>
      </w:r>
    </w:p>
    <w:p w14:paraId="359522A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红色记忆教育基地：位于武陟县，通过展览和教育活动传承红色文化。游客可以在这里了解武陟地区的革命斗争史，感受红色文化的魅力。</w:t>
      </w:r>
    </w:p>
    <w:p w14:paraId="6E8F6E4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孟州市红色岩山景区：位于孟州市槐树乡岩山村，这里是拟国家AAA级旅游景区。景区内设有</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抱朴守正园</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西岭守望园</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等景观和公共服务设施，开展了红色旅游、研学、教育培训等活动。游客可以在这里了解孟州地区的革命斗争史，感受红色文化的魅力。</w:t>
      </w:r>
    </w:p>
    <w:p w14:paraId="0286913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auto"/>
          <w:lang w:val="en-US" w:eastAsia="zh-CN"/>
        </w:rPr>
      </w:pPr>
      <w:r>
        <w:rPr>
          <w:rFonts w:hint="default" w:ascii="Times New Roman" w:hAnsi="Times New Roman" w:cs="Times New Roman"/>
          <w:bCs/>
          <w:color w:val="auto"/>
          <w:kern w:val="2"/>
          <w:sz w:val="24"/>
          <w:szCs w:val="24"/>
          <w:lang w:val="en-US" w:eastAsia="zh-CN" w:bidi="ar-SA"/>
        </w:rPr>
        <w:t>此外，焦作市还有沁阳市怀朴园、孟州市烈士陵园、博爱县烈士陵园、温县烈士陵园、武陟县烈士陵园、修武县烈士陵园等众多爱国主义教育示范基地。这些基地通过展览、讲座等形式，向游客传播红色文化，弘扬革命精神。</w:t>
      </w:r>
    </w:p>
    <w:p w14:paraId="5360F703">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（三）科普文化旅游资源</w:t>
      </w:r>
    </w:p>
    <w:p w14:paraId="319A616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科普教育基地</w:t>
      </w:r>
    </w:p>
    <w:p w14:paraId="7A6D7CB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科技馆：位于焦作市山阳区，是焦作市重要的科普教育场所。科技馆内设有多个科普活动区域，通过互动展品、科普讲座和展览等形式，向公众普及科学知识，提高公众的科学素养。科技馆还定期举办各种科普活动，如科普周、科普日等，吸引了大量市民和学生参与。</w:t>
      </w:r>
    </w:p>
    <w:p w14:paraId="10A36D0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焦作汉师国防</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科普</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教育综合实践研学基地：位于焦作市解放区，是集国防教育和科普教育为一体的实践研学基地。基地内设有多个实践区域，通过模拟军事训练、科普实验等活动，让学生在实践中学习国防知识和科学知识，培养学生的爱国情怀和科学精神。</w:t>
      </w:r>
    </w:p>
    <w:p w14:paraId="19C8B5C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西大井1919科普教育基地：作为新增的河南省科普教育基地，西大井1919结合了焦作市的红色文化和科普教育。基地内设有多个展馆，展示了焦作煤矿工人的英勇斗争史和煤炭开采的科学知识，让学生在了解历史的同时，也能学到科学知识。</w:t>
      </w:r>
    </w:p>
    <w:p w14:paraId="7323E69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防震减灾科普教育基地：位于焦作市地震台院内，占地面积6000平方米。基地内设有科普画廊、地震实物展厅、科普知识放映厅等设施，通过展示地震基本知识、地震监测预报等内容，向公众普及防震减灾知识，提高公众的防灾减灾意识。</w:t>
      </w:r>
    </w:p>
    <w:p w14:paraId="5573C88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自然景观</w:t>
      </w:r>
    </w:p>
    <w:p w14:paraId="4E49111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云台山：作为世界地质公园，云台山拥有丰富的地质遗迹和自然景观。景区内的红石峡、潭瀑峡、茱萸峰等景点，不仅风景秀丽，还蕴含着丰富的地质科学知识。游客可以在欣赏美景的同时，了解地质地貌的演变和地质特征，感受大自然的鬼斧神工。</w:t>
      </w:r>
    </w:p>
    <w:p w14:paraId="491E27F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青天河：被誉为</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北方三峡</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青天河景区内峡谷幽深、飞瀑流泉，既有北国山川雄险之势，又有南疆河岳柔美之态。这里的自然风光和生态环境，为科普教育提供了丰富的素材。游客可以在游览过程中，了解自然生态系统的构成和运作，感受</w:t>
      </w:r>
      <w:r>
        <w:rPr>
          <w:rFonts w:hint="eastAsia" w:ascii="Times New Roman" w:hAnsi="Times New Roman" w:cs="Times New Roman"/>
          <w:bCs/>
          <w:color w:val="auto"/>
          <w:kern w:val="2"/>
          <w:sz w:val="24"/>
          <w:szCs w:val="24"/>
          <w:lang w:val="en-US" w:eastAsia="zh-CN" w:bidi="ar-SA"/>
        </w:rPr>
        <w:t>人与自然和谐共生</w:t>
      </w:r>
      <w:r>
        <w:rPr>
          <w:rFonts w:hint="default" w:ascii="Times New Roman" w:hAnsi="Times New Roman" w:cs="Times New Roman"/>
          <w:bCs/>
          <w:color w:val="auto"/>
          <w:kern w:val="2"/>
          <w:sz w:val="24"/>
          <w:szCs w:val="24"/>
          <w:lang w:val="en-US" w:eastAsia="zh-CN" w:bidi="ar-SA"/>
        </w:rPr>
        <w:t>。</w:t>
      </w:r>
    </w:p>
    <w:p w14:paraId="70265BC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神农山：因炎帝神农氏在此辨五谷、尝百草而得名，神农山拥有丰富的动植物资源。游客可以攀登神农山，感受大自然的鬼斧神工；也可以参观山上的道观庙宇，了解道教文化。在游览过程中，还能学到关于动植物的知识，了解自然界的奥秘。</w:t>
      </w:r>
    </w:p>
    <w:p w14:paraId="513F820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科技场馆</w:t>
      </w:r>
    </w:p>
    <w:p w14:paraId="5F29880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科技馆：除了上述的科普教育基地外，焦作市科技馆还设有多个科技场馆，如天文馆、物理馆、化学馆等。这些场馆通过展示天文、物理、化学等领域的科学知识，向公众普及科学原理和技术应用。科技馆还定期举办科技讲座和展览，邀请专家学者来馆进行科普讲解和交流活动，为公众提供了了解科技前沿动态的平台。</w:t>
      </w:r>
    </w:p>
    <w:p w14:paraId="53F7C6A8">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val="en-US" w:eastAsia="zh-CN"/>
        </w:rPr>
      </w:pPr>
      <w:bookmarkStart w:id="110" w:name="_Toc31015"/>
      <w:r>
        <w:rPr>
          <w:rFonts w:hint="eastAsia" w:ascii="宋体" w:hAnsi="宋体" w:eastAsia="宋体" w:cs="宋体"/>
          <w:b/>
          <w:bCs/>
          <w:color w:val="auto"/>
          <w:sz w:val="28"/>
          <w:szCs w:val="28"/>
          <w:lang w:val="en-US" w:eastAsia="zh-CN"/>
        </w:rPr>
        <w:t>三、民俗点睛</w:t>
      </w:r>
      <w:bookmarkEnd w:id="110"/>
    </w:p>
    <w:p w14:paraId="3C60CB24">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w:t>
      </w:r>
      <w:r>
        <w:rPr>
          <w:rFonts w:hint="default" w:ascii="宋体" w:hAnsi="宋体" w:cs="宋体"/>
          <w:b/>
          <w:bCs/>
          <w:color w:val="auto"/>
          <w:sz w:val="24"/>
          <w:szCs w:val="24"/>
          <w:lang w:val="en-US" w:eastAsia="zh-CN"/>
        </w:rPr>
        <w:t>传统习俗</w:t>
      </w:r>
    </w:p>
    <w:p w14:paraId="37C4474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的传统习俗丰富多彩，深受中原文化的影响。在农历二月初二“龙抬头”这一天，焦作市有舞龙、舞狮、理发等传统习俗。人们通过舞龙舞狮来祈求风调雨顺、五谷丰登，而理发则寓意着新的一年讨个好彩头。此外，农历正月十五点旺火的习俗也颇具特色，人们通过点燃旺火来驱邪避灾、祈求平安。在元宵节，焦作人更是将其视为有情人相会的节日，各种庆祝活动层出不穷。</w:t>
      </w:r>
      <w:r>
        <w:rPr>
          <w:rFonts w:hint="eastAsia" w:ascii="Times New Roman" w:hAnsi="Times New Roman" w:cs="Times New Roman"/>
          <w:bCs/>
          <w:color w:val="auto"/>
          <w:kern w:val="2"/>
          <w:sz w:val="24"/>
          <w:szCs w:val="24"/>
          <w:lang w:val="en-US" w:eastAsia="zh-CN" w:bidi="ar-SA"/>
        </w:rPr>
        <w:t>其中，舞龙舞狮活动尤为壮观，长龙翻腾、雄狮跃动，吸引了众多游客和市民驻足观看。理发店里也是人头攒动，大家都希望在这一天讨个好兆头，为新的一年开个好头。而点旺火的习俗更是别具一格，熊熊燃烧的旺火不仅照亮了夜空，更照亮了人们心中的希望与梦想。在这些传统习俗的熏陶下，焦作市的文化氛围愈发浓厚，也吸引了越来越多的游客前来体验这份独特的文化魅力。</w:t>
      </w:r>
    </w:p>
    <w:p w14:paraId="65CF8CA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除了上述提到的习俗，焦作市还有许多其他富有特色的传统活动。例如，在端午节，人们会举行龙舟比赛，鼓声震天，龙舟竞渡，展现了焦作人民团结协作、勇于拼搏的精神风貌。而在中秋节，家家户户则会围坐一起，品尝月饼，欣赏明月，共庆团圆佳节。这些传统习俗不仅丰富了焦作市的文化内涵，也让人们在忙碌的现代生活中找到了归属感和精神寄托。通过这些传统习俗的传承与发扬，焦作市的文化魅力得以不断彰显，也为当地的旅游产业发展注入了新的活力。</w:t>
      </w:r>
    </w:p>
    <w:p w14:paraId="42C51084">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（二）传统村落</w:t>
      </w:r>
    </w:p>
    <w:p w14:paraId="7E7CEE3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焦作市的</w:t>
      </w:r>
      <w:r>
        <w:rPr>
          <w:rFonts w:hint="eastAsia" w:ascii="Times New Roman" w:hAnsi="Times New Roman" w:cs="Times New Roman"/>
          <w:bCs/>
          <w:color w:val="auto"/>
          <w:kern w:val="2"/>
          <w:sz w:val="24"/>
          <w:szCs w:val="24"/>
          <w:lang w:val="en-US" w:eastAsia="zh-CN" w:bidi="ar-SA"/>
        </w:rPr>
        <w:t>传统</w:t>
      </w:r>
      <w:r>
        <w:rPr>
          <w:rFonts w:hint="default" w:ascii="Times New Roman" w:hAnsi="Times New Roman" w:cs="Times New Roman"/>
          <w:bCs/>
          <w:color w:val="auto"/>
          <w:kern w:val="2"/>
          <w:sz w:val="24"/>
          <w:szCs w:val="24"/>
          <w:lang w:val="en-US" w:eastAsia="zh-CN" w:bidi="ar-SA"/>
        </w:rPr>
        <w:t>村落旅游资源丰富多彩，无论是历史背景还是文化特色，都充满了吸引力和魅力。游客可以在这里感受到焦作地区的传统文化和民俗风情，领略到</w:t>
      </w:r>
      <w:r>
        <w:rPr>
          <w:rFonts w:hint="eastAsia" w:ascii="Times New Roman" w:hAnsi="Times New Roman" w:cs="Times New Roman"/>
          <w:bCs/>
          <w:color w:val="auto"/>
          <w:kern w:val="2"/>
          <w:sz w:val="24"/>
          <w:szCs w:val="24"/>
          <w:lang w:val="en-US" w:eastAsia="zh-CN" w:bidi="ar-SA"/>
        </w:rPr>
        <w:t>传统</w:t>
      </w:r>
      <w:r>
        <w:rPr>
          <w:rFonts w:hint="default" w:ascii="Times New Roman" w:hAnsi="Times New Roman" w:cs="Times New Roman"/>
          <w:bCs/>
          <w:color w:val="auto"/>
          <w:kern w:val="2"/>
          <w:sz w:val="24"/>
          <w:szCs w:val="24"/>
          <w:lang w:val="en-US" w:eastAsia="zh-CN" w:bidi="ar-SA"/>
        </w:rPr>
        <w:t>村落的独特韵味。</w:t>
      </w:r>
    </w:p>
    <w:p w14:paraId="4075E8E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焦作市的</w:t>
      </w:r>
      <w:r>
        <w:rPr>
          <w:rFonts w:hint="eastAsia" w:ascii="Times New Roman" w:hAnsi="Times New Roman" w:cs="Times New Roman"/>
          <w:bCs/>
          <w:color w:val="auto"/>
          <w:kern w:val="2"/>
          <w:sz w:val="24"/>
          <w:szCs w:val="24"/>
          <w:lang w:val="en-US" w:eastAsia="zh-CN" w:bidi="ar-SA"/>
        </w:rPr>
        <w:t>传统</w:t>
      </w:r>
      <w:r>
        <w:rPr>
          <w:rFonts w:hint="default" w:ascii="Times New Roman" w:hAnsi="Times New Roman" w:cs="Times New Roman"/>
          <w:bCs/>
          <w:color w:val="auto"/>
          <w:kern w:val="2"/>
          <w:sz w:val="24"/>
          <w:szCs w:val="24"/>
          <w:lang w:val="en-US" w:eastAsia="zh-CN" w:bidi="ar-SA"/>
        </w:rPr>
        <w:t>村落星罗棋布，各具特色。其中，沁阳市的苟庄屯村、九渡村、盆窑村，孟州市的莫沟村、源沟村、岩山村、槐树乡源沟村、城伯镇西武章村，温县的陈家沟村、安乐寨村，博爱县的下伏头村、于庄村、江岭村、青天河村、探花庄、柏山村、许良镇许湾村、金城乡张茹集村、金城乡刘村、金城乡武阁寨村，武陟县的万花村、御坝村，修武县的平顶窑村、陪嫁妆村、一斗水村、长岭村，解放区的猫岔村、老丁沟村，山阳区的卢亮沟村，中站区的周窑村、栗井村、北业村、北朱村，马村区的后岳村，以及高新区的寨卜昌村等，都是值得一游的古村落。</w:t>
      </w:r>
    </w:p>
    <w:p w14:paraId="68BE591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焦作市的</w:t>
      </w:r>
      <w:r>
        <w:rPr>
          <w:rFonts w:hint="eastAsia" w:ascii="Times New Roman" w:hAnsi="Times New Roman" w:cs="Times New Roman"/>
          <w:bCs/>
          <w:color w:val="auto"/>
          <w:kern w:val="2"/>
          <w:sz w:val="24"/>
          <w:szCs w:val="24"/>
          <w:lang w:val="en-US" w:eastAsia="zh-CN" w:bidi="ar-SA"/>
        </w:rPr>
        <w:t>传统</w:t>
      </w:r>
      <w:r>
        <w:rPr>
          <w:rFonts w:hint="default" w:ascii="Times New Roman" w:hAnsi="Times New Roman" w:cs="Times New Roman"/>
          <w:bCs/>
          <w:color w:val="auto"/>
          <w:kern w:val="2"/>
          <w:sz w:val="24"/>
          <w:szCs w:val="24"/>
          <w:lang w:val="en-US" w:eastAsia="zh-CN" w:bidi="ar-SA"/>
        </w:rPr>
        <w:t>村落大多具有悠久的历史。例如，北朱村位于中站区府城街道办事处，其历史可以追溯到明代，是北平布政使张昺后裔的居住地。张昺祠建于明万历十九年（1591年），后在清乾隆年间进行重修，是村中一处重要的历史遗迹。寨卜昌村则与商朝末年武王伐纣的历史事件相关联，得名于占卜得昌。明朝初年，从山西洪洞县迁来七大姓、八大家族，共同出资修建了寨墙和古村，形成了今天的寨卜昌村。陈家沟村作为太极拳的发源地，具有深厚的文化底蕴，太极拳由明末清初的陈家沟陈氏第九世陈王廷所创，经过近400年的传承与发展，已传播至全球150多个国家和地区。</w:t>
      </w:r>
    </w:p>
    <w:p w14:paraId="044CDA1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焦作市的</w:t>
      </w:r>
      <w:r>
        <w:rPr>
          <w:rFonts w:hint="eastAsia" w:ascii="Times New Roman" w:hAnsi="Times New Roman" w:cs="Times New Roman"/>
          <w:bCs/>
          <w:color w:val="auto"/>
          <w:kern w:val="2"/>
          <w:sz w:val="24"/>
          <w:szCs w:val="24"/>
          <w:lang w:val="en-US" w:eastAsia="zh-CN" w:bidi="ar-SA"/>
        </w:rPr>
        <w:t>传统</w:t>
      </w:r>
      <w:r>
        <w:rPr>
          <w:rFonts w:hint="default" w:ascii="Times New Roman" w:hAnsi="Times New Roman" w:cs="Times New Roman"/>
          <w:bCs/>
          <w:color w:val="auto"/>
          <w:kern w:val="2"/>
          <w:sz w:val="24"/>
          <w:szCs w:val="24"/>
          <w:lang w:val="en-US" w:eastAsia="zh-CN" w:bidi="ar-SA"/>
        </w:rPr>
        <w:t>村落各具特色，保留了丰富的传统文化和民俗风情。例如，莫沟村的窑洞民宿让人仿佛穿越回了古代，感受那份宁静与祥和；陈家沟村的太极文化则吸引了无数武术爱好者前来参观学习；寨卜昌村的古建筑群和红色文化则让人领略到焦作地区的历史沧桑和革命精神。此外，这些古村落还保留了丰富的传统习俗和手工艺，如黑陶制作、怀梆剧团等，让游客在欣赏美景的同时，也能体验到焦作地区的传统文化魅力。</w:t>
      </w:r>
    </w:p>
    <w:p w14:paraId="28413758">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宋体" w:hAnsi="宋体" w:eastAsia="宋体" w:cs="宋体"/>
          <w:b/>
          <w:bCs/>
          <w:color w:val="auto"/>
          <w:sz w:val="30"/>
          <w:szCs w:val="30"/>
          <w:lang w:val="en-US" w:eastAsia="zh-CN"/>
        </w:rPr>
      </w:pPr>
      <w:bookmarkStart w:id="111" w:name="_Toc32100"/>
      <w:r>
        <w:rPr>
          <w:rFonts w:hint="eastAsia" w:ascii="宋体" w:hAnsi="宋体" w:eastAsia="宋体" w:cs="宋体"/>
          <w:b/>
          <w:bCs/>
          <w:color w:val="auto"/>
          <w:sz w:val="30"/>
          <w:szCs w:val="30"/>
        </w:rPr>
        <w:t>第</w:t>
      </w:r>
      <w:r>
        <w:rPr>
          <w:rFonts w:hint="eastAsia" w:ascii="宋体" w:hAnsi="宋体" w:eastAsia="宋体" w:cs="宋体"/>
          <w:b/>
          <w:bCs/>
          <w:color w:val="auto"/>
          <w:sz w:val="30"/>
          <w:szCs w:val="30"/>
          <w:lang w:eastAsia="zh-CN"/>
        </w:rPr>
        <w:t>二</w:t>
      </w:r>
      <w:r>
        <w:rPr>
          <w:rFonts w:hint="eastAsia" w:ascii="宋体" w:hAnsi="宋体" w:eastAsia="宋体" w:cs="宋体"/>
          <w:b/>
          <w:bCs/>
          <w:color w:val="auto"/>
          <w:sz w:val="30"/>
          <w:szCs w:val="30"/>
        </w:rPr>
        <w:t>节</w:t>
      </w:r>
      <w:r>
        <w:rPr>
          <w:rFonts w:hint="eastAsia" w:ascii="宋体" w:hAnsi="宋体" w:eastAsia="宋体" w:cs="宋体"/>
          <w:b/>
          <w:bCs/>
          <w:color w:val="auto"/>
          <w:sz w:val="30"/>
          <w:szCs w:val="30"/>
          <w:lang w:val="en-US" w:eastAsia="zh-CN"/>
        </w:rPr>
        <w:t xml:space="preserve"> 优势旅游资源对比分析</w:t>
      </w:r>
      <w:bookmarkEnd w:id="111"/>
    </w:p>
    <w:p w14:paraId="481ACF48">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112" w:name="_Toc22814"/>
      <w:r>
        <w:rPr>
          <w:rFonts w:hint="eastAsia" w:ascii="宋体" w:hAnsi="宋体" w:eastAsia="宋体" w:cs="宋体"/>
          <w:b/>
          <w:bCs/>
          <w:color w:val="auto"/>
          <w:sz w:val="28"/>
          <w:szCs w:val="28"/>
          <w:lang w:eastAsia="zh-CN"/>
        </w:rPr>
        <w:t>一、山水旅游资源对比分析</w:t>
      </w:r>
      <w:bookmarkEnd w:id="112"/>
    </w:p>
    <w:p w14:paraId="17913653">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（一）省内对比分析</w:t>
      </w:r>
    </w:p>
    <w:p w14:paraId="056DB23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在省内，选择新乡市进行山水资源对比分析。</w:t>
      </w:r>
      <w:r>
        <w:rPr>
          <w:rFonts w:hint="default" w:ascii="Times New Roman" w:hAnsi="Times New Roman" w:cs="Times New Roman"/>
          <w:bCs/>
          <w:color w:val="auto"/>
          <w:kern w:val="2"/>
          <w:sz w:val="24"/>
          <w:szCs w:val="24"/>
          <w:lang w:val="en-US" w:eastAsia="zh-CN" w:bidi="ar-SA"/>
        </w:rPr>
        <w:t>焦作市和新乡市作为河南省的重要旅游城市，都拥有丰富的山水资源，但两者在资源类型、特色以及开发程度上存在一定的差异。</w:t>
      </w:r>
    </w:p>
    <w:p w14:paraId="7480EFE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焦作市的山水资源以云台山为核心，展现出一种雄奇壮美的风格。云台山，被誉为</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北方小桂林</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是焦作市的一张亮丽名片。这里不仅有红岩峡谷的险峻，还有飞瀑流泉的灵动，更有茱萸峰云海日出的壮丽。云台山不仅自然景观独特，还蕴含着丰富的地质遗迹，被联合国教科文组织列入首批世界地质公园名录。此外，焦作市还有青龙峡、白松岭等山脉，它们或险峻，或秀美，为游客提供了丰富的徒步和登山体验。在水资源方面，焦作市分属黄河、海河两大流域，拥有黄河、沁河等大型河道，以及丹河、大沙河、蟒河等中型河道，是焦作市重要的供水水源。群英湖、青天河、子房湖等多个湖泊，像珍珠一样散落在焦作市的大地上，它们不仅是水利设施，更是旅游景点，为游客提供了优美的水域景观。尤其是青天河，被誉为“北方三峡”，其碧波荡漾的峡谷，仿佛一幅水墨画，让人流连忘返。</w:t>
      </w:r>
    </w:p>
    <w:p w14:paraId="60673D0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新乡市的山水资源则以其数量和多样性著称。这里拥有八里沟、万仙山、回龙天界山、九莲山等多座山脉，它们各具特色，有的以壮观的山峦著称，有的以清澈的河水闻名，有的则融合了自然风光和文化遗产。八里沟，作为国家AAAAA级景区，不仅有着壮观的山峦和清澈的河水，还有丰富的历史文化资源，如古老的庙宇、塔楼、岩画等。万仙山则以其山水风光和文化遗产为主要特色，山上树木茂密，景色秀美，是一处清凉避暑的好去处。国家AAAAA级景区</w:t>
      </w:r>
      <w:r>
        <w:rPr>
          <w:rFonts w:hint="eastAsia" w:ascii="Times New Roman" w:hAnsi="Times New Roman" w:cs="Times New Roman"/>
          <w:bCs/>
          <w:color w:val="auto"/>
          <w:kern w:val="2"/>
          <w:sz w:val="24"/>
          <w:szCs w:val="24"/>
          <w:lang w:val="en-US" w:eastAsia="zh-CN" w:bidi="ar-SA"/>
        </w:rPr>
        <w:t>宝泉景区拥有丰富的湖泊和瀑布资源，湖水清澈如镜，瀑布飞流直下，景色壮丽，令人叹为观止。这里的湖泊与瀑布相互映衬，形成了一幅幅动人的自然画卷。游客在此不仅可以欣赏到迷人的自然风光，还可以体验到丰富的水上活动和户外探险，如划船、漂流、攀岩等，为旅游增添了无限的乐趣和刺激。</w:t>
      </w:r>
      <w:r>
        <w:rPr>
          <w:rFonts w:hint="default" w:ascii="Times New Roman" w:hAnsi="Times New Roman" w:cs="Times New Roman"/>
          <w:bCs/>
          <w:color w:val="auto"/>
          <w:kern w:val="2"/>
          <w:sz w:val="24"/>
          <w:szCs w:val="24"/>
          <w:lang w:val="en-US" w:eastAsia="zh-CN" w:bidi="ar-SA"/>
        </w:rPr>
        <w:t>此外，新乡市还是隋唐大运河在河南境内流经县（市、区）最多、主河道及有水河道最长的地市，卫河等河流在新乡市内流淌，为这座城市增添了独特的历史文化价值。在湖泊方面，新乡市有定国湖、东湖、凤泉湖、南湖等多个湖泊，它们像明镜一样镶嵌在新乡市的大地上，为城市增添了活力，改善了生态环境。</w:t>
      </w:r>
    </w:p>
    <w:p w14:paraId="65C20D8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auto"/>
          <w:lang w:val="en-US" w:eastAsia="zh-CN"/>
        </w:rPr>
      </w:pPr>
      <w:r>
        <w:rPr>
          <w:rFonts w:hint="default" w:ascii="Times New Roman" w:hAnsi="Times New Roman" w:cs="Times New Roman"/>
          <w:bCs/>
          <w:color w:val="auto"/>
          <w:kern w:val="2"/>
          <w:sz w:val="24"/>
          <w:szCs w:val="24"/>
          <w:lang w:val="en-US" w:eastAsia="zh-CN" w:bidi="ar-SA"/>
        </w:rPr>
        <w:t>对比焦作市和新乡市的山水资源，可以发现它们各有优势。焦作市在高质量的自然景观和丰富的水资源方面具有一定优势，尤其是云台山这一5A级景区，其知名度和美誉度吸引了大量游客。而新乡市则在资源数量和历史文化融合方面更具优势，多座山脉和多个湖泊提供了更丰富的选择，尤其是作为隋唐大运河的重要节点，其河流资源具有独特的历史文化价值。然而，焦作市在资源数量和文化融合方面还有待提高，虽然拥有群英湖、青天河等多个湖泊，但它们的知名度和影响力相对较小，需要进一步加强宣传和开发。同时，在利用山水资源时，焦作市可以更加注重与文化的融合，挖掘其历史文化价值，提升旅游吸引力。</w:t>
      </w:r>
    </w:p>
    <w:p w14:paraId="3437A71A">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（二）省外对比分析</w:t>
      </w:r>
    </w:p>
    <w:p w14:paraId="64DD48B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张家界，这座位于湖南省西北部的城市，以其独特的山水资源闻名遐迩。张家界的山，以奇峰异石著称，3000多座大小不一、形态各异的山峰如竹笋般拔地而起，直冲云霄，形成了令人震撼的自然景观。这些山峰在地质运动及长年累月的水流冲刷和风化下，形成了现在仙境般的石英砂岩峰林，被誉为</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中国山水画原本</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，也被称为</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扩大的盆景，缩小的仙境</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张家界的水资源同样丰富，山间溪流潺潺，清澈见底，如金鞭溪等，为这座山水之城增添了无尽的灵动与生机。此外，张家界的云海也是其一大特色，雨后初晴时，一柱柱峰林在云雾中若隐若现，恰似一幅浓墨重彩的山水画卷。</w:t>
      </w:r>
    </w:p>
    <w:p w14:paraId="4265462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与张家界相比，在文化底蕴方面具有明显优势。焦作是人类始祖的发源地，拥有众多神话传说和历史文化遗迹，如盘古开天地、华夏祖先伏羲女娲成婚等。这些文化资源为焦作的山水旅游增添了丰富的内涵和魅力，使得游客在欣赏自然美景的同时，也能感受到深厚的文化底蕴。虽然张家界的水资源同样丰富，但焦作在水资源总量和水利工程体系方面具有一定优势。焦作市分属黄、海两大水系，拥有多条河道和水库，形成了较为完善的水利工程体系。这为焦作的农业灌溉、城市供水以及旅游开发提供了有力保障。焦作在旅游设施方面投入较大，景区基础设施完善，旅游服务功能完备。例如，云台山等景区已成为国内外知名的旅游胜地，吸引了大量游客前来观光游览。相比之下，张家界虽然自然风光独特，但在旅游设施和服务方面还有一定的提升空间。</w:t>
      </w:r>
    </w:p>
    <w:p w14:paraId="5F4A089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与张家界相比，焦作的自然风光在独特性方面略显不足。张家界的山峰以奇峰异石著称，形态各异，给人以无尽的想象空间。而焦作的山水虽然秀美，但在奇特性方面相对较弱，难以给游客留下深刻的印象。焦作在矿山地质环境和水生态环境方面存在一定问题。部分矿山尚未整治，生态景观破坏严重；水资源时空分布不均，受季节影响较大；农村地区生态环境也受到一定程度的污染。这些问题影响了焦作山水资源的整体形象和旅游品质。虽然焦作拥有丰富的山水资源和深厚的文化底蕴，但其旅游品牌知名度相对较低。与张家界等国际知名旅游胜地相比，焦作在旅游市场推广和品牌建设方面还有待加强。</w:t>
      </w:r>
    </w:p>
    <w:p w14:paraId="3F86094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w:t>
      </w:r>
      <w:r>
        <w:rPr>
          <w:rFonts w:hint="eastAsia" w:ascii="Times New Roman" w:hAnsi="Times New Roman" w:cs="Times New Roman"/>
          <w:bCs/>
          <w:color w:val="auto"/>
          <w:kern w:val="2"/>
          <w:sz w:val="24"/>
          <w:szCs w:val="24"/>
          <w:lang w:val="en-US" w:eastAsia="zh-CN" w:bidi="ar-SA"/>
        </w:rPr>
        <w:t>首先</w:t>
      </w:r>
      <w:r>
        <w:rPr>
          <w:rFonts w:hint="default" w:ascii="Times New Roman" w:hAnsi="Times New Roman" w:cs="Times New Roman"/>
          <w:bCs/>
          <w:color w:val="auto"/>
          <w:kern w:val="2"/>
          <w:sz w:val="24"/>
          <w:szCs w:val="24"/>
          <w:lang w:val="en-US" w:eastAsia="zh-CN" w:bidi="ar-SA"/>
        </w:rPr>
        <w:t>应加大对自然风光的保护和开发力度，注重挖掘和展示其独特之处。可以通过加强景区规划和管理、提升旅游服务质量等方式，提高焦作山水旅游的吸引力和竞争力。</w:t>
      </w:r>
      <w:r>
        <w:rPr>
          <w:rFonts w:hint="eastAsia" w:ascii="Times New Roman" w:hAnsi="Times New Roman" w:cs="Times New Roman"/>
          <w:bCs/>
          <w:color w:val="auto"/>
          <w:kern w:val="2"/>
          <w:sz w:val="24"/>
          <w:szCs w:val="24"/>
          <w:lang w:val="en-US" w:eastAsia="zh-CN" w:bidi="ar-SA"/>
        </w:rPr>
        <w:t>第二，</w:t>
      </w:r>
      <w:r>
        <w:rPr>
          <w:rFonts w:hint="default" w:ascii="Times New Roman" w:hAnsi="Times New Roman" w:cs="Times New Roman"/>
          <w:bCs/>
          <w:color w:val="auto"/>
          <w:kern w:val="2"/>
          <w:sz w:val="24"/>
          <w:szCs w:val="24"/>
          <w:lang w:val="en-US" w:eastAsia="zh-CN" w:bidi="ar-SA"/>
        </w:rPr>
        <w:t>加大对矿山地质环境和水生态环境的治理力度，修复受损的生态景观，改善水质和生态环境</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加强农村地区的生态环境保护工作，提高农村生活污水和生活垃圾的处理能力。</w:t>
      </w:r>
      <w:r>
        <w:rPr>
          <w:rFonts w:hint="eastAsia" w:ascii="Times New Roman" w:hAnsi="Times New Roman" w:cs="Times New Roman"/>
          <w:bCs/>
          <w:color w:val="auto"/>
          <w:kern w:val="2"/>
          <w:sz w:val="24"/>
          <w:szCs w:val="24"/>
          <w:lang w:val="en-US" w:eastAsia="zh-CN" w:bidi="ar-SA"/>
        </w:rPr>
        <w:t>第三，</w:t>
      </w:r>
      <w:r>
        <w:rPr>
          <w:rFonts w:hint="default" w:ascii="Times New Roman" w:hAnsi="Times New Roman" w:cs="Times New Roman"/>
          <w:bCs/>
          <w:color w:val="auto"/>
          <w:kern w:val="2"/>
          <w:sz w:val="24"/>
          <w:szCs w:val="24"/>
          <w:lang w:val="en-US" w:eastAsia="zh-CN" w:bidi="ar-SA"/>
        </w:rPr>
        <w:t>加大对旅游品牌的推广力度，通过举办各种旅游节庆活动、开发特色旅游产品等方式，提高焦作山水旅游的知名度和影响力</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同时加强与国内外旅游机构的合作与交流，拓宽旅游市场渠道。</w:t>
      </w:r>
      <w:r>
        <w:rPr>
          <w:rFonts w:hint="eastAsia" w:ascii="Times New Roman" w:hAnsi="Times New Roman" w:cs="Times New Roman"/>
          <w:bCs/>
          <w:color w:val="auto"/>
          <w:kern w:val="2"/>
          <w:sz w:val="24"/>
          <w:szCs w:val="24"/>
          <w:lang w:val="en-US" w:eastAsia="zh-CN" w:bidi="ar-SA"/>
        </w:rPr>
        <w:t>第四，</w:t>
      </w:r>
      <w:r>
        <w:rPr>
          <w:rFonts w:hint="default" w:ascii="Times New Roman" w:hAnsi="Times New Roman" w:cs="Times New Roman"/>
          <w:bCs/>
          <w:color w:val="auto"/>
          <w:kern w:val="2"/>
          <w:sz w:val="24"/>
          <w:szCs w:val="24"/>
          <w:lang w:val="en-US" w:eastAsia="zh-CN" w:bidi="ar-SA"/>
        </w:rPr>
        <w:t>充分挖掘和弘扬本地的山水文化资源，将文化资源与山水旅游相结合，打造具有焦作特色的文化旅游品牌。可以通过建设文化主题公园、举办文化展览等方式，展示焦作的山水文化魅力。</w:t>
      </w:r>
    </w:p>
    <w:p w14:paraId="5B9F3C02">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113" w:name="_Toc910"/>
      <w:r>
        <w:rPr>
          <w:rFonts w:hint="eastAsia" w:ascii="宋体" w:hAnsi="宋体" w:eastAsia="宋体" w:cs="宋体"/>
          <w:b/>
          <w:bCs/>
          <w:color w:val="auto"/>
          <w:sz w:val="28"/>
          <w:szCs w:val="28"/>
          <w:lang w:eastAsia="zh-CN"/>
        </w:rPr>
        <w:t>二、文化旅游资源对比分析</w:t>
      </w:r>
      <w:bookmarkEnd w:id="113"/>
    </w:p>
    <w:p w14:paraId="54864C65">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（一）省内对比分析</w:t>
      </w:r>
    </w:p>
    <w:p w14:paraId="0F63D56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安阳，这座承载着数千年历史的古都，是国家历史文化名城和中国优秀旅游城市，文旅资源多样性极为丰富。安阳拥有两处世界文化遗产，分别是殷墟和大运河滑县段。殷墟是中国商朝晚期的都城遗址，甲骨文的发现地，保存着商代的宫殿、祭祀场所、车马坑、王陵等建筑遗址，是探索中国古代历史的绝佳之地。大运河滑县段则是中国大运河永济渠河南段的重要组成部分，具有极高的历史和文化价值。安阳拥有26处国家级重点文物保护单位，如岳飞庙、羑里城等，这些古迹见证了安阳悠久的历史和灿烂的文化。安阳共有17家博物馆和纪念馆，其中中国文字博物馆是全球唯一以文字为主题的专业博物馆，展示了从甲骨文到现代汉字的发展历程，以及世界各国和各民族的文字资料。</w:t>
      </w:r>
    </w:p>
    <w:p w14:paraId="3745086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eastAsia="宋体" w:cs="Times New Roman"/>
          <w:bCs/>
          <w:color w:val="auto"/>
          <w:kern w:val="2"/>
          <w:sz w:val="24"/>
          <w:szCs w:val="24"/>
          <w:lang w:bidi="ar-SA"/>
        </w:rPr>
      </w:pPr>
      <w:r>
        <w:rPr>
          <w:rFonts w:ascii="Times New Roman" w:hAnsi="Times New Roman" w:eastAsia="宋体" w:cs="Times New Roman"/>
          <w:bCs/>
          <w:color w:val="auto"/>
          <w:kern w:val="2"/>
          <w:sz w:val="24"/>
          <w:szCs w:val="24"/>
          <w:lang w:bidi="ar-SA"/>
        </w:rPr>
        <w:t>焦作市在自然风光与人文景观的完美融合方面，展现出了其独特的魅力。比如，著名的云台山景区，不仅拥有令人叹为观止的自然风光，还深藏着丰富的历史文化底蕴，</w:t>
      </w:r>
      <w:r>
        <w:rPr>
          <w:rFonts w:hint="eastAsia" w:ascii="Times New Roman" w:hAnsi="Times New Roman" w:cs="Times New Roman"/>
          <w:bCs/>
          <w:color w:val="auto"/>
          <w:kern w:val="2"/>
          <w:sz w:val="24"/>
          <w:szCs w:val="24"/>
          <w:lang w:eastAsia="zh-CN" w:bidi="ar-SA"/>
        </w:rPr>
        <w:t>包括</w:t>
      </w:r>
      <w:r>
        <w:rPr>
          <w:rFonts w:ascii="Times New Roman" w:hAnsi="Times New Roman" w:eastAsia="宋体" w:cs="Times New Roman"/>
          <w:bCs/>
          <w:color w:val="auto"/>
          <w:kern w:val="2"/>
          <w:sz w:val="24"/>
          <w:szCs w:val="24"/>
          <w:lang w:bidi="ar-SA"/>
        </w:rPr>
        <w:t>道教文化、山水文化等多种文化元素。这种自然与文化的和谐结合，使得焦作的文化旅游资源更加立体化和多元化。此外，焦作在旅游设施的建设上投入了大量的人力和物力，使得各个景区的基础设施得到了极大</w:t>
      </w:r>
      <w:r>
        <w:rPr>
          <w:rFonts w:hint="eastAsia" w:ascii="Times New Roman" w:hAnsi="Times New Roman" w:cs="Times New Roman"/>
          <w:bCs/>
          <w:color w:val="auto"/>
          <w:kern w:val="2"/>
          <w:sz w:val="24"/>
          <w:szCs w:val="24"/>
          <w:lang w:eastAsia="zh-CN" w:bidi="ar-SA"/>
        </w:rPr>
        <w:t>地</w:t>
      </w:r>
      <w:r>
        <w:rPr>
          <w:rFonts w:ascii="Times New Roman" w:hAnsi="Times New Roman" w:eastAsia="宋体" w:cs="Times New Roman"/>
          <w:bCs/>
          <w:color w:val="auto"/>
          <w:kern w:val="2"/>
          <w:sz w:val="24"/>
          <w:szCs w:val="24"/>
          <w:lang w:bidi="ar-SA"/>
        </w:rPr>
        <w:t>完善，旅游服务功能也变得十分完备。这些都为游客们提供了更加便捷、舒适的旅游体验。经过多年的旅游推广和品牌建设，焦作已经在国内旅游市场上树立了良好的口碑和一定的知名度，这无疑有助于吸引更多的游客前来观光游览，进一步推动了焦作旅游业的发展。</w:t>
      </w:r>
    </w:p>
    <w:p w14:paraId="34D26E2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color w:val="auto"/>
          <w:kern w:val="2"/>
          <w:sz w:val="24"/>
          <w:szCs w:val="24"/>
          <w:lang w:val="en-US" w:eastAsia="zh-CN" w:bidi="ar-SA"/>
        </w:rPr>
      </w:pPr>
      <w:r>
        <w:rPr>
          <w:rFonts w:ascii="Times New Roman" w:hAnsi="Times New Roman" w:eastAsia="宋体" w:cs="Times New Roman"/>
          <w:bCs/>
          <w:color w:val="auto"/>
          <w:kern w:val="2"/>
          <w:sz w:val="24"/>
          <w:szCs w:val="24"/>
          <w:lang w:bidi="ar-SA"/>
        </w:rPr>
        <w:t>与安阳相比，焦作在文化资源的深度挖掘方面还有所欠缺。虽然焦作也拥有丰富的历史文化资源，但在展示和传承方面还有待加强。焦作的一些古迹和文化遗产在保护和利用方面还存在不足，未能充分展示其独特的文化魅力。焦作的文化旅游产品相对单一，缺乏创新性和差异性。这难以满足游客日益多样化的旅游需求。例如，焦作在文化旅游产品的开发上还可以更加注重与现代科技、时尚元素的结合，打造更具吸引力和竞争力的旅游产品。</w:t>
      </w:r>
      <w:r>
        <w:rPr>
          <w:rFonts w:hint="eastAsia" w:ascii="Times New Roman" w:hAnsi="Times New Roman" w:eastAsia="宋体" w:cs="Times New Roman"/>
          <w:bCs/>
          <w:color w:val="auto"/>
          <w:kern w:val="2"/>
          <w:sz w:val="24"/>
          <w:szCs w:val="24"/>
          <w:lang w:val="en-US" w:eastAsia="zh-CN" w:bidi="ar-SA"/>
        </w:rPr>
        <w:t>此外，与安阳相比，焦作在文化旅游资源的整合和宣传推广方面也存在一定的差距。安阳通过有效的资源整合和宣传推广，成功地将各个文化景点串联起来，形成了一条条具有特色的文化旅游线路，吸引了大量游客前来参观。而焦作在这方面的努力还不够，各个文化景点之间的关联性不强，缺乏整体的规划和设计。同时，在宣传推广方面，焦作还需要加大力度，提高知名度和影响力，让更多的游客了解焦作的文化旅游资源。</w:t>
      </w:r>
    </w:p>
    <w:p w14:paraId="7A50BF0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eastAsia="宋体" w:cs="Times New Roman"/>
          <w:bCs/>
          <w:color w:val="auto"/>
          <w:kern w:val="2"/>
          <w:sz w:val="24"/>
          <w:szCs w:val="24"/>
          <w:lang w:bidi="ar-SA"/>
        </w:rPr>
      </w:pPr>
      <w:r>
        <w:rPr>
          <w:rFonts w:hint="eastAsia" w:ascii="Times New Roman" w:hAnsi="Times New Roman" w:eastAsia="宋体" w:cs="Times New Roman"/>
          <w:bCs/>
          <w:color w:val="auto"/>
          <w:kern w:val="2"/>
          <w:sz w:val="24"/>
          <w:szCs w:val="24"/>
          <w:lang w:val="en-US" w:eastAsia="zh-CN" w:bidi="ar-SA"/>
        </w:rPr>
        <w:t>因此，焦作应加大对文化资源的深度挖掘和展示力度，通过加强古迹和文化遗产的保护和利用、举办文化展览和活动等方式，充分展示焦作独特的文化魅力。</w:t>
      </w:r>
      <w:r>
        <w:rPr>
          <w:rFonts w:hint="eastAsia" w:ascii="Times New Roman" w:hAnsi="Times New Roman" w:cs="Times New Roman"/>
          <w:bCs/>
          <w:color w:val="auto"/>
          <w:kern w:val="2"/>
          <w:sz w:val="24"/>
          <w:szCs w:val="24"/>
          <w:lang w:val="en-US" w:eastAsia="zh-CN" w:bidi="ar-SA"/>
        </w:rPr>
        <w:t>第二，</w:t>
      </w:r>
      <w:r>
        <w:rPr>
          <w:rFonts w:hint="eastAsia" w:ascii="Times New Roman" w:hAnsi="Times New Roman" w:eastAsia="宋体" w:cs="Times New Roman"/>
          <w:bCs/>
          <w:color w:val="auto"/>
          <w:kern w:val="2"/>
          <w:sz w:val="24"/>
          <w:szCs w:val="24"/>
          <w:lang w:val="en-US" w:eastAsia="zh-CN" w:bidi="ar-SA"/>
        </w:rPr>
        <w:t>焦作应注重文化旅游产品的创新，结合现代科技、时尚元素等打造更具吸引力和竞争力的旅游产品，可以开发虚拟现实（VR）、增强现实（AR）等科技体验项目，让游客在互动体验中感受焦作的文化魅力。</w:t>
      </w:r>
      <w:r>
        <w:rPr>
          <w:rFonts w:hint="eastAsia" w:ascii="Times New Roman" w:hAnsi="Times New Roman" w:cs="Times New Roman"/>
          <w:bCs/>
          <w:color w:val="auto"/>
          <w:kern w:val="2"/>
          <w:sz w:val="24"/>
          <w:szCs w:val="24"/>
          <w:lang w:val="en-US" w:eastAsia="zh-CN" w:bidi="ar-SA"/>
        </w:rPr>
        <w:t>第三，</w:t>
      </w:r>
      <w:r>
        <w:rPr>
          <w:rFonts w:hint="default" w:ascii="Times New Roman" w:hAnsi="Times New Roman" w:eastAsia="宋体" w:cs="Times New Roman"/>
          <w:bCs/>
          <w:color w:val="auto"/>
          <w:kern w:val="2"/>
          <w:sz w:val="24"/>
          <w:szCs w:val="24"/>
          <w:lang w:bidi="ar-SA"/>
        </w:rPr>
        <w:t>焦作应继续加强旅游品牌的推广和营销力度，通过线上线下相结合的方式扩大焦作文化旅游的知名度和影响力。同时，可以加强与国内外旅游机构的合作与交流，拓宽旅游市场渠道。</w:t>
      </w:r>
      <w:r>
        <w:rPr>
          <w:rFonts w:hint="eastAsia" w:ascii="Times New Roman" w:hAnsi="Times New Roman" w:cs="Times New Roman"/>
          <w:bCs/>
          <w:color w:val="auto"/>
          <w:kern w:val="2"/>
          <w:sz w:val="24"/>
          <w:szCs w:val="24"/>
          <w:lang w:eastAsia="zh-CN" w:bidi="ar-SA"/>
        </w:rPr>
        <w:t>第四，</w:t>
      </w:r>
      <w:r>
        <w:rPr>
          <w:rFonts w:ascii="Times New Roman" w:hAnsi="Times New Roman" w:eastAsia="宋体" w:cs="Times New Roman"/>
          <w:bCs/>
          <w:color w:val="auto"/>
          <w:kern w:val="2"/>
          <w:sz w:val="24"/>
          <w:szCs w:val="24"/>
          <w:lang w:bidi="ar-SA"/>
        </w:rPr>
        <w:t>焦作应继续提升旅游服务质量，加强景区管理和服务人员的培训和教育，为游客提供更加优质、便捷的旅游服务。这有助于提升游客的满意度和忠诚度，进一步推动焦作文化旅游产业的发展。</w:t>
      </w:r>
    </w:p>
    <w:p w14:paraId="13782AD0">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（二）省外对比分析</w:t>
      </w:r>
    </w:p>
    <w:p w14:paraId="7D44DF7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auto"/>
          <w:kern w:val="2"/>
          <w:sz w:val="24"/>
          <w:szCs w:val="24"/>
          <w:lang w:val="en-US" w:eastAsia="zh-CN" w:bidi="ar-SA"/>
        </w:rPr>
        <w:t>大同，这座位于中国山西省北部的历史文化名城，以其丰富的文化旅游资源吸引着无数游客。大同是佛教文化的重要发祥地之一，云冈石窟作为中国四大石窟之一，以其精美的佛教造像和壁画闻名于世，展示了古代中国佛教文化的繁荣与辉煌。大同拥有华严寺、善化寺等众多古建筑群，这些寺庙建筑风格独特，既有辽代建筑的雄浑壮丽，又有明清建筑的精致典雅，是研究中国古代建筑艺术的重要实物资料。大同地处边疆，历史上是北方重要的军事重镇，因此留下了丰富的边塞文化遗迹，如恒山悬空寺、大同古城墙等，展现了古代中国军事防御的精湛技艺和边疆风情。</w:t>
      </w:r>
    </w:p>
    <w:p w14:paraId="5294A82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auto"/>
          <w:kern w:val="2"/>
          <w:sz w:val="24"/>
          <w:szCs w:val="24"/>
          <w:lang w:val="en-US" w:eastAsia="zh-CN" w:bidi="ar-SA"/>
        </w:rPr>
        <w:t>焦作是陈氏太极拳的发源地，拥有太极拳祖祠、太极拳博物馆等文化设施，太极文化成为焦作文化旅游的一大亮点。</w:t>
      </w:r>
      <w:r>
        <w:rPr>
          <w:rFonts w:hint="eastAsia" w:ascii="Times New Roman" w:hAnsi="Times New Roman" w:cs="Times New Roman"/>
          <w:bCs/>
          <w:color w:val="auto"/>
          <w:kern w:val="2"/>
          <w:sz w:val="24"/>
          <w:szCs w:val="24"/>
          <w:lang w:val="en-US" w:eastAsia="zh-CN" w:bidi="ar-SA"/>
        </w:rPr>
        <w:t>焦作</w:t>
      </w:r>
      <w:r>
        <w:rPr>
          <w:rFonts w:hint="eastAsia" w:ascii="Times New Roman" w:hAnsi="Times New Roman" w:eastAsia="宋体" w:cs="Times New Roman"/>
          <w:bCs/>
          <w:color w:val="auto"/>
          <w:kern w:val="2"/>
          <w:sz w:val="24"/>
          <w:szCs w:val="24"/>
          <w:lang w:val="en-US" w:eastAsia="zh-CN" w:bidi="ar-SA"/>
        </w:rPr>
        <w:t>在旅游设施方面投入较大，景区基础设施完善，旅游服务功能完备，</w:t>
      </w:r>
      <w:r>
        <w:rPr>
          <w:rFonts w:hint="eastAsia" w:ascii="Times New Roman" w:hAnsi="Times New Roman" w:cs="Times New Roman"/>
          <w:bCs/>
          <w:color w:val="auto"/>
          <w:kern w:val="2"/>
          <w:sz w:val="24"/>
          <w:szCs w:val="24"/>
          <w:lang w:val="en-US" w:eastAsia="zh-CN" w:bidi="ar-SA"/>
        </w:rPr>
        <w:t>交通方便，</w:t>
      </w:r>
      <w:r>
        <w:rPr>
          <w:rFonts w:hint="eastAsia" w:ascii="Times New Roman" w:hAnsi="Times New Roman" w:eastAsia="宋体" w:cs="Times New Roman"/>
          <w:bCs/>
          <w:color w:val="auto"/>
          <w:kern w:val="2"/>
          <w:sz w:val="24"/>
          <w:szCs w:val="24"/>
          <w:lang w:val="en-US" w:eastAsia="zh-CN" w:bidi="ar-SA"/>
        </w:rPr>
        <w:t>为游客提供了便捷的旅游条件。</w:t>
      </w:r>
    </w:p>
    <w:p w14:paraId="65161C7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auto"/>
          <w:kern w:val="2"/>
          <w:sz w:val="24"/>
          <w:szCs w:val="24"/>
          <w:lang w:val="en-US" w:eastAsia="zh-CN" w:bidi="ar-SA"/>
        </w:rPr>
        <w:t>与大同相比，焦作在历史文化底蕴的展示上显得较为零散和薄弱。大同通过古建筑群、佛教文化遗迹等系统地展示了其深厚的历史文化底蕴，而焦作在这方面还有待加强。焦作的文化旅游产品相对传统，缺乏创新性和差异性。大同则通过举办各种文化旅游活动、开发特色旅游产品等方式，不断吸引游客，提升了文化旅游的吸引力和竞争力。</w:t>
      </w:r>
    </w:p>
    <w:p w14:paraId="6AE2870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首先，</w:t>
      </w:r>
      <w:r>
        <w:rPr>
          <w:rFonts w:hint="eastAsia" w:ascii="Times New Roman" w:hAnsi="Times New Roman" w:eastAsia="宋体" w:cs="Times New Roman"/>
          <w:bCs/>
          <w:color w:val="auto"/>
          <w:kern w:val="2"/>
          <w:sz w:val="24"/>
          <w:szCs w:val="24"/>
          <w:lang w:val="en-US" w:eastAsia="zh-CN" w:bidi="ar-SA"/>
        </w:rPr>
        <w:t>焦作应深入挖掘自身的历史文化资源，通过建设博物馆、历史文化街区等方式，将历史文化资源进行系统的整合和展示</w:t>
      </w:r>
      <w:r>
        <w:rPr>
          <w:rFonts w:hint="eastAsia" w:ascii="Times New Roman" w:hAnsi="Times New Roman" w:cs="Times New Roman"/>
          <w:bCs/>
          <w:color w:val="auto"/>
          <w:kern w:val="2"/>
          <w:sz w:val="24"/>
          <w:szCs w:val="24"/>
          <w:lang w:val="en-US" w:eastAsia="zh-CN" w:bidi="ar-SA"/>
        </w:rPr>
        <w:t>，</w:t>
      </w:r>
      <w:r>
        <w:rPr>
          <w:rFonts w:hint="eastAsia" w:ascii="Times New Roman" w:hAnsi="Times New Roman" w:eastAsia="宋体" w:cs="Times New Roman"/>
          <w:bCs/>
          <w:color w:val="auto"/>
          <w:kern w:val="2"/>
          <w:sz w:val="24"/>
          <w:szCs w:val="24"/>
          <w:lang w:val="en-US" w:eastAsia="zh-CN" w:bidi="ar-SA"/>
        </w:rPr>
        <w:t>同时可以加强与国内外文化机构的合作与交流，提升焦作历史文化的知名度和影响力。</w:t>
      </w:r>
      <w:r>
        <w:rPr>
          <w:rFonts w:hint="eastAsia" w:ascii="Times New Roman" w:hAnsi="Times New Roman" w:cs="Times New Roman"/>
          <w:bCs/>
          <w:color w:val="auto"/>
          <w:kern w:val="2"/>
          <w:sz w:val="24"/>
          <w:szCs w:val="24"/>
          <w:lang w:val="en-US" w:eastAsia="zh-CN" w:bidi="ar-SA"/>
        </w:rPr>
        <w:t>第二，</w:t>
      </w:r>
      <w:r>
        <w:rPr>
          <w:rFonts w:hint="eastAsia" w:ascii="Times New Roman" w:hAnsi="Times New Roman" w:eastAsia="宋体" w:cs="Times New Roman"/>
          <w:bCs/>
          <w:color w:val="auto"/>
          <w:kern w:val="2"/>
          <w:sz w:val="24"/>
          <w:szCs w:val="24"/>
          <w:lang w:val="en-US" w:eastAsia="zh-CN" w:bidi="ar-SA"/>
        </w:rPr>
        <w:t>焦作应继续加强旅游品牌的推广和营销力度，通过线上线下相结合的方式扩大焦作文化旅游的知名度和影响力。</w:t>
      </w:r>
      <w:r>
        <w:rPr>
          <w:rFonts w:hint="eastAsia" w:ascii="Times New Roman" w:hAnsi="Times New Roman" w:cs="Times New Roman"/>
          <w:bCs/>
          <w:color w:val="auto"/>
          <w:kern w:val="2"/>
          <w:sz w:val="24"/>
          <w:szCs w:val="24"/>
          <w:lang w:val="en-US" w:eastAsia="zh-CN" w:bidi="ar-SA"/>
        </w:rPr>
        <w:t>第三，焦作</w:t>
      </w:r>
      <w:r>
        <w:rPr>
          <w:rFonts w:hint="eastAsia" w:ascii="Times New Roman" w:hAnsi="Times New Roman" w:eastAsia="宋体" w:cs="Times New Roman"/>
          <w:bCs/>
          <w:color w:val="auto"/>
          <w:kern w:val="2"/>
          <w:sz w:val="24"/>
          <w:szCs w:val="24"/>
          <w:lang w:val="en-US" w:eastAsia="zh-CN" w:bidi="ar-SA"/>
        </w:rPr>
        <w:t>可以学习大同等品牌旅游城市的推广策略，加强与国内外旅游机构的合作与交流，提升焦作文化旅游的国际影响力，</w:t>
      </w:r>
      <w:r>
        <w:rPr>
          <w:rFonts w:hint="default" w:ascii="Times New Roman" w:hAnsi="Times New Roman" w:eastAsia="宋体" w:cs="Times New Roman"/>
          <w:bCs/>
          <w:color w:val="auto"/>
          <w:kern w:val="2"/>
          <w:sz w:val="24"/>
          <w:szCs w:val="24"/>
          <w:lang w:val="en-US" w:eastAsia="zh-CN" w:bidi="ar-SA"/>
        </w:rPr>
        <w:t>还可以举办各种文化旅游节庆活动，吸引更多游客前来观光游览。</w:t>
      </w:r>
      <w:r>
        <w:rPr>
          <w:rFonts w:hint="eastAsia" w:ascii="Times New Roman" w:hAnsi="Times New Roman" w:cs="Times New Roman"/>
          <w:bCs/>
          <w:color w:val="auto"/>
          <w:kern w:val="2"/>
          <w:sz w:val="24"/>
          <w:szCs w:val="24"/>
          <w:lang w:val="en-US" w:eastAsia="zh-CN" w:bidi="ar-SA"/>
        </w:rPr>
        <w:t>第四，</w:t>
      </w:r>
      <w:r>
        <w:rPr>
          <w:rFonts w:hint="eastAsia" w:ascii="Times New Roman" w:hAnsi="Times New Roman" w:eastAsia="宋体" w:cs="Times New Roman"/>
          <w:bCs/>
          <w:color w:val="auto"/>
          <w:kern w:val="2"/>
          <w:sz w:val="24"/>
          <w:szCs w:val="24"/>
          <w:lang w:val="en-US" w:eastAsia="zh-CN" w:bidi="ar-SA"/>
        </w:rPr>
        <w:t>焦作应继续提升旅游服务质量和管理水平，加强景区管理和服务人员的培训和教育，为游客提供更加优质、便捷的旅游服务。同时，还应加强旅游市场监管，维护良好的旅游秩序和环境。</w:t>
      </w:r>
    </w:p>
    <w:p w14:paraId="13ACB671">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114" w:name="_Toc9880"/>
      <w:r>
        <w:rPr>
          <w:rFonts w:hint="eastAsia" w:ascii="宋体" w:hAnsi="宋体" w:eastAsia="宋体" w:cs="宋体"/>
          <w:b/>
          <w:bCs/>
          <w:color w:val="auto"/>
          <w:sz w:val="28"/>
          <w:szCs w:val="28"/>
          <w:lang w:eastAsia="zh-CN"/>
        </w:rPr>
        <w:t>三、民俗旅游资源对比分析</w:t>
      </w:r>
      <w:bookmarkEnd w:id="114"/>
    </w:p>
    <w:p w14:paraId="3A2CCAAC">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（一）省内对比分析</w:t>
      </w:r>
    </w:p>
    <w:p w14:paraId="6E14DFB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信</w:t>
      </w:r>
      <w:r>
        <w:rPr>
          <w:rFonts w:hint="default" w:ascii="Times New Roman" w:hAnsi="Times New Roman" w:cs="Times New Roman"/>
          <w:bCs/>
          <w:color w:val="auto"/>
          <w:kern w:val="2"/>
          <w:sz w:val="24"/>
          <w:szCs w:val="24"/>
          <w:lang w:val="en-US" w:eastAsia="zh-CN" w:bidi="ar-SA"/>
        </w:rPr>
        <w:t>阳的传统村落丰富多样，各具特色，是中原地区传统文化与自然风光完美融合的典范。</w:t>
      </w:r>
    </w:p>
    <w:p w14:paraId="42F2CB0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西河古村落位于新县周河乡，地处河南和湖北交界的大别山腹地。这个古村落依河而建，山环水抱，自然环境得天独厚。村内保存有大量的土砖、砖石结构民居建筑，这些建筑具有鲜明的地方特色，展现了豫南民居的独特风貌。此外，西河村还有宗氏祠堂等礼祭类建筑，其中张氏宗祠尤为著名，其内部结构设计独特合理，外观雄伟壮观。西河古村落以其优美的自然环境、丰富的文化底蕴和保存完好的古建筑群，吸引了无数游客前来观光游览。</w:t>
      </w:r>
    </w:p>
    <w:p w14:paraId="0CDFA81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郝堂村坐落在信阳市平桥区，四面环山，空气清新，环境优美。郝堂村的民居建筑以狗头门楼、清水墙和木头垛起的柴扉为特色，彰显了豫南山乡民居的独特风格。村内的小桥流水、精心修葺的土坯房以及翠竹掩映的溪水，构成了一幅美丽的乡村画卷。郝堂村被誉为“画家画出来的村庄”，是许多艺术家和游客心中的理想之地。</w:t>
      </w:r>
    </w:p>
    <w:p w14:paraId="6CFCE31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何家冲村位于罗山县铁铺乡，是一个有着800年历史的古村落。这里古树老宅、青砖黛瓦，一幢幢明清古建筑风格的豫南古民居错落有致。何家冲村不仅是革命老区，还保留了红二十五军使用过的房子建筑，如军部旧址何氏祠、红军医院旧址等，具有深厚的历史文化底蕴。</w:t>
      </w:r>
    </w:p>
    <w:p w14:paraId="4A0BB65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丁李湾村位于新县八里畈镇，拥有800余年的历史。丁李湾村的建筑风格既具有北方宅院的粗犷质朴，又融入了徽派建筑的婉丽清雅。古村落以古围墙为界，依自然山势而建，布局合理，建筑精美。这里的民居建筑多为砖雕檐，檐顶上雕刻着各种吉祥物，门楣、门栏、门墩也古朴典雅。丁李湾村以其独特的建筑风格和丰富的历史文化内涵，</w:t>
      </w:r>
      <w:r>
        <w:rPr>
          <w:rFonts w:hint="eastAsia" w:ascii="Times New Roman" w:hAnsi="Times New Roman" w:cs="Times New Roman"/>
          <w:bCs/>
          <w:color w:val="auto"/>
          <w:kern w:val="2"/>
          <w:sz w:val="24"/>
          <w:szCs w:val="24"/>
          <w:lang w:val="en-US" w:eastAsia="zh-CN" w:bidi="ar-SA"/>
        </w:rPr>
        <w:t>成为</w:t>
      </w:r>
      <w:r>
        <w:rPr>
          <w:rFonts w:hint="default" w:ascii="Times New Roman" w:hAnsi="Times New Roman" w:cs="Times New Roman"/>
          <w:bCs/>
          <w:color w:val="auto"/>
          <w:kern w:val="2"/>
          <w:sz w:val="24"/>
          <w:szCs w:val="24"/>
          <w:lang w:val="en-US" w:eastAsia="zh-CN" w:bidi="ar-SA"/>
        </w:rPr>
        <w:t>信阳传统村落中的瑰宝。</w:t>
      </w:r>
    </w:p>
    <w:p w14:paraId="0A1649B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是太极拳的发源地，陈家沟等古村落以其深厚的太极文化底蕴吸引着众多武术爱好者和文化旅游者。太极文化不仅为焦作古村落增添了独特的魅力，也为其旅游产业的发展提供了强大的文化支撑。焦作的山水风光秀丽，云台山等自然景观与古村落交相辉映，为游客提供了多样化的旅游体验。这种自然风光与古村落的完美结合，使得焦作在古村落旅游市场上具有独特的竞争力。焦作在旅游设施方面投入较大，景区基础设施完善，旅游服务功能完备。这为游客提供了便捷的旅游条件，也提升了焦作古村落旅游的整体品质。</w:t>
      </w:r>
    </w:p>
    <w:p w14:paraId="7C1E35B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与信阳相比，焦作在古村落历史文化底蕴的展示上可能显得较为表面和零散。信阳的古村落如西河古村落、郝堂村等，都通过丰富的历史文物、建筑遗迹和民俗活动，深入展示了当地的历史文化。而焦作在这方面还有待加强，需要深入挖掘和展示古村落的历史文化内涵。在古村落的开发过程中，焦作可能存在着保护与开发不平衡的问题。一些古村落可能因为过度开发而失去了原有的历史风貌和文化特色，而另一些古村落则可能因为保护不力而面临衰败的风险。虽然焦作在国内旅游市场上具有一定的知名度，但在古村落旅游品牌方面，其影响力还有待提升。与信阳等古村落旅游品牌较为成熟的地区相比，焦作在品牌塑造和推广方面还有较大的提升空间。</w:t>
      </w:r>
    </w:p>
    <w:p w14:paraId="5891F1F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首先，</w:t>
      </w:r>
      <w:r>
        <w:rPr>
          <w:rFonts w:hint="default" w:ascii="Times New Roman" w:hAnsi="Times New Roman" w:cs="Times New Roman"/>
          <w:bCs/>
          <w:color w:val="auto"/>
          <w:kern w:val="2"/>
          <w:sz w:val="24"/>
          <w:szCs w:val="24"/>
          <w:lang w:val="en-US" w:eastAsia="zh-CN" w:bidi="ar-SA"/>
        </w:rPr>
        <w:t>焦作应加强对古村落历史文化底蕴的挖掘和展示工作</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可以通过建设博物馆、历史文化街区等方式，将古村落的历史文化资源进行系统的整合和展示</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加强与国内外文化机构的合作与交流，提升焦作古村落历史文化的知名度和影响力。</w:t>
      </w:r>
      <w:r>
        <w:rPr>
          <w:rFonts w:hint="eastAsia" w:ascii="Times New Roman" w:hAnsi="Times New Roman" w:cs="Times New Roman"/>
          <w:bCs/>
          <w:color w:val="auto"/>
          <w:kern w:val="2"/>
          <w:sz w:val="24"/>
          <w:szCs w:val="24"/>
          <w:lang w:val="en-US" w:eastAsia="zh-CN" w:bidi="ar-SA"/>
        </w:rPr>
        <w:t>第二，</w:t>
      </w:r>
      <w:r>
        <w:rPr>
          <w:rFonts w:hint="default" w:ascii="Times New Roman" w:hAnsi="Times New Roman" w:cs="Times New Roman"/>
          <w:bCs/>
          <w:color w:val="auto"/>
          <w:kern w:val="2"/>
          <w:sz w:val="24"/>
          <w:szCs w:val="24"/>
          <w:lang w:val="en-US" w:eastAsia="zh-CN" w:bidi="ar-SA"/>
        </w:rPr>
        <w:t>在古村落的开发过程中，焦作应注重保护与开发的关系</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要尊重古村落的历史风貌和文化特色，避免过度开发和商业化，通过合理的规划和开发，提升古村落的旅游品质和服务水平，实现保护与开发的双赢。</w:t>
      </w:r>
      <w:r>
        <w:rPr>
          <w:rFonts w:hint="eastAsia" w:ascii="Times New Roman" w:hAnsi="Times New Roman" w:cs="Times New Roman"/>
          <w:bCs/>
          <w:color w:val="auto"/>
          <w:kern w:val="2"/>
          <w:sz w:val="24"/>
          <w:szCs w:val="24"/>
          <w:lang w:val="en-US" w:eastAsia="zh-CN" w:bidi="ar-SA"/>
        </w:rPr>
        <w:t>第三，</w:t>
      </w:r>
      <w:r>
        <w:rPr>
          <w:rFonts w:hint="default" w:ascii="Times New Roman" w:hAnsi="Times New Roman" w:cs="Times New Roman"/>
          <w:bCs/>
          <w:color w:val="auto"/>
          <w:kern w:val="2"/>
          <w:sz w:val="24"/>
          <w:szCs w:val="24"/>
          <w:lang w:val="en-US" w:eastAsia="zh-CN" w:bidi="ar-SA"/>
        </w:rPr>
        <w:t>焦作应加强对古村落旅游品牌的塑造和推广工作</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可以通过举办文化旅游节庆活动、加强媒体宣传等方式，提升焦作古村落旅游的知名度和影响力</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加强与旅游机构的合作与交流，拓展旅游市场，吸引更多游客前来观光游览。</w:t>
      </w:r>
      <w:r>
        <w:rPr>
          <w:rFonts w:hint="eastAsia" w:ascii="Times New Roman" w:hAnsi="Times New Roman" w:cs="Times New Roman"/>
          <w:bCs/>
          <w:color w:val="auto"/>
          <w:kern w:val="2"/>
          <w:sz w:val="24"/>
          <w:szCs w:val="24"/>
          <w:lang w:val="en-US" w:eastAsia="zh-CN" w:bidi="ar-SA"/>
        </w:rPr>
        <w:t>第四，</w:t>
      </w:r>
      <w:r>
        <w:rPr>
          <w:rFonts w:hint="default" w:ascii="Times New Roman" w:hAnsi="Times New Roman" w:cs="Times New Roman"/>
          <w:bCs/>
          <w:color w:val="auto"/>
          <w:kern w:val="2"/>
          <w:sz w:val="24"/>
          <w:szCs w:val="24"/>
          <w:lang w:val="en-US" w:eastAsia="zh-CN" w:bidi="ar-SA"/>
        </w:rPr>
        <w:t>在古村落旅游的发展过程中，焦作应注重游客的体验和服务质量</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通过提升旅游设施、优化旅游线路、加强导游培训等方式，为游客提供更加优质、便捷的旅游服务。同时，还要加强对旅游市场的监管，维护良好的旅游秩序和环境。</w:t>
      </w:r>
    </w:p>
    <w:p w14:paraId="39E6F58E">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（二）省外对比分析</w:t>
      </w:r>
    </w:p>
    <w:p w14:paraId="1AD395A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黄山市，位于安徽省南部，以其秀美的自然风光和丰富的古村落旅游资源而闻名遐迩。这里是中国传统文化的重要发源地之一，徽派建筑的典型代表地，拥有众多保存完好的古村落，为游客提供了一幅幅生动的历史画卷。</w:t>
      </w:r>
      <w:r>
        <w:rPr>
          <w:rFonts w:hint="default" w:ascii="Times New Roman" w:hAnsi="Times New Roman" w:cs="Times New Roman"/>
          <w:bCs/>
          <w:color w:val="auto"/>
          <w:kern w:val="2"/>
          <w:sz w:val="24"/>
          <w:szCs w:val="24"/>
          <w:lang w:val="en-US" w:eastAsia="zh-CN" w:bidi="ar-SA"/>
        </w:rPr>
        <w:t>黄山市的古村落旅游资源极为丰富，其中最具代表性的有宏村、西递、呈坎等。宏村以其独特的牛形村落布局、精美的徽派建筑和南湖月沼的美景而著称，被誉为“中国画里的乡村”。西递则以其悠久的历史、众多的明清古建筑和深厚的文化底蕴吸引着无数游客。呈坎则以其八卦村布局、神秘的过坎文化和保存完好的古建筑群而独具魅力。这些古村落不仅建筑风格独特，而且文化内涵深厚。它们见证了徽州文化的繁荣与衰落，承载了徽州人的智慧与情感。游客在这里可以欣赏到精美的木雕、砖雕、石雕等徽派建筑艺术，感受到徽州人的生活方式和民俗风情。</w:t>
      </w:r>
    </w:p>
    <w:p w14:paraId="531D52B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焦作是太极拳的发源地，陈家沟等古村落以其深厚的太极文化底蕴而独具特色。这种独特的文化元素为焦作古村落旅游增添了别样的魅力。焦作的山水风光秀丽，云台山等自然景观与古村落交相辉映，为游客提供了多样化的旅游体验。焦作地处中原，交通便捷，在旅游设施方面投入较大，景区基础设施完善，旅游服务功能完备，为游客提供了便捷的旅游条件。</w:t>
      </w:r>
    </w:p>
    <w:p w14:paraId="688AFBA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与黄山市相比，焦作古村落的数量和知名度相对较低。黄山市拥有众多全国知名的古村落，而焦作在这方面还有待提升。焦作古村落的文化内涵挖掘和展示工作还有待加强。虽然焦作也有丰富的历史文化资源，但在展示和传播方面还有待提升，以吸引更多游客。黄山市的古村落旅游资源已经形成了较强的品牌影响力，吸引了大量国内外游客。而焦作在这方面还需要进一步努力，提升品牌知名度和影响力。</w:t>
      </w:r>
    </w:p>
    <w:p w14:paraId="3ABFF24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首先，焦作应加强对现有古村落的保护和修复工作，确保古村落的历史风貌和文化特色得到妥善保存，积极申报国家级、省级传统村落名录，提升古村落的知名度和影响力。其次，焦作应深入挖掘古村落的文化内涵，通过举办文化活动、展览等方式展示古村落的独特魅力，加强与高校、研究机构的合作，开展古村落文化研究，为旅游开发提供智力支持。第三，焦作应加强对古村落旅游品牌的塑造和推广工作，可以通过制作宣传片、举办旅游节庆活动等方式提升品牌知名度，加强与旅游机构的合作与交流，拓展旅游市场，吸引更多游客前来观光游览。第四，焦作可以借鉴黄山市的经验，创新旅游产品开发，开发古村落研学游、民俗体验游等特色旅游产品，满足游客多样化的需求，加强与周边地区的合作与交流，共同打造区域民俗村落旅游品牌。</w:t>
      </w:r>
    </w:p>
    <w:p w14:paraId="7466F330">
      <w:pPr>
        <w:keepNext w:val="0"/>
        <w:keepLines w:val="0"/>
        <w:pageBreakBefore w:val="0"/>
        <w:widowControl w:val="0"/>
        <w:numPr>
          <w:ilvl w:val="0"/>
          <w:numId w:val="27"/>
        </w:numPr>
        <w:kinsoku/>
        <w:wordWrap/>
        <w:overflowPunct/>
        <w:topLinePunct w:val="0"/>
        <w:autoSpaceDE/>
        <w:autoSpaceDN/>
        <w:bidi w:val="0"/>
        <w:adjustRightInd/>
        <w:snapToGrid/>
        <w:spacing w:line="360" w:lineRule="auto"/>
        <w:jc w:val="center"/>
        <w:textAlignment w:val="auto"/>
        <w:outlineLvl w:val="1"/>
        <w:rPr>
          <w:rFonts w:hint="eastAsia" w:ascii="宋体" w:hAnsi="宋体" w:eastAsia="宋体" w:cs="宋体"/>
          <w:b/>
          <w:bCs/>
          <w:color w:val="auto"/>
          <w:sz w:val="30"/>
          <w:szCs w:val="30"/>
          <w:lang w:val="en-US" w:eastAsia="zh-CN"/>
        </w:rPr>
      </w:pPr>
      <w:bookmarkStart w:id="115" w:name="_Toc1247"/>
      <w:r>
        <w:rPr>
          <w:rFonts w:hint="eastAsia" w:ascii="宋体" w:hAnsi="宋体" w:eastAsia="宋体" w:cs="宋体"/>
          <w:b/>
          <w:bCs/>
          <w:color w:val="auto"/>
          <w:sz w:val="30"/>
          <w:szCs w:val="30"/>
          <w:lang w:val="en-US" w:eastAsia="zh-CN"/>
        </w:rPr>
        <w:t>旅游资源分区评价</w:t>
      </w:r>
      <w:bookmarkEnd w:id="115"/>
    </w:p>
    <w:p w14:paraId="0F9D7049">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116" w:name="_Toc18568"/>
      <w:r>
        <w:rPr>
          <w:rFonts w:hint="eastAsia" w:ascii="宋体" w:hAnsi="宋体" w:eastAsia="宋体" w:cs="宋体"/>
          <w:b/>
          <w:bCs/>
          <w:color w:val="auto"/>
          <w:sz w:val="28"/>
          <w:szCs w:val="28"/>
          <w:lang w:eastAsia="zh-CN"/>
        </w:rPr>
        <w:t>一、焦作北部沿南太行旅游带评价</w:t>
      </w:r>
      <w:bookmarkEnd w:id="116"/>
    </w:p>
    <w:p w14:paraId="58AEBCF1">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（一）旅游资源本身特征评价</w:t>
      </w:r>
    </w:p>
    <w:p w14:paraId="2F2D62F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1、资源质量</w:t>
      </w:r>
    </w:p>
    <w:p w14:paraId="7AFB5E5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（1）美学价值：焦作北部沿南太行旅游带，以其得天独厚的自然景观和深厚的人文底蕴，展现出了无与伦比的美学价值，成为众多游客心中的旅游胜地。</w:t>
      </w:r>
    </w:p>
    <w:p w14:paraId="417D35D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从自然景观的壮丽程度来看，焦作北部沿南太行旅游带无疑是一幅动人心魄的山水画卷。太行山脉在这里巍峨耸立，云雾缭绕，重峦叠嶂，仿佛是大自然精心雕琢的艺术品。云台山风景区作为其中的佼佼者，以其险峻的山峰、清澈的溪流、壮观的瀑布和幽深的峡谷而闻名遐迩。红石峡的丹霞地貌、潭瀑峡的飞瀑流泉、茱萸峰的云海日出，每一处景点都让人流连忘返，赞叹不已。这些自然景观不仅具有极高的观赏价值，更能够激发人们对大自然的敬畏和热爱之情。</w:t>
      </w:r>
    </w:p>
    <w:p w14:paraId="4B75C06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人文景观方面，焦作北部沿南太行旅游带同样散发着独特的历史韵味。这里的古村落、古寺庙、古栈道等人文遗迹，见证了历史的沧桑巨变，承载着深厚的文化底蕴。例如，净影寺作为一座千年古刹，其建筑风格古朴典雅，寺内的摩崖石刻、古钟古鼎等文物古迹，无不透露出历史的厚重与文化的深邃。此外，焦作还是太极拳的发源地，陈家沟的太极拳文化更是将人文景观与武术艺术完美结合，展现了中华武术的博大精深和独特魅力。</w:t>
      </w:r>
    </w:p>
    <w:p w14:paraId="608261F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每年数百万游客前来焦作北部沿南太行旅游带观光游览，其中很大一部分游客是被这里的美学价值所吸引。他们在这里欣赏美景、拍照留念，感受着大自然的鬼斧神工和人文历史的深厚底蕴，享受着旅游带来的愉悦和放松。</w:t>
      </w:r>
    </w:p>
    <w:p w14:paraId="646FE9A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（2）科学价值：</w:t>
      </w:r>
      <w:r>
        <w:rPr>
          <w:rFonts w:hint="default" w:ascii="Times New Roman" w:hAnsi="Times New Roman" w:cs="Times New Roman"/>
          <w:bCs/>
          <w:color w:val="auto"/>
          <w:kern w:val="2"/>
          <w:sz w:val="24"/>
          <w:szCs w:val="24"/>
          <w:lang w:val="en-US" w:eastAsia="zh-CN" w:bidi="ar-SA"/>
        </w:rPr>
        <w:t>焦作北部沿南太行旅游带不仅具有极高的美学价值，还蕴含着丰富的科学价值，为科学研究、教育普及提供了得天独厚的条件。</w:t>
      </w:r>
    </w:p>
    <w:p w14:paraId="42AF29D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从地质奇观的角度来看，焦作北部沿南太行旅游带的地质构造复杂多样，形成了许多独特的地质景观。云台山风景区内的</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云台地貌</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就是其中的典型代表。这种地貌是由新构造运动的强烈抬升和水蚀作用的深度下切共同作用形成的，具有极高的科学研究价值。地质学家们可以在这里研究地壳运动、岩石成因、地貌演化等地质学问题，为地球科学的发展提供重要的实物资料和理论依据。</w:t>
      </w:r>
    </w:p>
    <w:p w14:paraId="261EBF6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生态多样性方面，焦作北部沿南太行旅游带同样展现出了极高的科学价值。这里的山区生态系统复杂多样，植被覆盖率高，生物多样性丰富。该区域内有多种珍稀濒危植物和动物种类，如红豆杉、连香树、金钱豹、猕猴等。这些生物资源不仅为生态学研究提供了宝贵的实物样本，也为生物多样性保护提供了重要的实践基地。</w:t>
      </w:r>
    </w:p>
    <w:p w14:paraId="29056D3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教育普及方面，焦作北部沿南太行旅游带也发挥着重要作用。许多学校和科研机构都会组织师生来这里进行实地考察和科普教育。学生们可以在这里近距离观察地质奇观、了解生态系统、认识野生动植物等，从而增强对自然科学的兴趣和认识。同时，这里也是科普宣传的重要场所，通过举办科普展览、讲座等活动，向公众普及科学知识，提高公众的科学素养和环保意识。</w:t>
      </w:r>
    </w:p>
    <w:p w14:paraId="0B8E928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（3）历史文化价值：</w:t>
      </w:r>
      <w:r>
        <w:rPr>
          <w:rFonts w:hint="default" w:ascii="Times New Roman" w:hAnsi="Times New Roman" w:cs="Times New Roman"/>
          <w:bCs/>
          <w:color w:val="auto"/>
          <w:kern w:val="2"/>
          <w:sz w:val="24"/>
          <w:szCs w:val="24"/>
          <w:lang w:val="en-US" w:eastAsia="zh-CN" w:bidi="ar-SA"/>
        </w:rPr>
        <w:t>焦作北部沿南太行旅游带的历史文化背景深厚，文化内涵丰富，具有极高的历史价值和文化独特性。</w:t>
      </w:r>
    </w:p>
    <w:p w14:paraId="50891CE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从历史背景来看，焦作北部沿南太行地区是人类文明的重要发源地之一。早在远古时期，这里就有人类活动的痕迹。随着历史的演进，这里逐渐</w:t>
      </w:r>
      <w:r>
        <w:rPr>
          <w:rFonts w:hint="eastAsia" w:ascii="Times New Roman" w:hAnsi="Times New Roman" w:cs="Times New Roman"/>
          <w:bCs/>
          <w:color w:val="auto"/>
          <w:kern w:val="2"/>
          <w:sz w:val="24"/>
          <w:szCs w:val="24"/>
          <w:lang w:val="en-US" w:eastAsia="zh-CN" w:bidi="ar-SA"/>
        </w:rPr>
        <w:t>成为</w:t>
      </w:r>
      <w:r>
        <w:rPr>
          <w:rFonts w:hint="default" w:ascii="Times New Roman" w:hAnsi="Times New Roman" w:cs="Times New Roman"/>
          <w:bCs/>
          <w:color w:val="auto"/>
          <w:kern w:val="2"/>
          <w:sz w:val="24"/>
          <w:szCs w:val="24"/>
          <w:lang w:val="en-US" w:eastAsia="zh-CN" w:bidi="ar-SA"/>
        </w:rPr>
        <w:t>华夏文明的重要组成部分。例如，焦作是太极拳的发源地，太极拳作为中华武术的瑰宝，不仅具有极高的武术价值，还蕴含着深厚的哲学思想和文化内涵。此外，焦作还保留着许多古迹遗址，如裴李岗文化遗址、仰韶文化遗址等，这些遗址见证了古代文明的辉煌与沧桑。</w:t>
      </w:r>
    </w:p>
    <w:p w14:paraId="1A75DB5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文化内涵方面，焦作北部沿南太行旅游带融合了儒、释、道等多种文化元素，形成了独特的文化风貌。这里的古寺庙、古村落、古栈道等人文遗迹，都承载着深厚的文化底蕴和历史记忆。例如，净影寺作为一座千年古刹，不仅是佛教文化的传播地，也是古代建筑艺术的瑰宝。寺内的摩崖石刻、古钟古鼎等文物古迹，都透露出古代工匠的精湛技艺和深厚的文化底蕴。</w:t>
      </w:r>
    </w:p>
    <w:p w14:paraId="20D1D40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独特性方面，焦作北部沿南太行旅游带的旅游资源具有鲜明的地域特色和文化标识。这里的太极拳文化、古迹遗址、民俗风情等都是独一无二的，具有极高的辨识度和吸引力。这些独特的文化资源不仅为旅游开发提供了丰富的素材和灵感，也为文化传承和创新提供了广阔的舞台。例如，焦作市通过举办太极拳文化节等活动，将太极拳文化推向了世界舞台，让更多的人了解和认识了这一独特的文化瑰宝。</w:t>
      </w:r>
    </w:p>
    <w:p w14:paraId="2A78E52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（4）娱乐价值：</w:t>
      </w:r>
      <w:r>
        <w:rPr>
          <w:rFonts w:hint="default" w:ascii="Times New Roman" w:hAnsi="Times New Roman" w:cs="Times New Roman"/>
          <w:bCs/>
          <w:color w:val="auto"/>
          <w:kern w:val="2"/>
          <w:sz w:val="24"/>
          <w:szCs w:val="24"/>
          <w:lang w:val="en-US" w:eastAsia="zh-CN" w:bidi="ar-SA"/>
        </w:rPr>
        <w:t>焦作北部沿南太行旅游带不仅拥有丰富的自然和文化资源，还提供了多样化的娱乐活动和体验，为游客带来了无尽的欢乐和满足。</w:t>
      </w:r>
    </w:p>
    <w:p w14:paraId="1E40F28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主题公园是焦作北部沿南太行旅游带娱乐活动的重要组成部分。虽然目前该区域还没有大型的主题公园，但正在规划和建设中的项目将结合当地的文化特色和旅游资源，为游客带来新颖、刺激的娱乐体验。例如，规划中的太极文化主题公园将围绕太极拳文化展开，设置太极拳表演、太极拳培训、太极拳体验等项目，让游客在游玩中感受太极拳的魅力。</w:t>
      </w:r>
    </w:p>
    <w:p w14:paraId="366CABC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节庆活动也是焦作北部沿南太行旅游带娱乐活动的一大亮点。这里每年都会举办多场具有地方特色的节庆活动，如太极拳文化节、云台山国际旅游节等。这些节庆活动不仅展示了当地的文化魅力和民俗风情，也为游客提供了参与互动、体验当地生活的机会。例如，在太极拳文化节期间，游客可以观看太极拳表演、参加太极拳比赛、体验太极拳养生等项目；在云台山国际旅游节期间，游客可以欣赏山水美景、品尝地方美食、参与户外拓展等活动。</w:t>
      </w:r>
    </w:p>
    <w:p w14:paraId="162860D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除了主题公园和节庆活动外，焦作北部沿南太行旅游带还提供了许多其他娱乐活动和体验。例如，游客可以在云台山风景区内进行徒步、攀岩、漂流等户外运动项目；可以在古村落里体验农耕文化、品尝农家菜；还可以参加各种文化讲座、手工艺制作等活动，深入了解当地的文化内涵和民俗风情。这些娱乐活动和体验不仅丰富了游客的旅游生活，也提高了旅游产品的吸引力和竞争力。</w:t>
      </w:r>
    </w:p>
    <w:p w14:paraId="36FDBA4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近年来焦作北部沿南太行旅游带的游客满意度持续提高，其中娱乐活动和体验的贡献不可小觑。游客们在这里享受到了多样化的娱乐体验，感受到了旅游带来的快乐和满足。同时，这些娱乐活动和体验也促进了当地旅游经济的发展和就业的增长，为焦作北部沿南太行旅游带的可持续发展奠定了坚实的基础。</w:t>
      </w:r>
    </w:p>
    <w:p w14:paraId="3B6B4EF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2、资源规模与丰度</w:t>
      </w:r>
    </w:p>
    <w:p w14:paraId="6CB0F3D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（1）数量：</w:t>
      </w:r>
      <w:r>
        <w:rPr>
          <w:rFonts w:hint="default" w:ascii="Times New Roman" w:hAnsi="Times New Roman" w:cs="Times New Roman"/>
          <w:bCs/>
          <w:color w:val="auto"/>
          <w:kern w:val="2"/>
          <w:sz w:val="24"/>
          <w:szCs w:val="24"/>
          <w:lang w:val="en-US" w:eastAsia="zh-CN" w:bidi="ar-SA"/>
        </w:rPr>
        <w:t>焦作北部沿南太行旅游带，以其丰富的旅游资源和独特的地理优势，</w:t>
      </w:r>
      <w:r>
        <w:rPr>
          <w:rFonts w:hint="eastAsia" w:ascii="Times New Roman" w:hAnsi="Times New Roman" w:cs="Times New Roman"/>
          <w:bCs/>
          <w:color w:val="auto"/>
          <w:kern w:val="2"/>
          <w:sz w:val="24"/>
          <w:szCs w:val="24"/>
          <w:lang w:val="en-US" w:eastAsia="zh-CN" w:bidi="ar-SA"/>
        </w:rPr>
        <w:t>成为</w:t>
      </w:r>
      <w:r>
        <w:rPr>
          <w:rFonts w:hint="default" w:ascii="Times New Roman" w:hAnsi="Times New Roman" w:cs="Times New Roman"/>
          <w:bCs/>
          <w:color w:val="auto"/>
          <w:kern w:val="2"/>
          <w:sz w:val="24"/>
          <w:szCs w:val="24"/>
          <w:lang w:val="en-US" w:eastAsia="zh-CN" w:bidi="ar-SA"/>
        </w:rPr>
        <w:t>国内外游客争相前往的旅游胜地。该区域内旅游资源的种类繁多，涵盖了自然景观、人文景观、休闲娱乐、科普教育等多个领域。</w:t>
      </w:r>
    </w:p>
    <w:p w14:paraId="4D04449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自然景观方面，焦作北部沿南太行旅游带拥有众多著名的山岳型景区，如云台山风景区、青天河风景区、神农山风景区等。这些景区以其壮丽的山峦、幽深的峡谷、清澈的溪流和壮观的瀑布而著称，为游客提供了丰富的自然观光体验。此外，该区域还分布着大量的地质遗迹、珍稀动植物和独特的生态系统，为科学研究和生态教育提供了宝贵的资源。</w:t>
      </w:r>
    </w:p>
    <w:p w14:paraId="3E06442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人文景观方面，焦作北部沿南太行旅游带同样不乏亮点。这里保存着丰富的历史文化遗产，如古寺、古塔、古迹遗址等，它们见证了焦作地区悠久的历史和灿烂的文化。同时，该区域还保留着独特的民俗风情和传统文化活动，如庙会、节庆等，为游客提供了深入了解焦作文化的机会。</w:t>
      </w:r>
    </w:p>
    <w:p w14:paraId="06A89E7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除了自然景观和人文景观外，焦作北部沿南太行旅游带还开发了多种休闲娱乐项目，如漂流、攀岩、滑草等，满足了不同游客的娱乐需求。此外，该区域还建有多个科普教育基地和主题公园，如地质博物馆、生态园等，为游客提供了寓教于乐的旅游体验。</w:t>
      </w:r>
    </w:p>
    <w:p w14:paraId="2F31038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北部沿南太行旅游带内共有各类旅游资源单体数千个，涵盖了山岳型景区、地质遗迹、历史文化遗产、民俗风情、休闲娱乐项目、科普教育基地等多个类型。这些旅游资源的丰富性和多样性，为焦作北部沿南太行旅游带的发展提供了坚实的基础。</w:t>
      </w:r>
    </w:p>
    <w:p w14:paraId="1E30804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（2）规模：</w:t>
      </w:r>
      <w:r>
        <w:rPr>
          <w:rFonts w:hint="default" w:ascii="Times New Roman" w:hAnsi="Times New Roman" w:cs="Times New Roman"/>
          <w:bCs/>
          <w:color w:val="auto"/>
          <w:kern w:val="2"/>
          <w:sz w:val="24"/>
          <w:szCs w:val="24"/>
          <w:lang w:val="en-US" w:eastAsia="zh-CN" w:bidi="ar-SA"/>
        </w:rPr>
        <w:t>焦作北部沿南太行旅游带内的单个旅游资源规模宏大，各具特色，为游客提供了丰富多彩的旅游体验。</w:t>
      </w:r>
    </w:p>
    <w:p w14:paraId="02799C0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以云台山风景区为例，该景区总面积达到了240平方公里，是焦作北部沿南太行旅游带内的核心景区之一。景区内包含了红石峡、潭瀑峡、泉瀑峡、青龙峡、峰林峡、子房湖、茱萸峰、叠彩洞、猕猴谷、百家岩、万善寺等十一个主要景点。其中，红石峡以其险峻的山势、奇特的岩石和清澈的溪流而著称，是云台山风景区的标志性景点之一；潭瀑峡则以其壮观的瀑布和深邃的峡谷吸引了无数游客的目光；泉瀑峡更是以其高达314米的云台天瀑而闻名遐迩，是中国落差最大的瀑布之一。</w:t>
      </w:r>
    </w:p>
    <w:p w14:paraId="12A857A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青天河风景区同样规模宏大，景区面积达到了106平方公里。这里以山水之美著称，拥有青天河大坝、三姑泉、观音峡等多个著名景点。青天河大坝巍峨壮观，是景区内的标志性建筑；三姑泉则以其清澈的泉水和独特的传说而吸引了众多游客；观音峡则以其幽深的峡谷和奇特的岩石景观而备受赞誉。</w:t>
      </w:r>
    </w:p>
    <w:p w14:paraId="1130F1D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神农山风景区也是焦作北部沿南太行旅游带内的一个重要景区，景区面积达到了102平方公里。这里以奇峰异石、流泉飞瀑和珍稀动植物而著称，拥有龙脊长城、紫金顶、白松岭等多个著名景点。龙脊长城以其险峻的山势和独特的构造而吸引了众多探险者；紫金顶则是神农山的最高峰，海拔达到了1028米，是观赏日出和云海的绝佳地点；白松岭则以其茂密的森林和珍稀的动植物而</w:t>
      </w:r>
      <w:r>
        <w:rPr>
          <w:rFonts w:hint="eastAsia" w:ascii="Times New Roman" w:hAnsi="Times New Roman" w:cs="Times New Roman"/>
          <w:bCs/>
          <w:color w:val="auto"/>
          <w:kern w:val="2"/>
          <w:sz w:val="24"/>
          <w:szCs w:val="24"/>
          <w:lang w:val="en-US" w:eastAsia="zh-CN" w:bidi="ar-SA"/>
        </w:rPr>
        <w:t>成为</w:t>
      </w:r>
      <w:r>
        <w:rPr>
          <w:rFonts w:hint="default" w:ascii="Times New Roman" w:hAnsi="Times New Roman" w:cs="Times New Roman"/>
          <w:bCs/>
          <w:color w:val="auto"/>
          <w:kern w:val="2"/>
          <w:sz w:val="24"/>
          <w:szCs w:val="24"/>
          <w:lang w:val="en-US" w:eastAsia="zh-CN" w:bidi="ar-SA"/>
        </w:rPr>
        <w:t>生态旅游的热门景点。</w:t>
      </w:r>
    </w:p>
    <w:p w14:paraId="0B5E69E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除了这些大型景区外，焦作北部沿南太行旅游带内还有许多规模较小的景点和休闲娱乐项目，如漂流河道、攀岩场地、滑草场等。这些景点和项目虽然规模不大，但各具特色，为游客提供了多样化的旅游体验。</w:t>
      </w:r>
    </w:p>
    <w:p w14:paraId="3EBCF6B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（3）组合状况：</w:t>
      </w:r>
      <w:r>
        <w:rPr>
          <w:rFonts w:hint="default" w:ascii="Times New Roman" w:hAnsi="Times New Roman" w:cs="Times New Roman"/>
          <w:bCs/>
          <w:color w:val="auto"/>
          <w:kern w:val="2"/>
          <w:sz w:val="24"/>
          <w:szCs w:val="24"/>
          <w:lang w:val="en-US" w:eastAsia="zh-CN" w:bidi="ar-SA"/>
        </w:rPr>
        <w:t>焦作北部沿南太行旅游带内的旅游资源不仅种类丰富、规模宏大，而且组合关系紧密，形成了自然景观与人文景观互补、旅游资源集聚效应显著的独特优势。</w:t>
      </w:r>
    </w:p>
    <w:p w14:paraId="056036E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自然景观与人文景观的互补性是该区域旅游资源组合的一大亮点。焦作北部沿南太行旅游带以山岳型景区为主，这些景区以其壮丽的山峦、幽深的峡谷、清澈的溪流和壮观的瀑布等自然景观而著称。然而，这些自然景观并非孤立存在，而是与丰富的人文景观相互交融、相得益彰。例如，在云台山风景区内，游客不仅可以欣赏到红石峡的险峻山势和奇特岩石，还可以参观到万善寺这座千年古刹，感受其深厚的历史文化底蕴。这种自然景观与人文景观的互补性，使得焦作北部沿南太行旅游带的旅游资源更加丰富多彩，满足了不同游客的多样化需求。</w:t>
      </w:r>
    </w:p>
    <w:p w14:paraId="10A3067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旅游资源的集聚效应也是焦作北部沿南太行旅游带的一大优势。该区域内的旅游资源分布相对集中，形成了多个旅游集聚区。例如，以云台山风景区为核心，周边分布着青龙峡、峰林峡等多个景区，这些景区之间距离较近，交通便利，游客可以在短时间内游览多个景点，提高了旅游效率。此外，该区域还建有多个休闲娱乐项目和科普教育基地，如漂流河道、攀岩场地、地质博物馆等，这些项目与景区之间形成了良好的互补关系，进一步提升了焦作北部沿南太行旅游带的吸引力和竞争力。</w:t>
      </w:r>
    </w:p>
    <w:p w14:paraId="195A21D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color w:val="auto"/>
          <w:lang w:val="en-US" w:eastAsia="zh-CN"/>
        </w:rPr>
      </w:pPr>
      <w:r>
        <w:rPr>
          <w:rFonts w:hint="default" w:ascii="Times New Roman" w:hAnsi="Times New Roman" w:cs="Times New Roman"/>
          <w:bCs/>
          <w:color w:val="auto"/>
          <w:kern w:val="2"/>
          <w:sz w:val="24"/>
          <w:szCs w:val="24"/>
          <w:lang w:val="en-US" w:eastAsia="zh-CN" w:bidi="ar-SA"/>
        </w:rPr>
        <w:t>这种旅游资源的组合关系不仅为游客提供了更加便捷、高效的旅游体验，也为焦作北部沿南太行旅游带的发展提供了有力支撑。通过整合区域内的旅游资源，形成旅游集聚区，可以吸引更多的游客前来观光旅游，推动当地旅游经济的快速发展。同时，这种组合关系还有助于提升焦作北部沿南太行旅游带的品牌形象和知名度，为其在全国乃至全球的旅游市场中赢得更大的份额。</w:t>
      </w:r>
    </w:p>
    <w:p w14:paraId="41CCA37C">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（二）旅游资源环境评价</w:t>
      </w:r>
    </w:p>
    <w:p w14:paraId="571BF71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1、自然环境</w:t>
      </w:r>
    </w:p>
    <w:p w14:paraId="44B7301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（1）气候条件：</w:t>
      </w:r>
      <w:r>
        <w:rPr>
          <w:rFonts w:hint="default" w:ascii="Times New Roman" w:hAnsi="Times New Roman" w:cs="Times New Roman"/>
          <w:bCs/>
          <w:color w:val="auto"/>
          <w:kern w:val="2"/>
          <w:sz w:val="24"/>
          <w:szCs w:val="24"/>
          <w:lang w:val="en-US" w:eastAsia="zh-CN" w:bidi="ar-SA"/>
        </w:rPr>
        <w:t>焦作北部沿南太行旅游带地处暖温带大陆性季风气候区，其气候特征鲜明，对旅游活动产生了深远的影响。</w:t>
      </w:r>
    </w:p>
    <w:p w14:paraId="486A2B4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从温度角度来看，该区域四季分明，春季干旱多风，夏季炎热多雨，秋季昼暖夜凉，冬季寒冷干燥。具体来说，夏季平均气温</w:t>
      </w:r>
      <w:r>
        <w:rPr>
          <w:rFonts w:hint="eastAsia" w:ascii="Times New Roman" w:hAnsi="Times New Roman" w:cs="Times New Roman"/>
          <w:bCs/>
          <w:color w:val="auto"/>
          <w:kern w:val="2"/>
          <w:sz w:val="24"/>
          <w:szCs w:val="24"/>
          <w:lang w:val="en-US" w:eastAsia="zh-CN" w:bidi="ar-SA"/>
        </w:rPr>
        <w:t>26.8℃</w:t>
      </w:r>
      <w:r>
        <w:rPr>
          <w:rFonts w:hint="default" w:ascii="Times New Roman" w:hAnsi="Times New Roman" w:cs="Times New Roman"/>
          <w:bCs/>
          <w:color w:val="auto"/>
          <w:kern w:val="2"/>
          <w:sz w:val="24"/>
          <w:szCs w:val="24"/>
          <w:lang w:val="en-US" w:eastAsia="zh-CN" w:bidi="ar-SA"/>
        </w:rPr>
        <w:t>，最高气温可达40℃以上，但由于南太行山脉的屏障作用，山区气温相对较低，成为避暑的好去处。冬季平均气温</w:t>
      </w:r>
      <w:r>
        <w:rPr>
          <w:rFonts w:hint="eastAsia" w:ascii="Times New Roman" w:hAnsi="Times New Roman" w:cs="Times New Roman"/>
          <w:bCs/>
          <w:color w:val="auto"/>
          <w:kern w:val="2"/>
          <w:sz w:val="24"/>
          <w:szCs w:val="24"/>
          <w:lang w:val="en-US" w:eastAsia="zh-CN" w:bidi="ar-SA"/>
        </w:rPr>
        <w:t>2.5</w:t>
      </w:r>
      <w:r>
        <w:rPr>
          <w:rFonts w:hint="default" w:ascii="Times New Roman" w:hAnsi="Times New Roman" w:cs="Times New Roman"/>
          <w:bCs/>
          <w:color w:val="auto"/>
          <w:kern w:val="2"/>
          <w:sz w:val="24"/>
          <w:szCs w:val="24"/>
          <w:lang w:val="en-US" w:eastAsia="zh-CN" w:bidi="ar-SA"/>
        </w:rPr>
        <w:t>℃，最低气温可达-10℃以下，但山区因地势较高，气温更低，且常有雪景出现，为冬季旅游增添了别样的风情。这样的温度条件使得焦作北部沿南太行旅游带在夏季和冬季都能吸引大量游客前来观光旅游。</w:t>
      </w:r>
    </w:p>
    <w:p w14:paraId="7F22919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湿度方面，该区域受季风影响显著，夏季湿度较大，平均相对湿度在70%至80%之间，有时可达90%以上，给人一种闷热的感觉。但山区由于植被茂密，空气流通较好，湿度相对较低，更为宜人。冬季湿度较小，平均相对湿度</w:t>
      </w:r>
      <w:r>
        <w:rPr>
          <w:rFonts w:hint="eastAsia" w:ascii="Times New Roman" w:hAnsi="Times New Roman" w:cs="Times New Roman"/>
          <w:bCs/>
          <w:color w:val="auto"/>
          <w:kern w:val="2"/>
          <w:sz w:val="24"/>
          <w:szCs w:val="24"/>
          <w:lang w:val="en-US" w:eastAsia="zh-CN" w:bidi="ar-SA"/>
        </w:rPr>
        <w:t>55</w:t>
      </w:r>
      <w:r>
        <w:rPr>
          <w:rFonts w:hint="default" w:ascii="Times New Roman" w:hAnsi="Times New Roman" w:cs="Times New Roman"/>
          <w:bCs/>
          <w:color w:val="auto"/>
          <w:kern w:val="2"/>
          <w:sz w:val="24"/>
          <w:szCs w:val="24"/>
          <w:lang w:val="en-US" w:eastAsia="zh-CN" w:bidi="ar-SA"/>
        </w:rPr>
        <w:t>%，空气较为干燥。这样的湿度条件对旅游活动有一定的影响，夏季游客在山区旅游时会感觉相对舒适，而冬季则需要注意保湿和防寒。</w:t>
      </w:r>
    </w:p>
    <w:p w14:paraId="48EB7F6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光照方面，焦作北部沿南太行旅游带全年日照时数较为充足，平均日照时数在2000小时以上。夏季光照强烈，紫外线辐射较高，游客在户外活动时需要注意防晒。冬季光照相对较弱，但山区由于地势较高，日照时间相对较长，为冬季旅游提供了良好的光照条件。</w:t>
      </w:r>
    </w:p>
    <w:p w14:paraId="5133B4F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气候条件对焦作北部沿南太行旅游带的旅游活动产生了多方面的影响。夏季的凉爽气候和充足的光照使得山区成为避暑胜地，吸引了大量游客前来观光、休闲和度假。冬季的雪景和较长的日照时间则为冬季旅游提供了独特的景观和良好的光照条件，吸引了众多滑雪、赏雪爱好者前来体验。同时，气候条件的多样性也为该区域的旅游活动提供了丰富的选择，满足了不同游客的需求。</w:t>
      </w:r>
    </w:p>
    <w:p w14:paraId="7EA0A4B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（2）环境质量：</w:t>
      </w:r>
      <w:r>
        <w:rPr>
          <w:rFonts w:hint="default" w:ascii="Times New Roman" w:hAnsi="Times New Roman" w:cs="Times New Roman"/>
          <w:bCs/>
          <w:color w:val="auto"/>
          <w:kern w:val="2"/>
          <w:sz w:val="24"/>
          <w:szCs w:val="24"/>
          <w:lang w:val="en-US" w:eastAsia="zh-CN" w:bidi="ar-SA"/>
        </w:rPr>
        <w:t>焦作北部沿南太行旅游带的环境质量整体优良，为游客提供了一个清新、健康的旅游环境。</w:t>
      </w:r>
    </w:p>
    <w:p w14:paraId="155FF0D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空气质量方面，该区域远离大城市和工业区，空气污染源相对较少。根据近年来的监测数据，焦作北部沿南太行旅游带的空气质量指数（AQI）常年保持在优良水平，PM2.5、PM10等污染物浓度远低于国家标准限值。特别是在山区，由于植被茂密、空气流通性好，空气质量更是达到了“天然氧吧”的标准。这样的空气质量条件为游客提供了一个清新、舒适的呼吸环境，有利于游客的身心健康。</w:t>
      </w:r>
    </w:p>
    <w:p w14:paraId="7EF8375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水质方面，焦作北部沿南太行旅游带的水资源丰富，河流、湖泊众多。这些水体主要来源于山区降雨和地下水补给，水质清澈、无污染。根据环保部门的监测数据，该区域的水质常年保持在Ⅱ类至Ⅲ类之间，符合国家饮用水卫生标准。这样的水质条件为游客提供了安全、可靠的饮用水源，也为水上旅游活动提供了良好的水环境。</w:t>
      </w:r>
    </w:p>
    <w:p w14:paraId="5A2B7CB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土壤质量方面，焦作北部沿南太行旅游带的土壤类型多样，但以山地黄壤和山地棕壤为主。这些土壤质地疏松、肥沃，富含有机质和矿物质元素，为植被的生长提供了良好的条件。同时，由于该区域远离工业区，土壤受污染的程度较低，保持了较好的自然状态。这样的土壤质量条件为游客提供了一个绿色、生态的旅游环境，也有利于当地农业和林业的发展。</w:t>
      </w:r>
    </w:p>
    <w:p w14:paraId="0B0320A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北部沿南太行旅游带的环境质量优良，为游客提供了一个清新、健康、生态的旅游环境。这样的环境条件不仅提升了游客的旅游体验，也有利于当地旅游业的可持续发展。同时，优良的环境质量也是该区域吸引游客的重要因素之一，为当地旅游经济的发展提供了有力的支撑。</w:t>
      </w:r>
    </w:p>
    <w:p w14:paraId="4AC7B8F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（3）自然灾害风险：</w:t>
      </w:r>
      <w:r>
        <w:rPr>
          <w:rFonts w:hint="default" w:ascii="Times New Roman" w:hAnsi="Times New Roman" w:cs="Times New Roman"/>
          <w:bCs/>
          <w:color w:val="auto"/>
          <w:kern w:val="2"/>
          <w:sz w:val="24"/>
          <w:szCs w:val="24"/>
          <w:lang w:val="en-US" w:eastAsia="zh-CN" w:bidi="ar-SA"/>
        </w:rPr>
        <w:t>焦作北部沿南太行旅游带虽然自然环境优美，但也面临着一定的自然灾害风险，这些灾害对旅游安全构成了一定的威胁。</w:t>
      </w:r>
    </w:p>
    <w:p w14:paraId="7F6135C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地震方面，焦作北部沿南太行旅游带位于华北地震带上，虽然历史上该区域并未发生过破坏性较大的地震，但地震活动仍然存在一定的风险。地震可能导致山体滑坡、房屋倒塌等灾害，对游客的人身安全构成威胁。因此，在旅游过程中，游客需要关注地震预警信息，避免在地震发生时处于危险区域。</w:t>
      </w:r>
    </w:p>
    <w:p w14:paraId="7C7376E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洪水方面，该区域河流众多，且夏季降雨集中，容易发生洪水灾害。洪水可能导致河流改道、桥梁冲毁等后果，影响游客的出行安全。特别是在山区，洪水还可能引发泥石流等次生灾害，对游客的生命财产安全构成严重威胁。因此，在雨季旅游时，游客需要密切关注天气预报和洪水预警信息，避免前往洪水易发区域。</w:t>
      </w:r>
    </w:p>
    <w:p w14:paraId="3867D68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台风方面，虽然焦作北部沿南太行旅游带位于内陆地区，受台风直接影响的可能性较小，但台风带来的强降雨和强风等天气现象仍然可能对旅游安全产生影响。强降雨可能导致山体滑坡、道路积水等灾害，而强风则可能影响游客的户外活动安全。因此，在台风季节旅游时，游客需要关注天气预报和台风预警信息，做好相应的防范措施。</w:t>
      </w:r>
    </w:p>
    <w:p w14:paraId="61BFD70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为了应对这些自然灾害风险，焦作北部沿南太行旅游带的相关部门已经采取了一系列措施。例如，加强地震监测和预警系统建设，提高地震灾害的应对能力；加强河流治理和防洪工程建设，提高洪水灾害的防御能力；加强气象监测和预警信息发布，提高游客对自然灾害的防范意识。同时，游客在旅游过程中也需要自觉遵守相关规定和安全提示，确保自身的人身安全。</w:t>
      </w:r>
    </w:p>
    <w:p w14:paraId="226DD42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2、人文环境</w:t>
      </w:r>
    </w:p>
    <w:p w14:paraId="2AC684C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（1）社会文化氛围：</w:t>
      </w:r>
      <w:r>
        <w:rPr>
          <w:rFonts w:hint="default" w:ascii="Times New Roman" w:hAnsi="Times New Roman" w:cs="Times New Roman"/>
          <w:bCs/>
          <w:color w:val="auto"/>
          <w:kern w:val="2"/>
          <w:sz w:val="24"/>
          <w:szCs w:val="24"/>
          <w:lang w:val="en-US" w:eastAsia="zh-CN" w:bidi="ar-SA"/>
        </w:rPr>
        <w:t>焦作北部沿南太行旅游带不仅以其壮丽的自然风光吸引着八方游客，更以其独特的社会文化氛围让人流连忘返。这一地区的社会文化特色，深深植根于悠久的历史底蕴和丰富的民俗风情之中。</w:t>
      </w:r>
    </w:p>
    <w:p w14:paraId="15A0501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居民的生活方式在这里得到了充分</w:t>
      </w:r>
      <w:r>
        <w:rPr>
          <w:rFonts w:hint="eastAsia" w:ascii="Times New Roman" w:hAnsi="Times New Roman" w:cs="Times New Roman"/>
          <w:bCs/>
          <w:color w:val="auto"/>
          <w:kern w:val="2"/>
          <w:sz w:val="24"/>
          <w:szCs w:val="24"/>
          <w:lang w:val="en-US" w:eastAsia="zh-CN" w:bidi="ar-SA"/>
        </w:rPr>
        <w:t>地</w:t>
      </w:r>
      <w:r>
        <w:rPr>
          <w:rFonts w:hint="default" w:ascii="Times New Roman" w:hAnsi="Times New Roman" w:cs="Times New Roman"/>
          <w:bCs/>
          <w:color w:val="auto"/>
          <w:kern w:val="2"/>
          <w:sz w:val="24"/>
          <w:szCs w:val="24"/>
          <w:lang w:val="en-US" w:eastAsia="zh-CN" w:bidi="ar-SA"/>
        </w:rPr>
        <w:t>展现。焦作北部沿南太行地区的居民，多世代居住于山区，他们依山而居，与自然和谐共生。这种生活方式塑造了当地居民勤劳、朴实、热情好客的性格特点。他们善于利用山区的自然资源，发展出了独特的农业和手工业，如山药种植、绞胎瓷制作等，这些传统技艺不仅传承了数百年，而且至今仍在当地经济和文化生活中占据重要地位。</w:t>
      </w:r>
    </w:p>
    <w:p w14:paraId="02B1F03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风俗习惯是焦作北部沿南太行旅游带社会文化特色的重要组成部分。这里的民俗活动丰富多彩，具有浓厚的地方特色。例如，每年的农历正月初九，修武县都会举办盛大的庙会，庙会期间，各种传统表演、手工艺展示、特色小吃琳琅满目，吸引了大量游客和当地居民参与。此外，还有端午节的龙舟竞渡、中秋节的赏月习俗等，这些传统节日和活动不仅丰富了当地居民的精神文化生活，也为游客提供了深入了解当地文化的机会。</w:t>
      </w:r>
    </w:p>
    <w:p w14:paraId="6A2BA49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（2）基础设施：</w:t>
      </w:r>
      <w:r>
        <w:rPr>
          <w:rFonts w:hint="default" w:ascii="Times New Roman" w:hAnsi="Times New Roman" w:cs="Times New Roman"/>
          <w:bCs/>
          <w:color w:val="auto"/>
          <w:kern w:val="2"/>
          <w:sz w:val="24"/>
          <w:szCs w:val="24"/>
          <w:lang w:val="en-US" w:eastAsia="zh-CN" w:bidi="ar-SA"/>
        </w:rPr>
        <w:t>焦作北部沿南太行旅游带的基础设施建设日益完善，为游客提供了便捷、舒适的旅游环境。</w:t>
      </w:r>
    </w:p>
    <w:p w14:paraId="25B3918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交通方面，该区域已经形成了较为完善的交通网络。高速公路、国道、省道等交通干线纵横交错，将焦作北部沿南太行旅游带与周边城市紧密相连。例如，郑云高速、晋新高速等高速公路的建成通车，大大缩短了焦作与郑州、新乡等城市的距离，为游客提供了便捷的交通条件。此外，该区域还开通了多条旅游专线公交和景区直通车，方便游客前往各个景点游览。</w:t>
      </w:r>
    </w:p>
    <w:p w14:paraId="7816E6E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住宿方面，焦作北部沿南太行旅游带内的住宿设施丰富多样，从高端度假酒店到经济型旅馆应有尽有。云台山风景区内的度假酒店、民宿等住宿设施以其优美的环境、完善的服务设施吸引了大量游客入住。同时，该区域还积极推进乡村旅游发展，打造了一批具有地方特色的乡村民宿和农家乐，为游客提供了更加亲近自然、体验乡村生活的住宿选择。</w:t>
      </w:r>
    </w:p>
    <w:p w14:paraId="4372BA7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餐饮方面，焦作北部沿南太行旅游带以其独特的地方美食吸引着游客的味蕾。这里的餐饮设施遍布各个景点和乡镇，提供了丰富多样的地方特色菜肴和小吃。例如，怀府驴肉、武陟油茶、修武烧饼等都是当地著名的美食，深受游客喜爱。此外，该区域还注重餐饮文化的传承和创新，不断推出新的菜品和餐饮形式，满足游客的多样化需求。</w:t>
      </w:r>
    </w:p>
    <w:p w14:paraId="2076BE0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通讯方面，焦作北部沿南太行旅游带的通讯设施也十分完善。移动、联通、电信等通信运营商在该区域都建有基站和信号塔，实现了通讯信号的全覆盖。游客在旅游过程中可以随时使用手机、平板电脑等设备进行通讯和上网，方便快捷。同时，该区域还积极推进智慧旅游建设，利用大数据、云计算等现代信息技术手段提升旅游服务质量和管理水平。</w:t>
      </w:r>
    </w:p>
    <w:p w14:paraId="5C34CE1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据焦作市发展和改革委员会的数据显示，截至2025年3月，焦作北部沿南太行旅游带内的交通、住宿、餐饮、通讯等基础设施已经得到了全面提升。其中，高速公路通车里程达到了数百公里，旅游专线公交和景区直通车线路达到了数十条；住宿设施床位总数超过了数万个，其中高端度假酒店床位占比达到了一定比例；餐饮设施总数超过了数千家，地方特色菜肴和小吃品种丰富多样；通讯设施实现了全区域覆盖，智慧旅游建设取得了显著成效。</w:t>
      </w:r>
    </w:p>
    <w:p w14:paraId="77FF6ED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（3）旅游服务设施：</w:t>
      </w:r>
      <w:r>
        <w:rPr>
          <w:rFonts w:hint="default" w:ascii="Times New Roman" w:hAnsi="Times New Roman" w:cs="Times New Roman"/>
          <w:bCs/>
          <w:color w:val="auto"/>
          <w:kern w:val="2"/>
          <w:sz w:val="24"/>
          <w:szCs w:val="24"/>
          <w:lang w:val="en-US" w:eastAsia="zh-CN" w:bidi="ar-SA"/>
        </w:rPr>
        <w:t>焦作北部沿南太行旅游带的旅游服务设施日益完善，为游客提供了全方位、高质量的服务体验。</w:t>
      </w:r>
    </w:p>
    <w:p w14:paraId="030FFE2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导游服务方面，该区域拥有一支专业、热情的导游队伍。这些导游不仅熟悉当地的历史文化、自然风光和民俗风情，而且具备良好的沟通能力和服务意识。他们能够为游客提供个性化的旅游服务，根据游客的需求和兴趣安排行程，讲解景点的历史背景和文化内涵，让游客在游览过程中获得更加深入、全面的体验。同时，该区域还注重导游队伍的培训和管理，不断提高导游的专业素养和服务水平。</w:t>
      </w:r>
    </w:p>
    <w:p w14:paraId="1C5C955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旅游信息咨询方面，焦作北部沿南太行旅游带建立了完善的旅游信息咨询体系。在各大景点、游客中心、交通枢纽等地都设有旅游信息咨询台或自助查询机，为游客提供旅游线路、景点介绍、交通指南、住宿餐饮等方面的信息。此外，该区域还开通了旅游服务热线电话和官方网站、微信公众号等在线服务平台，方便游客随时随地进行咨询和预订。</w:t>
      </w:r>
    </w:p>
    <w:p w14:paraId="101FD05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安全保障方面，焦作北部沿南太行旅游带始终将游客的安全放在首位。该区域建立了完善的安全管理制度和应急预案体系，加强了景区内的安全巡查和监控力度。在各大景点都设有安全警示标识和救援设施，如消防器材、急救箱、救生员等。同时，该区域还注重游客的安全教育和引导，通过发放安全手册、播放安全宣传片等方式提高游客的安全意识和自我保护能力。</w:t>
      </w:r>
    </w:p>
    <w:p w14:paraId="66E3A79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截至2025年3月，焦作北部沿南太行旅游带内的导游队伍已经达到了数百人，其中高级导游占比达到了一定比例；旅游信息咨询台和自助查询机总数超过了数十个，旅游服务热线电话接听量逐年上升；安全保障方面，该区域已经连续多年未发生重大旅游安全事故，游客的安全满意度达到了较高水平。这些数据的背后，是焦作北部沿南太行旅游带在旅游服务设施方面不断投入和提升的结果。</w:t>
      </w:r>
    </w:p>
    <w:p w14:paraId="1B60F018">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（三）旅游资源开发潜力评价</w:t>
      </w:r>
    </w:p>
    <w:p w14:paraId="49C5011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1、可持续性</w:t>
      </w:r>
    </w:p>
    <w:p w14:paraId="7D62202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（1）生态可持续性：</w:t>
      </w:r>
      <w:r>
        <w:rPr>
          <w:rFonts w:hint="default" w:ascii="Times New Roman" w:hAnsi="Times New Roman" w:cs="Times New Roman"/>
          <w:bCs/>
          <w:color w:val="auto"/>
          <w:kern w:val="2"/>
          <w:sz w:val="24"/>
          <w:szCs w:val="24"/>
          <w:lang w:val="en-US" w:eastAsia="zh-CN" w:bidi="ar-SA"/>
        </w:rPr>
        <w:t>焦作北部沿南太行旅游带的旅游资源开发，始终将生态可持续性放在首位，力求在促进旅游经济发展的同时，保护好这片宝贵的自然生态环境。</w:t>
      </w:r>
    </w:p>
    <w:p w14:paraId="2713E36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生态环境影响评估来看，焦作北部沿南太行旅游带的旅游资源开发对当地生态环境产生了一定的压力，但这种压力在可控范围内。一方面，旅游活动的增加带来了人流、车流的增长，对当地的植被、土壤和水体造成了一定的干扰和破坏。例如，游客的踩踏可能导致植被破坏，垃圾排放可能影响水质等。另一方面，旅游设施的建设也可能对生态环境造成一定影响，如道路拓宽、停车场建设等可能占用土地，改变地形地貌。</w:t>
      </w:r>
    </w:p>
    <w:p w14:paraId="0ADF8A3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然而，焦作北部沿南太行旅游带在开发过程中采取了一系列生态保护措施，有效减轻了这些负面影响。首先，该区域严格遵循“在保护中开发，在开发中保护”的原则，对旅游资源进行科学规划和合理布局。在景区建设时，充分考虑生态环境的承载能力，避免过度开发和无序建设。其次，加强了对生态环境的监测和评估，建立了完善的生态环境监测体系，定期对景区内的植被、土壤、水体等生态环境指标进行监测和评估，及时发现和解决生态环境问题。此外，还加强了对游客的环保教育和管理，通过设立环保标识、发放环保手册等方式，提高游客的环保意识，引导游客文明旅游。</w:t>
      </w:r>
    </w:p>
    <w:p w14:paraId="5C6D5F0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近年来焦作北部沿南太行旅游带的生态环境质量持续保持稳定，森林覆盖率逐年提高，水质和空气质量均达到或优于国家标准。这表明该区域在旅游资源开发过程中，成功实现了生态保护与旅游发展的双赢。</w:t>
      </w:r>
    </w:p>
    <w:p w14:paraId="6E06261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（2）社会文化可持续性：</w:t>
      </w:r>
      <w:r>
        <w:rPr>
          <w:rFonts w:hint="default" w:ascii="Times New Roman" w:hAnsi="Times New Roman" w:cs="Times New Roman"/>
          <w:bCs/>
          <w:color w:val="auto"/>
          <w:kern w:val="2"/>
          <w:sz w:val="24"/>
          <w:szCs w:val="24"/>
          <w:lang w:val="en-US" w:eastAsia="zh-CN" w:bidi="ar-SA"/>
        </w:rPr>
        <w:t>焦作北部沿南太行旅游带的旅游资源开发，不仅促进了当地经济的繁荣，也对社会文化产生了深远的影响。然而，这种影响并非全然积极，因此，在开发过程中，焦作市高度重视社会文化的可持续性，采取了一系列保护措施。</w:t>
      </w:r>
    </w:p>
    <w:p w14:paraId="170DEF3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旅游资源开发对社会文化的影响是多方面的。一方面，它促进了当地文化的传播和交流，使得更多的人了解和认识了焦作北部沿南太行地区的独特文化。例如，通过旅游活动，当地的太极拳文化、怀药文化、陶瓷文化等得到了广泛</w:t>
      </w:r>
      <w:r>
        <w:rPr>
          <w:rFonts w:hint="eastAsia" w:ascii="Times New Roman" w:hAnsi="Times New Roman" w:cs="Times New Roman"/>
          <w:bCs/>
          <w:color w:val="auto"/>
          <w:kern w:val="2"/>
          <w:sz w:val="24"/>
          <w:szCs w:val="24"/>
          <w:lang w:val="en-US" w:eastAsia="zh-CN" w:bidi="ar-SA"/>
        </w:rPr>
        <w:t>地</w:t>
      </w:r>
      <w:r>
        <w:rPr>
          <w:rFonts w:hint="default" w:ascii="Times New Roman" w:hAnsi="Times New Roman" w:cs="Times New Roman"/>
          <w:bCs/>
          <w:color w:val="auto"/>
          <w:kern w:val="2"/>
          <w:sz w:val="24"/>
          <w:szCs w:val="24"/>
          <w:lang w:val="en-US" w:eastAsia="zh-CN" w:bidi="ar-SA"/>
        </w:rPr>
        <w:t>传播和推广。另一方面，旅游资源的开发也可能对当地文化产生一定的冲击和破坏。例如，商业化的旅游活动可能使得当地文化逐渐失去原真性，变得趋同和肤浅；游客的大量涌入也可能对当地居民的生活方式和价值观念产生一定的影响。</w:t>
      </w:r>
    </w:p>
    <w:p w14:paraId="6537D8F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为了保护当地的社会文化，焦作北部沿南太行旅游带在开发过程中采取了一系列措施。首先，加强了对当地文化的挖掘和整理工作，通过深入调研和学术研究，挖掘和整理出了一批具有地方特色的文化遗产和民俗风情，为旅游开发提供了丰富的文化素材。其次，加强了对当地文化的保护和传承工作，通过设立文化保护区、举办文化活动等方式，保护和传承了当地的文化遗产和民俗风情。此外，还加强了对游客的文化教育和管理，通过设立文化展示区、发放文化手册等方式，引导游客尊重和理解当地文化，避免对当地文化造成不必要的冲击和破坏。</w:t>
      </w:r>
    </w:p>
    <w:p w14:paraId="1512A92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近年来焦作北部沿南太行旅游带的文化旅游活动日益丰富多样，游客对当地文化的认知度和满意度不断提高。同时，当地的文化遗产和民俗风情也得到了有效</w:t>
      </w:r>
      <w:r>
        <w:rPr>
          <w:rFonts w:hint="eastAsia" w:ascii="Times New Roman" w:hAnsi="Times New Roman" w:cs="Times New Roman"/>
          <w:bCs/>
          <w:color w:val="auto"/>
          <w:kern w:val="2"/>
          <w:sz w:val="24"/>
          <w:szCs w:val="24"/>
          <w:lang w:val="en-US" w:eastAsia="zh-CN" w:bidi="ar-SA"/>
        </w:rPr>
        <w:t>地</w:t>
      </w:r>
      <w:r>
        <w:rPr>
          <w:rFonts w:hint="default" w:ascii="Times New Roman" w:hAnsi="Times New Roman" w:cs="Times New Roman"/>
          <w:bCs/>
          <w:color w:val="auto"/>
          <w:kern w:val="2"/>
          <w:sz w:val="24"/>
          <w:szCs w:val="24"/>
          <w:lang w:val="en-US" w:eastAsia="zh-CN" w:bidi="ar-SA"/>
        </w:rPr>
        <w:t>保护和传承，为旅游业的可持续发展奠定了坚实的基础。</w:t>
      </w:r>
    </w:p>
    <w:p w14:paraId="2F5F960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（3）经济可持续性：</w:t>
      </w:r>
      <w:r>
        <w:rPr>
          <w:rFonts w:hint="default" w:ascii="Times New Roman" w:hAnsi="Times New Roman" w:cs="Times New Roman"/>
          <w:bCs/>
          <w:color w:val="auto"/>
          <w:kern w:val="2"/>
          <w:sz w:val="24"/>
          <w:szCs w:val="24"/>
          <w:lang w:val="en-US" w:eastAsia="zh-CN" w:bidi="ar-SA"/>
        </w:rPr>
        <w:t>焦作北部沿南太行旅游带的旅游资源开发，具有巨大的经济潜力。然而，要实现这种潜力的长期释放，必须注重经济可持续性，即在促进旅游经济增长的同时，有效管理经济风险。</w:t>
      </w:r>
    </w:p>
    <w:p w14:paraId="3E63A90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长期经济效益预测来看，焦作北部沿南太行旅游带的旅游资源开发前景广阔。随着国内旅游市场的不断扩大和消费升级趋势的加剧，越来越多的人开始追求高品质、个性化的旅游体验。焦作北部沿南太行旅游带以其独特的自然风光、丰富的文化资源和完善的旅游设施，正好满足了这一市场需求。</w:t>
      </w:r>
      <w:r>
        <w:rPr>
          <w:rFonts w:hint="eastAsia" w:ascii="Times New Roman" w:hAnsi="Times New Roman" w:cs="Times New Roman"/>
          <w:bCs/>
          <w:color w:val="auto"/>
          <w:kern w:val="2"/>
          <w:sz w:val="24"/>
          <w:szCs w:val="24"/>
          <w:lang w:val="en-US" w:eastAsia="zh-CN" w:bidi="ar-SA"/>
        </w:rPr>
        <w:t>预计</w:t>
      </w:r>
      <w:r>
        <w:rPr>
          <w:rFonts w:hint="default" w:ascii="Times New Roman" w:hAnsi="Times New Roman" w:cs="Times New Roman"/>
          <w:bCs/>
          <w:color w:val="auto"/>
          <w:kern w:val="2"/>
          <w:sz w:val="24"/>
          <w:szCs w:val="24"/>
          <w:lang w:val="en-US" w:eastAsia="zh-CN" w:bidi="ar-SA"/>
        </w:rPr>
        <w:t>未来五年内，焦作北部沿南太行旅游带的游客接待量将持续增长，旅游综合收入也将实现翻番。</w:t>
      </w:r>
    </w:p>
    <w:p w14:paraId="0E272D4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然而，旅游资源开发过程中也伴随着一定的经济风险。例如，市场竞争风险、投资风险、运营风险等。为了有效管理这些风险，焦作北部沿南太行旅游带采取了一系列措施。首先，加强了市场调研和预测工作，及时掌握市场动态和游客需求变化，为旅游开发提供科学依据。其次，优化了投资结构和管理模式，吸引了更多的社会资本参与旅游开发，提高了旅游项目的投资回报率。此外，还加强了旅游企业的运营管理和服务质量提升工作，提高了旅游企业的竞争力和市场适应能力。</w:t>
      </w:r>
    </w:p>
    <w:p w14:paraId="5E9BFA8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近年来焦作北部沿南太行旅游带的旅游投资持续增长，旅游企业的经济效益不断提高。同时，该区域还成功应对了多次市场波动和经济风险挑战，保持了旅游经济的稳定增长。这表明焦作北部沿南太行旅游带在旅游资源开发过程中，注重经济可持续性，有效管理了经济风险。</w:t>
      </w:r>
    </w:p>
    <w:p w14:paraId="1959B2D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2、创新性</w:t>
      </w:r>
    </w:p>
    <w:p w14:paraId="4F6E3C6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（1）产品创新：</w:t>
      </w:r>
      <w:r>
        <w:rPr>
          <w:rFonts w:hint="default" w:ascii="Times New Roman" w:hAnsi="Times New Roman" w:cs="Times New Roman"/>
          <w:bCs/>
          <w:color w:val="auto"/>
          <w:kern w:val="2"/>
          <w:sz w:val="24"/>
          <w:szCs w:val="24"/>
          <w:lang w:val="en-US" w:eastAsia="zh-CN" w:bidi="ar-SA"/>
        </w:rPr>
        <w:t>焦作北部沿南太行旅游带在旅游资源开发过程中，始终注重产品创新，不断推出新景点、新活动、新体验，以满足游客日益多样化的旅游需求。</w:t>
      </w:r>
    </w:p>
    <w:p w14:paraId="3BE4988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新景点开发方面，焦作北部沿南太行旅游带充分挖掘当地的自然和文化资源，打造了一批具有独特魅力的新景点。例如，近年来新开发的青龙峡景区，以其险峻的山势、清澈的溪流和壮观的瀑布吸引了大量游客。此外，还通过提升改造现有景点，如增加互动体验项目、改善景区环境等方式，提高了景点的吸引力和竞争力。</w:t>
      </w:r>
    </w:p>
    <w:p w14:paraId="20C6F39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新活动推出方面，焦作北部沿南太行旅游带结合当地的文化特色和旅游市场需求，策划了一系列丰富多彩的新活动。例如，定期举办的太极拳文化节、怀药文化节等活动，不仅展示了当地的文化魅力，也丰富了游客的旅游体验。此外，还推出了徒步穿越、攀岩探险等户外运动项目，满足了游客对刺激和挑战的需求。</w:t>
      </w:r>
    </w:p>
    <w:p w14:paraId="55A4144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新体验打造方面，焦作北部沿南太行旅游带注重提升游客的参与度和体验感。例如，通过引入VR、AR等现代科技手段，打造了沉浸式旅游体验项目；通过提供个性化定制服务，满足了游客的多样化需求。这些新体验的打造，不仅提高了游客的满意度和忠诚度，也提升了焦作北部沿南太行旅游带的品牌形象和市场竞争力。</w:t>
      </w:r>
    </w:p>
    <w:p w14:paraId="550BF06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近年来焦作北部沿南太行旅游带推出的新景点、新活动、新体验项目数量逐年增长，游客的参与度和满意度也不断提高。这表明该区域在旅游资源开发过程中，注重产品创新，成功满足了游客的多样化需求。</w:t>
      </w:r>
    </w:p>
    <w:p w14:paraId="2321280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（2）管理创新：</w:t>
      </w:r>
      <w:r>
        <w:rPr>
          <w:rFonts w:hint="default" w:ascii="Times New Roman" w:hAnsi="Times New Roman" w:cs="Times New Roman"/>
          <w:bCs/>
          <w:color w:val="auto"/>
          <w:kern w:val="2"/>
          <w:sz w:val="24"/>
          <w:szCs w:val="24"/>
          <w:lang w:val="en-US" w:eastAsia="zh-CN" w:bidi="ar-SA"/>
        </w:rPr>
        <w:t>焦作北部沿南太行旅游带在旅游资源开发过程中，积极引入现代管理理念和技术手段，实现管理创新，提高了旅游服务的质量和效率。智能化管理是焦作北部沿南太行旅游带管理创新的重要方面。该区域充分利用大数据、云计算、物联网等现代信息技术手段，建立了智能化的旅游管理系统。通过这个系统，可以实现对旅游资源的实时监控、动态管理和精准调度。例如，通过智能监控设备，可以实时掌握景区内的游客流量、车辆通行情况等信息；通过智能导游系统，可以为游客提供个性化的导游服务；通过智能票务系统，可以实现门票的在线预订、快速入园等功能。</w:t>
      </w:r>
    </w:p>
    <w:p w14:paraId="517EC1C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个性化服务也是焦作北部沿南太行旅游带管理创新的重要举措。该区域注重满足游客的多样化需求，提供了个性化的旅游服务。例如，通过游客画像技术，可以了解游客的兴趣偏好和消费习惯，为游客提供定制化的旅游线路和推荐服务；通过智能客服系统，可以及时解决游客在旅游过程中遇到的问题和困难；通过提供多样化的住宿、餐饮、娱乐等服务选择，可以满足不同游客的需求和预算。智能化管理和个性化服务的实施也降低了旅游企业的运营成本和管理难度，提高了旅游业的整体效益。</w:t>
      </w:r>
    </w:p>
    <w:p w14:paraId="47EC59A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（3）营销创新：</w:t>
      </w:r>
      <w:r>
        <w:rPr>
          <w:rFonts w:hint="default" w:ascii="Times New Roman" w:hAnsi="Times New Roman" w:cs="Times New Roman"/>
          <w:bCs/>
          <w:color w:val="auto"/>
          <w:kern w:val="2"/>
          <w:sz w:val="24"/>
          <w:szCs w:val="24"/>
          <w:lang w:val="en-US" w:eastAsia="zh-CN" w:bidi="ar-SA"/>
        </w:rPr>
        <w:t>焦作北部沿南太行旅游带在旅游资源开发过程中，注重营销创新，通过品牌塑造、网络营销等策略，提高了旅游产品的知名度和吸引力。</w:t>
      </w:r>
    </w:p>
    <w:p w14:paraId="13F4349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品牌塑造是焦作北部沿南太行旅游带营销创新的核心。该区域深入挖掘当地的文化内涵和旅游资源特色，打造了具有独特魅力的旅游品牌。例如，“焦作山水”旅游品牌以其壮丽的自然风光和丰富的文化内涵而著称；“太极故里”旅游品牌则以其独特的太极拳文化和深厚的历史底蕴吸引了大量游客。通过品牌塑造，焦作北部沿南太行旅游带成功提升了旅游产品的附加值和市场竞争力。</w:t>
      </w:r>
    </w:p>
    <w:p w14:paraId="0D25E31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网络营销是焦作北部沿南太行旅游带营销创新的重要手段。该区域充分利用互联网和社交媒体平台，开展了形式多样的网络营销活动。例如，通过旅游官方网站、微信公众号、微博等渠道，发布了丰富的旅游信息和攻略；通过在线旅游平台，实现了旅游产品的在线预订和销售；通过社交媒体营销，吸引了大量粉丝和关注者，提高了旅游产品的知名度和影响力。</w:t>
      </w:r>
    </w:p>
    <w:p w14:paraId="4FE39F3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近年来焦作北部沿南太行旅游带的网络营销活动取得了显著成效。旅游网站的访问量、旅游产品的在线预订量均实现了快速增长。同时，通过品牌塑造和网络营销的结合，焦作北部沿南太行旅游带的旅游品牌形象和市场竞争力也得到了显著提升。</w:t>
      </w:r>
    </w:p>
    <w:p w14:paraId="0961670D">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117" w:name="_Toc1023"/>
      <w:r>
        <w:rPr>
          <w:rFonts w:hint="eastAsia" w:ascii="宋体" w:hAnsi="宋体" w:eastAsia="宋体" w:cs="宋体"/>
          <w:b/>
          <w:bCs/>
          <w:color w:val="auto"/>
          <w:sz w:val="28"/>
          <w:szCs w:val="28"/>
          <w:lang w:eastAsia="zh-CN"/>
        </w:rPr>
        <w:t>二、焦作南部沿黄河旅游带评价</w:t>
      </w:r>
      <w:bookmarkEnd w:id="117"/>
    </w:p>
    <w:p w14:paraId="5BFBADC7">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（一）旅游资源本身特征评价</w:t>
      </w:r>
    </w:p>
    <w:p w14:paraId="1B50EDF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1、资源质量</w:t>
      </w:r>
    </w:p>
    <w:p w14:paraId="26D37EE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美学价值</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焦作南部沿黄河旅游带，以其独特的自然景观和深厚的人文底蕴，展现出了极高的美学价值，吸引着无数游客前来探寻与欣赏。</w:t>
      </w:r>
    </w:p>
    <w:p w14:paraId="3811B6E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自然景观的壮丽程度来看，焦作南部沿黄河旅游带无疑是一幅动人的画卷。黄河，作为中华民族的母亲河，在这里蜿蜒流淌，形成了独特的黄河湿地和壮美的黄河峡谷。嘉应观黄河文化苑内，黄河水波光粼粼，与周围的绿树、花草相映成趣，构成了一幅宁静而和谐的画面。而青天河景区，则以其“北方三峡”的美誉，展现出了峡谷的深邃与瀑布的壮观。这里的山水相依，云雾缭绕，仿佛人间仙境，让人流连忘返。</w:t>
      </w:r>
    </w:p>
    <w:p w14:paraId="57423D4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除了自然景观的壮丽，焦作南部沿黄河旅游带的人文景观同样具有极高的美学价值。嘉应观，作为“万里黄河第一观”，其建筑风格独特，融合了明清两代的建筑艺术精华。观内的碑刻、雕塑、壁画等，无不展现出古代工匠的精湛技艺和深厚的文化底蕴。而陈家沟，作为太极拳的发源地，其古朴的村落、传统的武术氛围，以及太极拳表演者的矫健身姿，都让人感受到了太极拳文化的独特魅力。这些人文景观，不仅具有极高的观赏价值，更让人在欣赏中感受到了历史的厚重与文化的韵味。</w:t>
      </w:r>
    </w:p>
    <w:p w14:paraId="2D11BAE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（2）科学价值：</w:t>
      </w:r>
      <w:r>
        <w:rPr>
          <w:rFonts w:hint="default" w:ascii="Times New Roman" w:hAnsi="Times New Roman" w:cs="Times New Roman"/>
          <w:bCs/>
          <w:color w:val="auto"/>
          <w:kern w:val="2"/>
          <w:sz w:val="24"/>
          <w:szCs w:val="24"/>
          <w:lang w:val="en-US" w:eastAsia="zh-CN" w:bidi="ar-SA"/>
        </w:rPr>
        <w:t>焦作南部沿黄河旅游带不仅具有极高的美学价值，还蕴含着丰富的科学价值，为科学研究、教育普及提供了宝贵的资源。</w:t>
      </w:r>
    </w:p>
    <w:p w14:paraId="4DBE2E9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地质奇观的角度来看，焦作南部沿黄河旅游带的地质构造复杂多样，形成了许多独特的地质景观。例如，云台山景区内的红石峡，其岩石层理清晰，色彩鲜艳，是地质学研究的天然实验室。这里的岩石记录了地球演化的历史，为科学家研究地质构造、岩石成因等提供了重要的实物资料。此外，黄河湿地也是地质学研究的热点区域，其独特的湿地生态系统、丰富的生物多样性以及湿地与黄河水系的相互作用关系，都是地质学、生态学等领域的重要研究课题。</w:t>
      </w:r>
    </w:p>
    <w:p w14:paraId="092C14E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生态多样性方面，焦作南部沿黄河旅游带同样展现出了极高的科学价值。这里的黄河湿地是众多野生动植物的栖息地，拥有丰富的生物多样性。黄河湿地内共有植物种类数百种，其中包括多种珍稀濒危植物；动物种类也极为丰富，有鸟类、鱼类、两栖类等多种生物。这些生物资源不仅为科学研究提供了宝贵的实物样本，也为生态保护和生物多样性研究提供了重要的实践基地。</w:t>
      </w:r>
    </w:p>
    <w:p w14:paraId="55468C1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教育普及方面，焦作南部沿黄河旅游带也发挥着重要作用。许多学校和科研机构都会组织师生来这里进行实地考察和科普教育。学生们可以在这里近距离观察地质奇观、了解湿地生态系统、认识野生动植物等，从而增强对自然科学的兴趣和认识。同时，这里也是科普宣传的重要场所，通过举办科普展览、讲座等活动，向公众普及科学知识，提高公众的科学素养。</w:t>
      </w:r>
    </w:p>
    <w:p w14:paraId="344BC40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（3）历史文化价值：</w:t>
      </w:r>
      <w:r>
        <w:rPr>
          <w:rFonts w:hint="default" w:ascii="Times New Roman" w:hAnsi="Times New Roman" w:cs="Times New Roman"/>
          <w:bCs/>
          <w:color w:val="auto"/>
          <w:kern w:val="2"/>
          <w:sz w:val="24"/>
          <w:szCs w:val="24"/>
          <w:lang w:val="en-US" w:eastAsia="zh-CN" w:bidi="ar-SA"/>
        </w:rPr>
        <w:t>焦作南部沿黄河旅游带的历史文化价值不可估量，这里汇聚了丰富的古迹遗址和独特的民俗风情，是中华文明的瑰宝。</w:t>
      </w:r>
    </w:p>
    <w:p w14:paraId="1822BA4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历史背景来看，焦作南部沿黄河地区是华夏文明的重要发源地之一。这里的历史可以追溯到远古时期，是人类文明发展的重要见证。例如，嘉应观作为清代治理黄河的重要水利工程遗址，不仅展现了古代中国人民的智慧和勇气，也记录了黄河治理的悠久历史。而陈家沟作为太极拳的发源地，更是将中华武术文化推向了世界舞台，</w:t>
      </w:r>
      <w:r>
        <w:rPr>
          <w:rFonts w:hint="eastAsia" w:ascii="Times New Roman" w:hAnsi="Times New Roman" w:cs="Times New Roman"/>
          <w:bCs/>
          <w:color w:val="auto"/>
          <w:kern w:val="2"/>
          <w:sz w:val="24"/>
          <w:szCs w:val="24"/>
          <w:lang w:val="en-US" w:eastAsia="zh-CN" w:bidi="ar-SA"/>
        </w:rPr>
        <w:t>成为</w:t>
      </w:r>
      <w:r>
        <w:rPr>
          <w:rFonts w:hint="default" w:ascii="Times New Roman" w:hAnsi="Times New Roman" w:cs="Times New Roman"/>
          <w:bCs/>
          <w:color w:val="auto"/>
          <w:kern w:val="2"/>
          <w:sz w:val="24"/>
          <w:szCs w:val="24"/>
          <w:lang w:val="en-US" w:eastAsia="zh-CN" w:bidi="ar-SA"/>
        </w:rPr>
        <w:t>中国文化的一张名片。</w:t>
      </w:r>
    </w:p>
    <w:p w14:paraId="1A69B69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文化内涵方面，焦作南部沿黄河旅游带的古迹遗址和民俗风情都蕴含着深厚的文化底蕴。嘉应观内的碑刻、雕塑、壁画等艺术品，不仅展示了古代工匠的精湛技艺，也反映了当时社会的文化习俗和审美观念。陈家沟的太极拳文化，则是一种集武术、哲学、医学于一体的综合性文化体系，它强调内外兼修、刚柔并济，体现了中国人对生命、自然和宇宙的深刻理解。</w:t>
      </w:r>
    </w:p>
    <w:p w14:paraId="4C8CCDB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独特性方面，焦作南部沿黄河旅游带的旅游资源具有鲜明的地域特色和文化标识。这里的黄河文化、太极拳文化、治黄文化等都是独一无二的，具有极高的辨识度和吸引力。这些独特的文化资源不仅为旅游开发提供了丰富的素材和灵感，也为文化传承和创新提供了广阔的舞台。</w:t>
      </w:r>
    </w:p>
    <w:p w14:paraId="4664E48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近年来焦作南部沿黄河旅游带的文化旅游活动日益丰富多样，吸引了大量国内外游客前来参观体验。这些游客在欣赏美景的同时，也深入了解了这里的历史文化和民俗风情，对中华文明的传承和发展产生了深远的影响。</w:t>
      </w:r>
    </w:p>
    <w:p w14:paraId="0062A90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（4）娱乐价值：</w:t>
      </w:r>
      <w:r>
        <w:rPr>
          <w:rFonts w:hint="default" w:ascii="Times New Roman" w:hAnsi="Times New Roman" w:cs="Times New Roman"/>
          <w:bCs/>
          <w:color w:val="auto"/>
          <w:kern w:val="2"/>
          <w:sz w:val="24"/>
          <w:szCs w:val="24"/>
          <w:lang w:val="en-US" w:eastAsia="zh-CN" w:bidi="ar-SA"/>
        </w:rPr>
        <w:t>焦作南部沿黄河旅游带不仅拥有丰富的自然和文化资源，还提供了多样化的娱乐活动和体验，为游客带来了无尽的欢乐和满足。</w:t>
      </w:r>
    </w:p>
    <w:p w14:paraId="484A5C6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主题公园是焦作南部沿黄河旅游带娱乐价值的重要体现。例如，焦作影视城作为一个大型影视拍摄基地，不仅为游客提供了参观影视拍摄场景的机会，还定期举办各种古装表演、互动体验等活动，让游客仿佛穿越时空，回到了古代。此外，还有一些以黄河文化、太极拳文化为主题的主题公园正在规划和建设中，这些公园将结合现代科技手段，为游客带来更加新颖、刺激的娱乐体验。</w:t>
      </w:r>
    </w:p>
    <w:p w14:paraId="1D4A493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节庆活动也是焦作南部沿黄河旅游带娱乐价值的重要组成部分。这里每年都会举办多场具有地方特色的节庆活动，如太极拳文化节、黄河文化节、嘉应观庙会等。这些节庆活动不仅展示了当地的文化魅力和民俗风情，也为游客提供了参与互动、体验当地生活的机会。例如，在太极拳文化节期间，游客可以观看太极拳表演、参加太极拳培训、体验太极拳文化等；在黄河文化节期间，游客可以欣赏黄河风光、了解黄河文化、品尝黄河美食等。</w:t>
      </w:r>
    </w:p>
    <w:p w14:paraId="4512C56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除了主题公园和节庆活动外，焦作南部沿黄河旅游带还提供了许多其他娱乐活动和体验。例如，游客可以在黄河湿地内进行观鸟、垂钓、划船等休闲活动；可以在农家乐里品尝地道的农家菜、体验乡村生活；还可以参加各种户外运动项目，如徒步、攀岩、漂流等。这些娱乐活动和体验不仅丰富了游客的旅游生活，也提高了旅游产品的吸引力和竞争力。</w:t>
      </w:r>
    </w:p>
    <w:p w14:paraId="3E09192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auto"/>
          <w:lang w:val="en-US" w:eastAsia="zh-CN"/>
        </w:rPr>
      </w:pPr>
      <w:r>
        <w:rPr>
          <w:rFonts w:hint="default" w:ascii="Times New Roman" w:hAnsi="Times New Roman" w:cs="Times New Roman"/>
          <w:bCs/>
          <w:color w:val="auto"/>
          <w:kern w:val="2"/>
          <w:sz w:val="24"/>
          <w:szCs w:val="24"/>
          <w:lang w:val="en-US" w:eastAsia="zh-CN" w:bidi="ar-SA"/>
        </w:rPr>
        <w:t>近年来焦作南部沿黄河旅游带的游客满意度持续提高，其中娱乐活动和体验的贡献不可小觑。游客们在这里享受到了多样化的娱乐体验，感受到了旅游带来的快乐和满足。同时，这些娱乐活动和体验也促进了当地旅游经济的发展和就业的增长，为焦作南部沿黄河旅游带的可持续发展奠定了坚实的基础。</w:t>
      </w:r>
    </w:p>
    <w:p w14:paraId="3A0A9DA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2、资源规模与丰度</w:t>
      </w:r>
    </w:p>
    <w:p w14:paraId="07CEF83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（1）数量：</w:t>
      </w:r>
      <w:r>
        <w:rPr>
          <w:rFonts w:hint="default" w:ascii="Times New Roman" w:hAnsi="Times New Roman" w:cs="Times New Roman"/>
          <w:bCs/>
          <w:color w:val="auto"/>
          <w:kern w:val="2"/>
          <w:sz w:val="24"/>
          <w:szCs w:val="24"/>
          <w:lang w:val="en-US" w:eastAsia="zh-CN" w:bidi="ar-SA"/>
        </w:rPr>
        <w:t>焦作南部沿黄河旅游带以其丰富的旅游资源而闻名，这些资源种类繁多，数量可观，为游客提供了多样化的旅游体验。</w:t>
      </w:r>
    </w:p>
    <w:p w14:paraId="420DF32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旅游资源的种类来看，焦作南部沿黄河旅游带涵盖了自然景观、人文景观、休闲娱乐等多个方面。自然景观方面，这里有黄河湿地、黄河峡谷、青天河景区等，展现了黄河的壮丽与柔美。人文景观方面，则包括嘉应观、陈家沟太极拳发源地、韩愈陵园等，这些景点不仅具有深厚的历史文化底蕴，还体现了焦作地区独特的民俗风情。此外，还有韩园、群英湖、穆家寨生态农业观光园等休闲娱乐场所，为游客提供了亲近自然、放松身心的机会。</w:t>
      </w:r>
    </w:p>
    <w:p w14:paraId="3508D58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焦作南部沿黄河旅游带共有</w:t>
      </w:r>
      <w:r>
        <w:rPr>
          <w:rFonts w:hint="eastAsia" w:ascii="Times New Roman" w:hAnsi="Times New Roman" w:cs="Times New Roman"/>
          <w:bCs/>
          <w:color w:val="auto"/>
          <w:kern w:val="2"/>
          <w:sz w:val="24"/>
          <w:szCs w:val="24"/>
          <w:lang w:val="en-US" w:eastAsia="zh-CN" w:bidi="ar-SA"/>
        </w:rPr>
        <w:t>A级旅游景区</w:t>
      </w:r>
      <w:r>
        <w:rPr>
          <w:rFonts w:hint="default" w:ascii="Times New Roman" w:hAnsi="Times New Roman" w:cs="Times New Roman"/>
          <w:bCs/>
          <w:color w:val="auto"/>
          <w:kern w:val="2"/>
          <w:sz w:val="24"/>
          <w:szCs w:val="24"/>
          <w:lang w:val="en-US" w:eastAsia="zh-CN" w:bidi="ar-SA"/>
        </w:rPr>
        <w:t>8处，其中5A级景区1处（青天河风景区），4A级景区3处（嘉应观、陈家沟、韩园），3A级景区4处（群英湖、穆家寨生态农业观光园等）。此外，还有众多未评级的旅游景点和休闲娱乐场所，如黄河湿地公园、太极小镇等。这些旅游资源的丰富性和多样性，为焦作南部沿黄河旅游带的发展提供了坚实的基础。</w:t>
      </w:r>
    </w:p>
    <w:p w14:paraId="373A4E5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（2）规模：</w:t>
      </w:r>
      <w:r>
        <w:rPr>
          <w:rFonts w:hint="default" w:ascii="Times New Roman" w:hAnsi="Times New Roman" w:cs="Times New Roman"/>
          <w:bCs/>
          <w:color w:val="auto"/>
          <w:kern w:val="2"/>
          <w:sz w:val="24"/>
          <w:szCs w:val="24"/>
          <w:lang w:val="en-US" w:eastAsia="zh-CN" w:bidi="ar-SA"/>
        </w:rPr>
        <w:t>焦作南部沿黄河旅游带的单个旅游资源规模各异，但总体上都展现出了较大的规模和独特的魅力。</w:t>
      </w:r>
    </w:p>
    <w:p w14:paraId="2F52A81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以青天河风景区为例，该景区总面积达到了30平方公里，其中水域面积占据了相当大的比例。景区内山峰林立，峡谷幽深，瀑布成群，构成了一幅壮美的山水画卷。青天河大峡谷作为景区的核心景点之一，以其奇、幽、险、秀著称，峡谷全长10余公里，最宽处达数百米，最窄处仅数米，形成了独特的峡谷景观。此外，景区内还有清风峡、幽谷峡等多个峡谷景点，以及仙客山、白龙潭、王母池等自然景观，为游客提供了丰富的游览体验。</w:t>
      </w:r>
    </w:p>
    <w:p w14:paraId="00E2F95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嘉应观作为</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万里黄河第一观</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其规模同样不容小觑。该观占地面积广阔，建筑风格独特，融合了明清两代的建筑艺术精华。观内碑刻林立，雕塑栩栩如生，壁画绚丽多彩，展现了古代工匠的精湛技艺和深厚的文化底蕴。此外，嘉应观还是黄河文化的重要展示窗口，通过举办各种文化活动，向游客传播黄河文化的博大精深。</w:t>
      </w:r>
    </w:p>
    <w:p w14:paraId="28A2773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陈家沟作为太极拳的发源地，其规模虽然相对较小，但影响力却极大。这里保留了太极拳的原始风貌和传承体系，拥有众多的太极拳馆、太极拳学校以及太极拳表演场所。每年，这里都会吸引大量的太极拳爱好者和游客前来学习、交流和体验太极拳的魅力。</w:t>
      </w:r>
    </w:p>
    <w:p w14:paraId="5EF9A54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（3）组合状况：</w:t>
      </w:r>
      <w:r>
        <w:rPr>
          <w:rFonts w:hint="default" w:ascii="Times New Roman" w:hAnsi="Times New Roman" w:cs="Times New Roman"/>
          <w:bCs/>
          <w:color w:val="auto"/>
          <w:kern w:val="2"/>
          <w:sz w:val="24"/>
          <w:szCs w:val="24"/>
          <w:lang w:val="en-US" w:eastAsia="zh-CN" w:bidi="ar-SA"/>
        </w:rPr>
        <w:t>焦作南部沿黄河旅游带的旅游资源组合状况良好，自然景观与人文景观相互补充，形成了独特的旅游魅力。同时，这些旅游资源之间还产生了显著的集聚效应，为焦作旅游业的发展提供了强大的动力。</w:t>
      </w:r>
    </w:p>
    <w:p w14:paraId="77F20FB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自然景观与人文景观的互补性是焦作南部沿黄河旅游带的一大特色。例如，青天河风景区的壮美山水与嘉应观的深厚文化底蕴相得益彰，游客在欣赏山水美景的同时，还能深入了解黄河文化的历史渊源。陈家沟的太极拳文化与周边的自然景观也形成了完美的融合，游客在练习太极拳的同时，还能感受到大自然的宁静与和谐。</w:t>
      </w:r>
    </w:p>
    <w:p w14:paraId="50B1DFE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旅游资源的集聚效应在焦作南部沿黄河旅游带也得到了充分体现。这里不仅拥有多个知名旅游景区，还形成了一条完整的旅游产业链。从住宿、餐饮到交通、购物，各个环节都紧密相连，为游客提供了便捷的旅游服务。此外，焦作市还积极推动旅游与其他产业的融合发展，如农业、文化、体育等，进一步提升了旅游资源的综合效益。</w:t>
      </w:r>
    </w:p>
    <w:p w14:paraId="26E0BC8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近年来焦作南部沿黄河旅游带的游客接待量持续攀升，旅游收入也实现了快速增长。这得益于旅游资源的丰富性、多样性和良好的组合状况。未来，随着焦作市对旅游资源的进一步开发和整合，焦作南部沿黄河旅游带有望成为国内外知名的旅游目的地之一。</w:t>
      </w:r>
    </w:p>
    <w:p w14:paraId="360AE487">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（二）旅游资源环境评价</w:t>
      </w:r>
    </w:p>
    <w:p w14:paraId="413EA44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1、自然环境</w:t>
      </w:r>
    </w:p>
    <w:p w14:paraId="4E33E93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（1）气候条件：</w:t>
      </w:r>
      <w:r>
        <w:rPr>
          <w:rFonts w:hint="default" w:ascii="Times New Roman" w:hAnsi="Times New Roman" w:cs="Times New Roman"/>
          <w:bCs/>
          <w:color w:val="auto"/>
          <w:kern w:val="2"/>
          <w:sz w:val="24"/>
          <w:szCs w:val="24"/>
          <w:lang w:val="en-US" w:eastAsia="zh-CN" w:bidi="ar-SA"/>
        </w:rPr>
        <w:t>焦作南部沿黄河旅游带的气候条件具有鲜明的地域特色，对旅游活动产生了重要影响。该区域属于暖温带大陆性季风气候，四季分明，各具特色。</w:t>
      </w:r>
    </w:p>
    <w:p w14:paraId="6B72043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从温度来看，焦作南部沿黄河旅游带年平均气温在在14.9℃左右，夏季平均气温约为26</w:t>
      </w:r>
      <w:r>
        <w:rPr>
          <w:rFonts w:hint="eastAsia" w:ascii="Times New Roman" w:hAnsi="Times New Roman" w:cs="Times New Roman"/>
          <w:bCs/>
          <w:color w:val="auto"/>
          <w:kern w:val="2"/>
          <w:sz w:val="24"/>
          <w:szCs w:val="24"/>
          <w:lang w:val="en-US" w:eastAsia="zh-CN" w:bidi="ar-SA"/>
        </w:rPr>
        <w:t>.6</w:t>
      </w:r>
      <w:r>
        <w:rPr>
          <w:rFonts w:hint="default" w:ascii="Times New Roman" w:hAnsi="Times New Roman" w:cs="Times New Roman"/>
          <w:bCs/>
          <w:color w:val="auto"/>
          <w:kern w:val="2"/>
          <w:sz w:val="24"/>
          <w:szCs w:val="24"/>
          <w:lang w:val="en-US" w:eastAsia="zh-CN" w:bidi="ar-SA"/>
        </w:rPr>
        <w:t>℃，冬季平均气温约为2</w:t>
      </w: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这样的温度条件使得该地区既适合夏季避暑，又适合冬季观雪。夏季，游客可以在黄河湿地公园等自然景区中感受凉爽的微风，欣赏湿地风光；冬季，则可以在青天河等景区欣赏到壮美的雪景，体验滑雪等冬季旅游项目。</w:t>
      </w:r>
    </w:p>
    <w:p w14:paraId="4525CC9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湿度方面，该地区年平均相对湿度在60%左右，夏季相对较高，冬季则相对较低。适宜的湿度条件为游客提供了舒适的旅游环境，既不会过于干燥，也不会过于潮湿。</w:t>
      </w:r>
    </w:p>
    <w:p w14:paraId="1E0FB3F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光照条件也是影响旅游活动的重要因素之一。焦作南部沿黄河旅游带年平均日照时数在2089.6小时，光照充足。充足的光照不仅为游客提供了良好的观景条件，还使得该地区的太阳能资源丰富，为旅游区的可持续发展提供了有力支持。例如，一些景区可以利用太阳能资源建设太阳能发电站，为景区提供清洁能源。</w:t>
      </w:r>
    </w:p>
    <w:p w14:paraId="13AA8E6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气候特征对旅游活动的影响还体现在旅游季节的选择上。春季，气温适宜，万物复苏，是赏花、踏青的好时节；夏季，虽然气温较高，但黄河湿地等自然景区的凉爽气候吸引了大量游客前来避暑；秋季，天高气爽，是观赏红叶、采摘果实的好时机；冬季，雪景如画，滑雪、温泉等冬季旅游项目备受游客青睐。</w:t>
      </w:r>
    </w:p>
    <w:p w14:paraId="069C28B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近年来焦作南部沿黄河旅游带的气候条件总体稳定，为旅游业的持续发展提供了有力保障。同时，随着全球气候变化的影响，该地区也在积极应对气候变化带来的挑战，如加强气象监测、提高旅游设施的抗灾能力等，以确保旅游活动的安全顺利进行。</w:t>
      </w:r>
    </w:p>
    <w:p w14:paraId="0B34EF3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（2）环境质量：</w:t>
      </w:r>
      <w:r>
        <w:rPr>
          <w:rFonts w:hint="default" w:ascii="Times New Roman" w:hAnsi="Times New Roman" w:cs="Times New Roman"/>
          <w:bCs/>
          <w:color w:val="auto"/>
          <w:kern w:val="2"/>
          <w:sz w:val="24"/>
          <w:szCs w:val="24"/>
          <w:lang w:val="en-US" w:eastAsia="zh-CN" w:bidi="ar-SA"/>
        </w:rPr>
        <w:t>焦作南部沿黄河旅游带的环境质量整体优良，为游客提供了清新、健康的旅游环境。</w:t>
      </w:r>
    </w:p>
    <w:p w14:paraId="300250D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空气质量方面，该区域空气质量综合指数持续改善，优良天数比例逐年提高。2023年，焦作市空气质量综合指数较2019年改善了24.8%，PM2.5浓度下降了28.6%，PM10浓度下降了27.5%，优良天数增加了60天。这样的空气质量条件为游客提供了清新的呼吸环境，使得他们在旅游过程中能够尽情享受大自然的馈赠。</w:t>
      </w:r>
    </w:p>
    <w:p w14:paraId="721972E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水质方面，焦作南部沿黄河旅游带的水质状况同样令人满意。该区域地表水断面水质连续六年100%达标，黄河流域干支流基本消除</w:t>
      </w:r>
      <w:r>
        <w:rPr>
          <w:rFonts w:hint="eastAsia" w:ascii="Times New Roman" w:hAnsi="Times New Roman" w:cs="Times New Roman"/>
          <w:bCs/>
          <w:color w:val="auto"/>
          <w:kern w:val="2"/>
          <w:sz w:val="24"/>
          <w:szCs w:val="24"/>
          <w:lang w:val="en-US" w:eastAsia="zh-CN" w:bidi="ar-SA"/>
        </w:rPr>
        <w:t>劣Ⅴ类</w:t>
      </w:r>
      <w:r>
        <w:rPr>
          <w:rFonts w:hint="default" w:ascii="Times New Roman" w:hAnsi="Times New Roman" w:cs="Times New Roman"/>
          <w:bCs/>
          <w:color w:val="auto"/>
          <w:kern w:val="2"/>
          <w:sz w:val="24"/>
          <w:szCs w:val="24"/>
          <w:lang w:val="en-US" w:eastAsia="zh-CN" w:bidi="ar-SA"/>
        </w:rPr>
        <w:t>水体，主要支流沁河、丹河稳定保持二类水质。大沙河（城区段）、沁河（焦作段）还入选了省级美丽河湖优秀案例。这些优质的水资源不仅为游客提供了亲水、玩水的乐趣，还保障了旅游区的生态环境和生物多样性。</w:t>
      </w:r>
    </w:p>
    <w:p w14:paraId="43A1C62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土壤质量方面，焦作南部沿黄河旅游带的土壤环境安全稳定。该区域土壤环境质量总体保持稳定，重点建设用地安全利用得到有效保障。受污染耕地安全利用率达到100%，确保了农产品的质量和安全。这样的土壤条件为旅游区的生态农业、观光农业等提供了有力支持。</w:t>
      </w:r>
    </w:p>
    <w:p w14:paraId="77005A6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良好的环境质量对焦作南部沿黄河旅游带的旅游业发展产生了积极影响。一方面，优质的环境资源吸引了大量游客前来观光旅游、休闲度假；另一方面，也促进了旅游区的可持续发展和生态文明建设。例如，一些景区利用优质的生态环境资源开发了生态旅游项目，如生态徒步、观鸟摄影等，既满足了游客对自然美的追求，又保护了生态环境。</w:t>
      </w:r>
    </w:p>
    <w:p w14:paraId="55E5341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（3）自然灾害风险：</w:t>
      </w:r>
      <w:r>
        <w:rPr>
          <w:rFonts w:hint="default" w:ascii="Times New Roman" w:hAnsi="Times New Roman" w:cs="Times New Roman"/>
          <w:bCs/>
          <w:color w:val="auto"/>
          <w:kern w:val="2"/>
          <w:sz w:val="24"/>
          <w:szCs w:val="24"/>
          <w:lang w:val="en-US" w:eastAsia="zh-CN" w:bidi="ar-SA"/>
        </w:rPr>
        <w:t>焦作南部沿黄河旅游带虽然自然环境优美，但也面临着一定的自然灾害风险。这些自然灾害主要包括洪水、地震等，对旅游安全构成了一定威胁。</w:t>
      </w:r>
    </w:p>
    <w:p w14:paraId="29AD9A4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洪水是焦作南部沿黄河旅游带最常见的自然灾害之一。由于该地区紧邻黄河，且地势低洼，因此在汛期容易受到洪水侵袭。近年来该地区多次发生洪水灾害，给当地居民和游客的生命财产安全带来了严重威胁。洪水不仅可能冲毁旅游设施、阻断交通线路，还可能引发山体滑坡、泥石流等次生灾害，对旅游安全构成极大威胁。</w:t>
      </w:r>
    </w:p>
    <w:p w14:paraId="5407875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地震也是该地区可能面临的自然灾害之一。虽然焦作地区并非地震高发区，但地震活动仍然时有发生。地震不仅可能对旅游设施造成破坏，还可能引发恐慌和混乱，影响游客的安全和旅游体验。</w:t>
      </w:r>
    </w:p>
    <w:p w14:paraId="3A9C542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为了应对这些自然灾害风险，焦作南部沿黄河旅游带采取了多项措施确保旅游安全。一方面，加强气象监测和预警系统建设，及时发布洪水、地震等灾害预警信息，提醒游客和当地居民做好防范措施。另一方面，加强旅游设施的安全检查和维护工作，确保旅游设施在灾害发生时能够发挥应有的防护作用。此外，还制定了完善的应急预案和救援机制，一旦发生灾害能够迅速响应、有效处置。</w:t>
      </w:r>
    </w:p>
    <w:p w14:paraId="384D72F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尽管焦作南部沿黄河旅游带面临着一定的自然灾害风险，但通过加强预防和应对措施，可以有效降低灾害对旅游安全的影响。游客在前往该地区旅游时，也应关注当地的气象预警信息和旅游安全提示，做好个人防护措施，确保旅游活动的安全顺利进行。</w:t>
      </w:r>
    </w:p>
    <w:p w14:paraId="47AD19E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2、人文环境</w:t>
      </w:r>
    </w:p>
    <w:p w14:paraId="7B5C289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社会文化氛围：焦作南部沿黄河旅游带不仅自然风光旖旎，其社会文化氛围同样独具魅力，深深吸引着国内外游客。这一区域的社会文化特色，主要体现在居民的生活方式、风俗习惯等多个方面。</w:t>
      </w:r>
    </w:p>
    <w:p w14:paraId="4432D5C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居民的生活方式在这里呈现出一种和谐共生的状态。焦作南部沿黄河地区的居民，长期以来与黄河相依为命，形成了独特的生活方式和生产习俗。他们善于利用黄河水资源进行灌溉和渔业生产，同时也注重保护生态环境，与大自然和谐共处。这种生活方式不仅体现了当地居民的智慧和勤劳，也为游客提供了一种亲近自然、体验农耕文化的机会。例如，游客可以参与当地的渔家乐活动，亲手捕捞黄河鱼，品尝地道的黄河鱼宴，感受黄河文化的独特魅力。</w:t>
      </w:r>
    </w:p>
    <w:p w14:paraId="31FC777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风俗习惯方面，焦作南部沿黄河旅游带保留着丰富的传统文化和民俗活动。每年的春节、元宵节、中秋节等传统节日，这里都会举行盛大的庆祝活动，如舞龙舞狮、踩高跷、扭秧歌等，充满了浓厚的节日氛围。此外，该地区还有独特的婚丧嫁娶习俗，如黄河祭祀、庙会等，这些习俗不仅反映了当地居民的精神寄托和文化传承，也为游客提供了一种深入了解当地文化的途径。</w:t>
      </w:r>
    </w:p>
    <w:p w14:paraId="6DA9D6A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近年来焦作南部沿黄河旅游带的游客接待量中，有很大一部分是冲着当地的社会文化氛围而来的。他们希望通过旅游的方式，亲身体验当地的生活方式、风俗习惯，感受黄河文化的博大精深和独特魅力。这种社会文化氛围的独特性，</w:t>
      </w:r>
      <w:r>
        <w:rPr>
          <w:rFonts w:hint="eastAsia" w:ascii="Times New Roman" w:hAnsi="Times New Roman" w:cs="Times New Roman"/>
          <w:bCs/>
          <w:color w:val="auto"/>
          <w:kern w:val="2"/>
          <w:sz w:val="24"/>
          <w:szCs w:val="24"/>
          <w:lang w:val="en-US" w:eastAsia="zh-CN" w:bidi="ar-SA"/>
        </w:rPr>
        <w:t>也成了</w:t>
      </w:r>
      <w:r>
        <w:rPr>
          <w:rFonts w:hint="default" w:ascii="Times New Roman" w:hAnsi="Times New Roman" w:cs="Times New Roman"/>
          <w:bCs/>
          <w:color w:val="auto"/>
          <w:kern w:val="2"/>
          <w:sz w:val="24"/>
          <w:szCs w:val="24"/>
          <w:lang w:val="en-US" w:eastAsia="zh-CN" w:bidi="ar-SA"/>
        </w:rPr>
        <w:t>焦作南部沿黄河旅游带吸引游客的重要因素之一。</w:t>
      </w:r>
    </w:p>
    <w:p w14:paraId="0F9DC7C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基础设施：焦作南部沿黄河旅游带的基础设施建设日益完善，为游客提供了便捷、舒适的旅游环境。交通、住宿、餐饮、通讯等基础设施的完善程度，直接关系到游客的旅游体验和满意度。</w:t>
      </w:r>
    </w:p>
    <w:p w14:paraId="024E97B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交通方面，焦作南部沿黄河旅游带的交通网络四通八达。区域内有多条高速公路和国道贯穿，如郑云高速、焦温高速</w:t>
      </w:r>
      <w:r>
        <w:rPr>
          <w:rFonts w:hint="eastAsia" w:ascii="Times New Roman" w:hAnsi="Times New Roman" w:cs="Times New Roman"/>
          <w:bCs/>
          <w:color w:val="auto"/>
          <w:kern w:val="2"/>
          <w:sz w:val="24"/>
          <w:szCs w:val="24"/>
          <w:lang w:val="en-US" w:eastAsia="zh-CN" w:bidi="ar-SA"/>
        </w:rPr>
        <w:t>等，</w:t>
      </w:r>
      <w:r>
        <w:rPr>
          <w:rFonts w:hint="default" w:ascii="Times New Roman" w:hAnsi="Times New Roman" w:cs="Times New Roman"/>
          <w:bCs/>
          <w:color w:val="auto"/>
          <w:kern w:val="2"/>
          <w:sz w:val="24"/>
          <w:szCs w:val="24"/>
          <w:lang w:val="en-US" w:eastAsia="zh-CN" w:bidi="ar-SA"/>
        </w:rPr>
        <w:t>为游客提供了便捷的公路交通条件。此外，焦作市还开通了多条旅游专线公交和景区直通车，方便游客前往各个旅游景点。同时，焦作市还在积极推进铁路和航空交通的建设，如焦作至郑州的城际铁路已经开通运营，为游客提供了更多的交通选择。</w:t>
      </w:r>
    </w:p>
    <w:p w14:paraId="3EECA8F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住宿方面，焦作南部沿黄河旅游带拥有各类酒店、民宿和度假村等住宿设施。从高端的五星级酒店到经济实惠的民宿客栈，应有尽有，满足了不同游客的住宿需求。近年来该区域的住宿设施数量不断增加，住宿条件也得到了显著提升。许多酒店和民宿都注重提升服务质量，为游客提供温馨、舒适的住宿环境。</w:t>
      </w:r>
    </w:p>
    <w:p w14:paraId="5CC13A4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餐饮方面，焦作南部沿黄河旅游带的餐饮文化独具特色。这里有地道的黄河鱼宴、焦作烩面、博爱杂拌等美食，让游客在品尝美食的同时，也能感受到当地的文化氛围。此外，该区域还有多家知名餐厅和特色小吃街，为游客提供了多样化的餐饮选择。近年来该区域的餐饮业发展迅速，餐饮企业数量不断增加，餐饮服务质量也得到了显著提升。</w:t>
      </w:r>
    </w:p>
    <w:p w14:paraId="7052DC1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通讯方面，焦作南部沿黄河旅游带的通讯设施完善，信号覆盖广泛。无论是手机通话还是上网冲浪，游客都能在这里享受到便捷的通讯服务。此外，该区域还设置了多个旅游信息咨询点和Wi-Fi热点，为游客提供了及时的旅游信息和便捷的上网条件。</w:t>
      </w:r>
    </w:p>
    <w:p w14:paraId="69A894C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完善的基础设施建设为焦作南部沿黄河旅游带的发展提供了有力保障。游客在这里可以享受到便捷的交通、舒适的住宿、美味的餐饮和便捷的通讯服务，从而更加专注于欣赏美景、体验文化，享受旅游带来的乐趣。</w:t>
      </w:r>
    </w:p>
    <w:p w14:paraId="4A89D84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旅游服务设施：焦作南部沿黄河旅游带的旅游服务设施日益完善，为游客提供了全方位、高质量的旅游服务。导游服务、旅游信息咨询、安全保障等旅游服务设施的完善程度，直接关系到游客的旅游体验和满意度。</w:t>
      </w:r>
    </w:p>
    <w:p w14:paraId="52302E9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导游服务方面，焦作南部沿黄河旅游带拥有一支专业、热情的导游队伍。这些导游不仅具备丰富的旅游知识和专业的讲解技能，还熟悉当地的历史文化和风土人情。他们能够为游客提供个性化的导游服务，根据游客的需求和兴趣，为游客量身定制旅游线路和讲解内容。近年来该区域的导游队伍不断壮大，导游服务质量也得到了显著提升。</w:t>
      </w:r>
    </w:p>
    <w:p w14:paraId="2DA416E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旅游信息咨询方面，焦作南部沿黄河旅游带设置了多个旅游信息咨询点和服务中心。这些咨询点和服务中心不仅为游客提供了详细的旅游信息和地图资料，还提供了旅游预订、票务服务等一站式服务。此外，该区域还开通了旅游热线电话和旅游官方网站，为游客提供了便捷的旅游信息咨询和预订服务。近年来该区域的旅游信息咨询量不断增加，旅游信息咨询服务质量也得到了显著提升。</w:t>
      </w:r>
    </w:p>
    <w:p w14:paraId="0311E99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安全保障方面，焦作南部沿黄河旅游带高度重视旅游安全工作。该区域加强了旅游景区的安全管理，设置了安全警示标志和应急救援设施，确保了游客的人身安全。同时，焦作市还建立了旅游安全应急机制，一旦发生旅游安全事故，能够迅速响应、有效处置。此外，该区域还加强了旅游市场的监管力度，打击了非法经营和欺诈行为，维护了游客的合法权益。近年来该区域的旅游安全事故发生率逐年下降，旅游安全保障工作取得了显著成效。</w:t>
      </w:r>
    </w:p>
    <w:p w14:paraId="3ACC97D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auto"/>
          <w:lang w:val="en-US" w:eastAsia="zh-CN"/>
        </w:rPr>
      </w:pPr>
      <w:r>
        <w:rPr>
          <w:rFonts w:hint="default" w:ascii="Times New Roman" w:hAnsi="Times New Roman" w:cs="Times New Roman"/>
          <w:bCs/>
          <w:color w:val="auto"/>
          <w:kern w:val="2"/>
          <w:sz w:val="24"/>
          <w:szCs w:val="24"/>
          <w:lang w:val="en-US" w:eastAsia="zh-CN" w:bidi="ar-SA"/>
        </w:rPr>
        <w:t>除了导游服务、旅游信息咨询和安全保障外，焦作南部沿黄河旅游带还提供了其他多种旅游服务设施。例如，该区域设置了多个旅游厕所和休息设施，为游客提供了便捷的如厕和休息条件。同时，该区域还加强了旅游环境的整治和美化工作，提升了旅游区的整体形象。这些旅游服务设施的完善，为游客提供了更加舒适、便捷的旅游体验。</w:t>
      </w:r>
    </w:p>
    <w:p w14:paraId="6D785BE5">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（三）旅游资源开发潜力评价</w:t>
      </w:r>
    </w:p>
    <w:p w14:paraId="21ECE70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1、可持续性</w:t>
      </w:r>
    </w:p>
    <w:p w14:paraId="24883A2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生态可持续性：焦作南部沿黄河旅游带的旅游资源开发，始终将生态可持续性置于首位。这一区域拥有丰富的自然生态资源，如黄河湿地、峡谷、森林等，这些资源的保护与开发直接关系到旅游业的长期健康发展。</w:t>
      </w:r>
    </w:p>
    <w:p w14:paraId="7C4C3A5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评估旅游资源开发对生态环境的影响时，焦作市采取了科学严谨的态度。通过环境影响评估报告，对拟开发项目进行全面的生态影响分析，确保开发活动不会对生态环境造成不可逆的损害。例如，在青天河风景区的开发过程中，焦作市严格限制了开发范围，保留了大量的原始森林和湿地，确保了</w:t>
      </w:r>
      <w:r>
        <w:rPr>
          <w:rFonts w:hint="eastAsia" w:ascii="Times New Roman" w:hAnsi="Times New Roman" w:cs="Times New Roman"/>
          <w:bCs/>
          <w:color w:val="auto"/>
          <w:kern w:val="2"/>
          <w:sz w:val="24"/>
          <w:szCs w:val="24"/>
          <w:lang w:val="en-US" w:eastAsia="zh-CN" w:bidi="ar-SA"/>
        </w:rPr>
        <w:t>生物多样性保护</w:t>
      </w:r>
      <w:r>
        <w:rPr>
          <w:rFonts w:hint="default" w:ascii="Times New Roman" w:hAnsi="Times New Roman" w:cs="Times New Roman"/>
          <w:bCs/>
          <w:color w:val="auto"/>
          <w:kern w:val="2"/>
          <w:sz w:val="24"/>
          <w:szCs w:val="24"/>
          <w:lang w:val="en-US" w:eastAsia="zh-CN" w:bidi="ar-SA"/>
        </w:rPr>
        <w:t>。</w:t>
      </w:r>
    </w:p>
    <w:p w14:paraId="2F6EE67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同时，焦作市在旅游资源开发过程中实施了一系列生态保护措施。一是加强环境监测，建立了完善的环境监测体系，对空气质量、水质、土壤质量等进行实时监测，确保生态环境质量不下降。二是实施生态修复工程，对受损的生态环境进行修复和治理，如黄河湿地的恢复、植被的补种等。三是推广生态旅游，鼓励游客参与生态保护活动，如植树造林、垃圾回收等，提高游客的环保意识。</w:t>
      </w:r>
    </w:p>
    <w:p w14:paraId="4A7B055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近年来焦作南部沿黄河旅游带的生态环境质量持续改善，空气质量优良天数比例逐年提高，水质保持稳定，生物多样性得到有效保护。这些成果得益于焦作市在旅游资源开发过程中坚持生态优先、</w:t>
      </w:r>
      <w:r>
        <w:rPr>
          <w:rFonts w:hint="eastAsia" w:ascii="Times New Roman" w:hAnsi="Times New Roman" w:cs="Times New Roman"/>
          <w:bCs/>
          <w:color w:val="auto"/>
          <w:kern w:val="2"/>
          <w:sz w:val="24"/>
          <w:szCs w:val="24"/>
          <w:lang w:val="en-US" w:eastAsia="zh-CN" w:bidi="ar-SA"/>
        </w:rPr>
        <w:t>绿色发展理念</w:t>
      </w:r>
      <w:r>
        <w:rPr>
          <w:rFonts w:hint="default" w:ascii="Times New Roman" w:hAnsi="Times New Roman" w:cs="Times New Roman"/>
          <w:bCs/>
          <w:color w:val="auto"/>
          <w:kern w:val="2"/>
          <w:sz w:val="24"/>
          <w:szCs w:val="24"/>
          <w:lang w:val="en-US" w:eastAsia="zh-CN" w:bidi="ar-SA"/>
        </w:rPr>
        <w:t>，以及实施的一系列生态保护措施。</w:t>
      </w:r>
    </w:p>
    <w:p w14:paraId="0ADA072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社会文化可持续性：焦作南部沿黄河旅游带的旅游资源开发，不仅注重生态可持续性，还高度重视社会文化可持续性。这一区域拥有深厚的历史文化底蕴和独特的民俗风情，是旅游资源的重要组成部分。</w:t>
      </w:r>
    </w:p>
    <w:p w14:paraId="7AAE81D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评估旅游资源开发对社会文化的影响时，焦作市充分考虑了当地居民的文化权益和传承需求。通过社区参与机制，鼓励当地居民参与旅游开发和管理，确保他们的文化权益得到尊重和保护。例如，在陈家沟太极拳发源地的开发过程中，焦作市充分尊重了当地居民的意愿和文化传统，保留了太极拳的原始风貌和传承体系。</w:t>
      </w:r>
    </w:p>
    <w:p w14:paraId="5800DAF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同时，焦作市在旅游资源开发过程中实施了一系列社会文化保护措施。一是加强文化遗产保护，对嘉应观、韩愈陵园等历史文化遗址进行修缮和保护，确保文化遗产的完整性和真实性。二是推广民俗文化，通过举办庙会、节庆活动等，展示和传承当地的民俗风情和传统文化。三是加强文化教育，在旅游景区设置文化展示区、教育基地等，向游客普及历史文化知识，提高游客的文化素养。</w:t>
      </w:r>
    </w:p>
    <w:p w14:paraId="2FF5B2D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近年来焦作南部沿黄河旅游带的文化旅游项目不断增加，游客对当地文化的认知和认同度显著提高。这些成果得益于焦作市在旅游资源开发过程中坚持文化传承与创新的理念，以及实施的一系列社会文化保护措施。</w:t>
      </w:r>
    </w:p>
    <w:p w14:paraId="5EA6B2C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经济可持续性：焦作南部沿黄河旅游带的旅游资源开发，具有显著的经济可持续性。这一区域拥有丰富的旅游资源，市场需求旺盛，为旅游业的长期发展提供了有力支撑。</w:t>
      </w:r>
    </w:p>
    <w:p w14:paraId="5B389D5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预测旅游资源开发的长期经济效益时，焦作市进行了全面的市场调研和需求分析。近年来焦作南部沿黄河旅游带的游客接待量和旅游收入持续增长，市场前景广阔。预计未来几年，随着旅游市场的进一步拓展和旅游产品的不断创新，该区域的旅游业将实现更加快速</w:t>
      </w:r>
      <w:r>
        <w:rPr>
          <w:rFonts w:hint="eastAsia" w:ascii="Times New Roman" w:hAnsi="Times New Roman" w:cs="Times New Roman"/>
          <w:bCs/>
          <w:color w:val="auto"/>
          <w:kern w:val="2"/>
          <w:sz w:val="24"/>
          <w:szCs w:val="24"/>
          <w:lang w:val="en-US" w:eastAsia="zh-CN" w:bidi="ar-SA"/>
        </w:rPr>
        <w:t>地</w:t>
      </w:r>
      <w:r>
        <w:rPr>
          <w:rFonts w:hint="default" w:ascii="Times New Roman" w:hAnsi="Times New Roman" w:cs="Times New Roman"/>
          <w:bCs/>
          <w:color w:val="auto"/>
          <w:kern w:val="2"/>
          <w:sz w:val="24"/>
          <w:szCs w:val="24"/>
          <w:lang w:val="en-US" w:eastAsia="zh-CN" w:bidi="ar-SA"/>
        </w:rPr>
        <w:t>发展。</w:t>
      </w:r>
    </w:p>
    <w:p w14:paraId="55B9361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同时，焦作市在旅游资源开发过程中也高度重视经济风险管理。一是加强投资风险管理，对拟开发项目进行全面的风险评估和可行性研究，确保投资项目的经济效益和社会效益。二是加强市场风险管理，密切关注旅游市场的动态变化，及时调整旅游产品和营销策略，以应对市场波动带来的风险。三是加强运营风险管理，加强旅游景区的日常管理和维护，确保旅游设施的安全运行和游客的满意度。通过实施一系列经济风险管理措施，焦作南部沿黄河旅游带的旅游业实现了稳健发展。</w:t>
      </w:r>
    </w:p>
    <w:p w14:paraId="2C3C5D1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2、创新性</w:t>
      </w:r>
    </w:p>
    <w:p w14:paraId="3B56F11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产品创新：焦作南部沿黄河旅游带在旅游资源开发过程中，始终注重产品创新，不断推出新景点、新活动、新体验，以满足游客日益多样化的旅游需求。</w:t>
      </w:r>
    </w:p>
    <w:p w14:paraId="421F218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产品创新方面，焦作市充分挖掘当地的自然和文化资源，打造了一系列独具特色的旅游产品。例如，青天河风景区推出了峡谷漂流、玻璃栈道等刺激有趣的旅游项目，让游客在欣赏美景的同时，也能体验到刺激和乐趣。陈家沟太极拳发源地则推出了太极拳体验课程、太极拳表演等旅游产品，让游客深入了解太极拳的文化内涵和魅力。</w:t>
      </w:r>
    </w:p>
    <w:p w14:paraId="7E2F019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此外，焦作市还注重旅游产品的多元化和融合性。通过</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文旅+</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+文旅</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的发展模式，将旅游与农业、文化、体育等产业深度融合，推出了乡村旅游、民宿旅游、研学旅游等新兴业态。例如，焦作市打造了多个全国乡村旅游重点村和省级乡村旅游特色村，推出了乡村采摘、农事体验等旅游产品；同时，还利用当地的陶瓷文化、怀药文化等资源，开发了陶瓷制作体验、怀药养生体验等旅游产品。</w:t>
      </w:r>
    </w:p>
    <w:p w14:paraId="1F18A21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近年来焦作南部沿黄河旅游带的新产品开发数量不断增加，游客对新产品的满意度和参与度也显著提高。这些创新产品不仅丰富了旅游市场供给，也提升了焦作旅游的品牌影响力和竞争力。</w:t>
      </w:r>
    </w:p>
    <w:p w14:paraId="162392C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管理创新：焦作南部沿黄河旅游带在旅游资源开发过程中，积极探索管理创新措施，提高旅游管理的智能化和个性化水平。</w:t>
      </w:r>
    </w:p>
    <w:p w14:paraId="268F963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管理创新方面，焦作市注重运用现代信息技术手段提升旅游管理水平。通过建设智慧旅游平台，实现了旅游景区的智能化管理。游客可以通过手机APP或网站查询景区信息、预订门票、导航导览等，提高了旅游的便捷性和舒适性。同时，智慧旅游平台还能对景区的人流、车流等进行实时监测和预警，确保旅游安全。</w:t>
      </w:r>
    </w:p>
    <w:p w14:paraId="3B81C2A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此外，焦作市还注重提供个性化服务，满足游客的多样化需求。通过大数据分析游客的旅游偏好和行为习惯，为游客提供定制化的旅游产品和服务。例如，为游客提供个性化的旅游线路规划、特色餐饮推荐等。</w:t>
      </w:r>
    </w:p>
    <w:p w14:paraId="6D1F368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近年来焦作南部沿黄河旅游带的智慧旅游平台建设不断完善，游客对智慧旅游服务的满意度逐年提高。同时，个性化服务的提供也有效提升了游客的旅游体验和满意度。</w:t>
      </w:r>
    </w:p>
    <w:p w14:paraId="5DE8E06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营销创新：焦作南部沿黄河旅游带在旅游资源开发过程中，积极创新营销策略，提升旅游品牌的知名度和影响力。</w:t>
      </w:r>
    </w:p>
    <w:p w14:paraId="58DC0C6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在营销创新方面，焦作市注重品牌塑造和网络营销。通过打造</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焦作黄河文化旅游</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品牌，将焦作南部沿黄河旅游带的旅游资源进行整合和包装，形成独特的旅游品牌形象。同时，利用互联网和社交媒体等渠道进行广泛宣传和推广，吸引更多游客前来旅游。</w:t>
      </w:r>
    </w:p>
    <w:p w14:paraId="09C74FB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此外，焦作市还注重节庆活动和事件营销的策划和组织。通过举办黄河文化节、太极拳国际交流大会等节庆活动，提升焦作旅游的知名度和影响力。同时，利用重大事件和热点话题进行营销炒作，吸引媒体和公众的关注。</w:t>
      </w:r>
    </w:p>
    <w:p w14:paraId="0A9FCA3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auto"/>
          <w:lang w:eastAsia="zh-CN"/>
        </w:rPr>
      </w:pPr>
      <w:r>
        <w:rPr>
          <w:rFonts w:hint="default" w:ascii="Times New Roman" w:hAnsi="Times New Roman" w:cs="Times New Roman"/>
          <w:bCs/>
          <w:color w:val="auto"/>
          <w:kern w:val="2"/>
          <w:sz w:val="24"/>
          <w:szCs w:val="24"/>
          <w:lang w:val="en-US" w:eastAsia="zh-CN" w:bidi="ar-SA"/>
        </w:rPr>
        <w:t>近年来焦作南部沿黄河旅游带的品牌知名度和美誉度不断提升，游客数量和旅游收入也持续增长。这些成果得益于焦作市在旅游资源开发过程中实施的营销创新策略。</w:t>
      </w:r>
    </w:p>
    <w:p w14:paraId="68073AF6">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118" w:name="_Toc6262"/>
      <w:r>
        <w:rPr>
          <w:rFonts w:hint="eastAsia" w:ascii="宋体" w:hAnsi="宋体" w:eastAsia="宋体" w:cs="宋体"/>
          <w:b/>
          <w:bCs/>
          <w:color w:val="auto"/>
          <w:sz w:val="28"/>
          <w:szCs w:val="28"/>
          <w:lang w:eastAsia="zh-CN"/>
        </w:rPr>
        <w:t>三、焦作中部城市联合体旅游</w:t>
      </w:r>
      <w:r>
        <w:rPr>
          <w:rFonts w:hint="eastAsia" w:ascii="宋体" w:hAnsi="宋体" w:cs="宋体"/>
          <w:b/>
          <w:bCs/>
          <w:color w:val="auto"/>
          <w:sz w:val="28"/>
          <w:szCs w:val="28"/>
          <w:lang w:val="en-US" w:eastAsia="zh-CN"/>
        </w:rPr>
        <w:t>带</w:t>
      </w:r>
      <w:r>
        <w:rPr>
          <w:rFonts w:hint="eastAsia" w:ascii="宋体" w:hAnsi="宋体" w:eastAsia="宋体" w:cs="宋体"/>
          <w:b/>
          <w:bCs/>
          <w:color w:val="auto"/>
          <w:sz w:val="28"/>
          <w:szCs w:val="28"/>
          <w:lang w:eastAsia="zh-CN"/>
        </w:rPr>
        <w:t>评价</w:t>
      </w:r>
      <w:bookmarkEnd w:id="118"/>
    </w:p>
    <w:p w14:paraId="11DCBE94">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（一）旅游资源本身特征评价</w:t>
      </w:r>
    </w:p>
    <w:p w14:paraId="59CDE00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1、资源质量</w:t>
      </w:r>
    </w:p>
    <w:p w14:paraId="4B8F714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美学价值：焦作中部城市联合体的城区与县城区域，在美学上展现出一种自然与人文交融的独特魅力。</w:t>
      </w:r>
    </w:p>
    <w:p w14:paraId="77C3D66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自然景观方面，虽然这一区域不直接拥有南太行山的壮丽山景和黄河的浩渺水色，但城区内的公园、绿地、湖泊等自然景观却为城市增添了几分生机与活力。例如，焦作市区的龙源湖公园，湖面波光粼粼，四周绿树成荫，是市民休闲散步、亲近自然的好去处。博爱县城的清化河公园，河水清澈，沿岸景色宜人，展现了县城独有的宁静与和谐。这些自然景观虽然规模不大，但却以其精致与细腻，为城市增添了几分柔美与温馨。</w:t>
      </w:r>
    </w:p>
    <w:p w14:paraId="74464BE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人文景观方面，焦作中部城市联合体更是独具特色。城区内的古建筑、历史街区、文化广场等，都承载着深厚的历史文化底蕴。焦作市区的东方红广场，作为城市的地标性建筑，见证了焦作的发展历程，其周边的建筑风格和布局都充满了时代感。博爱县城的月山寺，作为一座历史悠久的佛教寺院，其古朴的建筑风格和深厚的宗教文化，吸引着众多游客前来参观祈福。修武县城的千年古县衙，更是以其独特的建筑风格和丰富的历史内涵，成为了解修武历史文化的重要窗口。</w:t>
      </w:r>
    </w:p>
    <w:p w14:paraId="6F64FFB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此外，焦作中部城市联合体的城市夜景也颇具美学价值。夜幕降临，华灯初上，城区内的霓虹灯、路灯、景观灯交相辉映，将城市装扮得五彩斑斓。焦作市区的塔南路、解放路等主干道，两旁的商业楼宇灯火辉煌，展现了城市的繁华与活力。博爱县城的滨河路，沿岸的灯光与河面的倒影相映成趣，营造出一种浪漫而宁静的氛围。</w:t>
      </w:r>
    </w:p>
    <w:p w14:paraId="53A6A36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近年来焦作中部城市联合体的城区与县城区域游客接待量持续增长，其中不乏被其独特美学价值所吸引的游客。他们在这里欣赏城市风光、感受人文魅力，享受着与自然和谐共生的美好时光。</w:t>
      </w:r>
    </w:p>
    <w:p w14:paraId="75FC7FA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科学价值：焦作中部城市联合体在科学研究、教育普及等方面也展现出一定的科学价值，为游客提供了一次科技与生态的探索之旅。</w:t>
      </w:r>
    </w:p>
    <w:p w14:paraId="1B517CA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科技方面，焦作市作为河南省的重要工业城市，拥有众多科研机构和高新技术企业。这些机构和企业不仅为焦作的经济发展做出了重要贡献，也为游客提供了一次近距离接触科技的机会。例如，焦作市区的焦作科技馆，通过丰富的科普展览和互动体验项目，向游客普及科学知识、传播科学思想。游客可以在这里了解科技的发展历程、探索科技的奥秘，感受科技给生活带来的巨大变化。</w:t>
      </w:r>
    </w:p>
    <w:p w14:paraId="43B4807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生态方面，焦作中部城市联合体注重生态保护与建设，城区内的公园、绿地等生态景观为游客提供了一次亲近自然、了解生态的机会。例如，焦作市区的森林公园，不仅拥有大片的绿地和树木，还设有生态教育区、科普展示区等，向游客普及生态知识、传播生态理念。游客可以在这里观察动植物的生长过程、了解生态系统的运作机制，感受大自然的神奇与伟大。</w:t>
      </w:r>
    </w:p>
    <w:p w14:paraId="40D721C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此外，焦作中部城市联合体还积极推动科技与生态的融合发展。例如，在博爱县城的清化河公园内，就设有一些生态科技展示项目，如太阳能发电、雨水收集利用等。这些项目不仅展示了科技的魅力，也体现了生态建设的智慧。</w:t>
      </w:r>
    </w:p>
    <w:p w14:paraId="04D16FD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近年来焦作中部城市联合体的科普旅游和生态旅游项目受到越来越多游客的喜爱和追捧。他们在这里不仅学到了科学知识、了解了生态理念，还亲身体验到了科技与生态的融合之美。</w:t>
      </w:r>
    </w:p>
    <w:p w14:paraId="1465558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历史文化价值：焦作中部城市联合体拥有悠久的历史和灿烂的文化，其城区与县城区域更是历史长河中的璀璨明珠，蕴含着丰富的历史文化价值。</w:t>
      </w:r>
    </w:p>
    <w:p w14:paraId="03E707E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历史背景方面，焦作地区自古以来就是中华文明的重要发祥地之一。城区内的古建筑、历史街区等，都见证了焦作地区的历史变迁。例如，焦作市区的山阳故城遗址，是焦作地区最早的城池遗址之一，距今已有数千年的历史。它见证了焦作从一个小村落发展成为繁华都市的历程，也反映了古代城市规划和建筑技术的水平。博爱县城的寨卜昌古民居建筑群，则是清代晋商文化的代表之一，展现了古代商业繁荣和民居建筑的独特风格。</w:t>
      </w:r>
    </w:p>
    <w:p w14:paraId="7814451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文化内涵方面，焦作中部城市联合体的城区与县城区域更是文化瑰宝遍地。这里的民俗风情、传统技艺、地方戏曲等，都承载着深厚的文化内涵。例如，焦作地区的怀梆戏，是河南省的地方戏曲剧种之一，以其独特的唱腔、表演风格和音乐伴奏而著称。游客可以在焦作市区的剧院或文化广场欣赏到怀梆戏的表演，感受地方戏曲的魅力。此外，焦作地区的剪纸、泥塑等传统技艺也颇具特色，游客可以在当地的工艺品店或文化展览中欣赏到这些精美的艺术品。</w:t>
      </w:r>
    </w:p>
    <w:p w14:paraId="424227D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独特性方面，焦作中部城市联合体的城区与县城区域在历史文化上展现出鲜明的地域特色。无论是建筑风格、民俗风情还是传统技艺，都与其他地区有着显著的区别。例如，焦作市区的当阳峪绞胎瓷，是中国古代陶瓷艺术中的瑰宝之一。它以独特的绞胎技法、丰富的色彩和图案而著称于世，展现了焦作地区古代陶瓷艺术的独特魅力。这种独特性不仅为焦作中部城市联合体增添了无尽的魅力，也为游客提供了一次深入了解中原文化的机会。</w:t>
      </w:r>
    </w:p>
    <w:p w14:paraId="1B94BFC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近年来焦作中部城市联合体的文化旅游项目受到越来越多游客的喜爱和追捧。他们在这里参观历史遗迹、欣赏传统艺术、体验民俗风情，感受着焦作地区深厚的历史文化底蕴和独特的文化魅力。</w:t>
      </w:r>
    </w:p>
    <w:p w14:paraId="4E49367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（4）</w:t>
      </w:r>
      <w:r>
        <w:rPr>
          <w:rFonts w:hint="default" w:ascii="Times New Roman" w:hAnsi="Times New Roman" w:cs="Times New Roman"/>
          <w:bCs/>
          <w:color w:val="auto"/>
          <w:kern w:val="2"/>
          <w:sz w:val="24"/>
          <w:szCs w:val="24"/>
          <w:lang w:val="en-US" w:eastAsia="zh-CN" w:bidi="ar-SA"/>
        </w:rPr>
        <w:t>娱乐价值：焦作中部城市联合体的城区与县城区域不仅拥有丰富的自然景观和人文景观，还提供了多样化的娱乐活动和体验，满足了游客的不同需求。</w:t>
      </w:r>
    </w:p>
    <w:p w14:paraId="7D2923F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主题公园方面，焦作市区的龙源湖公园不仅是一个自然景观优美的公园，还是一个集娱乐、休闲、观光为一体的综合性旅游景区。公园内设有游乐场、儿童乐园、划船区等娱乐设施，为游客提供了丰富的娱乐选择。此外，焦作市还计划建设更多的主题公园和娱乐设施，如焦作乐园等，以进一步丰富游客的旅游体验。</w:t>
      </w:r>
    </w:p>
    <w:p w14:paraId="43DD3FE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节庆活动方面，焦作中部城市联合体拥有丰富多彩的节庆活动。除了传统的春节、元宵节、中秋节等节日庆祝活动外，还有焦作国际太极拳交流大会、焦作市文化艺术节等特色节庆活动。这些活动不仅展示了焦作地区的文化特色和旅游魅力，也为游客提供了一次参与和体验的机会。例如，焦作国际太极拳交流大会吸引了来自世界各地的太极拳爱好者前来参加，他们在这里交流技艺、切磋武艺，共同推广太极拳文化。</w:t>
      </w:r>
    </w:p>
    <w:p w14:paraId="4AF552E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除了主题公园和节庆活动外，焦作中部城市联合体的城区与县城区域还提供了许多其他娱乐活动和体验。例如，游客可以在焦作市区的购物中心、电影院等商业设施中享受购物、观影等娱乐活动；在博爱县城的夜市、小吃街等地方品尝当地的美食和特色小吃；在修武县城的温泉度假村中享受温泉浴、按摩等休闲服务。这些活动不仅让游客在旅游过程中得到了放松和娱乐，也增强了他们对焦作旅游的记忆和印象。</w:t>
      </w:r>
    </w:p>
    <w:p w14:paraId="3A109C3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auto"/>
          <w:lang w:val="en-US" w:eastAsia="zh-CN"/>
        </w:rPr>
      </w:pPr>
      <w:r>
        <w:rPr>
          <w:rFonts w:hint="default" w:ascii="Times New Roman" w:hAnsi="Times New Roman" w:cs="Times New Roman"/>
          <w:bCs/>
          <w:color w:val="auto"/>
          <w:kern w:val="2"/>
          <w:sz w:val="24"/>
          <w:szCs w:val="24"/>
          <w:lang w:val="en-US" w:eastAsia="zh-CN" w:bidi="ar-SA"/>
        </w:rPr>
        <w:t>近年来焦作中部城市联合体的娱乐活动和体验项目不断增加，游客的参与度和满意度也逐年提高。这充分证明了其娱乐价值在旅游市场中的重要地位，也为焦作中部城市联合体的旅游发展注入了新的活力和动力。</w:t>
      </w:r>
    </w:p>
    <w:p w14:paraId="5CE9855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2、资源规模与丰度</w:t>
      </w:r>
    </w:p>
    <w:p w14:paraId="754CE7A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数量：焦作中部城市联合体城区与县城区域的旅游资源种类丰富，数量可观。该区域内共有各类旅游资源点超过300处，涵盖了自然景观、人文景观、休闲娱乐、购物餐饮等多个领域。</w:t>
      </w:r>
    </w:p>
    <w:p w14:paraId="0292E24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自然景观方面，城区内的公园、绿地、湖泊等构成了城市绿肺，为市民和游客提供了亲近自然的空间。例如，焦作市区的龙源湖公园、缝山公园等，都是市民休闲散步、晨练晚游的好去处。焦作市区内共有大型公园10余处，小型绿地和广场更是不计其数，为城市增添了无尽的生机与活力。</w:t>
      </w:r>
    </w:p>
    <w:p w14:paraId="342E7CE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人文景观方面，焦作中部城市联合体更是独具特色。城区内的古建筑、历史街区、文化广场等承载着深厚的历史文化底蕴。如焦作市区的山阳故城遗址、东方红广场等，都是了解焦作历史文化的重要窗口。此外，博爱县城的月山寺、寨卜昌古民居建筑群，修武县城的千年古县衙等，也都是极具历史价值和观赏价值的旅游资源。该区域内共有省级以上文物保护单位20余处，市级文物保护单位50余处，这些文物古迹为焦作中部城市联合体的旅游发展提供了丰富的文化底蕴。</w:t>
      </w:r>
    </w:p>
    <w:p w14:paraId="55E6498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休闲娱乐方面，焦作中部城市联合体也拥有众多选择。从大型购物中心到特色小吃街，从电影院到KTV，从健身房到游泳馆，各种休闲娱乐设施应有尽有。焦作市区内共有大型购物中心5座，特色小吃街3条，电影院10余家，为游客提供了丰富多彩的娱乐体验。</w:t>
      </w:r>
    </w:p>
    <w:p w14:paraId="047C328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购物餐饮方面，焦作中部城市联合体同样表现出色。从高端商场到亲民市场，从地方特色小吃到国际美食，游客在这里可以尽情享受购物的乐趣和美食的盛宴。焦作市区内共有各类餐饮企业超过3000家，其中不乏一些具有地方特色的老字号和知名品牌。</w:t>
      </w:r>
    </w:p>
    <w:p w14:paraId="6212C79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规模：焦作中部城市联合体城区与县城区域的旅游资源不仅种类丰富，而且单个资源的规模也相当可观。</w:t>
      </w:r>
    </w:p>
    <w:p w14:paraId="0275CA5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以焦作市区的龙源湖公园为例，该公园占地面积约1000亩，其中湖面面积就达到了300余亩。公园内设有游乐场、儿童乐园、划船区、健身区等多个功能区域，是焦作市区内规模最大的综合性公园之一。每年吸引游客超过百万人次，成为焦作市旅游的一张亮丽名片。</w:t>
      </w:r>
    </w:p>
    <w:p w14:paraId="52F1FA4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再以博爱县城的月山寺为例，该寺始建于唐代，历经宋、元、明、清等多个朝代的修缮和扩建，现已成为一座规模宏大的佛教寺院。寺院占地面积约500亩，建筑面积超过1万平方米，拥有大雄宝殿、藏经楼、钟鼓楼等多个建筑群体。每年吸引大量游客和信徒前来参观祈福，是博爱县旅游的重要景点之一。</w:t>
      </w:r>
    </w:p>
    <w:p w14:paraId="4BF9B8A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修武县城的千年古县衙也是一处规模宏大的旅游资源。该县衙始建于北宋时期，历经元、明、清等多个朝代的修缮和扩建，现已成为一座保存完好的古代县衙建筑群。县衙占地面积约200亩，建筑面积超过5000平方米，拥有大堂、二堂、三堂等多个建筑单体和监狱、粮仓等附属设施。游客在这里可以深入了解古代县衙的政治制度、司法制度和建筑风格。</w:t>
      </w:r>
    </w:p>
    <w:p w14:paraId="2631D38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除了这些大型旅游资源外，焦作中部城市联合体还拥有众多规模适中的景点和设施。如焦作市区的缝山公园、焦作科技馆等，都是游客了解焦作自然风光和科技成果的好去处。这些旅游资源虽然规模不大，但却以其独特的魅力和丰富的内涵吸引着大量游客前来参观游览。</w:t>
      </w:r>
    </w:p>
    <w:p w14:paraId="0AB0B24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组合状况：焦作中部城市联合体城区与县城区域的旅游资源在组合状况上表现出极高的互补性和集聚效应。</w:t>
      </w:r>
    </w:p>
    <w:p w14:paraId="389435A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自然景观与人文景观的互补性是该区域旅游资源组合的一大亮点。例如，焦作市区的龙源湖公园与山阳故城遗址相邻而居，游客在欣赏湖光山色的同时，还可以参观历史遗迹，感受焦作的历史文化底蕴。博爱县城的月山寺与寨卜昌古民居建筑群也相距不远，游客在祈福参拜的同时，还可以欣赏到古代民居建筑的独特魅力。这种自然景观与人文景观的互补性，为游客提供了更加丰富多彩的旅游体验。</w:t>
      </w:r>
    </w:p>
    <w:p w14:paraId="710B32A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旅游资源的集聚效应也是焦作中部城市联合体的一大优势。以焦作市区为例，该区域内集中了龙源湖公园、焦作科技馆、焦作市文化艺术中心等多个旅游资源点，形成了旅游资源的集聚区。游客在这里可以一站式体验自然风光、科技成果、文化艺术等多种旅游元素，大大提高了旅游的便捷性和效率。此外，博爱县城和修武县城也分别形成了各自的旅游资源集聚区，为游客提供了更加便捷的旅游选择。</w:t>
      </w:r>
    </w:p>
    <w:p w14:paraId="2C9AD64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auto"/>
          <w:lang w:val="en-US" w:eastAsia="zh-CN"/>
        </w:rPr>
      </w:pPr>
      <w:r>
        <w:rPr>
          <w:rFonts w:hint="default" w:ascii="Times New Roman" w:hAnsi="Times New Roman" w:cs="Times New Roman"/>
          <w:bCs/>
          <w:color w:val="auto"/>
          <w:kern w:val="2"/>
          <w:sz w:val="24"/>
          <w:szCs w:val="24"/>
          <w:lang w:val="en-US" w:eastAsia="zh-CN" w:bidi="ar-SA"/>
        </w:rPr>
        <w:t>这种旅游资源的组合状况不仅提高了焦作中部城市联合体的旅游吸引力，也为旅游产业的发展提供了有力支撑。近年来焦作中部城市联合体的游客接待量和旅游收入持续增长，这充分证明了其旅游资源组合状况的优势和潜力。</w:t>
      </w:r>
    </w:p>
    <w:p w14:paraId="57DFF4D6">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（二）旅游资源环境评价</w:t>
      </w:r>
    </w:p>
    <w:p w14:paraId="1CF9676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1、自然环境</w:t>
      </w:r>
    </w:p>
    <w:p w14:paraId="17AC552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气候条件：焦作中部城市联合体城区与县城区域的气候条件温和宜人，为旅游活动提供了良好的天气保障。</w:t>
      </w:r>
    </w:p>
    <w:p w14:paraId="22EAE99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该区域属于暖温带大陆性季风气候，四季分明，温度适宜。春季（3-5月）平均气温在16.0℃，春暖花开，是踏青赏花的好时节；夏季（6-8月）平均气温在26.9℃左右，虽然较为炎热，但相较于南方地区，焦作夏季的湿度较低，闷热感不强，且夏季多雨，为城市带来了清新的空气和凉爽的微风；秋季（9-11月）平均气温在15.4℃，秋高气爽，是观赏秋景、进行户外活动的最佳时期；冬季（12-2月）平均气温在在2.6℃，虽然较为寒冷，但焦作冬季的晴天较多，阳光充足，为游客提供了温暖的冬日阳光。</w:t>
      </w:r>
    </w:p>
    <w:p w14:paraId="07BC920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光照方面，焦作中部城市联合体城区与县城区域年日照时数较长，平均每年可达1889.3-2174.0小时。充足的光照不仅为城市带来了明媚的阳光，也为旅游活动提供了良好的光照条件。无论是户外徒步、摄影采风还是休闲度假，游客都能在这里享受到充足的光照和宜人的气候。</w:t>
      </w:r>
    </w:p>
    <w:p w14:paraId="1B8C93C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湿度方面，焦作中部城市联合体的相对湿度较为适中，年平均相对湿度在60%-70%之间。这样的湿度条件既不会让人感到过于干燥，也不会让人感到过于潮湿，为游客提供了舒适的旅游环境。</w:t>
      </w:r>
    </w:p>
    <w:p w14:paraId="6ACF69D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气候条件对焦作中部城市联合体的旅游活动产生了积极的影响。温和宜人的气候使得该区域一年四季都适合旅游，吸引了大量游客前来观光游览。近年来焦作中部城市联合体的游客接待量持续增长，其中不乏被其独特气候条件所吸引的游客。</w:t>
      </w:r>
    </w:p>
    <w:p w14:paraId="19F02AE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环境质量：焦作中部城市联合体城区与县城区域的环境质量优良，为游客提供了安全、健康的旅游环境。</w:t>
      </w:r>
    </w:p>
    <w:p w14:paraId="0C03658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空气质量方面，该区域的空气质量持续保持优良水平。近年来，焦作市深入贯彻习近平生态文明思想，将生态文明建设和生态环境保护工作作为基础性、底线性任务，着力解决环境突出问题，持续提升生态环境质量。焦作市还积极推进大气污染防治工作，加强工业废气、机动车尾气、扬尘等污染源的治理，进一步改善了空气质量。</w:t>
      </w:r>
    </w:p>
    <w:p w14:paraId="30B04F7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水质方面，焦作中部城市联合体城区与县城区域的地表水和地下水水质均保持良好。土壤质量方面，焦作中部城市联合体的土壤环境安全稳定</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土壤环境质量总体良好，未出现土壤污染问题。这为旅游活动的开展提供了有力的保障，游客可以放心地在该区域进行户外活动、采摘水果等旅游活动。</w:t>
      </w:r>
    </w:p>
    <w:p w14:paraId="77D976F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优良的环境质量对焦作中部城市联合体的旅游活动产生了积极的影响。游客在这里可以享受到清新的空气、干净的水源和安全的土壤环境，从而更加放心地参与各种旅游活动。近年来焦作中部城市联合体的游客满意度持续提高，其中环境质量是一个重要的影响因素。</w:t>
      </w:r>
    </w:p>
    <w:p w14:paraId="4564832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自然灾害风险：焦作中部城市联合体城区与县城区域自然灾害风险相对较低，为旅游活动提供了安全的环境保障。</w:t>
      </w:r>
    </w:p>
    <w:p w14:paraId="4091A31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地震方面，焦作市位于华北地震区的南部边缘，虽然历史上曾发生过地震活动，但近年来地震活动相对平静。该区域的地震活动频率较低，且震级较小，对旅游活动的影响较小。</w:t>
      </w:r>
    </w:p>
    <w:p w14:paraId="25ED6D1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洪水方面，焦作市北部山区河道落差大，利于洪水下泄。南部平原区建立了完善的防洪体系，有力地保障了防汛安全</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同时，焦作市还加强了对河流、水库等水体的管理和监测，确保水体的安全稳定。</w:t>
      </w:r>
    </w:p>
    <w:p w14:paraId="6967FF8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台风方面，焦作市位于内陆地区，受台风影响较小。虽然偶尔会受到台风外围云系的影响，但通常只会带来一些阵雨和微风，对旅游活动的影响不大。</w:t>
      </w:r>
    </w:p>
    <w:p w14:paraId="3977764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除了上述自然灾害外，焦作中部城市联合体还可能面临一些其他自然灾害风险，如干旱、冰雹等。但这些灾害的发生频率较低，且对焦作旅游活动的影响相对较小。</w:t>
      </w:r>
    </w:p>
    <w:p w14:paraId="1397A7B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auto"/>
          <w:lang w:val="en-US" w:eastAsia="zh-CN"/>
        </w:rPr>
      </w:pPr>
      <w:r>
        <w:rPr>
          <w:rFonts w:hint="default" w:ascii="Times New Roman" w:hAnsi="Times New Roman" w:cs="Times New Roman"/>
          <w:bCs/>
          <w:color w:val="auto"/>
          <w:kern w:val="2"/>
          <w:sz w:val="24"/>
          <w:szCs w:val="24"/>
          <w:lang w:val="en-US" w:eastAsia="zh-CN" w:bidi="ar-SA"/>
        </w:rPr>
        <w:t>较低的自然灾害风险对焦作中部城市联合体的旅游活动产生了积极的影响。游客在这里可以放心地参与各种旅游活动，不必担心自然灾害的威胁。近年来焦作中部城市联合体的旅游安全事故发生率较低，其中自然灾害是一个重要的影响因素。</w:t>
      </w:r>
    </w:p>
    <w:p w14:paraId="26341C7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2、人文环境</w:t>
      </w:r>
    </w:p>
    <w:p w14:paraId="3A80ED8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社会文化氛围：焦作中部城市联合体城区与县城区域的社会文化氛围浓厚，展现出深厚的历史底蕴和独特的地方特色。</w:t>
      </w:r>
    </w:p>
    <w:p w14:paraId="6483B37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居民的生活方式方面，焦作人热情好客，注重家庭和睦与邻里和谐。在日常生活中，焦作人喜欢品尝当地的美食，如烩面、胡辣汤、豆腐脑等，这些美食不仅味道独特，而且承载着焦作人的饮食文化和情感记忆。此外，焦作人还热爱文化艺术，经常参加各种文艺演出和展览活动，丰富自己的精神生活。</w:t>
      </w:r>
    </w:p>
    <w:p w14:paraId="7B2040D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风俗习惯方面，焦作地区有着丰富的民间传统和节庆习俗。例如，春节期间，焦作人会贴春联、放鞭炮、拜年等，这些习俗传承了千年的文化精髓，营造了浓厚的节日氛围。此外，焦作地区还有一些独特的民间艺术形式，如怀梆戏、剪纸、泥塑等，这些艺术形式不仅展示了焦作人的艺术才华，也传承了焦作地区的文化基因。</w:t>
      </w:r>
    </w:p>
    <w:p w14:paraId="1DE1662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近年来焦作中部城市联合体的文化旅游活动日益丰富多样，吸引了大量游客前来体验当地的社会文化氛围。例如，焦作国际太极拳交流大会、焦作市文化艺术节等活动，不仅展示了焦作地区的文化特色，也促进了文化交流与传承。</w:t>
      </w:r>
    </w:p>
    <w:p w14:paraId="3ABB543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基础设施：焦作中部城市联合体城区与县城区域的基础设施完善，为游客提供了便捷的旅游和生活条件。</w:t>
      </w:r>
    </w:p>
    <w:p w14:paraId="4D0753E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交通方面，焦作市拥有完善的交通网络。铁路方面，焦作火车站连接着多条铁路干线，方便游客前往全国各地。公路方面，焦作市内的公路交通四通八达，高速公路、国道、省道等相互交织，为游客提供了便捷的出行条件。此外，焦作市还开通了多条公交线路和出租车服务，方便游客在市区内出行。2024焦作市公路总里程约8286公里</w:t>
      </w:r>
      <w:r>
        <w:rPr>
          <w:rFonts w:hint="eastAsia" w:ascii="Times New Roman" w:hAnsi="Times New Roman" w:cs="Times New Roman"/>
          <w:bCs/>
          <w:color w:val="auto"/>
          <w:kern w:val="2"/>
          <w:sz w:val="24"/>
          <w:szCs w:val="24"/>
          <w:lang w:val="en-US" w:eastAsia="zh-CN" w:bidi="ar-SA"/>
        </w:rPr>
        <w:t>，其中高速公路里程约240公里。</w:t>
      </w:r>
    </w:p>
    <w:p w14:paraId="7786DA7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住宿方面，焦作中部城市联合体城区与县城区域拥有各种类型的住宿设施。从高端酒店到经济型旅馆，从民宿到青年旅社，游客可以根据自己的需求和预算选择合适的住宿地点。焦作市区内共有星级酒店20余家，经济型旅馆和民宿数量更是数不胜数。</w:t>
      </w:r>
    </w:p>
    <w:p w14:paraId="54E1A02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餐饮方面，焦作中部城市联合体以丰富的美食文化著称。无论是当地的特色小吃还是国际美食，游客在这里都能找到满足自己口味的美食。焦作市区内拥有各种类型的餐馆和美食街，为游客提供了多样化的餐饮选择。焦作市区内共有餐饮企业超过3000家，其中不乏一些具有地方特色的老字号和知名品牌。</w:t>
      </w:r>
    </w:p>
    <w:p w14:paraId="221002B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通讯方面，焦作中部城市联合体的通讯网络覆盖广泛，信号稳定。无论是手机通讯还是互联网服务，游客在这里都能享受到便捷的通讯体验。完善的基础设施为焦作中部城市联合体的旅游活动提供了有力的保障。游客在这里可以方便地出行、住宿、餐饮和通讯，从而更加专注于享受旅游的乐趣。</w:t>
      </w:r>
    </w:p>
    <w:p w14:paraId="537972D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旅游服务设施：焦作中部城市联合体城区与县城区域的旅游服务设施完善，为游客提供了专业的导游服务和全面的安全保障。</w:t>
      </w:r>
    </w:p>
    <w:p w14:paraId="2AEFAFD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导游服务方面，焦作市拥有众多专业的导游人员。他们熟悉焦作的历史文化、自然风光和旅游资源，能够为游客提供详细的讲解和优质的服务。焦作市共有注册导游人员500余名，其中不乏一些具有丰富经验和良好口碑的优秀导游。</w:t>
      </w:r>
    </w:p>
    <w:p w14:paraId="759F8C0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旅游信息咨询方面，焦作市设立了多个旅游信息咨询中心和服务点。这些中心和服务点分布在焦作市区的各个主要景点和交通枢纽，为游客提供旅游信息、线路规划、景点介绍等服务。此外，焦作市还开通了旅游服务热线，方便游客随时咨询旅游相关问题。</w:t>
      </w:r>
    </w:p>
    <w:p w14:paraId="0DF1F86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安全保障方面，焦作市高度重视旅游安全工作。焦作市</w:t>
      </w:r>
      <w:r>
        <w:rPr>
          <w:rFonts w:hint="eastAsia" w:ascii="Times New Roman" w:hAnsi="Times New Roman" w:cs="Times New Roman"/>
          <w:bCs/>
          <w:color w:val="auto"/>
          <w:kern w:val="2"/>
          <w:sz w:val="24"/>
          <w:szCs w:val="24"/>
          <w:lang w:val="en-US" w:eastAsia="zh-CN" w:bidi="ar-SA"/>
        </w:rPr>
        <w:t>文化广电和</w:t>
      </w:r>
      <w:r>
        <w:rPr>
          <w:rFonts w:hint="default" w:ascii="Times New Roman" w:hAnsi="Times New Roman" w:cs="Times New Roman"/>
          <w:bCs/>
          <w:color w:val="auto"/>
          <w:kern w:val="2"/>
          <w:sz w:val="24"/>
          <w:szCs w:val="24"/>
          <w:lang w:val="en-US" w:eastAsia="zh-CN" w:bidi="ar-SA"/>
        </w:rPr>
        <w:t>旅游局联合相关部门对旅游市场进行定期检查和监管，确保旅游市场的安全稳定。同时，焦作市还加强了旅游景区的安全管理，设置了安全警示标识、配备了安全设施和设备，为游客提供了安全的旅游环境。近年来焦作市未发生过重大的旅游安全事故，旅游安全保障工作得到了游客的广泛认可。</w:t>
      </w:r>
    </w:p>
    <w:p w14:paraId="5890325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除了上述旅游服务设施外，焦作中部城市联合体还注重提升旅游服务的质量和水平。例如，焦作市</w:t>
      </w:r>
      <w:r>
        <w:rPr>
          <w:rFonts w:hint="eastAsia" w:ascii="Times New Roman" w:hAnsi="Times New Roman" w:cs="Times New Roman"/>
          <w:bCs/>
          <w:color w:val="auto"/>
          <w:kern w:val="2"/>
          <w:sz w:val="24"/>
          <w:szCs w:val="24"/>
          <w:lang w:val="en-US" w:eastAsia="zh-CN" w:bidi="ar-SA"/>
        </w:rPr>
        <w:t>文化广电和</w:t>
      </w:r>
      <w:r>
        <w:rPr>
          <w:rFonts w:hint="default" w:ascii="Times New Roman" w:hAnsi="Times New Roman" w:cs="Times New Roman"/>
          <w:bCs/>
          <w:color w:val="auto"/>
          <w:kern w:val="2"/>
          <w:sz w:val="24"/>
          <w:szCs w:val="24"/>
          <w:lang w:val="en-US" w:eastAsia="zh-CN" w:bidi="ar-SA"/>
        </w:rPr>
        <w:t>旅游局定期组织导游人员进行培训和学习，提高他们的专业素养和服务水平；焦作市还加强了旅游市场的诚信建设，打击各种违法违规行为，维护游客的合法权益。</w:t>
      </w:r>
    </w:p>
    <w:p w14:paraId="0FA6FB2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auto"/>
          <w:lang w:val="en-US" w:eastAsia="zh-CN"/>
        </w:rPr>
      </w:pPr>
      <w:r>
        <w:rPr>
          <w:rFonts w:hint="default" w:ascii="Times New Roman" w:hAnsi="Times New Roman" w:cs="Times New Roman"/>
          <w:bCs/>
          <w:color w:val="auto"/>
          <w:kern w:val="2"/>
          <w:sz w:val="24"/>
          <w:szCs w:val="24"/>
          <w:lang w:val="en-US" w:eastAsia="zh-CN" w:bidi="ar-SA"/>
        </w:rPr>
        <w:t>专业的导游服务和全面的安全保障为焦作中部城市联合体的旅游活动提供了有力的保障。游客在这里可以放心地参与各种旅游活动，享受专业的服务和安全的保障。近年来焦作中部城市联合体的游客满意度持续提高，其中旅游服务设施是一个重要的影响因素。</w:t>
      </w:r>
    </w:p>
    <w:p w14:paraId="555B5A89">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（三）旅游资源开发潜力评价</w:t>
      </w:r>
    </w:p>
    <w:p w14:paraId="4BFE49E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1、可持续性</w:t>
      </w:r>
    </w:p>
    <w:p w14:paraId="5C317C8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生态可持续性：焦作中部城市联合体在旅游资源开发过程中，高度重视生态可持续性。该区域拥有得天独厚的自然环境，如城区内的公园绿地、湖泊河流，以及县城区域的自然风光等，这些都是旅游开发的重要资源。然而，旅游开发往往伴随着对生态环境的潜在威胁。</w:t>
      </w:r>
    </w:p>
    <w:p w14:paraId="3493B62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为了确保旅游开发与生态保护的和谐共生，焦作市采取了一系列有效措施。例如，在城区内的公园绿地建设中，注重保留原有植被和生态景观，避免过度开发和人工化。同时，加强对湖泊河流等水体的保护和管理，确保水质清洁和生态平衡。在县城区域，也积极推广生态旅游和绿色旅游，鼓励游客参与环保活动，减少对自然环境的破坏。</w:t>
      </w:r>
    </w:p>
    <w:p w14:paraId="007FB86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近年来焦作中部城市联合体的生态环境质量持续保持优良水平。这得益于焦作市在旅游开发过程中坚持绿色开发和生态保护并重的原则，确保了旅游资源的可持续利用。</w:t>
      </w:r>
    </w:p>
    <w:p w14:paraId="6EBE519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社会文化可持续性：焦作中部城市联合体拥有深厚的历史文化底蕴和独特的地方特色，这是旅游开发的重要优势。然而，旅游开发也可能对社会文化产生负面影响，如文化同质化、商业化过度等。</w:t>
      </w:r>
    </w:p>
    <w:p w14:paraId="2F231F4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为了确保旅游开发的社会文化可持续性，焦作市在旅游规划中注重传承与创新并举。一方面，加强对历史文化遗产的保护和传承，如修缮古建筑、保护非物质文化遗产等。另一方面，鼓励创新旅游产品和文化体验，如开发特色民俗旅游、文化创意产品等，让游客在体验传统文化的同时，也能感受到现代文化的魅力。</w:t>
      </w:r>
    </w:p>
    <w:p w14:paraId="0917864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近年来焦作中部城市联合体的文化旅游活动日益丰富多样，吸引了大量游客前来体验当地的社会文化氛围。这得益于焦作市在旅游开发过程中注重社会文化可持续性的原则，确保了旅游资源的文化传承与创新发展。</w:t>
      </w:r>
    </w:p>
    <w:p w14:paraId="5906213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经济可持续性：焦作中部城市联合体的旅游资源开发具有巨大的经济潜力。然而，旅游开发也伴随着一定的经济风险，如市场波动、投资回报不确定性等。</w:t>
      </w:r>
    </w:p>
    <w:p w14:paraId="50724ED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为了确保旅游开发的经济可持续性，焦作市在旅游规划中注重长期效益与风险管理并重。一方面，加强对旅游市场的调研和分析，制定合理的旅游开发策略和投资计划。另一方面，建立健全的风险管理机制，如旅游保险、应急预案等，确保旅游开发过程中的经济安全。</w:t>
      </w:r>
    </w:p>
    <w:p w14:paraId="7534DD1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预计</w:t>
      </w:r>
      <w:r>
        <w:rPr>
          <w:rFonts w:hint="default" w:ascii="Times New Roman" w:hAnsi="Times New Roman" w:cs="Times New Roman"/>
          <w:bCs/>
          <w:color w:val="auto"/>
          <w:kern w:val="2"/>
          <w:sz w:val="24"/>
          <w:szCs w:val="24"/>
          <w:lang w:val="en-US" w:eastAsia="zh-CN" w:bidi="ar-SA"/>
        </w:rPr>
        <w:t>未来几年焦作中部城市联合体的旅游收入将持续增长，为当地经济发展注入新的活力。这得益于焦作市在旅游开发过程中注重经济可持续性的原则，确保了旅游资源的长期经济效益和风险管理。</w:t>
      </w:r>
    </w:p>
    <w:p w14:paraId="06FA5B5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2、创新性</w:t>
      </w:r>
    </w:p>
    <w:p w14:paraId="376F86B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产品创新：焦作中部城市联合体在旅游资源开发过程中，注重产品创新，努力打造特色旅游品牌。近年来，焦作市推出了一系列新景点、新活动和新体验，如焦作</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国际首创高塔实景演出、周窑十八坊民宿、山的礼物</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猫岔乡野度假民宿等，这些创新产品不仅丰富了旅游市场，也提升了焦作的旅游品牌形象。</w:t>
      </w:r>
    </w:p>
    <w:p w14:paraId="34A0188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这些创新产品受到了游客的广泛欢迎和好评，为焦作中部城市联合体的旅游开发注入了新的活力。未来，焦作市将继续加大产品创新力度，推出更多具有地方特色和市场竞争力的旅游产品。</w:t>
      </w:r>
    </w:p>
    <w:p w14:paraId="660BAF5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管理创新：焦作中部城市联合体在旅游资源开发过程中，还注重管理创新，努力提升旅游服务质量。近年来，焦作市引入了智能化管理系统，如旅游大数据中心、智慧旅游平台等，实现了对旅游市场的实时监测和精准管理。同时，焦作市还推广个性化服务，如定制旅游线路、提供专属导游服务等，满足了游客的多样化需求。</w:t>
      </w:r>
    </w:p>
    <w:p w14:paraId="55C4329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这些管理创新措施有效提升了焦作中部城市联合体的旅游服务质量，提高了游客的满意度和忠诚度。未来，焦作市将继续深化管理创新，推动旅游服务的智能化和个性化发展。</w:t>
      </w:r>
    </w:p>
    <w:p w14:paraId="44515EF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营销创新：焦作中部城市联合体在旅游资源开发过程中，还注重营销创新，努力拓展旅游市场影响力。近年来，焦作市加强了品牌塑造和网络营销力度，如打造</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太极故里</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山水焦作</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旅游品牌、开展线上旅游推广活动等。这些营销创新策略有效提升了焦作的知名度和美誉度，吸引了更多游客前来观光游览。</w:t>
      </w:r>
    </w:p>
    <w:p w14:paraId="279DC58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bCs/>
          <w:color w:val="auto"/>
          <w:sz w:val="30"/>
          <w:szCs w:val="30"/>
        </w:rPr>
      </w:pPr>
      <w:r>
        <w:rPr>
          <w:rFonts w:hint="default" w:ascii="Times New Roman" w:hAnsi="Times New Roman" w:cs="Times New Roman"/>
          <w:bCs/>
          <w:color w:val="auto"/>
          <w:kern w:val="2"/>
          <w:sz w:val="24"/>
          <w:szCs w:val="24"/>
          <w:lang w:val="en-US" w:eastAsia="zh-CN" w:bidi="ar-SA"/>
        </w:rPr>
        <w:t>近年来焦作中部城市联合体的游客接待量和旅游收入持续增长，这得益于焦作市在旅游开发过程中注重营销创新的原则。未来，焦作市将继续加大营销创新力度，拓展旅游市场的影响力，推动旅游产业的持续发展。</w:t>
      </w:r>
    </w:p>
    <w:p w14:paraId="1129DEA9">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宋体" w:hAnsi="宋体" w:eastAsia="宋体" w:cs="宋体"/>
          <w:b/>
          <w:bCs/>
          <w:color w:val="auto"/>
          <w:sz w:val="30"/>
          <w:szCs w:val="30"/>
          <w:lang w:val="en-US" w:eastAsia="zh-CN"/>
        </w:rPr>
      </w:pPr>
      <w:bookmarkStart w:id="119" w:name="_Toc14312"/>
      <w:r>
        <w:rPr>
          <w:rFonts w:hint="eastAsia" w:ascii="宋体" w:hAnsi="宋体" w:cs="宋体"/>
          <w:b/>
          <w:bCs/>
          <w:color w:val="auto"/>
          <w:sz w:val="30"/>
          <w:szCs w:val="30"/>
          <w:lang w:val="en-US" w:eastAsia="zh-CN"/>
        </w:rPr>
        <w:t xml:space="preserve">第四节 </w:t>
      </w:r>
      <w:r>
        <w:rPr>
          <w:rFonts w:hint="eastAsia" w:ascii="宋体" w:hAnsi="宋体" w:eastAsia="宋体" w:cs="宋体"/>
          <w:b/>
          <w:bCs/>
          <w:color w:val="auto"/>
          <w:sz w:val="30"/>
          <w:szCs w:val="30"/>
          <w:lang w:val="en-US" w:eastAsia="zh-CN"/>
        </w:rPr>
        <w:t>游资源开发条件及评价</w:t>
      </w:r>
      <w:bookmarkEnd w:id="119"/>
    </w:p>
    <w:p w14:paraId="327E7FD8">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val="en-US" w:eastAsia="zh-CN"/>
        </w:rPr>
      </w:pPr>
      <w:bookmarkStart w:id="120" w:name="_Toc28349"/>
      <w:r>
        <w:rPr>
          <w:rFonts w:hint="eastAsia" w:ascii="宋体" w:hAnsi="宋体" w:eastAsia="宋体" w:cs="宋体"/>
          <w:b/>
          <w:bCs/>
          <w:color w:val="auto"/>
          <w:sz w:val="28"/>
          <w:szCs w:val="28"/>
          <w:lang w:eastAsia="zh-CN"/>
        </w:rPr>
        <w:t>一、焦作北部沿南太行旅游带</w:t>
      </w:r>
      <w:bookmarkEnd w:id="120"/>
    </w:p>
    <w:p w14:paraId="33DE5BD0">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（一）区位条件</w:t>
      </w:r>
    </w:p>
    <w:p w14:paraId="6BFCCA8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地理位置</w:t>
      </w:r>
    </w:p>
    <w:p w14:paraId="24C6E71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焦作北部沿南太行旅游带在地理空间上占据显著优势，其地理位置紧邻多个主要客源市场，为旅游开发提供了广阔的市场空间。</w:t>
      </w:r>
    </w:p>
    <w:p w14:paraId="1C366D7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区域位置来看，焦作北部沿南太行旅游带位于河南省西北部，北依太行山，与山西省接壤，南临黄河，地处中原经济区的核心地带。这一区域不仅连接着中原城市群，还辐射着华北、华东等多个地区，地理位置优越，客源市场广阔。</w:t>
      </w:r>
    </w:p>
    <w:p w14:paraId="2AFBF4E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具体而言，焦作北部沿南太行旅游带距离郑州市仅百余公里，而郑州市作为河南省的省会城市，拥有庞大的人口基数和强大的消费能力，是焦作旅游的重要客源市场。此外，焦作还紧邻洛阳市、新乡市等城市，这些城市同样拥有较高的旅游消费潜力和市场需求。</w:t>
      </w:r>
    </w:p>
    <w:p w14:paraId="118C75B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近年来，来自郑州、洛阳、新乡等周边城市的游客数量持续增长，成为焦作北部沿南太行旅游带的主要客源。同时，随着中原经济区的快速发展和区域一体化进程的加速推进，焦作北部沿南太行旅游带的客源市场还将进一步扩大。</w:t>
      </w:r>
    </w:p>
    <w:p w14:paraId="2D1382D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除了紧邻主要客源市场外，焦作北部沿南太行旅游带还坐拥丰富的自然和人文旅游资源。南太行山巍峨壮观，峡谷深邃，河流潺潺，为旅游开发提供了得天独厚的自然景观。同时，焦作地区还拥有深厚的历史文化底蕴，如古村落、古建筑、非物质文化遗产等，为旅游开发增添了丰富的人文内涵。</w:t>
      </w:r>
    </w:p>
    <w:p w14:paraId="034CEBC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交通通达性</w:t>
      </w:r>
    </w:p>
    <w:p w14:paraId="3F216CF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焦作北部沿南太行旅游带的交通通达性优越，公路、铁路、航空等多种交通方式相互衔接，构成了便捷高效的交通网络，为旅游开发提供了有力的支撑。</w:t>
      </w:r>
    </w:p>
    <w:p w14:paraId="5362275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公路方面，焦作北部沿南太行旅游带拥有完善的公路交通体系。</w:t>
      </w:r>
      <w:r>
        <w:rPr>
          <w:rFonts w:hint="eastAsia" w:ascii="Times New Roman" w:hAnsi="Times New Roman" w:cs="Times New Roman"/>
          <w:bCs/>
          <w:color w:val="auto"/>
          <w:kern w:val="2"/>
          <w:sz w:val="24"/>
          <w:szCs w:val="24"/>
          <w:lang w:val="en-US" w:eastAsia="zh-CN" w:bidi="ar-SA"/>
        </w:rPr>
        <w:t>晋新高速、郑云高速、沿太行高速（在建）等多条高速公路在此交汇，形成了四通八达的公路网络。</w:t>
      </w:r>
      <w:r>
        <w:rPr>
          <w:rFonts w:hint="default" w:ascii="Times New Roman" w:hAnsi="Times New Roman" w:cs="Times New Roman"/>
          <w:bCs/>
          <w:color w:val="auto"/>
          <w:kern w:val="2"/>
          <w:sz w:val="24"/>
          <w:szCs w:val="24"/>
          <w:lang w:val="en-US" w:eastAsia="zh-CN" w:bidi="ar-SA"/>
        </w:rPr>
        <w:t>这些高速公路不仅连接着焦作与周边城市，还直通京港澳高速、连霍高速等国家干线高速公路，为游客提供了便捷的公路出行条件。</w:t>
      </w:r>
      <w:r>
        <w:rPr>
          <w:rFonts w:hint="eastAsia" w:ascii="Times New Roman" w:hAnsi="Times New Roman" w:cs="Times New Roman"/>
          <w:bCs/>
          <w:color w:val="auto"/>
          <w:kern w:val="2"/>
          <w:sz w:val="24"/>
          <w:szCs w:val="24"/>
          <w:lang w:val="en-US" w:eastAsia="zh-CN" w:bidi="ar-SA"/>
        </w:rPr>
        <w:t>焦作市公路总里程约8286公里，其中高速公路里程约240公里，</w:t>
      </w:r>
      <w:r>
        <w:rPr>
          <w:rFonts w:hint="default" w:ascii="Times New Roman" w:hAnsi="Times New Roman" w:cs="Times New Roman"/>
          <w:bCs/>
          <w:color w:val="auto"/>
          <w:kern w:val="2"/>
          <w:sz w:val="24"/>
          <w:szCs w:val="24"/>
          <w:lang w:val="en-US" w:eastAsia="zh-CN" w:bidi="ar-SA"/>
        </w:rPr>
        <w:t>为焦作北部沿南太行旅游带的旅游开发提供了坚实的公路交通保障。</w:t>
      </w:r>
    </w:p>
    <w:p w14:paraId="3F880C6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铁路方面，焦作北部沿南太行旅游带同样拥有便捷的铁路交通条件。焦作火车站连接着多条铁路干线，如焦枝铁路、焦太铁路等，方便游客前往全国各地。此外，焦作市还开通了郑焦城际铁路，进一步缩短了焦作与郑州之间的时空距离，为游客提供了更加便捷的铁路出行选择。焦作火车站年发送旅客量超过百万人次，为焦作北部沿南太行旅游带的旅游开发提供了稳定的铁路客源。</w:t>
      </w:r>
    </w:p>
    <w:p w14:paraId="49250C2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航空方面，虽然焦作市目前没有自己的机场，但距离焦作较近的郑州新郑国际机场为焦作北部沿南太行旅游带的旅游开发提供了重要的航空支持。郑州新郑国际机场作为国内重要的航空枢纽之一，拥有众多国内外航线，为游客提供了便捷的航空出行条件。游客可以通过郑州新郑国际机场快速抵达焦作北部沿南太行旅游带，享受美丽的自然风光和深厚的人文底蕴。</w:t>
      </w:r>
    </w:p>
    <w:p w14:paraId="46540DC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cs="宋体"/>
          <w:b/>
          <w:bCs/>
          <w:color w:val="auto"/>
          <w:sz w:val="24"/>
          <w:szCs w:val="24"/>
          <w:lang w:val="en-US" w:eastAsia="zh-CN"/>
        </w:rPr>
      </w:pPr>
      <w:r>
        <w:rPr>
          <w:rFonts w:hint="default" w:ascii="Times New Roman" w:hAnsi="Times New Roman" w:cs="Times New Roman"/>
          <w:bCs/>
          <w:color w:val="auto"/>
          <w:kern w:val="2"/>
          <w:sz w:val="24"/>
          <w:szCs w:val="24"/>
          <w:lang w:val="en-US" w:eastAsia="zh-CN" w:bidi="ar-SA"/>
        </w:rPr>
        <w:t>除了公路、铁路、航空等交通方式外，焦作北部沿南太行旅游带还注重提升旅游交通的便捷性和舒适性。近年来，焦作市加大了对旅游交通的投入力度，如开通旅游专线公交、增设旅游停车场等，为游客提供了更加便捷、舒适的旅游交通服务。</w:t>
      </w:r>
    </w:p>
    <w:p w14:paraId="21D5D13B">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（二）客源市场</w:t>
      </w:r>
    </w:p>
    <w:p w14:paraId="2D219E0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市场规模</w:t>
      </w:r>
    </w:p>
    <w:p w14:paraId="53D400B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北部沿南太行旅游带的客源市场规模潜力巨大，且呈现出持续增长的态势。这一区域紧邻中原城市群，辐射范围广泛，包括河南省内以及周边省份的广大地区。随着国内旅游市场的不断繁荣和居民收入水平的提高，越来越多的人选择出游放松身心，焦作北部沿南太行旅游带凭借其得天独厚的自然和人文资源，</w:t>
      </w:r>
      <w:r>
        <w:rPr>
          <w:rFonts w:hint="eastAsia" w:ascii="Times New Roman" w:hAnsi="Times New Roman" w:cs="Times New Roman"/>
          <w:bCs/>
          <w:color w:val="auto"/>
          <w:kern w:val="2"/>
          <w:sz w:val="24"/>
          <w:szCs w:val="24"/>
          <w:lang w:val="en-US" w:eastAsia="zh-CN" w:bidi="ar-SA"/>
        </w:rPr>
        <w:t>成为</w:t>
      </w:r>
      <w:r>
        <w:rPr>
          <w:rFonts w:hint="default" w:ascii="Times New Roman" w:hAnsi="Times New Roman" w:cs="Times New Roman"/>
          <w:bCs/>
          <w:color w:val="auto"/>
          <w:kern w:val="2"/>
          <w:sz w:val="24"/>
          <w:szCs w:val="24"/>
          <w:lang w:val="en-US" w:eastAsia="zh-CN" w:bidi="ar-SA"/>
        </w:rPr>
        <w:t>众多游客的首选目的地之一。</w:t>
      </w:r>
    </w:p>
    <w:p w14:paraId="7C8A29A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国内游客市场来看，焦作北部沿南太行旅游带的吸引力不断增强。近年来，焦作市接待的国内游客数量持续增长，其中北部沿南太行旅游带占据了重要比重。特别是在节假日和旅游旺季，游客数量更是激增。以2024年国庆黄金周为例，焦作北部沿南太行旅游带共接待国内游客超过百万人次，旅游收入实现了显著增长。</w:t>
      </w:r>
    </w:p>
    <w:p w14:paraId="583A423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同时，国际游客市场也呈现出积极的发展态势。虽然焦作北部沿南太行旅游带的国际知名度相对较低，但随着中国旅游市场的不断开放和国际化进程的加速推进，越来越多的国际游客开始关注并前往这一区域旅游。近年来，焦作市接待的国际游客数量逐年增长，其中不乏来自欧美、日韩等国家和地区的游客。</w:t>
      </w:r>
    </w:p>
    <w:p w14:paraId="22852A5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市场结构</w:t>
      </w:r>
    </w:p>
    <w:p w14:paraId="7ADFD49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北部沿南太行旅游带的客源市场结构多元并存，特色鲜明。从游客的年龄分布来看，这一区域的游客群体覆盖了各个年龄段，但以中青年游客为主。年龄在25岁至45岁之间的游客占据了焦作北部沿南太行旅游带游客总数的近一半。这部分游客通常具有较强的消费能力和旅游需求，是旅游市场的主力军。</w:t>
      </w:r>
    </w:p>
    <w:p w14:paraId="522F95E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在性别分布上，焦作北部沿南太行旅游带的游客男女比例相对均衡，没有明显的性别偏好。这得益于该区域旅游产品的多样性和包容性，能够满足不同性别游客的需求。</w:t>
      </w:r>
    </w:p>
    <w:p w14:paraId="4DF8C14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职业分布来看，焦作北部沿南太行旅游带的游客职业构成丰富多样。除了传统的企事业单位员工、学生等群体外，还有越来越多的自由职业者、退休人员等选择前往这一区域旅游。这些游客群体通常具有较为宽松的时间和较高的旅游意愿，为旅游市场注入了新的活力。</w:t>
      </w:r>
    </w:p>
    <w:p w14:paraId="4E1A250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消费习惯方面，焦作北部沿南太行旅游带的游客也呈现出多样化的特点。部分游客注重旅游体验的深度和广度，愿意为高品质的旅游产品和服务支付较高的费用；而另一部分游客则更注重性价比，倾向于选择经济实惠的旅游方式。这种多样化的消费习惯为旅游市场提供了广阔的发展空间。</w:t>
      </w:r>
    </w:p>
    <w:p w14:paraId="3601F5A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市场趋势</w:t>
      </w:r>
    </w:p>
    <w:p w14:paraId="2E8FBB5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北部沿南太行旅游带的客源市场呈现出需求增长、偏好变化的趋势。随着国内旅游市场的不断繁荣和居民生活水平的提高，越来越多的人开始追求高品质、个性化的旅游体验。这一趋势在焦作北部沿南太行旅游带得到了充分体现。</w:t>
      </w:r>
    </w:p>
    <w:p w14:paraId="0C81EB5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旅游需求来看，焦作北部沿南太行旅游带的游客对旅游产品的需求日益多样化。除了传统的观光旅游外，越来越多的游客开始关注休闲度假、文化体验、户外运动等新型旅游方式。近年来，焦作北部沿南太行旅游带的休闲度假游、文化体验游等新型旅游产品的游客接待量持续增长。</w:t>
      </w:r>
    </w:p>
    <w:p w14:paraId="04FA393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同时，游客的旅游偏好也在发生变化。过去，游客更注重旅游景点的知名度和规模；而现在，越来越多的游客开始关注旅游产品的特色和创新性。他们更愿意选择那些具有独特魅力、能够带来全新体验的旅游产品。这种偏好的变化对焦作北部沿南太行旅游带的旅游产品开发和市场推广提出了新的要求。</w:t>
      </w:r>
    </w:p>
    <w:p w14:paraId="04FF6C2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auto"/>
          <w:lang w:val="en-US" w:eastAsia="zh-CN"/>
        </w:rPr>
      </w:pPr>
      <w:r>
        <w:rPr>
          <w:rFonts w:hint="default" w:ascii="Times New Roman" w:hAnsi="Times New Roman" w:cs="Times New Roman"/>
          <w:bCs/>
          <w:color w:val="auto"/>
          <w:kern w:val="2"/>
          <w:sz w:val="24"/>
          <w:szCs w:val="24"/>
          <w:lang w:val="en-US" w:eastAsia="zh-CN" w:bidi="ar-SA"/>
        </w:rPr>
        <w:t>此外，随着数字化时代的到来，游客的旅游方式也在发生深刻变革。越来越多的游客开始通过线上平台预订旅游产品、规划旅游行程。近年来，焦作北部沿南太行旅游带的线上旅游预订量持续增长，线上旅游市场呈现出蓬勃发展的态势。</w:t>
      </w:r>
    </w:p>
    <w:p w14:paraId="35499AC2">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（三）投资条件</w:t>
      </w:r>
    </w:p>
    <w:p w14:paraId="0FC3019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投资环境</w:t>
      </w:r>
    </w:p>
    <w:p w14:paraId="3E09E1F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焦作北部沿南太行旅游带的投资环境十分优越，政府出台了一系列扶持政策，为旅游投资提供了有力保障。</w:t>
      </w:r>
    </w:p>
    <w:p w14:paraId="39750AB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政策扶持方面，焦作市政府高度重视旅游业的发展，将旅游业作为推动经济转型升级的重要引擎。近年来，市政府相继出台了一系列鼓励旅游投资的政策措施，如《焦作市关于促进旅游业高质量发展的实施意见》等，明确了旅游投资的重点领域、扶持方式和优惠政策。这些政策为旅游投资者提供了明确的投资方向和有力的政策保障。</w:t>
      </w:r>
    </w:p>
    <w:p w14:paraId="7D871C2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税收优惠方面，焦作市政府对旅游企业给予了诸多税收减免和优惠政策。例如，对符合条件的旅游企业，政府将给予一定期限的企业所得税减免、增值税即征即退等优惠措施。这些税收优惠政策有效降低了旅游企业的运营成本，提高了企业的盈利能力。</w:t>
      </w:r>
    </w:p>
    <w:p w14:paraId="037F2E8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土地供应方面，焦作市政府为旅游项目提供了充足的土地保障。焦作北部沿南太行旅游带拥有丰富的土地资源，且土地价格相对合理。政府通过公开招拍挂等方式，为旅游项目提供了大量的建设用地。同时，政府还积极协调解决土地征收、拆迁等问题，为旅游项目的顺利实施提供了有力支持。</w:t>
      </w:r>
    </w:p>
    <w:p w14:paraId="09A92A5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开发成本</w:t>
      </w:r>
    </w:p>
    <w:p w14:paraId="2B5806F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焦作北部沿南太行旅游带的开发成本相对适中，为旅游投资者提供了良好的投资回报预期。</w:t>
      </w:r>
    </w:p>
    <w:p w14:paraId="44328FC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土地成本方面，焦作北部沿南太行旅游带的土地价格相对合理。与一线城市和热门旅游城市相比，焦作的土地价格具有较大的优势。近年来，焦作北部沿南太行旅游带的土地成交价格平均在每亩50万元至100万元之间，远低于一线城市和热门旅游城市的土地价格。这为旅游投资者降低了土地获取成本，提高了项目的盈利能力。</w:t>
      </w:r>
    </w:p>
    <w:p w14:paraId="014AB97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建设成本方面，焦作北部沿南太行旅游带的建设成本相对可控。由于该区域拥有较为完善的交通、水电等基础设施，旅游项目的建设成本相对较低。同时，政府还积极协调解决项目建设中的各种问题，如施工许可、环保审批等，为旅游项目的顺利实施提供了有力保障。近年来，焦作北部沿南太行旅游带的旅游项目建设成本平均在每平方米2000元至3000元之间，远低于一线城市和热门旅游城市的建设成本。</w:t>
      </w:r>
    </w:p>
    <w:p w14:paraId="68DB3C1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运营成本方面，焦作北部沿南太行旅游带的运营成本相对较低。由于该区域拥有丰富的自然资源和人文景观，旅游项目的运营成本主要集中在人员工资、水电费、维护费等方面。与一线城市和热门旅游城市相比，焦作的人力成本、物价水平等相对较低，这为旅游项目降低了运营成本，提高了项目的盈利能力。</w:t>
      </w:r>
    </w:p>
    <w:p w14:paraId="66B909D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经济效益</w:t>
      </w:r>
    </w:p>
    <w:p w14:paraId="6ACBAED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焦作北部沿南太行旅游带的开发效益十分可观，为旅游投资者带来了良好的投资回报。</w:t>
      </w:r>
    </w:p>
    <w:p w14:paraId="75B0D64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门票收入方面，焦作北部沿南太行旅游带拥有丰富的自然景观和人文景观，如云台山、青天河等著名景区，这些景区每年吸引着大量的国内外游客前来观光游览。近年来，焦作北部沿南太行旅游带的景区门票收入持续增长，年均增长率保持在10%以上。以云台山景区为例，该景区每年接待游客超过500万人次，门票收入超过10亿元。</w:t>
      </w:r>
    </w:p>
    <w:p w14:paraId="4430309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旅游消费方面，焦作北部沿南太行旅游带的旅游消费潜力巨大。除了门票收入外，游客在餐饮、住宿、购物、娱乐等方面的消费也十分可观。近年来，焦作北部沿南太行旅游带的旅游消费总额持续增长，年均增长率保持在15%以上。特别是随着旅游市场的不断拓展和旅游产品的不断创新，游客的旅游消费意愿和消费能力也在不断提高。</w:t>
      </w:r>
    </w:p>
    <w:p w14:paraId="3C5875C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auto"/>
          <w:lang w:val="en-US" w:eastAsia="zh-CN"/>
        </w:rPr>
      </w:pPr>
      <w:r>
        <w:rPr>
          <w:rFonts w:hint="default" w:ascii="Times New Roman" w:hAnsi="Times New Roman" w:cs="Times New Roman"/>
          <w:bCs/>
          <w:color w:val="auto"/>
          <w:kern w:val="2"/>
          <w:sz w:val="24"/>
          <w:szCs w:val="24"/>
          <w:lang w:val="en-US" w:eastAsia="zh-CN" w:bidi="ar-SA"/>
        </w:rPr>
        <w:t>在就业机会方面，焦作北部沿南太行旅游带的开发为当地创造了大量的就业机会。旅游项目的建设和运营需要大量的人力资源，包括导游、服务员、管理人员等。近年来，焦作北部沿南太行旅游带的旅游行业从业人员数量持续增长，年均增长率保持在8%以上。这些就业机会不仅提高了当地居民的收入水平，还促进了当地经济的繁荣和发展。</w:t>
      </w:r>
    </w:p>
    <w:p w14:paraId="0DCCCE2B">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121" w:name="_Toc18351"/>
      <w:r>
        <w:rPr>
          <w:rFonts w:hint="eastAsia" w:ascii="宋体" w:hAnsi="宋体" w:eastAsia="宋体" w:cs="宋体"/>
          <w:b/>
          <w:bCs/>
          <w:color w:val="auto"/>
          <w:sz w:val="28"/>
          <w:szCs w:val="28"/>
          <w:lang w:eastAsia="zh-CN"/>
        </w:rPr>
        <w:t>二、焦作南部沿黄河旅游带评价</w:t>
      </w:r>
      <w:bookmarkEnd w:id="121"/>
    </w:p>
    <w:p w14:paraId="7AB3E5D9">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（一）区位条件</w:t>
      </w:r>
    </w:p>
    <w:p w14:paraId="54B2E6A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地理位置</w:t>
      </w:r>
    </w:p>
    <w:p w14:paraId="1AA6639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焦作南部沿黄河旅游带在地理空间上占据得天独厚的优势，紧邻黄河这一中华民族的母亲河，不仅自然景观独特，而且地理位置优越，辐射着广阔的市场。</w:t>
      </w:r>
    </w:p>
    <w:p w14:paraId="12531A1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区域位置来看，焦作南部沿黄河旅游带位于河南省西北部的黄河沿岸，东接郑州市，西邻洛阳市，南连新乡市，北靠焦作市中心城区。这一区域地处中原经济区的核心地带，是连接华北、华中、华东等地区的重要枢纽，地理位置十分优越。</w:t>
      </w:r>
    </w:p>
    <w:p w14:paraId="6E9D90E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紧邻黄河这一自然景观，为焦作南部沿黄河旅游带提供了丰富的旅游资源。黄河在这里蜿蜒流淌，形成了壮观的黄河峡谷、湿地、滩涂等自然景观，吸引了大量游客前来观赏。同时，黄河文化作为中华民族的重要文化遗产，也为焦作南部沿黄河旅游带增添了深厚的人文底蕴。</w:t>
      </w:r>
    </w:p>
    <w:p w14:paraId="1C602A5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客源市场方面，焦作南部沿黄河旅游带紧邻郑州市这一河南省的省会城市，拥有庞大的人口基数和强大的消费能力。郑州市是焦作旅游的重要客源市场之一，每年有大量游客从郑州出发前往焦作南部沿黄河旅游带观光游览。此外，随着中原经济区的快速发展和区域一体化进程的加速推进，焦作南部沿黄河旅游带的客源市场还将进一步扩大，辐射到周边的新乡市、洛阳市等城市以及更远的地区。</w:t>
      </w:r>
    </w:p>
    <w:p w14:paraId="629E090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除了紧邻主要客源市场外，焦作南部沿黄河旅游带还地处中原城市群的核心地带，与周边城市形成了紧密的经济联系和旅游合作。这种区域合作不仅有助于提升焦作南部沿黄河旅游带的知名度和影响力，还为旅游开发提供了更多的合作机会和资源共享平台。</w:t>
      </w:r>
    </w:p>
    <w:p w14:paraId="42371FC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交通通达性</w:t>
      </w:r>
    </w:p>
    <w:p w14:paraId="1CC5DD8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焦作南部沿黄河旅游带的交通通达性同样优越，公路、铁路、航空等多种交通方式相互衔接，构成了便捷畅通的交通网络，为旅游开发提供了有力的交通保障。</w:t>
      </w:r>
    </w:p>
    <w:p w14:paraId="691B828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公路方面，焦作南部沿黄河旅游带拥有完善的公路交通体系。多条国道、省道在此交汇，如国道234、省道309等</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连接着焦作与周边城市。此外，焦作市还加大了对沿黄河旅游带的公路投资力度，新建和改建了多条旅游公路和景观大道，如沿黄旅游公路等，为游客提供了便捷的公路出行条件。焦作市公路总里程约8286公里</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其中沿黄河旅游带的公路里程也在不断增加，为旅游开发提供了坚实的公路交通基础。</w:t>
      </w:r>
    </w:p>
    <w:p w14:paraId="5B46BEC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铁路方面，焦作南部沿黄河旅游带同样拥有便捷的铁路交通条件。焦作火车站连接着多条铁路干线，如焦枝铁路、焦太铁路等，方便游客前往全国各地。此外，随着郑焦城际铁路的开通运营，焦作与郑州之间的时空距离进一步缩短，为游客提供了更加便捷的铁路出行选择。未来，随着铁路网络的不断完善和升级，焦作南部沿黄河旅游带的铁路交通条件将更加优越。</w:t>
      </w:r>
    </w:p>
    <w:p w14:paraId="1497DE8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航空方面，虽然焦作市目前没有自己的机场，但距离焦作较近的郑州新郑国际机场为焦作南部沿黄河旅游带的旅游开发提供了重要的航空支持。郑州新郑国际机场作为国内重要的航空枢纽之一，拥有众多国内外航线，为游客提供了便捷的航空出行条件。游客可以通过郑州新郑国际机场快速抵达焦作南部沿黄河旅游带，享受美丽的黄河风光和深厚的人文底蕴。</w:t>
      </w:r>
    </w:p>
    <w:p w14:paraId="388C313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除了公路、铁路、航空等交通方式外，焦作南部沿黄河旅游带还注重提升旅游交通的便捷性和舒适性。近年来，焦作市加大了对旅游交通的投入力度，如开通旅游专线公交、增设旅游停车场、建设旅游码头等，为游客提供了更加便捷、舒适的旅游交通服务。特别是旅游码头的建设，使得游客可以乘坐游船沿黄河游览，欣赏黄河两岸的美景，感受黄河文化的魅力。</w:t>
      </w:r>
    </w:p>
    <w:p w14:paraId="18D37DD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auto"/>
          <w:lang w:val="en-US" w:eastAsia="zh-CN"/>
        </w:rPr>
      </w:pPr>
      <w:r>
        <w:rPr>
          <w:rFonts w:hint="default" w:ascii="Times New Roman" w:hAnsi="Times New Roman" w:cs="Times New Roman"/>
          <w:bCs/>
          <w:color w:val="auto"/>
          <w:kern w:val="2"/>
          <w:sz w:val="24"/>
          <w:szCs w:val="24"/>
          <w:lang w:val="en-US" w:eastAsia="zh-CN" w:bidi="ar-SA"/>
        </w:rPr>
        <w:t>结合具体数据来看，焦作南部沿黄河旅游带的交通通达性得到了显著提升。以公路交通为例，沿黄旅游公路的建成通车，不仅提升了沿黄河旅游带的交通便捷性，还带动了沿线旅游景区的开发和建设。沿黄旅游公路开通后，沿线旅游景区的游客接待量显著增加，旅游收入也实现了快速增长。</w:t>
      </w:r>
    </w:p>
    <w:p w14:paraId="70EAE7FD">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（二）客源市场</w:t>
      </w:r>
    </w:p>
    <w:p w14:paraId="4FB9418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市场规模</w:t>
      </w:r>
    </w:p>
    <w:p w14:paraId="1678C26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南部沿黄河旅游带的客源市场规模呈现出潜力释放、持续增长的态势。这一区域地处中原经济区的核心地带，紧邻郑州市这一河南省的省会城市，拥有庞大的人口基数和强大的消费能力。同时，随着国内旅游市场的不断繁荣和居民收入水平的提高，越来越多的人开始选择出游，焦作南部沿黄河旅游带凭借其独特的自然景观和人文魅力，</w:t>
      </w:r>
      <w:r>
        <w:rPr>
          <w:rFonts w:hint="eastAsia" w:ascii="Times New Roman" w:hAnsi="Times New Roman" w:cs="Times New Roman"/>
          <w:bCs/>
          <w:color w:val="auto"/>
          <w:kern w:val="2"/>
          <w:sz w:val="24"/>
          <w:szCs w:val="24"/>
          <w:lang w:val="en-US" w:eastAsia="zh-CN" w:bidi="ar-SA"/>
        </w:rPr>
        <w:t>成为</w:t>
      </w:r>
      <w:r>
        <w:rPr>
          <w:rFonts w:hint="default" w:ascii="Times New Roman" w:hAnsi="Times New Roman" w:cs="Times New Roman"/>
          <w:bCs/>
          <w:color w:val="auto"/>
          <w:kern w:val="2"/>
          <w:sz w:val="24"/>
          <w:szCs w:val="24"/>
          <w:lang w:val="en-US" w:eastAsia="zh-CN" w:bidi="ar-SA"/>
        </w:rPr>
        <w:t>众多游客的心仪之地。</w:t>
      </w:r>
    </w:p>
    <w:p w14:paraId="0783CBC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国内游客市场来看，焦作南部沿黄河旅游带的吸引力不断增强。近年来，焦作市接待的国内游客数量持续增长，其中南部沿黄河旅游带的游客占比逐年提升。特别是在节假日和旅游旺季，这一区域的游客数量更是激增。以2023年国庆黄金周为例，焦作南部沿黄河旅游带共接待国内游客超过80万人次，旅游收入实现了显著增长，同比增长幅度达到了20%以上。</w:t>
      </w:r>
    </w:p>
    <w:p w14:paraId="73E6786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国际游客市场方面，焦作南部沿黄河旅游带也展现出巨大的潜力。虽然目前国际知名度相对较低，但随着中国旅游市场的不断开放和国际化进程的加速推进，越来越多的国际游客开始关注并前往这一区域旅游。近年来，焦作市接待的国际游客数量逐年增长，其中不乏来自日韩、东南亚、欧美等国家和地区的游客。特别是随着</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一带一路</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倡议的深入实施，焦作南部沿黄河旅游带作为中原文化的重要展示窗口，有望吸引更多国际游客前来体验。</w:t>
      </w:r>
    </w:p>
    <w:p w14:paraId="7024CB5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市场结构</w:t>
      </w:r>
    </w:p>
    <w:p w14:paraId="26593DF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南部沿黄河旅游带的客源市场结构呈现出多元融合、特色凸显的特点。从游客的年龄分布来看，这一区域的游客群体覆盖了各个年龄段，但以中青年游客为主。年龄在20岁至50岁之间的游客占据了焦作南部沿黄河旅游带游客总数的近70%。这部分游客通常具有较强的消费能力和旅游需求，对旅游产品的多样性和创新性有较高的要求。</w:t>
      </w:r>
    </w:p>
    <w:p w14:paraId="1528B8D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在性别分布上，焦作南部沿黄河旅游带的游客男女比例相对均衡，但女性游客的占比略高于男性。这可能与女性游客对自然景观和人文文化的兴趣更为浓厚有关。</w:t>
      </w:r>
    </w:p>
    <w:p w14:paraId="55416D0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职业分布来看，焦作南部沿黄河旅游带的游客职业构成丰富多样。除了传统的企事业单位员工、学生等群体外，还有越来越多的自由职业者、创业者以及退休人员选择前往这一区域旅游。这些游客群体通常具有较为宽松的时间和较高的旅游意愿，他们更注重旅游的体验感和文化内涵。</w:t>
      </w:r>
    </w:p>
    <w:p w14:paraId="241D5DC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消费习惯方面，焦作南部沿黄河旅游带的游客也呈现出多样化的特点。部分游客注重旅游的品质和舒适度，愿意为高品质的旅游产品和服务支付较高的费用；而另一部分游客则更注重性价比和实用性，倾向于选择经济实惠的旅游方式。此外，随着数字化时代的到来，越来越多的游客开始通过线上平台预订旅游产品、规划旅游行程，线上旅游消费逐渐成为主流。</w:t>
      </w:r>
    </w:p>
    <w:p w14:paraId="5AC4F9F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市场趋势</w:t>
      </w:r>
    </w:p>
    <w:p w14:paraId="65DE477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南部沿黄河旅游带的客源市场呈现出需求升级、偏好转变的趋势。随着国内旅游市场的不断繁荣和居民生活水平的提高，游客对旅游产品的需求日益多样化、个性化。这一趋势在焦作南部沿黄河旅游带得到了充分体现。</w:t>
      </w:r>
    </w:p>
    <w:p w14:paraId="1847CD7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旅游需求来看，游客对旅游产品的品质和服务的要求越来越高。他们不再满足于传统的观光旅游，而是更注重旅游的体验感和文化内涵。近年来，焦作南部沿黄河旅游带的休闲度假游、文化体验游等新型旅游产品的游客接待量持续增长，而传统观光旅游的占比则逐渐下降。</w:t>
      </w:r>
    </w:p>
    <w:p w14:paraId="1C53E14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同时，游客的旅游偏好也在发生转变。过去，游客更注重旅游景点的知名度和规模；而现在，越来越多的游客开始关注旅游产品的特色和创新性。他们更愿意选择那些具有独特魅力、能够带来全新体验的旅游产品。例如，焦作南部沿黄河旅游带的黄河湿地公园、黄河文化博物馆等特色旅游项目就受到了游客的广泛好评。</w:t>
      </w:r>
    </w:p>
    <w:p w14:paraId="0273EC0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auto"/>
          <w:lang w:val="en-US" w:eastAsia="zh-CN"/>
        </w:rPr>
      </w:pPr>
      <w:r>
        <w:rPr>
          <w:rFonts w:hint="default" w:ascii="Times New Roman" w:hAnsi="Times New Roman" w:cs="Times New Roman"/>
          <w:bCs/>
          <w:color w:val="auto"/>
          <w:kern w:val="2"/>
          <w:sz w:val="24"/>
          <w:szCs w:val="24"/>
          <w:lang w:val="en-US" w:eastAsia="zh-CN" w:bidi="ar-SA"/>
        </w:rPr>
        <w:t>此外，随着数字化时代的到来和游客旅游方式的变革，焦作南部沿黄河旅游带也需要不断创新旅游产品、提升服务质量、加强市场推广。例如，可以通过开发线上旅游平台、提供个性化旅游定制服务等方式，满足游客日益多样化的旅游需求。同时，还可以加强与周边城市的旅游合作，共同打造黄河文化旅游品牌，提升焦作南部沿黄河旅游带的知名度和影响力。</w:t>
      </w:r>
    </w:p>
    <w:p w14:paraId="30D2C0D7">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（三）投资条件</w:t>
      </w:r>
    </w:p>
    <w:p w14:paraId="5D90B14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投资环境</w:t>
      </w:r>
    </w:p>
    <w:p w14:paraId="0B1AAD0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焦作南部沿黄河旅游带的投资环境极为优越，得益于政府全方位的政策扶持和丰厚的税收优惠，以及充足的土地供应。</w:t>
      </w:r>
    </w:p>
    <w:p w14:paraId="69432D8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政策扶持方面，焦作市政府高度重视黄河文化旅游带的发展，将其视为推动区域经济转型升级的重要引擎。近年来，市政府出台了一系列鼓励旅游投资的政策措施，如《焦作市黄河文化旅游带发展规划》等，明确了旅游投资的重点领域、扶持方式和优惠政策。这些政策不仅为旅游投资者提供了明确的投资方向，还通过财政补贴、贷款贴息等方式，降低了投资者的资金压力，提高了项目的可行性。近年来，市政府对黄河文化旅游带的财政投入逐年增加，为旅游项目的顺利实施提供了有力保障。</w:t>
      </w:r>
    </w:p>
    <w:p w14:paraId="49902D7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税收优惠方面，焦作市政府对黄河文化旅游带内的旅游企业给予了诸多税收减免和优惠政策。例如，对符合条件的旅游企业，政府将给予一定期限的企业所得税减免、增值税即征即退等优惠措施。此外，对于新引进的重大旅游项目，政府还将给予一定的税收返还政策。这些税收优惠政策有效降低了旅游企业的运营成本，提高了企业的盈利能力。近年来，黄河文化旅游带内的旅游企业享受的税收减免额逐年增加，为企业的发展提供了有力支持。</w:t>
      </w:r>
    </w:p>
    <w:p w14:paraId="74C9D97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土地供应方面，焦作市政府为黄河文化旅游带提供了充足的土地保障。焦作南部沿黄河区域拥有丰富的土地资源，且土地价格相对合理。政府通过公开招拍挂等方式，为旅游项目提供了大量的建设用地。同时，政府还积极协调解决土地征收、拆迁等问题，为旅游项目的顺利实施扫清了障碍。</w:t>
      </w:r>
    </w:p>
    <w:p w14:paraId="4FA5969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开发成本</w:t>
      </w:r>
    </w:p>
    <w:p w14:paraId="6BA8D80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焦作南部沿黄河旅游带的开发成本相对适中，为旅游投资者提供了良好的投资回报预期。</w:t>
      </w:r>
    </w:p>
    <w:p w14:paraId="0F5883D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在土地成本方面，焦作南部沿黄河旅游带的土地价格相对合理。与一线城市和热门旅游城市相比，焦作的土地价格具有较大的优势。近年来，焦</w:t>
      </w:r>
      <w:r>
        <w:rPr>
          <w:rFonts w:hint="eastAsia" w:ascii="Times New Roman" w:hAnsi="Times New Roman" w:cs="Times New Roman"/>
          <w:bCs/>
          <w:color w:val="auto"/>
          <w:kern w:val="2"/>
          <w:sz w:val="24"/>
          <w:szCs w:val="24"/>
          <w:lang w:val="en-US" w:eastAsia="zh-CN" w:bidi="ar-SA"/>
        </w:rPr>
        <w:t>作市</w:t>
      </w:r>
      <w:r>
        <w:rPr>
          <w:rFonts w:hint="default" w:ascii="Times New Roman" w:hAnsi="Times New Roman" w:cs="Times New Roman"/>
          <w:bCs/>
          <w:color w:val="auto"/>
          <w:kern w:val="2"/>
          <w:sz w:val="24"/>
          <w:szCs w:val="24"/>
          <w:lang w:val="en-US" w:eastAsia="zh-CN" w:bidi="ar-SA"/>
        </w:rPr>
        <w:t>南部沿黄河旅游带的土地成交价格平均在每亩30万元至80万元之间，远低于一线城市和热门旅游城市的土地价格。这为旅游投资者降低了土地获取成本，提高了项目的盈利能力。</w:t>
      </w:r>
    </w:p>
    <w:p w14:paraId="6AC072A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建设成本方面，焦作南部沿黄河旅游带的建设成本相对可控。该区域拥有较为完善的交通、水电等基础设施，为旅游项目的建设提供了便利条件。同时，政府还积极协调解决项目建设中的各种问题，如施工许可、环保审批等，为旅游项目的顺利实施提供了有力保障。近年来，焦作南部沿黄河旅游带的旅游项目建设成本平均在每平方米1500元至2500元之间，远低于一线城市和热门旅游城市的建设成本。</w:t>
      </w:r>
    </w:p>
    <w:p w14:paraId="59BC335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运营成本方面，焦作南部沿黄河旅游带的运营成本具有竞争力。由于该区域拥有丰富的自然资源和人文景观，旅游项目的运营成本主要集中在人员工资、水电费、维护费等方面。与一线城市和热门旅游城市相比，焦作的人力成本、物价水平等相对较低，这为旅游项目降低了运营成本。此外，政府还通过优化营商环境、提高行政效率等方式，为旅游企业提供了更加便捷、高效的服务，进一步降低了企业的运营成本。</w:t>
      </w:r>
    </w:p>
    <w:p w14:paraId="4201D50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经济效益</w:t>
      </w:r>
    </w:p>
    <w:p w14:paraId="2080BF9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焦作南部沿黄河旅游带的开发效益十分可观，为旅游投资者带来了良好的投资回报预期。</w:t>
      </w:r>
    </w:p>
    <w:p w14:paraId="7CA606B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门票收入方面，焦作南部沿黄河旅游带拥有丰富的自然景观和人文景观，如黄河湿地公园、黄河文化博物馆等，这些景区具有巨大的开发潜力。随着旅游市场的不断拓展和旅游产品的不断创新，焦作南部沿黄河旅游带的景区门票收入将实现快速增长。</w:t>
      </w:r>
    </w:p>
    <w:p w14:paraId="7584F56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旅游消费方面，焦作南部沿黄河旅游带的旅游消费增长迅速。除了门票收入外，游客在餐饮、住宿、购物、娱乐等方面的消费也将不断增加。随着旅游市场的繁荣和旅游产品的丰富多样，焦作南部沿黄河旅游带的旅游消费总额将实现快速增长，年均增长率将保持在15%以上。这将为旅游投资者带来丰厚的回报。</w:t>
      </w:r>
    </w:p>
    <w:p w14:paraId="605CCD1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auto"/>
          <w:lang w:eastAsia="zh-CN"/>
        </w:rPr>
      </w:pPr>
      <w:r>
        <w:rPr>
          <w:rFonts w:hint="default" w:ascii="Times New Roman" w:hAnsi="Times New Roman" w:cs="Times New Roman"/>
          <w:bCs/>
          <w:color w:val="auto"/>
          <w:kern w:val="2"/>
          <w:sz w:val="24"/>
          <w:szCs w:val="24"/>
          <w:lang w:val="en-US" w:eastAsia="zh-CN" w:bidi="ar-SA"/>
        </w:rPr>
        <w:t>在就业机会方面，焦作南部沿黄河旅游带的开发将为当地创造大量的就业机会。旅游项目的建设和运营需要大量的人力资源，包括导游、服务员、管理人员等。随着旅游市场的不断拓展和旅游项目的不断增加，焦作南部沿黄河旅游带将创造大量的就业机会，这些就业机会不仅将提高当地居民的收入水平，还将促进当地经济的繁荣和发展。</w:t>
      </w:r>
    </w:p>
    <w:p w14:paraId="69E4368F">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122" w:name="_Toc19894"/>
      <w:r>
        <w:rPr>
          <w:rFonts w:hint="eastAsia" w:ascii="宋体" w:hAnsi="宋体" w:eastAsia="宋体" w:cs="宋体"/>
          <w:b/>
          <w:bCs/>
          <w:color w:val="auto"/>
          <w:sz w:val="28"/>
          <w:szCs w:val="28"/>
          <w:lang w:eastAsia="zh-CN"/>
        </w:rPr>
        <w:t>三、焦作中部城市联合体旅游评价</w:t>
      </w:r>
      <w:bookmarkEnd w:id="122"/>
    </w:p>
    <w:p w14:paraId="53F5E615">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（一）区位条件</w:t>
      </w:r>
    </w:p>
    <w:p w14:paraId="1523BAF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地理位置</w:t>
      </w:r>
    </w:p>
    <w:p w14:paraId="4F3DAB4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焦作中部城市联合体在地理空间上占据核心位置，是连接中原城市群各城市的重要枢纽，其旅游资源的开发具有得天独厚的地理优势。</w:t>
      </w:r>
    </w:p>
    <w:p w14:paraId="25AA717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区域位置来看，焦作中部城市联合体位于河南省西北部，地处中原经济区的核心地带。这一区域东接郑州市，西邻洛阳市，南连新乡市，北靠山西省，是连接华北、华中、华东等地区的重要通道。这样的地理位置使得焦作中部城市联合体能够辐射到周边多个经济发达、人口密集的城市，为旅游开发提供了广阔的市场空间。</w:t>
      </w:r>
    </w:p>
    <w:p w14:paraId="4427098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具体来说，焦作中部城市联合体紧邻郑州市这一河南省的省会城市。郑州市作为中原城市群的中心城市，拥有庞大的人口基数和强大的消费能力，是焦作旅游的重要客源市场。近年来，来自郑州的游客数量持续增长，占焦作市总游客量的比重逐年上升。此外，随着中原经济区的快速发展和区域一体化进程的加速推进，焦作中部城市联合体与周边城市的经济联系日益紧密，旅游合作也不断深化，进一步拓宽了客源市场。</w:t>
      </w:r>
    </w:p>
    <w:p w14:paraId="3544DC6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除了紧邻主要客源市场外，焦作中部城市联合体还地处多条交通干线的交汇处。京广铁路、陇海铁路、焦枝铁路等多条</w:t>
      </w:r>
      <w:r>
        <w:rPr>
          <w:rFonts w:hint="eastAsia" w:ascii="Times New Roman" w:hAnsi="Times New Roman" w:cs="Times New Roman"/>
          <w:bCs/>
          <w:color w:val="auto"/>
          <w:kern w:val="2"/>
          <w:sz w:val="24"/>
          <w:szCs w:val="24"/>
          <w:lang w:val="en-US" w:eastAsia="zh-CN" w:bidi="ar-SA"/>
        </w:rPr>
        <w:t>铁路干线在此交会</w:t>
      </w:r>
      <w:r>
        <w:rPr>
          <w:rFonts w:hint="default" w:ascii="Times New Roman" w:hAnsi="Times New Roman" w:cs="Times New Roman"/>
          <w:bCs/>
          <w:color w:val="auto"/>
          <w:kern w:val="2"/>
          <w:sz w:val="24"/>
          <w:szCs w:val="24"/>
          <w:lang w:val="en-US" w:eastAsia="zh-CN" w:bidi="ar-SA"/>
        </w:rPr>
        <w:t>，形成了四通八达的铁路网络。同时，连霍高速公路、京港澳高速公路等多条高速公路也贯穿焦作中部城市联合体，为游客提供了便捷的公路出行条件。这样的交通区位优势使得焦作中部城市联合体能够吸引更多来自全国各地的游客。</w:t>
      </w:r>
    </w:p>
    <w:p w14:paraId="4ED1832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交通通达性</w:t>
      </w:r>
    </w:p>
    <w:p w14:paraId="1A54873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焦作中部城市联合体的交通通达性同样优越，公路、铁路、航空等多种交通方式相互衔接，构成了便捷高效的交通网络体系，为旅游资源的开发提供了有力的交通保障。</w:t>
      </w:r>
    </w:p>
    <w:p w14:paraId="05BC642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公路方面，焦作中部城市联合体拥有完善的公路交通体系。多条国道、省道在此交汇，如国道207、省道310</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连接着焦作与周边城市。此外，焦作市还加大了对城区和县城区域的公路投资力度，新建和改建了多条城市道路和景观大道，提升了道路通行能力和景观效果。</w:t>
      </w:r>
    </w:p>
    <w:p w14:paraId="2326141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铁路方面，焦作中部城市联合体同样拥有便捷的铁路交通条件。焦作火车站作为区域内的主要铁路枢纽站，连接着多条铁路干线，如焦枝铁路、焦太铁路等，方便游客前往全国各地。此外，随着郑焦城际铁路的开通运营，焦作与郑州之间的时空距离进一步缩短，游客可以更加便捷地往返于两地之间。焦作火车站年发送旅客量持续稳定增长，为焦作中部城市联合体的旅游开发提供了稳定的铁路客源。</w:t>
      </w:r>
    </w:p>
    <w:p w14:paraId="5DBCAE3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航空方面，虽然焦作市目前没有自己的机场，但距离焦作较近的郑州新郑国际机场为焦作中部城市联合体的旅游开发提供了重要的航空支持。郑州新郑国际机场作为国内重要的航空枢纽之一，拥有众多国内外航线，为游客提供了便捷的航空出行条件。游客可以通过郑州新郑国际机场快速抵达焦作中部城市联合体，感受这里的独特魅力和深厚文化底蕴。近年来，通过该机场前往焦作市的游客数量逐年增长，成为焦作旅游的重要客源之一。</w:t>
      </w:r>
    </w:p>
    <w:p w14:paraId="1629E00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除了公路、铁路、航空等交通方式外，焦作中部城市联合体还注重提升城市内部的交通便捷性和舒适性。近年来，焦作市加大了对城市交通的投入力度，如优化公交线路、增设公交站点、建设停车场等，为游客提供了更加便捷、舒适的出行环境。同时，焦作市还积极推广智能交通系统，如电子警察、智能交通信号灯等，提高了城市交通的管理水平和运行效率。</w:t>
      </w:r>
    </w:p>
    <w:p w14:paraId="06D04BC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auto"/>
          <w:lang w:val="en-US" w:eastAsia="zh-CN"/>
        </w:rPr>
      </w:pPr>
      <w:r>
        <w:rPr>
          <w:rFonts w:hint="default" w:ascii="Times New Roman" w:hAnsi="Times New Roman" w:cs="Times New Roman"/>
          <w:bCs/>
          <w:color w:val="auto"/>
          <w:kern w:val="2"/>
          <w:sz w:val="24"/>
          <w:szCs w:val="24"/>
          <w:lang w:val="en-US" w:eastAsia="zh-CN" w:bidi="ar-SA"/>
        </w:rPr>
        <w:t>结合具体数据来看，焦作中部城市联合体的交通通达性得到了显著提升。以公路交通为例，近年来焦作市新增和改建了多条城市道路和景观大道，如人民路、塔南路等，提升了道路通行能力和景观效果。这些道路的建成通车不仅缓解了城市交通压力，还带动了沿线商业和旅游的发展。以铁路交通为例，郑焦城际铁路的开通运营使得焦作与郑州之间的时空距离缩短至半小时以内，极大地方便了游客的出行。郑焦城际铁路开通后，来自郑州的游客数量显著增长，成为焦作旅游的重要客源之一。</w:t>
      </w:r>
    </w:p>
    <w:p w14:paraId="68728812">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（二）客源市场</w:t>
      </w:r>
    </w:p>
    <w:p w14:paraId="7207F0A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市场规模</w:t>
      </w:r>
    </w:p>
    <w:p w14:paraId="7CB91C8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焦作中部城市联合体的旅游客源市场规模呈现出稳步增长、潜力巨大的态势。这一区域地处中原经济区的核心地带，紧邻郑州市这一河南省的省会城市，人口密集、经济发达，为旅游市场提供了坚实的客源基础。</w:t>
      </w:r>
    </w:p>
    <w:p w14:paraId="56D77C5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从国内游客市场来看，焦作中部城市联合体的吸引力不断增强。特别是在节假日和旅游旺季，这一区域的游客数量更是激增。以2024年</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十一</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黄金周为例，焦作中部城市联合体共接待国内游客超过120万人次，旅游收入实现了显著增长，同比增长幅度达到了15%以上。这一数据充分显示了焦作中部城市联合体在国内旅游市场中的强劲竞争力。</w:t>
      </w:r>
    </w:p>
    <w:p w14:paraId="123C8FA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国际游客市场方面，焦作中部城市联合体也展现出巨大的发展潜力。随着中国旅游市场的不断开放和国际化进程的加速推进，越来越多的国际游客开始关注并前往中原地区旅游。焦作中部城市联合体作为中原文化的重要展示窗口，其独特的城市风貌和丰富的文化资源对国际游客具有极大的吸引力。近年来，焦作市接待的国际游客数量逐年增长，其中不乏来自日韩、东南亚、欧美等国家和地区的游客。虽然目前国际游客在焦作中部城市联合体旅游市场中的占比相对较小，但随着旅游市场的不断拓展和国际知名度的提升，这一比例有望在未来实现显著增长。</w:t>
      </w:r>
    </w:p>
    <w:p w14:paraId="72CCECA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市场结构</w:t>
      </w:r>
    </w:p>
    <w:p w14:paraId="14CEDDD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焦作中部城市联合体的旅游客源市场结构多元并存，特征鲜明。从游客的年龄分布来看，这一区域的游客群体覆盖了各个年龄段，但以中青年游客为主。年龄在25岁至45岁之间的游客占据了焦</w:t>
      </w:r>
      <w:r>
        <w:rPr>
          <w:rFonts w:hint="eastAsia" w:ascii="Times New Roman" w:hAnsi="Times New Roman" w:cs="Times New Roman"/>
          <w:bCs/>
          <w:color w:val="auto"/>
          <w:kern w:val="2"/>
          <w:sz w:val="24"/>
          <w:szCs w:val="24"/>
          <w:lang w:val="en-US" w:eastAsia="zh-CN" w:bidi="ar-SA"/>
        </w:rPr>
        <w:t>作市</w:t>
      </w:r>
      <w:r>
        <w:rPr>
          <w:rFonts w:hint="default" w:ascii="Times New Roman" w:hAnsi="Times New Roman" w:cs="Times New Roman"/>
          <w:bCs/>
          <w:color w:val="auto"/>
          <w:kern w:val="2"/>
          <w:sz w:val="24"/>
          <w:szCs w:val="24"/>
          <w:lang w:val="en-US" w:eastAsia="zh-CN" w:bidi="ar-SA"/>
        </w:rPr>
        <w:t>中部城市联合体游客总数的近60%。这部分游客通常具有较强的消费能力和旅游需求，对旅游产品的多样性和创新性有较高的要求，是旅游市场的主力军。</w:t>
      </w:r>
    </w:p>
    <w:p w14:paraId="0C3DE55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在性别分布上，焦作中部城市联合体的游客男女比例相对均衡，但女性游客的占比略高于男性。这可能与女性游客对城市文化、购物、美食等旅游元素的兴趣更为浓厚有关。</w:t>
      </w:r>
    </w:p>
    <w:p w14:paraId="6269A40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职业分布来看，焦作中部城市联合体的游客职业构成丰富多样。除了传统的企事业单位员工、学生等群体外，还有越来越多的自由职业者、创业者以及退休人员选择前往这一区域旅游。这些游客群体通常具有较为宽松的时间和较高的旅游意愿，他们更注重旅游的体验感和文化内涵，对旅游产品的品质和服务有较高的要求。</w:t>
      </w:r>
    </w:p>
    <w:p w14:paraId="735BE91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消费习惯方面，焦作中部城市联合体的游客也呈现出多样化的特点。部分游客注重旅游的品质和舒适度，愿意为高品质的旅游产品和服务支付较高的费用；而另一部分游客则更注重性价比和实用性，倾向于选择经济实惠的旅游方式。此外，随着数字化时代的到来，越来越多的游客开始通过线上平台预订旅游产品、规划旅游行程，线上旅游消费逐渐成为主流。近年来，焦作中部城市联合体的线上旅游预订量持续增长，线上旅游市场呈现出蓬勃发展的态势。</w:t>
      </w:r>
    </w:p>
    <w:p w14:paraId="0554A65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市场趋势</w:t>
      </w:r>
    </w:p>
    <w:p w14:paraId="0B0224A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中部城市联合体的旅游客源市场呈现出需求升级、偏好多元的趋势。随着国内旅游市场的不断繁荣和居民生活水平的提高，游客对旅游产品的需求日益多样化、个性化。这一趋势在焦作中部城市联合体得到了充分体现。</w:t>
      </w:r>
    </w:p>
    <w:p w14:paraId="5368AF5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旅游需求来看，游客对旅游产品的品质和服务的要求越来越高。他们不再满足于传统的观光旅游，而是更注重旅游的体验感和文化内涵。近年来，焦作中部城市联合体的休闲度假游、文化体验游、城市夜游等新型旅游产品的游客接待量持续增长。特别是文化体验游，游客们对当地的历史文化、民俗风情、特色美食等表现出浓厚的兴趣，愿意花费更多的时间和金钱去深入了解和体验。</w:t>
      </w:r>
    </w:p>
    <w:p w14:paraId="5F1EC4D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同时，游客的旅游偏好也在发生多元变化。除了传统的自然景观和人文景点外，越来越多的游客开始关注旅游产品的特色和创新性。他们更愿意选择那些具有独特魅力、能够带来全新体验的旅游产品。例如，焦作中部城市联合体的特色街区、文化场馆、主题公园等就受到了游客的广泛好评。此外，随着健康意识的提高，游客们对旅游产品的健康性也提出了更高的要求，如徒步旅游、骑行旅游、康养旅游等新型旅游方式逐渐受到游客的青睐。</w:t>
      </w:r>
    </w:p>
    <w:p w14:paraId="37A01C66">
      <w:pPr>
        <w:spacing w:line="360" w:lineRule="auto"/>
        <w:ind w:firstLine="482" w:firstLineChars="200"/>
        <w:rPr>
          <w:rFonts w:hint="eastAsia" w:ascii="Times New Roman" w:hAnsi="Times New Roman" w:cs="Times New Roman"/>
          <w:bCs/>
          <w:color w:val="auto"/>
          <w:kern w:val="2"/>
          <w:sz w:val="24"/>
          <w:szCs w:val="24"/>
          <w:lang w:val="en-US" w:eastAsia="zh-CN" w:bidi="ar-SA"/>
        </w:rPr>
      </w:pPr>
      <w:r>
        <w:rPr>
          <w:rFonts w:hint="eastAsia" w:ascii="宋体" w:hAnsi="宋体" w:cs="宋体"/>
          <w:b/>
          <w:bCs/>
          <w:color w:val="auto"/>
          <w:sz w:val="24"/>
          <w:szCs w:val="24"/>
          <w:lang w:val="en-US" w:eastAsia="zh-CN"/>
        </w:rPr>
        <w:t>（三）投资条件</w:t>
      </w:r>
    </w:p>
    <w:p w14:paraId="6C399B9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投资环境</w:t>
      </w:r>
    </w:p>
    <w:p w14:paraId="63083AD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焦作中部城市联合体的旅游投资环境日益优化，政府出台了一系列扶持政策，为旅游投资者提供了有力的政策保障。</w:t>
      </w:r>
    </w:p>
    <w:p w14:paraId="5D97B02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政策扶持方面，焦作市政府高度重视旅游业的发展，特别是中部城市联合体的旅游开发。近年来，市政府相继出台了一系列鼓励旅游投资的政策措施，如《焦作市促进中部城市联合体旅游业发展实施意见》等，明确了旅游投资的重点领域、扶持方式和优惠政策。这些政策不仅涵盖了旅游项目的规划、建设、运营等各个环节，还通过财政补贴、贷款贴息、项目奖励等方式，为旅游投资者提供了实质性的支持。近年来，市政府对中部城市联合体旅游项目的财政投入逐年增加，为旅游业的快速发展提供了有力保障。</w:t>
      </w:r>
    </w:p>
    <w:p w14:paraId="015E004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税收优惠方面，焦作市政府为中部城市联合体的旅游企业提供了多样的税收减免和优惠政策。例如，对符合条件的旅游企业，政府将给予一定期限的企业所得税减免、增值税即征即退等优惠措施。此外，对于新引进的重大旅游项目，政府还将给予一定的税收返还和奖励政策。这些税收优惠政策有效降低了旅游企业的运营成本，提高了企业的盈利能力。近年来，中部城市联合体的旅游企业享受的税收减免额逐年攀升，为企业的持续发展注入了新的活力。</w:t>
      </w:r>
    </w:p>
    <w:p w14:paraId="0C74228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土地供应方面，焦作市政府为中部城市联合体的旅游项目提供了灵活的土地供应政策。政府通过公开招拍挂、协议出让等多种方式，为旅游项目提供了充足的建设用地。同时，政府还积极协调解决土地征收、拆迁等问题，为旅游项目的顺利实施提供了有力保障。</w:t>
      </w:r>
    </w:p>
    <w:p w14:paraId="6739508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开发成本</w:t>
      </w:r>
    </w:p>
    <w:p w14:paraId="113F7E5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焦作中部城市联合体的旅游开发成本相对合理，为旅游投资者提供了良好的投资回报预期。</w:t>
      </w:r>
    </w:p>
    <w:p w14:paraId="4102F6A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土地成本方面，焦作中部城市联合体的土地价格相对适中。与一线城市和热门旅游城市相比，焦作的土地价格具有较大的优势。近年来，中部城市联合体的土地成交价格平均在每亩20万元至60万元之间，远低于一线城市和热门旅游城市的土地价格。这为旅游投资者降低了土地获取成本，提高了项目的可行性。</w:t>
      </w:r>
    </w:p>
    <w:p w14:paraId="6BF485A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建设成本方面，焦作中部城市联合体的建设成本相对可控。该区域拥有较为完善的交通、水电、通信等基础设施，为旅游项目的建设提供了便利条件。同时，政府还积极协调解决项目建设中的各种问题，如施工许可、环保审批等，为旅游项目的顺利实施提供了有力保障。近年来，中部</w:t>
      </w:r>
      <w:r>
        <w:rPr>
          <w:rFonts w:hint="eastAsia" w:ascii="Times New Roman" w:hAnsi="Times New Roman" w:cs="Times New Roman"/>
          <w:bCs/>
          <w:color w:val="auto"/>
          <w:kern w:val="2"/>
          <w:sz w:val="24"/>
          <w:szCs w:val="24"/>
          <w:lang w:val="en-US" w:eastAsia="zh-CN" w:bidi="ar-SA"/>
        </w:rPr>
        <w:t>城市综合体</w:t>
      </w:r>
      <w:r>
        <w:rPr>
          <w:rFonts w:hint="default" w:ascii="Times New Roman" w:hAnsi="Times New Roman" w:cs="Times New Roman"/>
          <w:bCs/>
          <w:color w:val="auto"/>
          <w:kern w:val="2"/>
          <w:sz w:val="24"/>
          <w:szCs w:val="24"/>
          <w:lang w:val="en-US" w:eastAsia="zh-CN" w:bidi="ar-SA"/>
        </w:rPr>
        <w:t>的旅游项目建设成本平均在每平方米1000元至2000元之间，远低于一线城市和热门旅游城市的建设成本。这为旅游投资者提供了更大的利润空间。</w:t>
      </w:r>
    </w:p>
    <w:p w14:paraId="62442B9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运营成本方面，焦作中部城市联合体的运营成本较低。由于该区域拥有丰富的城市资源和人文景观，旅游项目的运营成本主要集中在人员工资、水电费、维护费等方面。与一线城市和热门旅游城市相比，焦作的人力成本、物价水平等相对较低，这为旅游项目降低了运营成本。此外，政府还通过优化营商环境、提高行政效率等方式，为旅游企业提供了更加便捷、高效的服务，进一步降低了企业的运营成本。</w:t>
      </w:r>
    </w:p>
    <w:p w14:paraId="62670DC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经济效益</w:t>
      </w:r>
    </w:p>
    <w:p w14:paraId="4A4F084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焦作中部城市联合体的旅游开发效益十分可观，为旅游投资者带来了稳定的投资回报和广阔的市场前景。</w:t>
      </w:r>
    </w:p>
    <w:p w14:paraId="2AD9FE3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门票收入方面，焦作中部城市联合体拥有丰富的城市景观和人文景点，如特色街区、文化场馆、主题公园等，这些景点对游客具有较强的吸引力。近年来，焦作中部城市联合体的景区门票收入保持稳定增长态势，年均增长率保持在8%以上。随着旅游市场的不断拓展和旅游产品的不断创新，这一增长趋势有望继续保持。</w:t>
      </w:r>
    </w:p>
    <w:p w14:paraId="1C7EBD2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旅游消费方面，焦作中部城市联合体的旅游消费增长强劲。除了门票收入外，游客在餐饮、住宿、购物、娱乐等方面的消费也在不断增加。近年来，焦作中部城市联合体的旅游消费总额实现快速增长，年均增长率保持在12%以上。这一增长趋势得益于焦作中部城市联合体丰富的旅游资源和便捷的交通条件，以及政府不断推出的旅游促销活动和优惠政策。</w:t>
      </w:r>
    </w:p>
    <w:p w14:paraId="5199062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就业机会方面，焦作中部城市联合体的旅游开发为当地创造了大量的就业机会。旅游项目的建设和运营需要大量的人力资源，包括导游、服务员、管理人员等。近年来，中部城市联合体的旅游行业从业人员数量持续增长，年均增长率保持在10%以上。这些就业机会不仅提高了当地居民的收入水平，还促进了当地经济的繁荣和发展。</w:t>
      </w:r>
    </w:p>
    <w:p w14:paraId="3D165720">
      <w:pPr>
        <w:rPr>
          <w:rFonts w:hint="eastAsia"/>
          <w:color w:val="auto"/>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14:paraId="7567D5BE">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rPr>
      </w:pPr>
      <w:bookmarkStart w:id="123" w:name="_Toc11639"/>
      <w:r>
        <w:rPr>
          <w:rFonts w:hint="eastAsia" w:ascii="宋体" w:hAnsi="宋体" w:eastAsia="宋体" w:cs="宋体"/>
          <w:b/>
          <w:bCs/>
          <w:color w:val="auto"/>
          <w:sz w:val="32"/>
          <w:szCs w:val="32"/>
        </w:rPr>
        <w:t>第</w:t>
      </w:r>
      <w:r>
        <w:rPr>
          <w:rFonts w:hint="eastAsia" w:ascii="宋体" w:hAnsi="宋体" w:eastAsia="宋体" w:cs="宋体"/>
          <w:b/>
          <w:bCs/>
          <w:color w:val="auto"/>
          <w:sz w:val="32"/>
          <w:szCs w:val="32"/>
          <w:lang w:eastAsia="zh-CN"/>
        </w:rPr>
        <w:t>六</w:t>
      </w:r>
      <w:r>
        <w:rPr>
          <w:rFonts w:hint="eastAsia" w:ascii="宋体" w:hAnsi="宋体" w:eastAsia="宋体" w:cs="宋体"/>
          <w:b/>
          <w:bCs/>
          <w:color w:val="auto"/>
          <w:sz w:val="32"/>
          <w:szCs w:val="32"/>
        </w:rPr>
        <w:t>章</w:t>
      </w:r>
      <w:r>
        <w:rPr>
          <w:rFonts w:hint="eastAsia" w:ascii="宋体" w:hAnsi="宋体" w:eastAsia="宋体" w:cs="宋体"/>
          <w:b/>
          <w:bCs/>
          <w:color w:val="auto"/>
          <w:sz w:val="32"/>
          <w:szCs w:val="32"/>
          <w:lang w:val="en-US" w:eastAsia="zh-CN"/>
        </w:rPr>
        <w:t xml:space="preserve"> 旅游资源保护与开发建议</w:t>
      </w:r>
      <w:bookmarkEnd w:id="123"/>
    </w:p>
    <w:p w14:paraId="1EE21E19">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宋体" w:hAnsi="宋体" w:cs="宋体"/>
          <w:b/>
          <w:bCs/>
          <w:color w:val="auto"/>
          <w:sz w:val="30"/>
          <w:szCs w:val="30"/>
          <w:lang w:val="en-US" w:eastAsia="zh-CN"/>
        </w:rPr>
      </w:pPr>
      <w:bookmarkStart w:id="124" w:name="_Toc2918"/>
      <w:r>
        <w:rPr>
          <w:rFonts w:hint="eastAsia" w:ascii="宋体" w:hAnsi="宋体" w:cs="宋体"/>
          <w:b/>
          <w:bCs/>
          <w:color w:val="auto"/>
          <w:sz w:val="30"/>
          <w:szCs w:val="30"/>
          <w:lang w:val="en-US" w:eastAsia="zh-CN"/>
        </w:rPr>
        <w:t>第一节 旅游资源的保护与开发现状</w:t>
      </w:r>
      <w:bookmarkEnd w:id="124"/>
    </w:p>
    <w:p w14:paraId="77E69028">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125" w:name="_Toc16885"/>
      <w:r>
        <w:rPr>
          <w:rFonts w:hint="default" w:ascii="宋体" w:hAnsi="宋体" w:eastAsia="宋体" w:cs="宋体"/>
          <w:b/>
          <w:bCs/>
          <w:color w:val="auto"/>
          <w:sz w:val="28"/>
          <w:szCs w:val="28"/>
          <w:lang w:eastAsia="zh-CN"/>
        </w:rPr>
        <w:t>一、资源保护现状</w:t>
      </w:r>
      <w:bookmarkEnd w:id="125"/>
    </w:p>
    <w:p w14:paraId="41B76029">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w:t>
      </w:r>
      <w:r>
        <w:rPr>
          <w:rFonts w:hint="default" w:ascii="宋体" w:hAnsi="宋体" w:cs="宋体"/>
          <w:b/>
          <w:bCs/>
          <w:color w:val="auto"/>
          <w:sz w:val="24"/>
          <w:szCs w:val="24"/>
          <w:lang w:val="en-US" w:eastAsia="zh-CN"/>
        </w:rPr>
        <w:t>法律法规完善</w:t>
      </w:r>
    </w:p>
    <w:p w14:paraId="649EAD9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在法律法规方面，焦作市积极响应国家和地方政府的号召，构建了一套完善的旅游资源保护法律体系。国家层面</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中华人民共和国文物保护法》《风景名胜区条例》等法律法规为旅游资源的保护提供了宏观指导和法律支撑。这些法律法规明确了旅游资源的保护范围、保护原则、保护措施以及法律责任，为焦作市旅游资源的保护工作提供了根本遵循。</w:t>
      </w:r>
    </w:p>
    <w:p w14:paraId="0C2EBE4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此基础上，焦作市结合本地实际，出台了一系列地方性法规和规章，进一步细化了旅游资源保护的具体要求。例如，焦作市制定了《焦作市全域旅游促进条例》，该条例不仅明确了全域旅游的发展目标和发展路径，还着重强调了旅游资源保护的重要性，提出了具体的保护措施和法律责任。这一条例的出台，为焦作市全域旅游资源的保护提供了有力的法律保障。</w:t>
      </w:r>
    </w:p>
    <w:p w14:paraId="26F35CB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此外，焦作市还针对不同类型的旅游资源，如古建筑、历史遗迹、自然景观等，制定了相应的保护管理办法和实施细则。这些管理办法和实施细则对旅游资源的保护范围、保护标准、保护措施以及管理责任等进行了详细规定，确保各类旅游资源都能得到科学、有效</w:t>
      </w:r>
      <w:r>
        <w:rPr>
          <w:rFonts w:hint="eastAsia" w:ascii="Times New Roman" w:hAnsi="Times New Roman" w:cs="Times New Roman"/>
          <w:bCs/>
          <w:color w:val="auto"/>
          <w:kern w:val="2"/>
          <w:sz w:val="24"/>
          <w:szCs w:val="24"/>
          <w:lang w:val="en-US" w:eastAsia="zh-CN" w:bidi="ar-SA"/>
        </w:rPr>
        <w:t>地</w:t>
      </w:r>
      <w:r>
        <w:rPr>
          <w:rFonts w:hint="default" w:ascii="Times New Roman" w:hAnsi="Times New Roman" w:cs="Times New Roman"/>
          <w:bCs/>
          <w:color w:val="auto"/>
          <w:kern w:val="2"/>
          <w:sz w:val="24"/>
          <w:szCs w:val="24"/>
          <w:lang w:val="en-US" w:eastAsia="zh-CN" w:bidi="ar-SA"/>
        </w:rPr>
        <w:t>保护。</w:t>
      </w:r>
    </w:p>
    <w:p w14:paraId="32C8462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值得一提的是，焦作市在法律法规的制定过程中，充分注重了公众参与和专家论证。他们通过召开听证会、座谈会等形式，广泛听取公众和专家的意见和建议，确保法律法规的科学性和可行性。这种民主立法的方式，不仅提高了法律法规的质量，也增强了公众对法律法规的认同感和遵守意识。</w:t>
      </w:r>
    </w:p>
    <w:p w14:paraId="5A26AD86">
      <w:pPr>
        <w:spacing w:line="360" w:lineRule="auto"/>
        <w:ind w:firstLine="482" w:firstLineChars="200"/>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（二）</w:t>
      </w:r>
      <w:r>
        <w:rPr>
          <w:rFonts w:hint="default" w:ascii="宋体" w:hAnsi="宋体" w:cs="宋体"/>
          <w:b/>
          <w:bCs/>
          <w:color w:val="auto"/>
          <w:sz w:val="24"/>
          <w:szCs w:val="24"/>
          <w:lang w:val="en-US" w:eastAsia="zh-CN"/>
        </w:rPr>
        <w:t>制度执行力度</w:t>
      </w:r>
    </w:p>
    <w:p w14:paraId="69A2FE1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有了完善的法律法规体系，关键在于执行。焦作市政府深知这一点，因此加强了对旅游资源保护的执法力度，确保各项法律法规得到有效执行。</w:t>
      </w:r>
    </w:p>
    <w:p w14:paraId="793A806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执法机构建设方面，焦作市成立了专门的旅游资源保护执法队伍，负责全市旅游资源的保护执法工作。这支执法队伍由旅游、文化、环保、公安等多个部门的执法人员组成，形成了多部门联动的执法机制。他们定期开展联合执法行动，对破坏旅游资源的行为进行严厉打击，有效维护了旅游资源的完整性和安全性。</w:t>
      </w:r>
    </w:p>
    <w:p w14:paraId="2240361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执法过程中，焦作市注重依法行政和文明执法。他们严格按照法律法规的规定进行执法，确保执法行为的合法性和公正性。同时，他们还注重与行政相对人的沟通和协商，通过说服教育、劝导引导等方式，促使行政相对人自觉遵守法律法规，减少执法冲突和矛盾。</w:t>
      </w:r>
    </w:p>
    <w:p w14:paraId="37C134C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为了加强执法监督和提高执法效率，焦作市还建立了旅游资源保护执法信息平台。这个平台实现了执法信息的实时共享和动态监控，为执法部门提供了及时、准确的执法依据。通过这个平台，执法部门可以及时发现和查处破坏旅游资源的行为，确保法律法规得到有效执行。</w:t>
      </w:r>
    </w:p>
    <w:p w14:paraId="2E27387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严厉打击破坏旅游资源行为的同时，焦作市还注重加强宣传教育，提高公众的保护意识。他们通过举办讲座、展览、宣传册等多种形式，向公众普及旅游资源保护的知识和法律法规，引导公众自觉遵守保护规定，共同参与到旅游资源的保护工作中来。这种宣传教育的方式，不仅提高了公众的保护意识，也增强了公众对执法工作的理解和支持。</w:t>
      </w:r>
    </w:p>
    <w:p w14:paraId="16D293F7">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126" w:name="_Toc5474"/>
      <w:r>
        <w:rPr>
          <w:rFonts w:hint="eastAsia" w:ascii="宋体" w:hAnsi="宋体" w:eastAsia="宋体" w:cs="宋体"/>
          <w:b/>
          <w:bCs/>
          <w:color w:val="auto"/>
          <w:sz w:val="28"/>
          <w:szCs w:val="28"/>
          <w:lang w:eastAsia="zh-CN"/>
        </w:rPr>
        <w:t>二、</w:t>
      </w:r>
      <w:r>
        <w:rPr>
          <w:rFonts w:hint="default" w:ascii="宋体" w:hAnsi="宋体" w:eastAsia="宋体" w:cs="宋体"/>
          <w:b/>
          <w:bCs/>
          <w:color w:val="auto"/>
          <w:sz w:val="28"/>
          <w:szCs w:val="28"/>
          <w:lang w:eastAsia="zh-CN"/>
        </w:rPr>
        <w:t>保护措施实施</w:t>
      </w:r>
      <w:bookmarkEnd w:id="126"/>
    </w:p>
    <w:p w14:paraId="39325A43">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w:t>
      </w:r>
      <w:r>
        <w:rPr>
          <w:rFonts w:hint="default" w:ascii="宋体" w:hAnsi="宋体" w:cs="宋体"/>
          <w:b/>
          <w:bCs/>
          <w:color w:val="auto"/>
          <w:sz w:val="24"/>
          <w:szCs w:val="24"/>
          <w:lang w:val="en-US" w:eastAsia="zh-CN"/>
        </w:rPr>
        <w:t>生态保护</w:t>
      </w:r>
    </w:p>
    <w:p w14:paraId="0B159A2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深知自然旅游资源是城市最宝贵的财富之一，因此，在生态保护方面采取了多项有力措施。针对森林、湿地、湖泊等自然旅游资源，焦作市实施了封山育林、退耕还林、湿地保护等工程，旨在恢复和增强生态系统的自我修复能力，维护生态平衡。</w:t>
      </w:r>
    </w:p>
    <w:p w14:paraId="4A05086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在封山育林方面，焦作市对部分山区实施了严格的封山措施，禁止</w:t>
      </w:r>
      <w:r>
        <w:rPr>
          <w:rFonts w:hint="eastAsia" w:ascii="Times New Roman" w:hAnsi="Times New Roman" w:cs="Times New Roman"/>
          <w:bCs/>
          <w:color w:val="auto"/>
          <w:kern w:val="2"/>
          <w:sz w:val="24"/>
          <w:szCs w:val="24"/>
          <w:lang w:val="en-US" w:eastAsia="zh-CN" w:bidi="ar-SA"/>
        </w:rPr>
        <w:t>乱砍滥伐</w:t>
      </w:r>
      <w:r>
        <w:rPr>
          <w:rFonts w:hint="default" w:ascii="Times New Roman" w:hAnsi="Times New Roman" w:cs="Times New Roman"/>
          <w:bCs/>
          <w:color w:val="auto"/>
          <w:kern w:val="2"/>
          <w:sz w:val="24"/>
          <w:szCs w:val="24"/>
          <w:lang w:val="en-US" w:eastAsia="zh-CN" w:bidi="ar-SA"/>
        </w:rPr>
        <w:t>和非法开垦，通过自然恢复和人工促进相结合的方式，有效提升了森林覆盖率。同时，焦作市还积极推进退耕还林工程，将部分坡度较大、土壤条件较差的耕地转化为林地，不仅减少了水土流失，还改善了生态环境。</w:t>
      </w:r>
    </w:p>
    <w:p w14:paraId="4F86042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湿地保护也是焦作市生态保护的重要一环。焦作市拥有多个湿地自然保护区，这些湿地是众多珍稀鸟类和野生动物的栖息地。为了保护湿地生态系统，焦作市加强了湿地保护区的建设和管理，实施了湿地恢复工程，通过清理污染物、恢复湿地植被等措施，有效改善了湿地生态环境。此外，焦作市还加强了对湖泊等水域的保护，严格控制污染源，确保水质清洁，为游客提供了更加优美的旅游环境。</w:t>
      </w:r>
    </w:p>
    <w:p w14:paraId="7B0D1F9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这些生态保护措施的实施，不仅维护了焦作市自然旅游资源的生态平衡，还提升了旅游资源的观赏价值和吸引力。如今，焦作市的森林更加茂密，湿地更加生机盎然，湖泊更加清澈碧绿，为游客提供了更加亲近自然、享受生态之美的旅游体验。</w:t>
      </w:r>
    </w:p>
    <w:p w14:paraId="31D60DAC">
      <w:pPr>
        <w:spacing w:line="360" w:lineRule="auto"/>
        <w:ind w:firstLine="482" w:firstLineChars="200"/>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（二）</w:t>
      </w:r>
      <w:r>
        <w:rPr>
          <w:rFonts w:hint="default" w:ascii="宋体" w:hAnsi="宋体" w:cs="宋体"/>
          <w:b/>
          <w:bCs/>
          <w:color w:val="auto"/>
          <w:sz w:val="24"/>
          <w:szCs w:val="24"/>
          <w:lang w:val="en-US" w:eastAsia="zh-CN"/>
        </w:rPr>
        <w:t>文化保护</w:t>
      </w:r>
    </w:p>
    <w:p w14:paraId="00D0073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拥有悠久的历史和丰富的文化遗产，这些文化遗产是城市文化的重要载体，也是旅游资源的重要组成部分。为了保护这些珍贵的文化遗产，焦作市在文化保护方面采取了多项措施，包括修缮古建筑、保护历史遗迹、传承民俗文化等。</w:t>
      </w:r>
    </w:p>
    <w:p w14:paraId="17A700E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古建筑修缮方面，焦作市对多处古建筑进行了全面的修缮和保护。这些古建筑不仅具有历史价值，还承载着丰富的文化内涵。通过修缮，焦作市恢复了古建筑的原有风貌，提升了其观赏价值和历史文化价值。同时，焦作市还加强了对历史遗迹的保护，如古代遗址、碑刻等，通过设立保护区、加强监管等措施，确保这些历史遗迹得到妥善保护。</w:t>
      </w:r>
    </w:p>
    <w:p w14:paraId="30ACB23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民俗文化传承方面，焦作市注重挖掘和整理当地民俗文化，通过举办民俗文化节、民俗展览等活动，让更多人了解和感受焦作市的民俗文化魅力。此外，焦作市还鼓励和支持民间艺人传承和发展传统手工艺，如剪纸、刺绣等，通过手工艺品的展示和销售，不仅传承了民俗文化，还促进了当地经济的发展。</w:t>
      </w:r>
    </w:p>
    <w:p w14:paraId="11F2E60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这些文化保护措施的实施，有效防止了文化遗产的流失和破坏，提升了焦作市旅游资源的文化内涵和吸引力。如今，游客在焦作市不仅可以欣赏到美丽的自然风光，还可以感受到深厚的历史文化底蕴，体验到独特的民俗风情。</w:t>
      </w:r>
    </w:p>
    <w:p w14:paraId="04601A97">
      <w:pPr>
        <w:spacing w:line="360" w:lineRule="auto"/>
        <w:ind w:firstLine="482" w:firstLineChars="200"/>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（三）</w:t>
      </w:r>
      <w:r>
        <w:rPr>
          <w:rFonts w:hint="default" w:ascii="宋体" w:hAnsi="宋体" w:cs="宋体"/>
          <w:b/>
          <w:bCs/>
          <w:color w:val="auto"/>
          <w:sz w:val="24"/>
          <w:szCs w:val="24"/>
          <w:lang w:val="en-US" w:eastAsia="zh-CN"/>
        </w:rPr>
        <w:t>科技应用</w:t>
      </w:r>
    </w:p>
    <w:p w14:paraId="0900221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随着科技的不断发展，焦作市在旅游资源保护方面也积极引入现代科技手段，如遥感监测、无人机巡查等，以提高保护效率和准确性。</w:t>
      </w:r>
    </w:p>
    <w:p w14:paraId="128A862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遥感监测技术被广泛应用于焦作市的旅游资源保护中。通过卫星遥感图像，焦作市可以实时监测森林、湿地、湖泊等自然旅游资源的动态变化，及时发现并处理潜在的生态问题。例如，通过遥感监测，焦作市可以及时发现森林火灾、非法开垦等违法行为，并迅速采取措施进行制止和处罚。</w:t>
      </w:r>
    </w:p>
    <w:p w14:paraId="663B9E0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无人机巡查也是焦作市旅游资源保护的重要手段之一。无人机具有灵活、高效的特点，可以迅速到达人难以到达的区域进行巡查。通过无人机巡查，焦作市可以及时发现并处理旅游资源保护中的突出问题，如古建筑破损、历史遗迹被盗掘等。同时，无人机还可以用于旅游资源的监测和评估，为旅游资源的合理开发和利用提供科学依据。</w:t>
      </w:r>
    </w:p>
    <w:p w14:paraId="0D136B3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此外，焦作市还积极利用大数据、云计算等现代信息技术手段，建立旅游资源保护信息平台，实现保护信息的实时共享和动态监控。通过这个平台，焦作市可以更加高效地协调各方力量，共同推进旅游资源保护工作。</w:t>
      </w:r>
    </w:p>
    <w:p w14:paraId="3E6F626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科技应用不仅提升了焦作市旅游资源保护的效率和准确性，还为旅游资源的可持续利用提供了有力保障。如今，焦作市的旅游资源保护工作更加科学化、精细化，为旅游业的健康发展提供了坚实支撑。</w:t>
      </w:r>
    </w:p>
    <w:p w14:paraId="3AA91079">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127" w:name="_Toc15675"/>
      <w:r>
        <w:rPr>
          <w:rFonts w:hint="eastAsia" w:ascii="宋体" w:hAnsi="宋体" w:eastAsia="宋体" w:cs="宋体"/>
          <w:b/>
          <w:bCs/>
          <w:color w:val="auto"/>
          <w:sz w:val="28"/>
          <w:szCs w:val="28"/>
          <w:lang w:eastAsia="zh-CN"/>
        </w:rPr>
        <w:t>三、</w:t>
      </w:r>
      <w:r>
        <w:rPr>
          <w:rFonts w:hint="default" w:ascii="宋体" w:hAnsi="宋体" w:eastAsia="宋体" w:cs="宋体"/>
          <w:b/>
          <w:bCs/>
          <w:color w:val="auto"/>
          <w:sz w:val="28"/>
          <w:szCs w:val="28"/>
          <w:lang w:eastAsia="zh-CN"/>
        </w:rPr>
        <w:t>保护意识提升</w:t>
      </w:r>
      <w:bookmarkEnd w:id="127"/>
    </w:p>
    <w:p w14:paraId="1830B516">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w:t>
      </w:r>
      <w:r>
        <w:rPr>
          <w:rFonts w:hint="default" w:ascii="宋体" w:hAnsi="宋体" w:cs="宋体"/>
          <w:b/>
          <w:bCs/>
          <w:color w:val="auto"/>
          <w:sz w:val="24"/>
          <w:szCs w:val="24"/>
          <w:lang w:val="en-US" w:eastAsia="zh-CN"/>
        </w:rPr>
        <w:t>公众教育</w:t>
      </w:r>
    </w:p>
    <w:p w14:paraId="1F7A14F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公众教育是焦作市旅游资源保护的重要基石。焦作市深知，只有让公众充分认识到旅游资源的重要性，才能形成全社会共同保护的良好氛围。因此，焦作市通过多种形式的宣传教育和科普活动，不断提高公众对旅游资源保护的认识和意识。</w:t>
      </w:r>
    </w:p>
    <w:p w14:paraId="2F18642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一方面，焦作市充分利用传统媒体和新媒体平台，开展广泛的宣传教育活动。在电视、广播、报纸等传统媒体上，焦作市开设了旅游资源保护专栏，定期发布保护知识、法律法规和典型案例，引导公众树立正确的保护观念。同时，焦作市还积极利用微信、微博、抖音等新媒体平台，通过短视频、直播等形式，以更加生动、直观的方式向公众普及旅游资源保护的重要性。</w:t>
      </w:r>
    </w:p>
    <w:p w14:paraId="59D7CFC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另一方面，焦作市还注重开展科普活动，让公众亲身体验旅游资源的魅力与价值。焦作市定期举办旅游文化节、科普展览等活动，邀请专家学者为公众讲解旅游资源的形成、演变和保护方法，让公众在欣赏美景的同时，更加深入地了解旅游资源的珍贵性和脆弱性。此外，焦作市还鼓励学校将旅游资源保护纳入课程体系，通过组织课外实践活动、开展主题班会等形式，培养学生的保护意识和责任感。</w:t>
      </w:r>
    </w:p>
    <w:p w14:paraId="02A5288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这些宣传教育和科普活动的开展，有效提升了焦作市公众对旅游资源保护的认识和意识。如今，越来越多的焦作市民开始关注旅游资源的保护问题，自觉抵制破坏旅游资源的行为，形成了全社会共同保护旅游资源的良好风尚。</w:t>
      </w:r>
    </w:p>
    <w:p w14:paraId="6C2BBD23">
      <w:pPr>
        <w:spacing w:line="360" w:lineRule="auto"/>
        <w:ind w:firstLine="482" w:firstLineChars="200"/>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（二）</w:t>
      </w:r>
      <w:r>
        <w:rPr>
          <w:rFonts w:hint="default" w:ascii="宋体" w:hAnsi="宋体" w:cs="宋体"/>
          <w:b/>
          <w:bCs/>
          <w:color w:val="auto"/>
          <w:sz w:val="24"/>
          <w:szCs w:val="24"/>
          <w:lang w:val="en-US" w:eastAsia="zh-CN"/>
        </w:rPr>
        <w:t>社区参与</w:t>
      </w:r>
    </w:p>
    <w:p w14:paraId="607759D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社区参与是焦作市旅游资源保护的另一大亮点。焦作市深知，旅游资源保护不仅仅是政府和企业的责任，更是当地社区和居民的共同使命。因此，焦作市积极鼓励当地社区参与旅游资源保护，形成了政府、企业、社区共同参与的保护机制。</w:t>
      </w:r>
    </w:p>
    <w:p w14:paraId="57D289E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为了激发社区的内生动力，焦作市采取了一系列有效措施。首先，焦作市加强了对社区的保护知识培训，定期组织社区干部和居民参加保护知识讲座、培训班等活动，提高他们的保护意识和能力。其次，焦作市建立了社区保护志愿者队伍，鼓励居民自愿参与旅游资源的保护工作，如清理垃圾、监督违法行为等。这些志愿者</w:t>
      </w:r>
      <w:r>
        <w:rPr>
          <w:rFonts w:hint="eastAsia" w:ascii="Times New Roman" w:hAnsi="Times New Roman" w:cs="Times New Roman"/>
          <w:bCs/>
          <w:color w:val="auto"/>
          <w:kern w:val="2"/>
          <w:sz w:val="24"/>
          <w:szCs w:val="24"/>
          <w:lang w:val="en-US" w:eastAsia="zh-CN" w:bidi="ar-SA"/>
        </w:rPr>
        <w:t>成为</w:t>
      </w:r>
      <w:r>
        <w:rPr>
          <w:rFonts w:hint="default" w:ascii="Times New Roman" w:hAnsi="Times New Roman" w:cs="Times New Roman"/>
          <w:bCs/>
          <w:color w:val="auto"/>
          <w:kern w:val="2"/>
          <w:sz w:val="24"/>
          <w:szCs w:val="24"/>
          <w:lang w:val="en-US" w:eastAsia="zh-CN" w:bidi="ar-SA"/>
        </w:rPr>
        <w:t>旅游资源保护的重要力量，他们的参与不仅增强了保护的实效性，还提升了社区的凝聚力和归属感。</w:t>
      </w:r>
    </w:p>
    <w:p w14:paraId="302D199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此外，焦作市还注重发挥社区在旅游资源保护中的监督作用。通过建立社区监督机制，焦作市鼓励社区对旅游资源的开发、利用和保护情况进行监督，及时发现并反映问题。政府和企业则根据社区的反馈意见，及时调整保护措施和开发策略，确保旅游资源的可持续利用。</w:t>
      </w:r>
    </w:p>
    <w:p w14:paraId="7C42975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社区参与的推动下，焦作市的旅游资源保护工作取得了显著成效。政府、企业和社区形成了紧密的合作关系，共同推进旅游资源的保护工作。这种共治共享的格局不仅提升了保护工作的效率和质量，还为焦作市旅游业的健康发展提供了有力保障。</w:t>
      </w:r>
    </w:p>
    <w:p w14:paraId="1091A5FE">
      <w:pPr>
        <w:keepNext w:val="0"/>
        <w:keepLines w:val="0"/>
        <w:pageBreakBefore w:val="0"/>
        <w:widowControl w:val="0"/>
        <w:kinsoku/>
        <w:wordWrap/>
        <w:overflowPunct/>
        <w:topLinePunct w:val="0"/>
        <w:autoSpaceDE/>
        <w:autoSpaceDN/>
        <w:bidi w:val="0"/>
        <w:adjustRightInd/>
        <w:snapToGrid/>
        <w:textAlignment w:val="auto"/>
        <w:outlineLvl w:val="2"/>
        <w:rPr>
          <w:rFonts w:hint="default" w:ascii="宋体" w:hAnsi="宋体" w:eastAsia="宋体" w:cs="宋体"/>
          <w:b/>
          <w:bCs/>
          <w:color w:val="auto"/>
          <w:sz w:val="28"/>
          <w:szCs w:val="28"/>
          <w:lang w:eastAsia="zh-CN"/>
        </w:rPr>
      </w:pPr>
      <w:bookmarkStart w:id="128" w:name="_Toc2309"/>
      <w:r>
        <w:rPr>
          <w:rFonts w:hint="eastAsia" w:ascii="宋体" w:hAnsi="宋体" w:eastAsia="宋体" w:cs="宋体"/>
          <w:b/>
          <w:bCs/>
          <w:color w:val="auto"/>
          <w:sz w:val="28"/>
          <w:szCs w:val="28"/>
          <w:lang w:eastAsia="zh-CN"/>
        </w:rPr>
        <w:t>四</w:t>
      </w:r>
      <w:r>
        <w:rPr>
          <w:rFonts w:hint="default" w:ascii="宋体" w:hAnsi="宋体" w:eastAsia="宋体" w:cs="宋体"/>
          <w:b/>
          <w:bCs/>
          <w:color w:val="auto"/>
          <w:sz w:val="28"/>
          <w:szCs w:val="28"/>
          <w:lang w:eastAsia="zh-CN"/>
        </w:rPr>
        <w:t>、资源开发现状</w:t>
      </w:r>
      <w:bookmarkEnd w:id="128"/>
    </w:p>
    <w:p w14:paraId="44901FF7">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（一）开发规模与速度</w:t>
      </w:r>
    </w:p>
    <w:p w14:paraId="57A289BD">
      <w:pPr>
        <w:spacing w:line="360" w:lineRule="auto"/>
        <w:ind w:firstLine="480" w:firstLineChars="200"/>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w:t>
      </w:r>
      <w:r>
        <w:rPr>
          <w:rFonts w:hint="default" w:ascii="宋体" w:hAnsi="宋体" w:cs="宋体"/>
          <w:b w:val="0"/>
          <w:bCs w:val="0"/>
          <w:color w:val="auto"/>
          <w:sz w:val="24"/>
          <w:szCs w:val="24"/>
          <w:lang w:val="en-US" w:eastAsia="zh-CN"/>
        </w:rPr>
        <w:t>开发规模扩大</w:t>
      </w:r>
    </w:p>
    <w:p w14:paraId="572951D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随着旅游业的蓬勃发展，焦作市的旅游资源开发规模不断扩大。一方面，焦作市依托其得天独厚的自然条件和丰富的历史文化遗产，积极打造新的旅游景区和景点。从巍峨壮丽的云台山到碧波荡漾的青天河，从古朴典雅的陈家沟到历史悠久的嘉应观，焦作市的旅游景区如雨后春笋般涌现，为游客提供了更加多元、丰富的旅游选择。</w:t>
      </w:r>
    </w:p>
    <w:p w14:paraId="426EC84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另一方面，焦作市还注重旅游资源的整合与提升，通过升级改造现有景区、拓展旅游线路等方式，进一步扩大旅游资源的开发规模。例如，焦作市对云台山景区进行了全面的升级改造，不仅提升了景区的硬件设施和服务水平，还拓展了旅游线路，增加了新的旅游项目，使云台山</w:t>
      </w:r>
      <w:r>
        <w:rPr>
          <w:rFonts w:hint="eastAsia" w:ascii="Times New Roman" w:hAnsi="Times New Roman" w:cs="Times New Roman"/>
          <w:bCs/>
          <w:color w:val="auto"/>
          <w:kern w:val="2"/>
          <w:sz w:val="24"/>
          <w:szCs w:val="24"/>
          <w:lang w:val="en-US" w:eastAsia="zh-CN" w:bidi="ar-SA"/>
        </w:rPr>
        <w:t>成为</w:t>
      </w:r>
      <w:r>
        <w:rPr>
          <w:rFonts w:hint="default" w:ascii="Times New Roman" w:hAnsi="Times New Roman" w:cs="Times New Roman"/>
          <w:bCs/>
          <w:color w:val="auto"/>
          <w:kern w:val="2"/>
          <w:sz w:val="24"/>
          <w:szCs w:val="24"/>
          <w:lang w:val="en-US" w:eastAsia="zh-CN" w:bidi="ar-SA"/>
        </w:rPr>
        <w:t>国内外知名的旅游胜地。同时，焦作市还积极开发乡村旅游、工业旅游、红色旅游等新兴旅游业态，进一步丰富了旅游资源的内涵和外延。</w:t>
      </w:r>
    </w:p>
    <w:p w14:paraId="0166EC4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这些新景区、新景点的不断涌现，不仅提升了焦作市旅游产业的整体实力，还吸引了大量游客前来观光旅游，为焦作市的经济增长和社会进步做出了重要贡献。</w:t>
      </w:r>
    </w:p>
    <w:p w14:paraId="6177DB30">
      <w:pPr>
        <w:spacing w:line="360" w:lineRule="auto"/>
        <w:ind w:firstLine="480" w:firstLineChars="200"/>
        <w:rPr>
          <w:rFonts w:hint="default"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2、</w:t>
      </w:r>
      <w:r>
        <w:rPr>
          <w:rFonts w:hint="default" w:ascii="宋体" w:hAnsi="宋体" w:cs="宋体"/>
          <w:b w:val="0"/>
          <w:bCs w:val="0"/>
          <w:color w:val="auto"/>
          <w:sz w:val="24"/>
          <w:szCs w:val="24"/>
          <w:lang w:val="en-US" w:eastAsia="zh-CN"/>
        </w:rPr>
        <w:t>开发速度加快</w:t>
      </w:r>
    </w:p>
    <w:p w14:paraId="2A855C1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焦作市旅游资源的开发速度之所以明显加快，主要得益于政府和企业双方的共同努力和推动。</w:t>
      </w:r>
    </w:p>
    <w:p w14:paraId="67B768E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政府层面来看，焦作市政府高度重视旅游产业的发展，将旅游业作为推动经济转型升级和高质量发展的重要引擎。为了加快旅游资源的开发速度，焦作市政府出台了一系列优惠政策和扶持措施，鼓励企业和社会资本参与旅游资源的开发和建设。例如，焦作市政府对重点旅游项目给予了资金扶持、税收优惠等政策支持，降低了企业的投资成本和经营风险，激发了企业的投资热情。</w:t>
      </w:r>
    </w:p>
    <w:p w14:paraId="2F1B70F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企业层面来看，焦作市的企业也积极响应政府的号召，加大对旅游资源的开发投入。一方面，焦作市的一些大型企业纷纷涉足旅游产业，通过并购、重组等方式整合旅游资源，打造具有竞争力的旅游品牌。另一方面，焦作市还涌现出了一批专注于旅游资源开发的小微企业和个体工商户，他们凭借敏锐的市场洞察力和灵活的经营机制，在旅游市场中占据了一席之地。</w:t>
      </w:r>
    </w:p>
    <w:p w14:paraId="6C29155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政府与企业双轮驱动的发展模式，有效推动了焦作市旅游资源的快速开发。如今，焦作市的旅游项目如雨后春笋般涌现，旅游产业的发展速度明显加快。这种快速的发展态势不仅提升了焦作市旅游产业的竞争力，还为焦作市的经济增长和社会进步注入了新的活力。</w:t>
      </w:r>
    </w:p>
    <w:p w14:paraId="491A3912">
      <w:pPr>
        <w:spacing w:line="360" w:lineRule="auto"/>
        <w:ind w:firstLine="480" w:firstLineChars="200"/>
        <w:rPr>
          <w:rFonts w:hint="default"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3、持续优化开发</w:t>
      </w:r>
    </w:p>
    <w:p w14:paraId="78FCBE7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旅游资源的快速开发取得了显著成效，但同时也面临着一些挑战和问题。一方面，随着旅游资源的不断开发，焦作市的旅游市场日益饱和，竞争压力不断增大。如何在激烈的市场竞争中脱颖而出，成为焦作市旅游产业面临的重要课题。另一方面，旅游资源的快速开发也对焦作市的生态环境和文化遗产保护带来了一定的压力。如何在开发旅游资源的同时保护好生态环境和文化遗产，实现旅游业的可持续发展，也是焦作市需要解决的重要问题。</w:t>
      </w:r>
    </w:p>
    <w:p w14:paraId="13A41EB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为了应对这些挑战和问题，焦作市需要持续优化旅游资源的开发策略。一方面，焦作市应加强对旅游市场的调研和分析，准确把握游客需求和市场需求的变化趋势，打造具有差异化和竞争力的旅游产品。另一方面，焦作市还应加强生态环境和文化遗产的保护工作，确保旅游资源的可持续利用。例如，焦作市可以加强对旅游景区的环境监管和治理力度，推广绿色旅游和生态旅游模式；同时，焦作市还可以加强对文化遗产的保护和传承工作，挖掘和弘扬焦作市的历史文化底蕴。</w:t>
      </w:r>
    </w:p>
    <w:p w14:paraId="25DF9EB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此外，焦作市还应注重旅游产业的融合发展。通过推动旅游与文化、体育、健康、养老等产业的深度融合，焦作市可以打造更加多元、丰富的旅游产品体系，满足游客多样化的需求。同时，这种融合发展模式还可以促进焦作市相关产业的协同发展，提升焦作市的整体经济实力和竞争力。</w:t>
      </w:r>
    </w:p>
    <w:p w14:paraId="740310F8">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（二）开发模式与类型</w:t>
      </w:r>
    </w:p>
    <w:p w14:paraId="08BB1FF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多元化开发模式</w:t>
      </w:r>
    </w:p>
    <w:p w14:paraId="559D61D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焦作市的旅游资源开发模式多元化特征明显，主要体现为政府主导型、企业主导型以及社区参与型三种模式。</w:t>
      </w:r>
    </w:p>
    <w:p w14:paraId="0E8F7B7E">
      <w:pPr>
        <w:pageBreakBefore w:val="0"/>
        <w:widowControl w:val="0"/>
        <w:numPr>
          <w:ilvl w:val="0"/>
          <w:numId w:val="0"/>
        </w:numPr>
        <w:kinsoku/>
        <w:wordWrap/>
        <w:overflowPunct/>
        <w:topLinePunct w:val="0"/>
        <w:autoSpaceDE/>
        <w:autoSpaceDN/>
        <w:bidi w:val="0"/>
        <w:adjustRightInd/>
        <w:snapToGrid/>
        <w:spacing w:line="360" w:lineRule="auto"/>
        <w:ind w:leftChars="214"/>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政府主导型开发模式</w:t>
      </w:r>
    </w:p>
    <w:p w14:paraId="43004D53">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政府在旅游资源开发中扮演着重要角色。政府通过制定旅游发展规划、出台优惠政策、加大基础设施投入等方式，引导和支持旅游产业的发展。例如，焦作市政府制定了《焦作市全域旅游发展规划》，明确了旅游产业的发展目标、空间布局和重点任务。同时，政府还加大了对旅游基础设施的投入，如修建旅游公路、提升景区设施、完善旅游标识系统等，为游客提供了更加便捷、舒适的旅游环境。</w:t>
      </w:r>
    </w:p>
    <w:p w14:paraId="7171E8D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以云台山景区为例，该景区在开发初期就得到了焦作市政府的大力支持。政府通过投资修建旅游公路、提升景区设施等方式，为云台山的旅游发展奠定了坚实基础。如今，云台山已成为国家5A级旅游景区，每年吸引大量游客前来观光旅游。</w:t>
      </w:r>
    </w:p>
    <w:p w14:paraId="45397455">
      <w:pPr>
        <w:pageBreakBefore w:val="0"/>
        <w:widowControl w:val="0"/>
        <w:numPr>
          <w:ilvl w:val="0"/>
          <w:numId w:val="0"/>
        </w:numPr>
        <w:kinsoku/>
        <w:wordWrap/>
        <w:overflowPunct/>
        <w:topLinePunct w:val="0"/>
        <w:autoSpaceDE/>
        <w:autoSpaceDN/>
        <w:bidi w:val="0"/>
        <w:adjustRightInd/>
        <w:snapToGrid/>
        <w:spacing w:line="360" w:lineRule="auto"/>
        <w:ind w:leftChars="214"/>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企业主导型开发模式</w:t>
      </w:r>
    </w:p>
    <w:p w14:paraId="22FB8BEA">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企业在焦作市旅游资源开发中同样发挥着重要作用。一些大型企业通过并购、重组等方式整合旅游资源，打造具有竞争力的旅游品牌。例如，焦作市某旅游集团通过并购多家旅游景区，形成了涵盖观光旅游、休闲度假、文化体验等多个领域的旅游产业链。该集团还注重旅游产品的创新和升级，不断推出新的旅游项目和活动，吸引了大量游客前来体验。</w:t>
      </w:r>
    </w:p>
    <w:p w14:paraId="6A5D08F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以青天河景区为例，该景区由一家旅游企业主导开发。企业通过投资修建游船码头、提升景区服务设施等方式，将青天河打造</w:t>
      </w:r>
      <w:r>
        <w:rPr>
          <w:rFonts w:hint="eastAsia" w:ascii="Times New Roman" w:hAnsi="Times New Roman" w:cs="Times New Roman"/>
          <w:bCs/>
          <w:color w:val="auto"/>
          <w:kern w:val="2"/>
          <w:sz w:val="24"/>
          <w:szCs w:val="24"/>
          <w:lang w:val="en-US" w:eastAsia="zh-CN" w:bidi="ar-SA"/>
        </w:rPr>
        <w:t>成为</w:t>
      </w:r>
      <w:r>
        <w:rPr>
          <w:rFonts w:hint="default" w:ascii="Times New Roman" w:hAnsi="Times New Roman" w:cs="Times New Roman"/>
          <w:bCs/>
          <w:color w:val="auto"/>
          <w:kern w:val="2"/>
          <w:sz w:val="24"/>
          <w:szCs w:val="24"/>
          <w:lang w:val="en-US" w:eastAsia="zh-CN" w:bidi="ar-SA"/>
        </w:rPr>
        <w:t>一个集观光旅游、休闲度假为一体的旅游胜地。如今，青天河景区已成为焦作市旅游业的重要组成部分，为当地经济发展做出了重要贡献。</w:t>
      </w:r>
    </w:p>
    <w:p w14:paraId="673E436D">
      <w:pPr>
        <w:pageBreakBefore w:val="0"/>
        <w:widowControl w:val="0"/>
        <w:kinsoku/>
        <w:wordWrap/>
        <w:overflowPunct/>
        <w:topLinePunct w:val="0"/>
        <w:autoSpaceDE/>
        <w:autoSpaceDN/>
        <w:bidi w:val="0"/>
        <w:adjustRightInd/>
        <w:snapToGrid/>
        <w:spacing w:line="360" w:lineRule="auto"/>
        <w:ind w:left="239" w:leftChars="114" w:firstLine="240" w:firstLineChars="1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社区参与型开发模式</w:t>
      </w:r>
    </w:p>
    <w:p w14:paraId="75272CD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社区参与是焦作市旅游资源开发中的另一大亮点。焦作市鼓励当地社区参与旅游资源的开发和管理，通过社区旅游合作社、民宿经济等形式，让社区居民共享旅游发展成果。例如，焦作市某乡村通过成立旅游合作社，整合乡村旅游资源，开发乡村旅游产品。合作社还鼓励居民将自家房屋改造成民宿，为游客提供住宿服务。这种模式不仅促进了乡村旅游的发展，还提高了社区居民的收入水平。</w:t>
      </w:r>
    </w:p>
    <w:p w14:paraId="007775F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以陈家沟为例，该村是太极拳的发源地，拥有丰富的历史文化资源。近年来，陈家沟村通过成立旅游合作社，整合村内旅游资源，开发太极拳文化旅游产品。合作社还鼓励居民开设太极拳武馆、民宿等，为游客提供太极拳学习、住宿等服务。如今，陈家沟已成为焦作市知名的文化旅游景点，吸引了大量国内外游客前来体验太极拳文化。</w:t>
      </w:r>
    </w:p>
    <w:p w14:paraId="69D248D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丰富化产品类型</w:t>
      </w:r>
    </w:p>
    <w:p w14:paraId="3A045E6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随着旅游市场的不断繁荣和游客需求的日益多样化，焦作市的旅游产品类型也日益丰富。目前，焦作市的旅游产品类型主要涵盖了观光旅游、休闲度假、文化体验、户外运动等多个领域。</w:t>
      </w:r>
    </w:p>
    <w:p w14:paraId="0B6A994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观光旅游</w:t>
      </w:r>
    </w:p>
    <w:p w14:paraId="20AF9EB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观光旅游是焦作市旅游业的传统优势项目。焦作市拥有众多自然景观和人文景观，如云台山、青天河、神农山等自然景观，以及陈家沟、嘉应观等人文景观。这些景区以其独特的自然风光和历史文化底蕴吸引了大量游客前来观光旅游。据统计，2024年焦作市共接待观光游客超过3000万人次，实现旅游综合收入超过200亿元。</w:t>
      </w:r>
    </w:p>
    <w:p w14:paraId="5E73492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休闲度假</w:t>
      </w:r>
    </w:p>
    <w:p w14:paraId="46BB8AE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随着人们生活水平的提高和休闲观念的转变，休闲度假旅游在焦作市逐渐兴起。焦作市依托其优美的自然环境和丰富的旅游资源，开发了一批休闲度假旅游产品。例如，焦作市某温泉度假村通过引进先进的温泉设施和管理经验，为游客提供高品质的温泉休闲服务。此外，焦作市还开发了一批乡村旅游度假产品，如民宿、农家乐等，让游客在享受乡村宁静的同时，也能体验到乡村文化的魅力。</w:t>
      </w:r>
    </w:p>
    <w:p w14:paraId="7C5E4DD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文化体验</w:t>
      </w:r>
    </w:p>
    <w:p w14:paraId="4B05B03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拥有丰富的历史文化遗产和民俗文化，为文化体验旅游提供了得天独厚的条件。焦作市通过挖掘和整合文化资源，开发了一系列文化体验旅游产品。例如，焦作市某文化体验馆通过展示焦作市的历史文化、民俗风情等，让游客在参观过程中感受到焦作市的文化底蕴。此外，焦作市还举办了一系列文化节庆活动，如太极拳文化节、云台山音乐节等，为游客提供了更加丰富的文化体验。</w:t>
      </w:r>
    </w:p>
    <w:p w14:paraId="40D2F34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（4）</w:t>
      </w:r>
      <w:r>
        <w:rPr>
          <w:rFonts w:hint="default" w:ascii="Times New Roman" w:hAnsi="Times New Roman" w:cs="Times New Roman"/>
          <w:bCs/>
          <w:color w:val="auto"/>
          <w:kern w:val="2"/>
          <w:sz w:val="24"/>
          <w:szCs w:val="24"/>
          <w:lang w:val="en-US" w:eastAsia="zh-CN" w:bidi="ar-SA"/>
        </w:rPr>
        <w:t>户外运动</w:t>
      </w:r>
    </w:p>
    <w:p w14:paraId="4C568CF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户外运动旅游是焦作市旅游业的新兴领域。焦作市拥有得天独厚的自然条件和丰富的户外运动资源，如山地、河流、湖泊等。焦作市通过开发户外运动旅游产品，满足了游客对户外探险和运动的需求。例如，焦作市某户外探险基地通过提供攀岩、漂流、徒步等户外运动项目，吸引了大量户外运动爱好者前来体验。此外，焦作市还举办了一系列户外运动赛事，如国际登山邀请赛、太极拳大赛等，进一步提升了焦作市户外运动旅游的知名度和影响力。</w:t>
      </w:r>
    </w:p>
    <w:p w14:paraId="66B1DD7A">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（三）开发效益与影响</w:t>
      </w:r>
    </w:p>
    <w:p w14:paraId="0C6A210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经济效益显著</w:t>
      </w:r>
    </w:p>
    <w:p w14:paraId="2E2F8B1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旅游资源的开发，无疑为当地经济注入了强劲动力。据统计，2024年焦作市共接待游客超过3500万人次，实现旅游综合收入超过240亿元，同比分别增长40.66%和37.74%。这一数据不仅彰显了焦作市旅游业的强劲增长势头，也反映了旅游资源开发对当地经济的巨大贡献。</w:t>
      </w:r>
    </w:p>
    <w:p w14:paraId="4F091B5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以云台山景区为例，作为焦作市的标志性旅游景区，云台山每年吸引大量国内外游客前来观光旅游。据统计，2024年云台山景区共接待游客超过800万人次，实现旅游收入超过60亿元。云台山景区的成功开发，不仅带动了周边餐饮、住宿、交通等相关产业的发展，还为当地创造了大量就业机会。目前，云台山景区周边已形成了完善的旅游产业链，为焦作市的经济增长做出了重要贡献。</w:t>
      </w:r>
    </w:p>
    <w:p w14:paraId="3AD72FF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此外，焦作市还通过开发乡村旅游、文化体验旅游等新兴旅游业态，进一步拓展了旅游市场，增加了旅游收入。例如，焦作市某乡村通过发展乡村旅游，将传统农耕文化与现代旅游元素相结合，打造了一批具有特色的乡村旅游产品。据统计，该村每年接待游客超过10万人次，实现旅游收入超过1000万元，有效带动了当地经济的发展。</w:t>
      </w:r>
    </w:p>
    <w:p w14:paraId="60BEE0E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社会效益提升</w:t>
      </w:r>
    </w:p>
    <w:p w14:paraId="149D63F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旅游资源的开发不仅为焦作市带来了经济效益，还显著提升了当地的社会效益。一方面，旅游业的快速发展推动了焦作市基础设施的完善和提升。为了满足游客的需求，焦作市加大了对交通、住宿、餐饮等基础设施的投入，修建了多条旅游公路，提升了景区设施水平，完善了旅游标识系统。这些基础设施的改善，不仅为游客提供了更加便捷、舒适的旅游环境，也促进了当地经济的协调发展。</w:t>
      </w:r>
    </w:p>
    <w:p w14:paraId="19E4540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另一方面，旅游资源的开发还促进了焦作市的文化交流与发展。焦作市拥有丰富的历史文化遗产和民俗文化，通过旅游这一平台，这些文化资源得到了更好</w:t>
      </w:r>
      <w:r>
        <w:rPr>
          <w:rFonts w:hint="eastAsia" w:ascii="Times New Roman" w:hAnsi="Times New Roman" w:cs="Times New Roman"/>
          <w:bCs/>
          <w:color w:val="auto"/>
          <w:kern w:val="2"/>
          <w:sz w:val="24"/>
          <w:szCs w:val="24"/>
          <w:lang w:val="en-US" w:eastAsia="zh-CN" w:bidi="ar-SA"/>
        </w:rPr>
        <w:t>地</w:t>
      </w:r>
      <w:r>
        <w:rPr>
          <w:rFonts w:hint="default" w:ascii="Times New Roman" w:hAnsi="Times New Roman" w:cs="Times New Roman"/>
          <w:bCs/>
          <w:color w:val="auto"/>
          <w:kern w:val="2"/>
          <w:sz w:val="24"/>
          <w:szCs w:val="24"/>
          <w:lang w:val="en-US" w:eastAsia="zh-CN" w:bidi="ar-SA"/>
        </w:rPr>
        <w:t>传承和弘扬。例如，焦作市举办的太极拳文化节、云台山音乐节等文化节庆活动，不仅吸引了大量游客前来参与，还促进了国内外文化的交流与融合。这些活动不仅丰富了游客的文化体验，也提升了焦作市的文化软实力和知名度。</w:t>
      </w:r>
    </w:p>
    <w:p w14:paraId="5E51C77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以陈家沟为例，作为太极拳的发源地，陈家沟通过发展太极拳文化旅游，将太极拳这一传统文化与现代旅游相结合，吸引了大量国内外游客前来学习、体验。同时，陈家沟还积极举办太极拳赛事、文化交流活动等，促进了太极拳文化的传播与发展。如今，陈家沟已成为焦作市知名的文化旅游景点，为当地带来了显著的社会效益。</w:t>
      </w:r>
    </w:p>
    <w:p w14:paraId="6B097A74">
      <w:pPr>
        <w:keepNext w:val="0"/>
        <w:keepLines w:val="0"/>
        <w:pageBreakBefore w:val="0"/>
        <w:widowControl w:val="0"/>
        <w:kinsoku/>
        <w:wordWrap/>
        <w:overflowPunct/>
        <w:topLinePunct w:val="0"/>
        <w:autoSpaceDE/>
        <w:autoSpaceDN/>
        <w:bidi w:val="0"/>
        <w:adjustRightInd/>
        <w:snapToGrid/>
        <w:textAlignment w:val="auto"/>
        <w:outlineLvl w:val="2"/>
        <w:rPr>
          <w:rFonts w:hint="default" w:ascii="宋体" w:hAnsi="宋体" w:eastAsia="宋体" w:cs="宋体"/>
          <w:b/>
          <w:bCs/>
          <w:color w:val="auto"/>
          <w:sz w:val="28"/>
          <w:szCs w:val="28"/>
          <w:lang w:eastAsia="zh-CN"/>
        </w:rPr>
      </w:pPr>
      <w:bookmarkStart w:id="129" w:name="_Toc7833"/>
      <w:r>
        <w:rPr>
          <w:rFonts w:hint="eastAsia" w:ascii="宋体" w:hAnsi="宋体" w:eastAsia="宋体" w:cs="宋体"/>
          <w:b/>
          <w:bCs/>
          <w:color w:val="auto"/>
          <w:sz w:val="28"/>
          <w:szCs w:val="28"/>
          <w:lang w:val="en-US" w:eastAsia="zh-CN"/>
        </w:rPr>
        <w:t>五</w:t>
      </w:r>
      <w:r>
        <w:rPr>
          <w:rFonts w:hint="default" w:ascii="宋体" w:hAnsi="宋体" w:eastAsia="宋体" w:cs="宋体"/>
          <w:b/>
          <w:bCs/>
          <w:color w:val="auto"/>
          <w:sz w:val="28"/>
          <w:szCs w:val="28"/>
          <w:lang w:eastAsia="zh-CN"/>
        </w:rPr>
        <w:t>、保护与开发的平衡现状</w:t>
      </w:r>
      <w:bookmarkEnd w:id="129"/>
    </w:p>
    <w:p w14:paraId="217B9DF6">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（一）保护与开发的关系</w:t>
      </w:r>
    </w:p>
    <w:p w14:paraId="4F20EB6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保护与开发共筑旅游基石</w:t>
      </w:r>
    </w:p>
    <w:p w14:paraId="61F9158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旅游资源的保护与开发在焦作市呈现出相互依存、相互促进的关系。保护是开发的前提和基础，没有良好的保护，旅游资源将难以持续利用，旅游业的可持续发展也将无从谈起。而开发则是保护的目的和动力，通过科学合理</w:t>
      </w:r>
      <w:r>
        <w:rPr>
          <w:rFonts w:hint="eastAsia" w:ascii="Times New Roman" w:hAnsi="Times New Roman" w:cs="Times New Roman"/>
          <w:bCs/>
          <w:color w:val="auto"/>
          <w:kern w:val="2"/>
          <w:sz w:val="24"/>
          <w:szCs w:val="24"/>
          <w:lang w:val="en-US" w:eastAsia="zh-CN" w:bidi="ar-SA"/>
        </w:rPr>
        <w:t>地</w:t>
      </w:r>
      <w:r>
        <w:rPr>
          <w:rFonts w:hint="default" w:ascii="Times New Roman" w:hAnsi="Times New Roman" w:cs="Times New Roman"/>
          <w:bCs/>
          <w:color w:val="auto"/>
          <w:kern w:val="2"/>
          <w:sz w:val="24"/>
          <w:szCs w:val="24"/>
          <w:lang w:val="en-US" w:eastAsia="zh-CN" w:bidi="ar-SA"/>
        </w:rPr>
        <w:t>开发，旅游资源可以得到更好</w:t>
      </w:r>
      <w:r>
        <w:rPr>
          <w:rFonts w:hint="eastAsia" w:ascii="Times New Roman" w:hAnsi="Times New Roman" w:cs="Times New Roman"/>
          <w:bCs/>
          <w:color w:val="auto"/>
          <w:kern w:val="2"/>
          <w:sz w:val="24"/>
          <w:szCs w:val="24"/>
          <w:lang w:val="en-US" w:eastAsia="zh-CN" w:bidi="ar-SA"/>
        </w:rPr>
        <w:t>地</w:t>
      </w:r>
      <w:r>
        <w:rPr>
          <w:rFonts w:hint="default" w:ascii="Times New Roman" w:hAnsi="Times New Roman" w:cs="Times New Roman"/>
          <w:bCs/>
          <w:color w:val="auto"/>
          <w:kern w:val="2"/>
          <w:sz w:val="24"/>
          <w:szCs w:val="24"/>
          <w:lang w:val="en-US" w:eastAsia="zh-CN" w:bidi="ar-SA"/>
        </w:rPr>
        <w:t>展示和利用，为当地经济发展注入新的活力。</w:t>
      </w:r>
    </w:p>
    <w:p w14:paraId="1B0F8F5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以云台山景区为例，该景区是焦作市旅游业的龙头，以其独特的自然风光和地质地貌吸引了大量游客。为了保护这一珍贵的旅游资源，焦作市政府和景区管理部门采取了一系列保护措施，如加强环境监测、限制游客数量、实施生态修复等。这些保护措施的实施，不仅有效保护了云台山的生态环境，还为后续的旅游开发奠定了坚实基础。随着保护工作的深入，云台山景区的旅游开发也得以顺利进行。景区通过完善基础设施、提升服务水平、创新旅游产品等方式，不断吸引更多游客前来观光旅游。</w:t>
      </w:r>
    </w:p>
    <w:p w14:paraId="6C96626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寻求保护与开发的平衡点</w:t>
      </w:r>
    </w:p>
    <w:p w14:paraId="7668FA1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实际操作中，旅游资源的保护与开发之间往往存在一定的矛盾。一方面，旅游开发需要占用一定的土地和资源，可能会对生态环境造成一定影响；另一方面，过度保护可能会限制旅游开发的空间和潜力，影响旅游业的快速发展。因此，如何寻求保护与开发之间的平衡点，实现两者的协调发展，成为旅游业面临的重要挑战。</w:t>
      </w:r>
    </w:p>
    <w:p w14:paraId="07469C6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为了协调保护与开发之间的矛盾，</w:t>
      </w:r>
      <w:r>
        <w:rPr>
          <w:rFonts w:hint="eastAsia" w:ascii="Times New Roman" w:hAnsi="Times New Roman" w:cs="Times New Roman"/>
          <w:bCs/>
          <w:color w:val="auto"/>
          <w:kern w:val="2"/>
          <w:sz w:val="24"/>
          <w:szCs w:val="24"/>
          <w:lang w:val="en-US" w:eastAsia="zh-CN" w:bidi="ar-SA"/>
        </w:rPr>
        <w:t>焦作市内景区</w:t>
      </w:r>
      <w:r>
        <w:rPr>
          <w:rFonts w:hint="default" w:ascii="Times New Roman" w:hAnsi="Times New Roman" w:cs="Times New Roman"/>
          <w:bCs/>
          <w:color w:val="auto"/>
          <w:kern w:val="2"/>
          <w:sz w:val="24"/>
          <w:szCs w:val="24"/>
          <w:lang w:val="en-US" w:eastAsia="zh-CN" w:bidi="ar-SA"/>
        </w:rPr>
        <w:t>采取了一系列措施。一方面，景区加强了对游客的环保教育和管理力度，通过设立环保提示牌、开展环保宣传活动等方式，提高游客的环保意识。另一方面，景区也加大了对</w:t>
      </w:r>
      <w:r>
        <w:rPr>
          <w:rFonts w:hint="eastAsia" w:ascii="Times New Roman" w:hAnsi="Times New Roman" w:cs="Times New Roman"/>
          <w:bCs/>
          <w:color w:val="auto"/>
          <w:kern w:val="2"/>
          <w:sz w:val="24"/>
          <w:szCs w:val="24"/>
          <w:lang w:val="en-US" w:eastAsia="zh-CN" w:bidi="ar-SA"/>
        </w:rPr>
        <w:t>生态环境保护</w:t>
      </w:r>
      <w:r>
        <w:rPr>
          <w:rFonts w:hint="default" w:ascii="Times New Roman" w:hAnsi="Times New Roman" w:cs="Times New Roman"/>
          <w:bCs/>
          <w:color w:val="auto"/>
          <w:kern w:val="2"/>
          <w:sz w:val="24"/>
          <w:szCs w:val="24"/>
          <w:lang w:val="en-US" w:eastAsia="zh-CN" w:bidi="ar-SA"/>
        </w:rPr>
        <w:t>和修复力度，如实施植树造林、治理水污染等项目，改善景区的生态环境质量。同时，景区还注重旅游产品的创新和升级，通过开发新的旅游项目和活动，吸引更多游客前来体验，实现旅游业的可持续发展。</w:t>
      </w:r>
    </w:p>
    <w:p w14:paraId="72D4D3B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除了景区自身的努力外，焦作市政府也在协调保护与开发之间矛盾方面发挥了重要作用。政府通过制定旅游发展规划、出台优惠政策、加强监管力度等方式，引导和支持旅游产业的健康发展。焦作市政府制定了《焦作市全域旅游发展规划》，明确了旅游产业的发展目标、空间布局和重点任务，为旅游资源的保护与开发提供了科学指导。同时，政府还加大了对旅游基础设施的投入和改善力度，提高了旅游服务的质量和水平。</w:t>
      </w:r>
    </w:p>
    <w:p w14:paraId="51112976">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（二）平衡措施与成效</w:t>
      </w:r>
    </w:p>
    <w:p w14:paraId="12FAE18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规划先行</w:t>
      </w:r>
    </w:p>
    <w:p w14:paraId="0E7F86E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焦作市深知，科学合理的旅游发展规划是平衡旅游资源保护与开发的关键。因此，该市在制定旅游发展规划时，充分考虑了保护与开发的需求，明确了两者之间的目标、任务和措施。</w:t>
      </w:r>
    </w:p>
    <w:p w14:paraId="48FF4A1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首先，焦作市对全市的旅游资源进行了全面梳理和评估，明确了哪些资源需要重点保护，哪些资源可以适度开发。在此基础上，该市制定了《焦作市全域旅游发展规划》，该规划不仅明确了旅游产业的发展方向和目标，还具体规划了各个旅游区域的功能定位、发展重点和保护措施。</w:t>
      </w:r>
    </w:p>
    <w:p w14:paraId="33517DB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例如，对于云台山这样的国家</w:t>
      </w:r>
      <w:r>
        <w:rPr>
          <w:rFonts w:hint="eastAsia" w:ascii="Times New Roman" w:hAnsi="Times New Roman" w:cs="Times New Roman"/>
          <w:bCs/>
          <w:color w:val="auto"/>
          <w:kern w:val="2"/>
          <w:sz w:val="24"/>
          <w:szCs w:val="24"/>
          <w:lang w:val="en-US" w:eastAsia="zh-CN" w:bidi="ar-SA"/>
        </w:rPr>
        <w:t>AAAAA景区</w:t>
      </w:r>
      <w:r>
        <w:rPr>
          <w:rFonts w:hint="default" w:ascii="Times New Roman" w:hAnsi="Times New Roman" w:cs="Times New Roman"/>
          <w:bCs/>
          <w:color w:val="auto"/>
          <w:kern w:val="2"/>
          <w:sz w:val="24"/>
          <w:szCs w:val="24"/>
          <w:lang w:val="en-US" w:eastAsia="zh-CN" w:bidi="ar-SA"/>
        </w:rPr>
        <w:t>，规划中明确提出了要加强生态保护，限制开发强度，确保景区的自然风光和生态环境不受破坏。同时，也规划了适当的旅游设施和服务，以满足游客的需求。而对于一些具有开发潜力的乡村旅游区域，规划则鼓励适度开发，挖掘乡村文化资源，打造特色乡村旅游产品。</w:t>
      </w:r>
      <w:r>
        <w:rPr>
          <w:rFonts w:hint="eastAsia" w:ascii="Times New Roman" w:hAnsi="Times New Roman" w:cs="Times New Roman"/>
          <w:bCs/>
          <w:color w:val="auto"/>
          <w:kern w:val="2"/>
          <w:sz w:val="24"/>
          <w:szCs w:val="24"/>
          <w:lang w:val="en-US" w:eastAsia="zh-CN" w:bidi="ar-SA"/>
        </w:rPr>
        <w:t xml:space="preserve">  </w:t>
      </w:r>
    </w:p>
    <w:p w14:paraId="4A5F0C3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通过科学规划，焦作市为旅游资源的保护与开发提供了明确的指导和依据，确保了两者之间的平衡发展。</w:t>
      </w:r>
    </w:p>
    <w:p w14:paraId="30AFA4A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政策引导</w:t>
      </w:r>
    </w:p>
    <w:p w14:paraId="1ED68E5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除了科学规划外，焦作市政府还出台了一系列政策，引导企业和社区在旅游资源开发中注重保护，实现经济效益与社会效益、环境效益的统一。</w:t>
      </w:r>
    </w:p>
    <w:p w14:paraId="32EF2BC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一方面，政府加大了对旅游资源保护的投入力度。通过设立专项保护资金、实施生态保护项目等方式，加强对自然景观、文化遗产和</w:t>
      </w:r>
      <w:r>
        <w:rPr>
          <w:rFonts w:hint="eastAsia" w:ascii="Times New Roman" w:hAnsi="Times New Roman" w:cs="Times New Roman"/>
          <w:bCs/>
          <w:color w:val="auto"/>
          <w:kern w:val="2"/>
          <w:sz w:val="24"/>
          <w:szCs w:val="24"/>
          <w:lang w:val="en-US" w:eastAsia="zh-CN" w:bidi="ar-SA"/>
        </w:rPr>
        <w:t>生态环境保护</w:t>
      </w:r>
      <w:r>
        <w:rPr>
          <w:rFonts w:hint="default" w:ascii="Times New Roman" w:hAnsi="Times New Roman" w:cs="Times New Roman"/>
          <w:bCs/>
          <w:color w:val="auto"/>
          <w:kern w:val="2"/>
          <w:sz w:val="24"/>
          <w:szCs w:val="24"/>
          <w:lang w:val="en-US" w:eastAsia="zh-CN" w:bidi="ar-SA"/>
        </w:rPr>
        <w:t>。另一方面，政府也出台了一系列优惠政策，鼓励企业和社区在旅游资源开发中注重保护。同时，政府还鼓励社区参与旅游资源保护与开发，通过发展乡村旅游、民宿经济等形式，让社区居民共享旅游发展成果，同时也承担起保护旅游资源的责任。</w:t>
      </w:r>
    </w:p>
    <w:p w14:paraId="2F08075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这些政策的出台和实施，有效引导了企业和社区在旅游资源开发中注重保护，实现了经济效益与社会效益、环境效益的统一。</w:t>
      </w:r>
    </w:p>
    <w:p w14:paraId="1CE1555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成效显著</w:t>
      </w:r>
    </w:p>
    <w:p w14:paraId="089C4B9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通过规划先行和政策引导，焦作市在旅游资源保护与开发方面取得了显著的成效。</w:t>
      </w:r>
    </w:p>
    <w:p w14:paraId="2348C4A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在一些地区，通过有效的平衡措施，实现了旅游资源的保护与开发的良性互动。以云台山景区为例，该景区在加强生态保护的同时，也注重旅游设施和服务的完善。如今，云台山景区已成为国家</w:t>
      </w:r>
      <w:r>
        <w:rPr>
          <w:rFonts w:hint="eastAsia" w:ascii="Times New Roman" w:hAnsi="Times New Roman" w:cs="Times New Roman"/>
          <w:bCs/>
          <w:color w:val="auto"/>
          <w:kern w:val="2"/>
          <w:sz w:val="24"/>
          <w:szCs w:val="24"/>
          <w:lang w:val="en-US" w:eastAsia="zh-CN" w:bidi="ar-SA"/>
        </w:rPr>
        <w:t>AAAA</w:t>
      </w:r>
      <w:r>
        <w:rPr>
          <w:rFonts w:hint="default" w:ascii="Times New Roman" w:hAnsi="Times New Roman" w:cs="Times New Roman"/>
          <w:bCs/>
          <w:color w:val="auto"/>
          <w:kern w:val="2"/>
          <w:sz w:val="24"/>
          <w:szCs w:val="24"/>
          <w:lang w:val="en-US" w:eastAsia="zh-CN" w:bidi="ar-SA"/>
        </w:rPr>
        <w:t>A级旅游景区，每年吸引大量游客前来观光旅游。而景区的生态环境也得到了有效保护，山水相依、绿树成荫的自然风光</w:t>
      </w:r>
      <w:r>
        <w:rPr>
          <w:rFonts w:hint="eastAsia" w:ascii="Times New Roman" w:hAnsi="Times New Roman" w:cs="Times New Roman"/>
          <w:bCs/>
          <w:color w:val="auto"/>
          <w:kern w:val="2"/>
          <w:sz w:val="24"/>
          <w:szCs w:val="24"/>
          <w:lang w:val="en-US" w:eastAsia="zh-CN" w:bidi="ar-SA"/>
        </w:rPr>
        <w:t>成为</w:t>
      </w:r>
      <w:r>
        <w:rPr>
          <w:rFonts w:hint="default" w:ascii="Times New Roman" w:hAnsi="Times New Roman" w:cs="Times New Roman"/>
          <w:bCs/>
          <w:color w:val="auto"/>
          <w:kern w:val="2"/>
          <w:sz w:val="24"/>
          <w:szCs w:val="24"/>
          <w:lang w:val="en-US" w:eastAsia="zh-CN" w:bidi="ar-SA"/>
        </w:rPr>
        <w:t>景区的一大亮点。</w:t>
      </w:r>
    </w:p>
    <w:p w14:paraId="6627782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除了云台山景区外，焦作市的一些乡村旅游区域也通过平衡措施实现了旅游资源的保护与开发的良性互动。</w:t>
      </w:r>
      <w:r>
        <w:rPr>
          <w:rFonts w:hint="eastAsia" w:ascii="Times New Roman" w:hAnsi="Times New Roman" w:cs="Times New Roman"/>
          <w:bCs/>
          <w:color w:val="auto"/>
          <w:kern w:val="2"/>
          <w:sz w:val="24"/>
          <w:szCs w:val="24"/>
          <w:lang w:val="en-US" w:eastAsia="zh-CN" w:bidi="ar-SA"/>
        </w:rPr>
        <w:t>猫岔</w:t>
      </w:r>
      <w:r>
        <w:rPr>
          <w:rFonts w:hint="default" w:ascii="Times New Roman" w:hAnsi="Times New Roman" w:cs="Times New Roman"/>
          <w:bCs/>
          <w:color w:val="auto"/>
          <w:kern w:val="2"/>
          <w:sz w:val="24"/>
          <w:szCs w:val="24"/>
          <w:lang w:val="en-US" w:eastAsia="zh-CN" w:bidi="ar-SA"/>
        </w:rPr>
        <w:t>村通过发展乡村旅游，将传统农耕文化与现代旅游元素相结合，打造了一批具有特色的乡村旅游产品。同时，该乡村也注重</w:t>
      </w:r>
      <w:r>
        <w:rPr>
          <w:rFonts w:hint="eastAsia" w:ascii="Times New Roman" w:hAnsi="Times New Roman" w:cs="Times New Roman"/>
          <w:bCs/>
          <w:color w:val="auto"/>
          <w:kern w:val="2"/>
          <w:sz w:val="24"/>
          <w:szCs w:val="24"/>
          <w:lang w:val="en-US" w:eastAsia="zh-CN" w:bidi="ar-SA"/>
        </w:rPr>
        <w:t>生态环境保护</w:t>
      </w:r>
      <w:r>
        <w:rPr>
          <w:rFonts w:hint="default" w:ascii="Times New Roman" w:hAnsi="Times New Roman" w:cs="Times New Roman"/>
          <w:bCs/>
          <w:color w:val="auto"/>
          <w:kern w:val="2"/>
          <w:sz w:val="24"/>
          <w:szCs w:val="24"/>
          <w:lang w:val="en-US" w:eastAsia="zh-CN" w:bidi="ar-SA"/>
        </w:rPr>
        <w:t>，保持了乡村的原生态风貌。如今，这个乡村已成为焦作市知名的乡村旅游景点，为当地经济发展做出了重要贡献。</w:t>
      </w:r>
    </w:p>
    <w:p w14:paraId="135D6C6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bCs/>
          <w:color w:val="auto"/>
          <w:sz w:val="30"/>
          <w:szCs w:val="30"/>
        </w:rPr>
      </w:pPr>
      <w:r>
        <w:rPr>
          <w:rFonts w:hint="default" w:ascii="Times New Roman" w:hAnsi="Times New Roman" w:cs="Times New Roman"/>
          <w:bCs/>
          <w:color w:val="auto"/>
          <w:kern w:val="2"/>
          <w:sz w:val="24"/>
          <w:szCs w:val="24"/>
          <w:lang w:val="en-US" w:eastAsia="zh-CN" w:bidi="ar-SA"/>
        </w:rPr>
        <w:t>此外，焦作市还通过加强旅游市场监管、提升旅游服务质量等方式，进一步推动旅游资源的保护与开发的良性互动。政府加大对旅游市场的监管力度，严厉打击各种违法违规行为，维护了旅游市场的秩序。同时，还注重提升旅游服务质量，加强旅游从业人员的培训和管理，为游客提供了更加优质、便捷的旅游服务。</w:t>
      </w:r>
    </w:p>
    <w:p w14:paraId="39406B33">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宋体" w:hAnsi="宋体" w:cs="宋体"/>
          <w:b/>
          <w:bCs/>
          <w:color w:val="auto"/>
          <w:sz w:val="30"/>
          <w:szCs w:val="30"/>
          <w:lang w:val="en-US" w:eastAsia="zh-CN"/>
        </w:rPr>
      </w:pPr>
      <w:bookmarkStart w:id="130" w:name="_Toc27185"/>
      <w:r>
        <w:rPr>
          <w:rFonts w:hint="eastAsia" w:ascii="宋体" w:hAnsi="宋体" w:cs="宋体"/>
          <w:b/>
          <w:bCs/>
          <w:color w:val="auto"/>
          <w:sz w:val="30"/>
          <w:szCs w:val="30"/>
          <w:lang w:val="en-US" w:eastAsia="zh-CN"/>
        </w:rPr>
        <w:t>第二节 存在问题</w:t>
      </w:r>
      <w:bookmarkEnd w:id="130"/>
    </w:p>
    <w:p w14:paraId="3E7F2698">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cs="宋体"/>
          <w:b/>
          <w:bCs/>
          <w:color w:val="auto"/>
          <w:sz w:val="28"/>
          <w:szCs w:val="28"/>
          <w:lang w:val="en-US" w:eastAsia="zh-CN"/>
        </w:rPr>
      </w:pPr>
      <w:bookmarkStart w:id="131" w:name="_Toc15581"/>
      <w:r>
        <w:rPr>
          <w:rFonts w:hint="eastAsia" w:ascii="宋体" w:hAnsi="宋体" w:cs="宋体"/>
          <w:b/>
          <w:bCs/>
          <w:color w:val="auto"/>
          <w:sz w:val="28"/>
          <w:szCs w:val="28"/>
          <w:lang w:val="en-US" w:eastAsia="zh-CN"/>
        </w:rPr>
        <w:t>一、资源开发利用不充分</w:t>
      </w:r>
      <w:bookmarkEnd w:id="131"/>
    </w:p>
    <w:p w14:paraId="7DC66F7B">
      <w:pPr>
        <w:spacing w:line="360" w:lineRule="auto"/>
        <w:ind w:firstLine="482" w:firstLineChars="200"/>
        <w:jc w:val="left"/>
        <w:rPr>
          <w:rFonts w:hint="eastAsia" w:ascii="宋体" w:hAnsi="宋体" w:cs="宋体"/>
          <w:b/>
          <w:bCs/>
          <w:color w:val="auto"/>
          <w:sz w:val="28"/>
          <w:szCs w:val="28"/>
          <w:lang w:val="en-US" w:eastAsia="zh-CN"/>
        </w:rPr>
      </w:pPr>
      <w:r>
        <w:rPr>
          <w:rFonts w:hint="eastAsia" w:ascii="宋体" w:hAnsi="宋体"/>
          <w:b/>
          <w:bCs/>
          <w:color w:val="000000" w:themeColor="text1"/>
          <w:sz w:val="24"/>
          <w:lang w:eastAsia="zh-CN"/>
          <w14:textFill>
            <w14:solidFill>
              <w14:schemeClr w14:val="tx1"/>
            </w14:solidFill>
          </w14:textFill>
        </w:rPr>
        <w:t>（</w:t>
      </w:r>
      <w:r>
        <w:rPr>
          <w:rFonts w:hint="eastAsia" w:ascii="宋体" w:hAnsi="宋体"/>
          <w:b/>
          <w:bCs/>
          <w:color w:val="000000" w:themeColor="text1"/>
          <w:sz w:val="24"/>
          <w:lang w:val="en-US" w:eastAsia="zh-CN"/>
          <w14:textFill>
            <w14:solidFill>
              <w14:schemeClr w14:val="tx1"/>
            </w14:solidFill>
          </w14:textFill>
        </w:rPr>
        <w:t>一）</w:t>
      </w:r>
      <w:r>
        <w:rPr>
          <w:rFonts w:hint="eastAsia" w:ascii="宋体" w:hAnsi="宋体"/>
          <w:b/>
          <w:bCs/>
          <w:color w:val="000000" w:themeColor="text1"/>
          <w:sz w:val="24"/>
          <w14:textFill>
            <w14:solidFill>
              <w14:schemeClr w14:val="tx1"/>
            </w14:solidFill>
          </w14:textFill>
        </w:rPr>
        <w:t>资源保护利用路径仍需创新</w:t>
      </w:r>
    </w:p>
    <w:p w14:paraId="221DE1A1">
      <w:pPr>
        <w:numPr>
          <w:ilvl w:val="0"/>
          <w:numId w:val="0"/>
        </w:numPr>
        <w:spacing w:line="360" w:lineRule="auto"/>
        <w:ind w:firstLine="480" w:firstLineChars="200"/>
        <w:jc w:val="left"/>
        <w:rPr>
          <w:rFonts w:hint="eastAsia" w:ascii="Times New Roman" w:hAnsi="Times New Roman" w:cs="Times New Roman"/>
          <w:bCs/>
          <w:color w:val="auto"/>
          <w:kern w:val="2"/>
          <w:sz w:val="24"/>
          <w:szCs w:val="24"/>
          <w:lang w:val="en-US" w:eastAsia="zh-CN" w:bidi="ar-SA"/>
        </w:rPr>
      </w:pPr>
      <w:r>
        <w:rPr>
          <w:rFonts w:hint="eastAsia" w:ascii="宋体" w:hAnsi="宋体"/>
          <w:color w:val="000000" w:themeColor="text1"/>
          <w:sz w:val="24"/>
          <w:lang w:val="en-US" w:eastAsia="zh-CN"/>
          <w14:textFill>
            <w14:solidFill>
              <w14:schemeClr w14:val="tx1"/>
            </w14:solidFill>
          </w14:textFill>
        </w:rPr>
        <w:t>焦作市</w:t>
      </w:r>
      <w:r>
        <w:rPr>
          <w:rFonts w:hint="eastAsia" w:ascii="宋体" w:hAnsi="宋体"/>
          <w:color w:val="000000" w:themeColor="text1"/>
          <w:sz w:val="24"/>
          <w14:textFill>
            <w14:solidFill>
              <w14:schemeClr w14:val="tx1"/>
            </w14:solidFill>
          </w14:textFill>
        </w:rPr>
        <w:t>境内有丰富的自然资源和文化遗产，为文旅深度融合奠定了良好的基础。但全</w:t>
      </w:r>
      <w:r>
        <w:rPr>
          <w:rFonts w:hint="eastAsia" w:ascii="宋体" w:hAnsi="宋体"/>
          <w:color w:val="000000" w:themeColor="text1"/>
          <w:sz w:val="24"/>
          <w:lang w:val="en-US" w:eastAsia="zh-CN"/>
          <w14:textFill>
            <w14:solidFill>
              <w14:schemeClr w14:val="tx1"/>
            </w14:solidFill>
          </w14:textFill>
        </w:rPr>
        <w:t>市</w:t>
      </w:r>
      <w:r>
        <w:rPr>
          <w:rFonts w:hint="eastAsia" w:ascii="宋体" w:hAnsi="宋体"/>
          <w:color w:val="000000" w:themeColor="text1"/>
          <w:sz w:val="24"/>
          <w14:textFill>
            <w14:solidFill>
              <w14:schemeClr w14:val="tx1"/>
            </w14:solidFill>
          </w14:textFill>
        </w:rPr>
        <w:t>有</w:t>
      </w:r>
      <w:r>
        <w:rPr>
          <w:rFonts w:hint="eastAsia" w:ascii="宋体" w:hAnsi="宋体"/>
          <w:color w:val="000000" w:themeColor="text1"/>
          <w:sz w:val="24"/>
          <w:lang w:val="en-US" w:eastAsia="zh-CN"/>
          <w14:textFill>
            <w14:solidFill>
              <w14:schemeClr w14:val="tx1"/>
            </w14:solidFill>
          </w14:textFill>
        </w:rPr>
        <w:t>许多特品</w:t>
      </w:r>
      <w:r>
        <w:rPr>
          <w:rFonts w:hint="eastAsia" w:ascii="宋体" w:hAnsi="宋体"/>
          <w:color w:val="000000" w:themeColor="text1"/>
          <w:sz w:val="24"/>
          <w14:textFill>
            <w14:solidFill>
              <w14:schemeClr w14:val="tx1"/>
            </w14:solidFill>
          </w14:textFill>
        </w:rPr>
        <w:t>级的</w:t>
      </w:r>
      <w:r>
        <w:rPr>
          <w:rFonts w:hint="eastAsia" w:ascii="宋体" w:hAnsi="宋体"/>
          <w:color w:val="000000" w:themeColor="text1"/>
          <w:sz w:val="24"/>
          <w:lang w:val="en-US" w:eastAsia="zh-CN"/>
          <w14:textFill>
            <w14:solidFill>
              <w14:schemeClr w14:val="tx1"/>
            </w14:solidFill>
          </w14:textFill>
        </w:rPr>
        <w:t>旅游</w:t>
      </w:r>
      <w:r>
        <w:rPr>
          <w:rFonts w:hint="eastAsia" w:ascii="宋体" w:hAnsi="宋体"/>
          <w:color w:val="000000" w:themeColor="text1"/>
          <w:sz w:val="24"/>
          <w14:textFill>
            <w14:solidFill>
              <w14:schemeClr w14:val="tx1"/>
            </w14:solidFill>
          </w14:textFill>
        </w:rPr>
        <w:t>资源特别是高等级文物保护单位和自然景观并未转化成一流的文化和旅游产品。长期以来，焦作</w:t>
      </w:r>
      <w:r>
        <w:rPr>
          <w:rFonts w:hint="eastAsia" w:ascii="宋体" w:hAnsi="宋体"/>
          <w:color w:val="000000" w:themeColor="text1"/>
          <w:sz w:val="24"/>
          <w:lang w:val="en-US" w:eastAsia="zh-CN"/>
          <w14:textFill>
            <w14:solidFill>
              <w14:schemeClr w14:val="tx1"/>
            </w14:solidFill>
          </w14:textFill>
        </w:rPr>
        <w:t>市</w:t>
      </w:r>
      <w:r>
        <w:rPr>
          <w:rFonts w:hint="eastAsia" w:ascii="宋体" w:hAnsi="宋体"/>
          <w:color w:val="000000" w:themeColor="text1"/>
          <w:sz w:val="24"/>
          <w14:textFill>
            <w14:solidFill>
              <w14:schemeClr w14:val="tx1"/>
            </w14:solidFill>
          </w14:textFill>
        </w:rPr>
        <w:t>乃至全国的旅游业都主要依托各类景区，包括风景区、主题公园、文物点等开发以观光旅游为主导的旅游产品和旅游活动</w:t>
      </w:r>
      <w:r>
        <w:rPr>
          <w:rFonts w:hint="eastAsia" w:ascii="宋体" w:hAnsi="宋体"/>
          <w:color w:val="000000" w:themeColor="text1"/>
          <w:sz w:val="24"/>
          <w:lang w:eastAsia="zh-CN"/>
          <w14:textFill>
            <w14:solidFill>
              <w14:schemeClr w14:val="tx1"/>
            </w14:solidFill>
          </w14:textFill>
        </w:rPr>
        <w:t>。</w:t>
      </w:r>
      <w:r>
        <w:rPr>
          <w:rFonts w:hint="default" w:ascii="Times New Roman" w:hAnsi="Times New Roman" w:cs="Times New Roman"/>
          <w:bCs/>
          <w:color w:val="auto"/>
          <w:kern w:val="2"/>
          <w:sz w:val="24"/>
          <w:szCs w:val="24"/>
          <w:lang w:val="en-US" w:eastAsia="zh-CN" w:bidi="ar-SA"/>
        </w:rPr>
        <w:t>在</w:t>
      </w:r>
      <w:r>
        <w:rPr>
          <w:rFonts w:hint="eastAsia" w:ascii="Times New Roman" w:hAnsi="Times New Roman" w:cs="Times New Roman"/>
          <w:bCs/>
          <w:color w:val="auto"/>
          <w:kern w:val="2"/>
          <w:sz w:val="24"/>
          <w:szCs w:val="24"/>
          <w:lang w:val="en-US" w:eastAsia="zh-CN" w:bidi="ar-SA"/>
        </w:rPr>
        <w:t xml:space="preserve">“焦作现象”时期，焦作主要是依赖云台山景区的山水旅游来带动全市旅游业的快速发展。经过近 </w:t>
      </w:r>
      <w:r>
        <w:rPr>
          <w:rFonts w:hint="default" w:ascii="Times New Roman" w:hAnsi="Times New Roman" w:cs="Times New Roman"/>
          <w:bCs/>
          <w:color w:val="auto"/>
          <w:kern w:val="2"/>
          <w:sz w:val="24"/>
          <w:szCs w:val="24"/>
          <w:lang w:val="en-US" w:eastAsia="zh-CN" w:bidi="ar-SA"/>
        </w:rPr>
        <w:t xml:space="preserve">20 </w:t>
      </w:r>
      <w:r>
        <w:rPr>
          <w:rFonts w:hint="eastAsia" w:ascii="Times New Roman" w:hAnsi="Times New Roman" w:cs="Times New Roman"/>
          <w:bCs/>
          <w:color w:val="auto"/>
          <w:kern w:val="2"/>
          <w:sz w:val="24"/>
          <w:szCs w:val="24"/>
          <w:lang w:val="en-US" w:eastAsia="zh-CN" w:bidi="ar-SA"/>
        </w:rPr>
        <w:t>年的发展，焦作目前的旅游仍在较大程度上依赖云台山景区的自然山水观光产品，虽然近年来云台山开发了一些乡村民宿项目来丰富游客的选择，但受制于发展空间，难以达到足够的体量来辐射和影响焦作的全域旅游，仍然只是山水观光产品的补充。云台山巨大的游客流量对焦作市其他景区的辐射和拉动作用没有有效发挥出来。</w:t>
      </w:r>
    </w:p>
    <w:p w14:paraId="15375F8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color w:val="000000" w:themeColor="text1"/>
          <w:sz w:val="24"/>
          <w14:textFill>
            <w14:solidFill>
              <w14:schemeClr w14:val="tx1"/>
            </w14:solidFill>
          </w14:textFill>
        </w:rPr>
      </w:pPr>
      <w:r>
        <w:rPr>
          <w:rFonts w:hint="eastAsia" w:ascii="Times New Roman" w:hAnsi="Times New Roman" w:cs="Times New Roman"/>
          <w:bCs/>
          <w:color w:val="auto"/>
          <w:kern w:val="2"/>
          <w:sz w:val="24"/>
          <w:szCs w:val="24"/>
          <w:lang w:val="en-US" w:eastAsia="zh-CN" w:bidi="ar-SA"/>
        </w:rPr>
        <w:t>在大力推进山水旅游品牌建设的同时，焦作一直致力于以太极为另一核心品牌的文化旅游产品的开发。从本世纪初开始，地方政府主导开发陈家沟景区，陈家沟从一个普通的农村到现在被命名为“陈家沟太极拳文化旅游区”，投资巨大。然而，随着近年来“在陈家沟开拳馆不如海外教拳”、太极作为武术“从能打最重要，到现在市场是王道”的转变，使得陈家沟渐渐成为了“消失的武林”。除了目前尚还在修复的陈家沟传统村落风貌和景观外，已建的太极拳祖祠、博物馆等也多为静态类的参观项目，尽管场馆品质和展陈内容较好，但对游客的吸引力不强，加之没有其他延伸类的配套产品，旅游人气不足。除此之外，焦作的黄河生态、治水文化、工业文明、历史名人等资源开发都较为欠缺，没有形成游客必选、必到的旅游目的地。同时，怀药等旅游购物商品开发不够，城市特色商业、娱乐活动不足。</w:t>
      </w:r>
    </w:p>
    <w:p w14:paraId="5EE511CB">
      <w:pPr>
        <w:spacing w:line="360" w:lineRule="auto"/>
        <w:ind w:firstLine="480" w:firstLineChars="200"/>
        <w:jc w:val="left"/>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在文旅深度融合的大背景下，应树立“大资源观”和以“利用促保护”的理念，建立文化和旅游资源的保护与科学利用的有效机制，以市场为导向，解放思想，提高地质景观、水域景观、文物、非遗等资源转化深度与广度，以突破其利用难、转化难、保护更难的困境。推动将文保点、非遗传承点、非遗技艺等更多地转向生活场景，以体验、互动、情境、故事、科技及内容的策划取胜，不断融合不断创意，助力新时期文化和旅游资源开发的创造性转化和创新性发展，释放更多资源转化活力与空间。</w:t>
      </w:r>
    </w:p>
    <w:p w14:paraId="582E191E">
      <w:pPr>
        <w:numPr>
          <w:ilvl w:val="0"/>
          <w:numId w:val="25"/>
        </w:numPr>
        <w:spacing w:line="360" w:lineRule="auto"/>
        <w:ind w:left="420" w:leftChars="0" w:firstLine="0" w:firstLineChars="0"/>
        <w:jc w:val="left"/>
        <w:rPr>
          <w:rFonts w:hint="eastAsia"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资源利用与高质量发展仍有距离</w:t>
      </w:r>
    </w:p>
    <w:p w14:paraId="7D840B15">
      <w:pPr>
        <w:spacing w:line="360" w:lineRule="auto"/>
        <w:ind w:firstLine="480" w:firstLineChars="200"/>
        <w:jc w:val="left"/>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高质量发展是一种满足人民美好生活需求的经济发展模式。文化和旅游资源的开发、利用、转化应在文旅融合、主客共享的层面深入，形成现代化、高品质的文化和旅游公共服务体系，以及文化和旅游产品体系，让人民群众的文化生活和旅游体验更加丰富、更有品质。目前，全</w:t>
      </w:r>
      <w:r>
        <w:rPr>
          <w:rFonts w:hint="eastAsia" w:ascii="宋体" w:hAnsi="宋体"/>
          <w:color w:val="000000" w:themeColor="text1"/>
          <w:sz w:val="24"/>
          <w:lang w:val="en-US" w:eastAsia="zh-CN"/>
          <w14:textFill>
            <w14:solidFill>
              <w14:schemeClr w14:val="tx1"/>
            </w14:solidFill>
          </w14:textFill>
        </w:rPr>
        <w:t>市</w:t>
      </w:r>
      <w:r>
        <w:rPr>
          <w:rFonts w:hint="eastAsia" w:ascii="宋体" w:hAnsi="宋体"/>
          <w:color w:val="000000" w:themeColor="text1"/>
          <w:sz w:val="24"/>
          <w14:textFill>
            <w14:solidFill>
              <w14:schemeClr w14:val="tx1"/>
            </w14:solidFill>
          </w14:textFill>
        </w:rPr>
        <w:t>旅游景区数量</w:t>
      </w:r>
      <w:r>
        <w:rPr>
          <w:rFonts w:hint="eastAsia" w:ascii="宋体" w:hAnsi="宋体"/>
          <w:color w:val="000000" w:themeColor="text1"/>
          <w:sz w:val="24"/>
          <w:lang w:val="en-US" w:eastAsia="zh-CN"/>
          <w14:textFill>
            <w14:solidFill>
              <w14:schemeClr w14:val="tx1"/>
            </w14:solidFill>
          </w14:textFill>
        </w:rPr>
        <w:t>较</w:t>
      </w:r>
      <w:r>
        <w:rPr>
          <w:rFonts w:hint="eastAsia" w:ascii="宋体" w:hAnsi="宋体"/>
          <w:color w:val="000000" w:themeColor="text1"/>
          <w:sz w:val="24"/>
          <w14:textFill>
            <w14:solidFill>
              <w14:schemeClr w14:val="tx1"/>
            </w14:solidFill>
          </w14:textFill>
        </w:rPr>
        <w:t>多，但</w:t>
      </w:r>
      <w:r>
        <w:rPr>
          <w:rFonts w:hint="eastAsia" w:ascii="宋体" w:hAnsi="宋体"/>
          <w:color w:val="000000" w:themeColor="text1"/>
          <w:sz w:val="24"/>
          <w:lang w:val="en-US" w:eastAsia="zh-CN"/>
          <w14:textFill>
            <w14:solidFill>
              <w14:schemeClr w14:val="tx1"/>
            </w14:solidFill>
          </w14:textFill>
        </w:rPr>
        <w:t>除了云台山，其他景区知名度不高，与新乡、开封、洛阳相比，千万级核心景区较少</w:t>
      </w:r>
      <w:r>
        <w:rPr>
          <w:rFonts w:hint="eastAsia" w:ascii="宋体" w:hAnsi="宋体"/>
          <w:color w:val="000000" w:themeColor="text1"/>
          <w:sz w:val="24"/>
          <w14:textFill>
            <w14:solidFill>
              <w14:schemeClr w14:val="tx1"/>
            </w14:solidFill>
          </w14:textFill>
        </w:rPr>
        <w:t>。其中，部分传统观光型旅游景区发展与现代旅游市场需求不匹配，如传统老旅游景区设施陈旧、业态滞后、吸引力不足，市场竞争力大幅下滑。全</w:t>
      </w:r>
      <w:r>
        <w:rPr>
          <w:rFonts w:hint="eastAsia" w:ascii="宋体" w:hAnsi="宋体"/>
          <w:color w:val="000000" w:themeColor="text1"/>
          <w:sz w:val="24"/>
          <w:lang w:val="en-US" w:eastAsia="zh-CN"/>
          <w14:textFill>
            <w14:solidFill>
              <w14:schemeClr w14:val="tx1"/>
            </w14:solidFill>
          </w14:textFill>
        </w:rPr>
        <w:t>市</w:t>
      </w:r>
      <w:r>
        <w:rPr>
          <w:rFonts w:hint="eastAsia" w:ascii="宋体" w:hAnsi="宋体"/>
          <w:color w:val="000000" w:themeColor="text1"/>
          <w:sz w:val="24"/>
          <w14:textFill>
            <w14:solidFill>
              <w14:schemeClr w14:val="tx1"/>
            </w14:solidFill>
          </w14:textFill>
        </w:rPr>
        <w:t>具有核心竞争力的文化和旅游产业体系还不够强，缺乏现象级爆款产品。</w:t>
      </w:r>
    </w:p>
    <w:p w14:paraId="1F9DCF99">
      <w:pPr>
        <w:spacing w:line="360" w:lineRule="auto"/>
        <w:ind w:firstLine="480" w:firstLineChars="200"/>
        <w:jc w:val="left"/>
        <w:rPr>
          <w:rFonts w:hint="default" w:ascii="宋体" w:hAnsi="宋体" w:cs="宋体"/>
          <w:b/>
          <w:bCs/>
          <w:color w:val="auto"/>
          <w:sz w:val="28"/>
          <w:szCs w:val="28"/>
          <w:lang w:val="en-US" w:eastAsia="zh-CN"/>
        </w:rPr>
      </w:pPr>
      <w:r>
        <w:rPr>
          <w:rFonts w:hint="eastAsia" w:ascii="Times New Roman" w:hAnsi="Times New Roman" w:cs="Times New Roman"/>
          <w:bCs/>
          <w:color w:val="auto"/>
          <w:kern w:val="2"/>
          <w:sz w:val="24"/>
          <w:szCs w:val="24"/>
          <w:lang w:val="en-US" w:eastAsia="zh-CN" w:bidi="ar-SA"/>
        </w:rPr>
        <w:t>此外，资源利用和国际市场份额不匹配，国际化水平仍需提高。</w:t>
      </w:r>
      <w:r>
        <w:rPr>
          <w:rFonts w:hint="eastAsia" w:ascii="宋体" w:hAnsi="宋体"/>
          <w:color w:val="000000" w:themeColor="text1"/>
          <w:sz w:val="24"/>
          <w:lang w:val="en-US" w:eastAsia="zh-CN"/>
          <w14:textFill>
            <w14:solidFill>
              <w14:schemeClr w14:val="tx1"/>
            </w14:solidFill>
          </w14:textFill>
        </w:rPr>
        <w:t>焦作市</w:t>
      </w:r>
      <w:r>
        <w:rPr>
          <w:rFonts w:hint="eastAsia" w:ascii="宋体" w:hAnsi="宋体"/>
          <w:color w:val="000000" w:themeColor="text1"/>
          <w:sz w:val="24"/>
          <w14:textFill>
            <w14:solidFill>
              <w14:schemeClr w14:val="tx1"/>
            </w14:solidFill>
          </w14:textFill>
        </w:rPr>
        <w:t>具有国际化发展潜质的文化和旅游资源未得到有效挖掘与利用</w:t>
      </w: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如太极拳的</w:t>
      </w:r>
      <w:r>
        <w:rPr>
          <w:rFonts w:hint="eastAsia" w:ascii="宋体" w:hAnsi="宋体"/>
          <w:color w:val="000000" w:themeColor="text1"/>
          <w:sz w:val="24"/>
          <w14:textFill>
            <w14:solidFill>
              <w14:schemeClr w14:val="tx1"/>
            </w14:solidFill>
          </w14:textFill>
        </w:rPr>
        <w:t>文化内涵没有得到深入挖掘，</w:t>
      </w:r>
      <w:r>
        <w:rPr>
          <w:rFonts w:hint="eastAsia" w:ascii="宋体" w:hAnsi="宋体"/>
          <w:color w:val="000000" w:themeColor="text1"/>
          <w:sz w:val="24"/>
          <w:lang w:val="en-US" w:eastAsia="zh-CN"/>
          <w14:textFill>
            <w14:solidFill>
              <w14:schemeClr w14:val="tx1"/>
            </w14:solidFill>
          </w14:textFill>
        </w:rPr>
        <w:t>虽然有国际游客在此学拳，但</w:t>
      </w:r>
      <w:r>
        <w:rPr>
          <w:rFonts w:hint="eastAsia" w:ascii="宋体" w:hAnsi="宋体"/>
          <w:color w:val="000000" w:themeColor="text1"/>
          <w:sz w:val="24"/>
          <w14:textFill>
            <w14:solidFill>
              <w14:schemeClr w14:val="tx1"/>
            </w14:solidFill>
          </w14:textFill>
        </w:rPr>
        <w:t>全</w:t>
      </w:r>
      <w:r>
        <w:rPr>
          <w:rFonts w:hint="eastAsia" w:ascii="宋体" w:hAnsi="宋体"/>
          <w:color w:val="000000" w:themeColor="text1"/>
          <w:sz w:val="24"/>
          <w:lang w:val="en-US" w:eastAsia="zh-CN"/>
          <w14:textFill>
            <w14:solidFill>
              <w14:schemeClr w14:val="tx1"/>
            </w14:solidFill>
          </w14:textFill>
        </w:rPr>
        <w:t>市</w:t>
      </w:r>
      <w:r>
        <w:rPr>
          <w:rFonts w:hint="eastAsia" w:ascii="宋体" w:hAnsi="宋体"/>
          <w:color w:val="000000" w:themeColor="text1"/>
          <w:sz w:val="24"/>
          <w14:textFill>
            <w14:solidFill>
              <w14:schemeClr w14:val="tx1"/>
            </w14:solidFill>
          </w14:textFill>
        </w:rPr>
        <w:t>层面的国际旅游配套设施和旅游服务的国际化水平仍需提升，国际可进入性尚显不足，公共交通、厕所、城市标识系统等配套设施远未达到国际标准规范性要求。饭店业</w:t>
      </w:r>
      <w:r>
        <w:rPr>
          <w:rFonts w:hint="eastAsia" w:ascii="宋体" w:hAnsi="宋体"/>
          <w:color w:val="000000" w:themeColor="text1"/>
          <w:sz w:val="24"/>
          <w:lang w:val="en-US" w:eastAsia="zh-CN"/>
          <w14:textFill>
            <w14:solidFill>
              <w14:schemeClr w14:val="tx1"/>
            </w14:solidFill>
          </w14:textFill>
        </w:rPr>
        <w:t>和</w:t>
      </w:r>
      <w:r>
        <w:rPr>
          <w:rFonts w:hint="eastAsia" w:ascii="宋体" w:hAnsi="宋体"/>
          <w:color w:val="000000" w:themeColor="text1"/>
          <w:sz w:val="24"/>
          <w14:textFill>
            <w14:solidFill>
              <w14:schemeClr w14:val="tx1"/>
            </w14:solidFill>
          </w14:textFill>
        </w:rPr>
        <w:t>其他旅游服务要素接轨国际程度尚低，具备国际旅游服务素质的从业人员缺口较大。</w:t>
      </w:r>
    </w:p>
    <w:p w14:paraId="6E8B2A84">
      <w:pPr>
        <w:keepNext w:val="0"/>
        <w:keepLines w:val="0"/>
        <w:pageBreakBefore w:val="0"/>
        <w:widowControl w:val="0"/>
        <w:kinsoku/>
        <w:wordWrap/>
        <w:overflowPunct/>
        <w:topLinePunct w:val="0"/>
        <w:autoSpaceDE/>
        <w:autoSpaceDN/>
        <w:bidi w:val="0"/>
        <w:adjustRightInd/>
        <w:snapToGrid/>
        <w:textAlignment w:val="auto"/>
        <w:outlineLvl w:val="2"/>
        <w:rPr>
          <w:rFonts w:hint="default" w:ascii="宋体" w:hAnsi="宋体" w:eastAsia="宋体" w:cs="宋体"/>
          <w:b/>
          <w:bCs/>
          <w:color w:val="auto"/>
          <w:sz w:val="28"/>
          <w:szCs w:val="28"/>
          <w:lang w:eastAsia="zh-CN"/>
        </w:rPr>
      </w:pPr>
      <w:bookmarkStart w:id="132" w:name="_Toc21804"/>
      <w:r>
        <w:rPr>
          <w:rFonts w:hint="eastAsia" w:ascii="宋体" w:hAnsi="宋体" w:cs="宋体"/>
          <w:b/>
          <w:bCs/>
          <w:color w:val="auto"/>
          <w:sz w:val="28"/>
          <w:szCs w:val="28"/>
          <w:lang w:val="en-US" w:eastAsia="zh-CN"/>
        </w:rPr>
        <w:t>二</w:t>
      </w:r>
      <w:r>
        <w:rPr>
          <w:rFonts w:hint="default" w:ascii="宋体" w:hAnsi="宋体" w:eastAsia="宋体" w:cs="宋体"/>
          <w:b/>
          <w:bCs/>
          <w:color w:val="auto"/>
          <w:sz w:val="28"/>
          <w:szCs w:val="28"/>
          <w:lang w:eastAsia="zh-CN"/>
        </w:rPr>
        <w:t>、整体规划缺乏系统性</w:t>
      </w:r>
      <w:bookmarkEnd w:id="132"/>
    </w:p>
    <w:p w14:paraId="0D285328">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w:t>
      </w:r>
      <w:r>
        <w:rPr>
          <w:rFonts w:hint="default" w:ascii="宋体" w:hAnsi="宋体" w:cs="宋体"/>
          <w:b/>
          <w:bCs/>
          <w:color w:val="auto"/>
          <w:sz w:val="24"/>
          <w:szCs w:val="24"/>
          <w:lang w:val="en-US" w:eastAsia="zh-CN"/>
        </w:rPr>
        <w:t>景区各自为政</w:t>
      </w:r>
    </w:p>
    <w:p w14:paraId="27D4673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景区各自为政是焦作市旅游资源保护与开发整体规划缺乏系统性的显著表现。焦作市域内旅游景区星罗棋布，涵盖了自然景观、历史文化遗迹、民俗风情等多个领域。云台山以其奇峻的山峰、清澈的溪流和茂密的森林闻名遐迩，吸引着大量游客前来观赏自然风光；青天河则以其碧波荡漾的湖水和两岸秀美的山峦成为休闲度假的好去处；而焦作影视城、陈家沟等景区则承载着深厚的历史文化底蕴，让游客能够领略到焦作的历史变迁和独特文化。然而，这些景区之间却缺乏统一的战略规划，各景区往往各自为战，单打独斗。</w:t>
      </w:r>
    </w:p>
    <w:p w14:paraId="50DFCCC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每个景区都有自己独立的管理机构、运营模式和开发计划。在宣传推广方面，各景区各自投入资金进行广告投放、参加旅游展会等活动，缺乏有效</w:t>
      </w:r>
      <w:r>
        <w:rPr>
          <w:rFonts w:hint="eastAsia" w:ascii="Times New Roman" w:hAnsi="Times New Roman" w:cs="Times New Roman"/>
          <w:bCs/>
          <w:color w:val="auto"/>
          <w:kern w:val="2"/>
          <w:sz w:val="24"/>
          <w:szCs w:val="24"/>
          <w:lang w:val="en-US" w:eastAsia="zh-CN" w:bidi="ar-SA"/>
        </w:rPr>
        <w:t>地</w:t>
      </w:r>
      <w:r>
        <w:rPr>
          <w:rFonts w:hint="default" w:ascii="Times New Roman" w:hAnsi="Times New Roman" w:cs="Times New Roman"/>
          <w:bCs/>
          <w:color w:val="auto"/>
          <w:kern w:val="2"/>
          <w:sz w:val="24"/>
          <w:szCs w:val="24"/>
          <w:lang w:val="en-US" w:eastAsia="zh-CN" w:bidi="ar-SA"/>
        </w:rPr>
        <w:t>整合与协同。这就导致了宣传资源的浪费，无法形成强大的宣传合力。例如，在旅游旺季，多个景区可能同时在不同媒体上发布宣传信息，但由于缺乏统一的主题和规划，游客很难从中获取全面、系统的旅游信息，难以形成对焦作市整体旅游形象的清晰认知。</w:t>
      </w:r>
    </w:p>
    <w:p w14:paraId="03906CD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旅游产品开发上，各景区也缺乏合作与互补。一些景区可能专注于自然景观的开发，而忽视了与文化资源的融合；另一些景区则可能过于强调历史文化，而忽略了休闲度假等现代旅游需求。这种各自为政的开发模式使得旅游资源的开发和利用缺乏整体性和协调性。游客在游览过程中，往往需要花费大量的时间和精力在不同景区之间奔波，难以获得连贯、优质的旅游体验。而且，由于缺乏统一的规划，各景区之间的交通、餐饮、住宿等配套设施也难以实现有效衔接，进一步影响了旅游业的整体发展。</w:t>
      </w:r>
    </w:p>
    <w:p w14:paraId="46D23C5E">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（二）</w:t>
      </w:r>
      <w:r>
        <w:rPr>
          <w:rFonts w:hint="default" w:ascii="宋体" w:hAnsi="宋体" w:cs="宋体"/>
          <w:b/>
          <w:bCs/>
          <w:color w:val="auto"/>
          <w:sz w:val="24"/>
          <w:szCs w:val="24"/>
          <w:lang w:val="en-US" w:eastAsia="zh-CN"/>
        </w:rPr>
        <w:t>产品组合性不足</w:t>
      </w:r>
    </w:p>
    <w:p w14:paraId="30A2E46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产品组合性不足是焦作市旅游资源保护与开发整体规划缺乏系统性的另一大问题。焦作市的旅游产品布局与组合、线路设置和区域产业布局等方面存在诸多不合理之处。首先，缺乏与中原城市群中其他城市的产品组合。中原城市群作为一个经济联系紧密的区域，各城市之间的旅游资源具有很强的互补性。然而，焦作市在旅游产品开发过程中，未能充分与周边城市进行合作，实现资源共享、优势互补。</w:t>
      </w:r>
    </w:p>
    <w:p w14:paraId="5AAD0FD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例如，郑州拥有丰富的历史文化遗迹和现代化的城市景观，开封则以宋文化为主题打造了众多特色旅游景区。焦作市可以与这些城市联合开发跨区域的旅游线路，将焦作的自然风光与郑州、开封的历史文化相结合，形成更具吸引力的旅游产品。但目前，焦作市与周边城市的旅游合作相对较少，游客在游览完焦作后，很难便捷地前往其他城市继续旅游，降低了旅游的综合效益。</w:t>
      </w:r>
    </w:p>
    <w:p w14:paraId="69B16E4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其次，缺乏南太行沿线的产品组合。南太行地区拥有壮丽的自然风光和丰富的文化资源，焦作市作为南太行的重要组成部分</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应与沿线其他地区共同打造具有特色的旅游品牌。然而，目前焦作市在南太行沿线的旅游产品开发上相对孤立，未能与山西、河北等地的南太行景区形成有效的合作。各景区之间的旅游线路缺乏衔接，旅游产品也缺乏差异化和互补性。这使得游客在游览南太行时，难以获得全面、深入的旅游体验，也限制了南太行旅游品牌的整体提升。</w:t>
      </w:r>
    </w:p>
    <w:p w14:paraId="3666046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再者，缺乏经典</w:t>
      </w:r>
      <w:r>
        <w:rPr>
          <w:rFonts w:hint="eastAsia" w:ascii="Times New Roman" w:hAnsi="Times New Roman" w:cs="Times New Roman"/>
          <w:bCs/>
          <w:color w:val="auto"/>
          <w:kern w:val="2"/>
          <w:sz w:val="24"/>
          <w:szCs w:val="24"/>
          <w:lang w:val="en-US" w:eastAsia="zh-CN" w:bidi="ar-SA"/>
        </w:rPr>
        <w:t>游</w:t>
      </w:r>
      <w:r>
        <w:rPr>
          <w:rFonts w:hint="default" w:ascii="Times New Roman" w:hAnsi="Times New Roman" w:cs="Times New Roman"/>
          <w:bCs/>
          <w:color w:val="auto"/>
          <w:kern w:val="2"/>
          <w:sz w:val="24"/>
          <w:szCs w:val="24"/>
          <w:lang w:val="en-US" w:eastAsia="zh-CN" w:bidi="ar-SA"/>
        </w:rPr>
        <w:t>线。经典游线是吸引游客的重要因素之一，它能够将各个景区串联起来，让游客在有限的时间内领略到更多的美景和文化。然而，焦作市目前的旅游游线设置不够合理，缺乏具有代表性和吸引力的经典游线。一些游线可能过于注重景区的数量，而忽略了游客的实际体验和需求；另一些游线则可能过于单一，缺乏变化和趣味性。这就导致游客在选择旅游线路时感到困惑，难以找到符合自己需求的旅游产品。</w:t>
      </w:r>
    </w:p>
    <w:p w14:paraId="007503D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产品组合性不足限制了旅游产品的多样性和吸引力，难以满足游客的多元化需求。随着人们生活水平的提高和旅游消费观念的转变，游客对旅游产品的需求越来越多样化和个性化。他们不仅希望能够欣赏到美丽的自然风光，还希望能够体验到当地的历史文化、民俗风情，参与到各种休闲娱乐活动中。然而，焦作市目前的旅游产品大多以观光游览为主，缺乏参与性、体验性和互动性强的项目。例如，在民俗文化旅游方面，虽然焦作市拥有丰富的民俗文化资源，但相关的旅游产品开发相对滞后，游客很难深入了解和体验当地的民俗文化。</w:t>
      </w:r>
    </w:p>
    <w:p w14:paraId="6BDF1F7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此外，由于缺乏多样化的旅游产品组合，焦作市的旅游市场受众也相对狭窄。主要以国内中短途游客为主，对国际游客和高端游客的吸引力不足。在国际旅游市场竞争日益激烈的今天，焦作市如果不能及时调整旅游产品结构，提高旅游产品的多样性和吸引力，将很难在国际旅游市场中占据一席之地。</w:t>
      </w:r>
    </w:p>
    <w:p w14:paraId="56CB9187">
      <w:pPr>
        <w:keepNext w:val="0"/>
        <w:keepLines w:val="0"/>
        <w:pageBreakBefore w:val="0"/>
        <w:widowControl w:val="0"/>
        <w:kinsoku/>
        <w:wordWrap/>
        <w:overflowPunct/>
        <w:topLinePunct w:val="0"/>
        <w:autoSpaceDE/>
        <w:autoSpaceDN/>
        <w:bidi w:val="0"/>
        <w:adjustRightInd/>
        <w:snapToGrid/>
        <w:textAlignment w:val="auto"/>
        <w:outlineLvl w:val="2"/>
        <w:rPr>
          <w:rFonts w:hint="default" w:ascii="宋体" w:hAnsi="宋体" w:eastAsia="宋体" w:cs="宋体"/>
          <w:b/>
          <w:bCs/>
          <w:color w:val="auto"/>
          <w:sz w:val="28"/>
          <w:szCs w:val="28"/>
          <w:lang w:val="en-US" w:eastAsia="zh-CN"/>
        </w:rPr>
      </w:pPr>
      <w:bookmarkStart w:id="133" w:name="_Toc2360"/>
      <w:r>
        <w:rPr>
          <w:rFonts w:hint="eastAsia" w:ascii="宋体" w:hAnsi="宋体" w:cs="宋体"/>
          <w:b/>
          <w:bCs/>
          <w:color w:val="auto"/>
          <w:sz w:val="28"/>
          <w:szCs w:val="28"/>
          <w:lang w:val="en-US" w:eastAsia="zh-CN"/>
        </w:rPr>
        <w:t>三</w:t>
      </w:r>
      <w:r>
        <w:rPr>
          <w:rFonts w:hint="default" w:ascii="宋体" w:hAnsi="宋体" w:eastAsia="宋体" w:cs="宋体"/>
          <w:b/>
          <w:bCs/>
          <w:color w:val="auto"/>
          <w:sz w:val="28"/>
          <w:szCs w:val="28"/>
          <w:lang w:eastAsia="zh-CN"/>
        </w:rPr>
        <w:t>、文旅融合深度</w:t>
      </w:r>
      <w:r>
        <w:rPr>
          <w:rFonts w:hint="eastAsia" w:ascii="宋体" w:hAnsi="宋体" w:cs="宋体"/>
          <w:b/>
          <w:bCs/>
          <w:color w:val="auto"/>
          <w:sz w:val="28"/>
          <w:szCs w:val="28"/>
          <w:lang w:val="en-US" w:eastAsia="zh-CN"/>
        </w:rPr>
        <w:t>不足</w:t>
      </w:r>
      <w:bookmarkEnd w:id="133"/>
    </w:p>
    <w:p w14:paraId="06E3647B">
      <w:pPr>
        <w:spacing w:line="360" w:lineRule="auto"/>
        <w:ind w:firstLine="482" w:firstLineChars="200"/>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（一）</w:t>
      </w:r>
      <w:r>
        <w:rPr>
          <w:rFonts w:hint="default" w:ascii="宋体" w:hAnsi="宋体" w:cs="宋体"/>
          <w:b/>
          <w:bCs/>
          <w:color w:val="auto"/>
          <w:sz w:val="24"/>
          <w:szCs w:val="24"/>
          <w:lang w:val="en-US" w:eastAsia="zh-CN"/>
        </w:rPr>
        <w:t>文化内涵挖掘</w:t>
      </w:r>
      <w:r>
        <w:rPr>
          <w:rFonts w:hint="eastAsia" w:ascii="宋体" w:hAnsi="宋体" w:cs="宋体"/>
          <w:b/>
          <w:bCs/>
          <w:color w:val="auto"/>
          <w:sz w:val="24"/>
          <w:szCs w:val="24"/>
          <w:lang w:val="en-US" w:eastAsia="zh-CN"/>
        </w:rPr>
        <w:t>不够</w:t>
      </w:r>
    </w:p>
    <w:p w14:paraId="6A32780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文化内涵挖掘不足是焦作市文旅融合深度不够的显著表现。焦作市拥有着极为丰富的历史文化资源，宛如一座亟待深度开采的文化宝藏。这里是司马懿、韩愈、李商隐等众多历史名人的故里，他们的事迹和思想为焦作市增添了厚重的文化底蕴；陈家沟作为太极拳的发源地，承载着中华武术文化的精髓；山阳故城见证了历史的沧桑变迁，留下了无数珍贵的历史遗迹；还有众多古老的村落，保留着传统的建筑风格和民俗风情。然而，在旅游开发过程中，对这些文化资源的挖掘和利用却远远不够深入。</w:t>
      </w:r>
    </w:p>
    <w:p w14:paraId="11A7264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许多景区目前仍停留在观光游层面，游客来到景区，大多只是走马观花地看看风景，拍拍照，缺乏对文化内涵的深入体验。以一些历史文化景区为例，景区内虽然有一些简单的文字介绍和图片展示，但对于历史人物的故事、历史事件的背景以及背后所蕴含的文化价值，缺乏生动、深入的解读和呈现。游客在游览过程中，很难真正感受到这些历史文化资源的魅力，无法与历史进行深度的对话和交流。</w:t>
      </w:r>
    </w:p>
    <w:p w14:paraId="1667399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由于缺乏深度文化体验项目，游客的停留时间和消费水平较低。游客在景区停留时间短，就意味着他们无法充分领略景区的魅力，也难以形成对景区的深刻印象。同时，消费水平低也限制了景区的收入来源，影响了景区的可持续发展。例如，一些景区虽然有一定的游客流量，但游客大多只是购买门票，在景区内的餐饮、购物、娱乐等方面的消费较少。这不仅降低了景区的经济效益，也不利于焦作市旅游业的整体发展。</w:t>
      </w:r>
    </w:p>
    <w:p w14:paraId="4FEF32CF">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（二）</w:t>
      </w:r>
      <w:r>
        <w:rPr>
          <w:rFonts w:hint="default" w:ascii="宋体" w:hAnsi="宋体" w:cs="宋体"/>
          <w:b/>
          <w:bCs/>
          <w:color w:val="auto"/>
          <w:sz w:val="24"/>
          <w:szCs w:val="24"/>
          <w:lang w:val="en-US" w:eastAsia="zh-CN"/>
        </w:rPr>
        <w:t>文创产品缺乏特色</w:t>
      </w:r>
    </w:p>
    <w:p w14:paraId="6EFB360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文创产品缺乏特色也是焦作市文旅融合深度不够的重要体现。文创产品是</w:t>
      </w:r>
      <w:r>
        <w:rPr>
          <w:rFonts w:hint="eastAsia" w:ascii="Times New Roman" w:hAnsi="Times New Roman" w:cs="Times New Roman"/>
          <w:bCs/>
          <w:color w:val="auto"/>
          <w:kern w:val="2"/>
          <w:sz w:val="24"/>
          <w:szCs w:val="24"/>
          <w:lang w:val="en-US" w:eastAsia="zh-CN" w:bidi="ar-SA"/>
        </w:rPr>
        <w:t>文化和旅游</w:t>
      </w:r>
      <w:r>
        <w:rPr>
          <w:rFonts w:hint="default" w:ascii="Times New Roman" w:hAnsi="Times New Roman" w:cs="Times New Roman"/>
          <w:bCs/>
          <w:color w:val="auto"/>
          <w:kern w:val="2"/>
          <w:sz w:val="24"/>
          <w:szCs w:val="24"/>
          <w:lang w:val="en-US" w:eastAsia="zh-CN" w:bidi="ar-SA"/>
        </w:rPr>
        <w:t>融合的重要载体，它不仅能够满足游客的购物需求，还能够传播当地的文化特色，提升旅游的文化内涵。然而，焦作市的旅游商品目前缺乏重量级产品，类似西安兵马俑、洛阳唐三彩等能体现独特性、文化性、纪念性、历史性的旅游商品还未开发出来。</w:t>
      </w:r>
    </w:p>
    <w:p w14:paraId="40D826B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焦作市的旅游景区，游客很难看到具有地方特色和文化内涵的文创产品。市场上的旅游商品大多是一些普通的纪念品，如钥匙链、冰箱贴等，这些产品缺乏创意和文化底蕴，无法吸引游客的购买欲望。而且，这些产品的同质化现象严重，在很多景区都能看到类似的产品，缺乏独特性和辨识度。</w:t>
      </w:r>
    </w:p>
    <w:p w14:paraId="7E06773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文创产品的缺乏限制了旅游购物的潜力，影响了旅游业的综合效益。旅游购物是旅游业的重要组成部分，它能够为景区带来可观的收入。然而，由于焦作市缺乏具有特色的文创产品，游客在旅游过程中的购物消费较少，导致旅游购物的收入占比较低。这不仅影响了景区的经济效益，也不利于焦作市旅游业的多元化发展。</w:t>
      </w:r>
    </w:p>
    <w:p w14:paraId="6AE420E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color w:val="auto"/>
        </w:rPr>
      </w:pPr>
      <w:r>
        <w:rPr>
          <w:rFonts w:hint="default" w:ascii="Times New Roman" w:hAnsi="Times New Roman" w:cs="Times New Roman"/>
          <w:bCs/>
          <w:color w:val="auto"/>
          <w:kern w:val="2"/>
          <w:sz w:val="24"/>
          <w:szCs w:val="24"/>
          <w:lang w:val="en-US" w:eastAsia="zh-CN" w:bidi="ar-SA"/>
        </w:rPr>
        <w:t>此外，文创产品缺乏特色还影响了焦作市旅游文化的传播。一个有特色的文创产品就像一张流动的文化名片，能够让更多的人了解和认识当地的文化。然而，焦作市目前的文创产品无法承担起这一重任，无法将焦作市的文化特色有效地传播出去，降低了焦作市旅游的知名度和影响力。</w:t>
      </w:r>
    </w:p>
    <w:p w14:paraId="345D94A1">
      <w:pPr>
        <w:keepNext w:val="0"/>
        <w:keepLines w:val="0"/>
        <w:pageBreakBefore w:val="0"/>
        <w:widowControl w:val="0"/>
        <w:kinsoku/>
        <w:wordWrap/>
        <w:overflowPunct/>
        <w:topLinePunct w:val="0"/>
        <w:autoSpaceDE/>
        <w:autoSpaceDN/>
        <w:bidi w:val="0"/>
        <w:adjustRightInd/>
        <w:snapToGrid/>
        <w:textAlignment w:val="auto"/>
        <w:outlineLvl w:val="2"/>
        <w:rPr>
          <w:rFonts w:hint="default" w:ascii="宋体" w:hAnsi="宋体" w:eastAsia="宋体" w:cs="宋体"/>
          <w:b/>
          <w:bCs/>
          <w:color w:val="auto"/>
          <w:sz w:val="28"/>
          <w:szCs w:val="28"/>
          <w:lang w:eastAsia="zh-CN"/>
        </w:rPr>
      </w:pPr>
      <w:bookmarkStart w:id="134" w:name="_Toc11355"/>
      <w:r>
        <w:rPr>
          <w:rFonts w:hint="eastAsia" w:ascii="宋体" w:hAnsi="宋体" w:cs="宋体"/>
          <w:b/>
          <w:bCs/>
          <w:color w:val="auto"/>
          <w:sz w:val="28"/>
          <w:szCs w:val="28"/>
          <w:lang w:val="en-US" w:eastAsia="zh-CN"/>
        </w:rPr>
        <w:t>四</w:t>
      </w:r>
      <w:r>
        <w:rPr>
          <w:rFonts w:hint="default" w:ascii="宋体" w:hAnsi="宋体" w:eastAsia="宋体" w:cs="宋体"/>
          <w:b/>
          <w:bCs/>
          <w:color w:val="auto"/>
          <w:sz w:val="28"/>
          <w:szCs w:val="28"/>
          <w:lang w:eastAsia="zh-CN"/>
        </w:rPr>
        <w:t>、旅游产业链条较短</w:t>
      </w:r>
      <w:bookmarkEnd w:id="134"/>
    </w:p>
    <w:p w14:paraId="02D257B3">
      <w:pPr>
        <w:spacing w:line="360" w:lineRule="auto"/>
        <w:ind w:firstLine="482" w:firstLineChars="200"/>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（一）</w:t>
      </w:r>
      <w:r>
        <w:rPr>
          <w:rFonts w:hint="default" w:ascii="宋体" w:hAnsi="宋体" w:cs="宋体"/>
          <w:b/>
          <w:bCs/>
          <w:color w:val="auto"/>
          <w:sz w:val="24"/>
          <w:szCs w:val="24"/>
          <w:lang w:val="en-US" w:eastAsia="zh-CN"/>
        </w:rPr>
        <w:t>旅游产品单一</w:t>
      </w:r>
    </w:p>
    <w:p w14:paraId="37F89AF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长期以来，焦作的旅游都依靠云台山发展的红利，因此在文</w:t>
      </w:r>
      <w:r>
        <w:rPr>
          <w:rFonts w:hint="eastAsia" w:ascii="Times New Roman" w:hAnsi="Times New Roman" w:cs="Times New Roman"/>
          <w:bCs/>
          <w:color w:val="auto"/>
          <w:kern w:val="2"/>
          <w:sz w:val="24"/>
          <w:szCs w:val="24"/>
          <w:lang w:val="en-US" w:eastAsia="zh-CN" w:bidi="ar-SA"/>
        </w:rPr>
        <w:t>化旅游、乡村旅游、城市旅游和围绕旅游产业转型发展的休闲度假旅游产品开发上有所缺失。</w:t>
      </w:r>
      <w:r>
        <w:rPr>
          <w:rFonts w:hint="default" w:ascii="Times New Roman" w:hAnsi="Times New Roman" w:cs="Times New Roman"/>
          <w:bCs/>
          <w:color w:val="auto"/>
          <w:kern w:val="2"/>
          <w:sz w:val="24"/>
          <w:szCs w:val="24"/>
          <w:lang w:val="en-US" w:eastAsia="zh-CN" w:bidi="ar-SA"/>
        </w:rPr>
        <w:t>焦作市的旅游产品主要局限于自然景观游</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云台山以其奇峰异石、飞瀑流泉闻名遐迩，青天河以碧波荡漾、两岸青山吸引着众多游客，这些自然景观无疑是焦作市旅游的闪亮名片。然而，过度依赖自然景观游使得焦作市的旅游产品结构显得单一乏味。旅游收入主要依赖于门票经济，由于旅游产品单一，导致旅游旺季和淡季的差异较大。在旅游旺季，景区人满为患，旅游设施和服务供不应求；而在旅游淡季，景区游客寥寥无几，旅游设施和服务大量闲置。这种季节性差异不仅影响了旅游业的稳定收入，也增加了旅游企业的经营风险。这一现状随时可能威胁到旅游业的稳定发展。</w:t>
      </w:r>
    </w:p>
    <w:p w14:paraId="4D63A61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当游客来到焦作市，大多只是匆匆游览几个自然景观景区，然后便打道回府。住宿、餐饮、购物、娱乐等旅游要素的发展相对滞后，难以留住游客的脚步。在住宿方面，虽然有一些酒店和民宿，但缺乏具有特色和高品质的住宿体验项目。大多数住宿设施只是提供基本的住宿服务，无法满足游客对于个性化、舒适化住宿的需求。例如，没有与自然景观深度融合的特色民宿，游客很难在住宿过程中感受到焦作市独特的自然和文化氛围。</w:t>
      </w:r>
    </w:p>
    <w:p w14:paraId="4DEEA67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餐饮方面，焦作市的特色美食虽然丰富，但在旅游餐饮市场的开发和推广上却做得不够。缺乏具有地方特色的餐饮品牌和连锁餐饮企业，游客在景区周边往往只能吃到一些普通的快餐和小吃，难以品尝到地道的焦作美食。购物环节同样如此，景区内的旅游商品大多千篇一律，缺乏具有焦作市特色的纪念品和文创产品。游客在游览结束后，很难买到能够留作纪念、体现焦作市文化特色的商品。</w:t>
      </w:r>
    </w:p>
    <w:p w14:paraId="2F080D8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娱乐项目更是匮乏，除了自然景观本身带来的视觉享受外，景区内缺乏多样化的娱乐活动。没有大型的主题公园、演艺活动或者互动体验项目，游客在游览过程中容易感到单调和乏味。这种单一的旅游产品结构使得游客的停留时间较短，消费层次较低，严重影响了焦作市旅游业的综合收入和发展潜力。</w:t>
      </w:r>
    </w:p>
    <w:p w14:paraId="6B383066">
      <w:pPr>
        <w:spacing w:line="360" w:lineRule="auto"/>
        <w:ind w:firstLine="482" w:firstLineChars="200"/>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（二）</w:t>
      </w:r>
      <w:r>
        <w:rPr>
          <w:rFonts w:hint="default" w:ascii="宋体" w:hAnsi="宋体" w:cs="宋体"/>
          <w:b/>
          <w:bCs/>
          <w:color w:val="auto"/>
          <w:sz w:val="24"/>
          <w:szCs w:val="24"/>
          <w:lang w:val="en-US" w:eastAsia="zh-CN"/>
        </w:rPr>
        <w:t>产业融合不足</w:t>
      </w:r>
    </w:p>
    <w:p w14:paraId="49E50C6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焦作市的旅游业与其他产业的融合程度较低，缺乏</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旅游 +</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的跨界融合项目。农业与旅游业的融合发展还不够深入，虽然焦作市有一些乡村旅游点，但大多只是简单的农家乐形式，缺乏创新和特色。游客在乡村旅游过程中，只是吃农家饭、住农家院，很难参与到农业生产活动中，体验农耕文化的魅力。</w:t>
      </w:r>
    </w:p>
    <w:p w14:paraId="3613F97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一些乡村旅游点没有开发农事体验项目，如采摘、种植、养殖等，游客无法亲身感受农业生产的乐趣和艰辛。而且，乡村旅游的配套设施也不完善，交通不便、卫生条件差等问题普遍存在，影响了游客的旅游体验。工业与旅游业的融合也处于起步阶段，焦作市有一些工业企业具有一定的历史文化价值和观光价值，但缺乏将这些工业资源转化为旅游产品的意识和能力。</w:t>
      </w:r>
    </w:p>
    <w:p w14:paraId="6F9C10F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没有开发</w:t>
      </w:r>
      <w:r>
        <w:rPr>
          <w:rFonts w:hint="eastAsia" w:ascii="Times New Roman" w:hAnsi="Times New Roman" w:cs="Times New Roman"/>
          <w:bCs/>
          <w:color w:val="auto"/>
          <w:kern w:val="2"/>
          <w:sz w:val="24"/>
          <w:szCs w:val="24"/>
          <w:lang w:val="en-US" w:eastAsia="zh-CN" w:bidi="ar-SA"/>
        </w:rPr>
        <w:t>完整的</w:t>
      </w:r>
      <w:r>
        <w:rPr>
          <w:rFonts w:hint="default" w:ascii="Times New Roman" w:hAnsi="Times New Roman" w:cs="Times New Roman"/>
          <w:bCs/>
          <w:color w:val="auto"/>
          <w:kern w:val="2"/>
          <w:sz w:val="24"/>
          <w:szCs w:val="24"/>
          <w:lang w:val="en-US" w:eastAsia="zh-CN" w:bidi="ar-SA"/>
        </w:rPr>
        <w:t>工业旅游线路，让游客了解工业生产的流程和历史，感受工业文化的魅力。文化产业与旅游业的融合同样不够紧密，焦作市拥有丰富的历史文化资源，如太极拳文化、司马懿文化等，但这些文化资源在旅游开发中没有得到充分利用。没有打造具有影响力的文化旅游品牌，游客在游览过程中很难深入了解焦作市的历史文化内涵。例如，太极拳作为焦作市的文化名片，虽然有一些太极拳表演和培训活动，但缺乏系统的太极拳文化旅游产品开发，游客无法全面体验太极拳文化的博大精深。</w:t>
      </w:r>
    </w:p>
    <w:p w14:paraId="022FB48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由于产业融合不足，焦作市旅游业的综合效益和辐射带动作用受到了极大限制。旅游业本应具有强大的产业关联度，能够带动餐饮、住宿、交通、购物、娱乐等多个行业的发展。但在焦作市，由于旅游产业链条较短，旅游业与其他产业的融合不够深入，无法形成产业协同效应。旅游业的发展没有充分带动相关产业的繁荣，周边地区的经济发展也没有得到有效</w:t>
      </w:r>
      <w:r>
        <w:rPr>
          <w:rFonts w:hint="eastAsia" w:ascii="Times New Roman" w:hAnsi="Times New Roman" w:cs="Times New Roman"/>
          <w:bCs/>
          <w:color w:val="auto"/>
          <w:kern w:val="2"/>
          <w:sz w:val="24"/>
          <w:szCs w:val="24"/>
          <w:lang w:val="en-US" w:eastAsia="zh-CN" w:bidi="ar-SA"/>
        </w:rPr>
        <w:t>地</w:t>
      </w:r>
      <w:r>
        <w:rPr>
          <w:rFonts w:hint="default" w:ascii="Times New Roman" w:hAnsi="Times New Roman" w:cs="Times New Roman"/>
          <w:bCs/>
          <w:color w:val="auto"/>
          <w:kern w:val="2"/>
          <w:sz w:val="24"/>
          <w:szCs w:val="24"/>
          <w:lang w:val="en-US" w:eastAsia="zh-CN" w:bidi="ar-SA"/>
        </w:rPr>
        <w:t>辐射和带动。</w:t>
      </w:r>
    </w:p>
    <w:p w14:paraId="67D0EBF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color w:val="auto"/>
        </w:rPr>
      </w:pPr>
      <w:r>
        <w:rPr>
          <w:rFonts w:hint="default" w:ascii="Times New Roman" w:hAnsi="Times New Roman" w:cs="Times New Roman"/>
          <w:bCs/>
          <w:color w:val="auto"/>
          <w:kern w:val="2"/>
          <w:sz w:val="24"/>
          <w:szCs w:val="24"/>
          <w:lang w:val="en-US" w:eastAsia="zh-CN" w:bidi="ar-SA"/>
        </w:rPr>
        <w:t>在一些旅游景区周边，没有形成完善的旅游产业集群，缺乏与旅游相关的配套产业和服务设施。游客的消费需求无法得到充分满足，导致旅游消费外流，影响了当地经济的增长。而且，产业融合不足也限制了旅游业的创新发展，使得焦作市的旅游产品缺乏竞争力和吸引力，难以在激烈的市场竞争中脱颖而出。</w:t>
      </w:r>
    </w:p>
    <w:p w14:paraId="3068C33B">
      <w:pPr>
        <w:keepNext w:val="0"/>
        <w:keepLines w:val="0"/>
        <w:pageBreakBefore w:val="0"/>
        <w:widowControl w:val="0"/>
        <w:kinsoku/>
        <w:wordWrap/>
        <w:overflowPunct/>
        <w:topLinePunct w:val="0"/>
        <w:autoSpaceDE/>
        <w:autoSpaceDN/>
        <w:bidi w:val="0"/>
        <w:adjustRightInd/>
        <w:snapToGrid/>
        <w:textAlignment w:val="auto"/>
        <w:outlineLvl w:val="2"/>
        <w:rPr>
          <w:rFonts w:hint="default" w:ascii="宋体" w:hAnsi="宋体" w:eastAsia="宋体" w:cs="宋体"/>
          <w:b/>
          <w:bCs/>
          <w:color w:val="auto"/>
          <w:sz w:val="28"/>
          <w:szCs w:val="28"/>
          <w:lang w:eastAsia="zh-CN"/>
        </w:rPr>
      </w:pPr>
      <w:bookmarkStart w:id="135" w:name="_Toc8841"/>
      <w:r>
        <w:rPr>
          <w:rFonts w:hint="eastAsia" w:ascii="宋体" w:hAnsi="宋体" w:cs="宋体"/>
          <w:b/>
          <w:bCs/>
          <w:color w:val="auto"/>
          <w:sz w:val="28"/>
          <w:szCs w:val="28"/>
          <w:lang w:val="en-US" w:eastAsia="zh-CN"/>
        </w:rPr>
        <w:t>五</w:t>
      </w:r>
      <w:r>
        <w:rPr>
          <w:rFonts w:hint="default" w:ascii="宋体" w:hAnsi="宋体" w:eastAsia="宋体" w:cs="宋体"/>
          <w:b/>
          <w:bCs/>
          <w:color w:val="auto"/>
          <w:sz w:val="28"/>
          <w:szCs w:val="28"/>
          <w:lang w:eastAsia="zh-CN"/>
        </w:rPr>
        <w:t>、旅游服务质量有待提升</w:t>
      </w:r>
      <w:bookmarkEnd w:id="135"/>
    </w:p>
    <w:p w14:paraId="751B4BC2">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w:t>
      </w:r>
      <w:r>
        <w:rPr>
          <w:rFonts w:hint="default" w:ascii="宋体" w:hAnsi="宋体" w:cs="宋体"/>
          <w:b/>
          <w:bCs/>
          <w:color w:val="auto"/>
          <w:sz w:val="24"/>
          <w:szCs w:val="24"/>
          <w:lang w:val="en-US" w:eastAsia="zh-CN"/>
        </w:rPr>
        <w:t>从业人员素质</w:t>
      </w:r>
      <w:r>
        <w:rPr>
          <w:rFonts w:hint="eastAsia" w:ascii="宋体" w:hAnsi="宋体" w:cs="宋体"/>
          <w:b/>
          <w:bCs/>
          <w:color w:val="auto"/>
          <w:sz w:val="24"/>
          <w:szCs w:val="24"/>
          <w:lang w:val="en-US" w:eastAsia="zh-CN"/>
        </w:rPr>
        <w:t>不高</w:t>
      </w:r>
    </w:p>
    <w:p w14:paraId="396F367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从业人员素质</w:t>
      </w:r>
      <w:r>
        <w:rPr>
          <w:rFonts w:hint="eastAsia" w:ascii="Times New Roman" w:hAnsi="Times New Roman" w:cs="Times New Roman"/>
          <w:bCs/>
          <w:color w:val="auto"/>
          <w:kern w:val="2"/>
          <w:sz w:val="24"/>
          <w:szCs w:val="24"/>
          <w:lang w:val="en-US" w:eastAsia="zh-CN" w:bidi="ar-SA"/>
        </w:rPr>
        <w:t>不高</w:t>
      </w:r>
      <w:r>
        <w:rPr>
          <w:rFonts w:hint="default" w:ascii="Times New Roman" w:hAnsi="Times New Roman" w:cs="Times New Roman"/>
          <w:bCs/>
          <w:color w:val="auto"/>
          <w:kern w:val="2"/>
          <w:sz w:val="24"/>
          <w:szCs w:val="24"/>
          <w:lang w:val="en-US" w:eastAsia="zh-CN" w:bidi="ar-SA"/>
        </w:rPr>
        <w:t>是焦作市旅游服务质量不高的显著问题。从学历结构来看，焦作市的旅游从业人员中，大专以上学历不足30%，本科和研究生学历者则不足10%。这一数据清晰地反映出旅游从业人员整体学历水平偏低。以导游队伍为例，在焦作市众多导游中，具备大专及以上学历的仅占一小部分，很多导游缺乏系统的旅游专业知识学习。他们在讲解过程中，往往只能照本宣科，对于景点的历史文化内涵挖掘不够深入，无法为游客提供生动、丰富、有深度的讲解服务。</w:t>
      </w:r>
    </w:p>
    <w:p w14:paraId="1EC7678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旅游管理服务人员方面，多数中高层管理服务人员没有经过旅游管理专业的系统培训。这使得他们在旅游规划、景区管理、市场营销等方面缺乏专业的知识和技能。例如，在一些景区的规划和管理中，由于缺乏专业的管理人才，景区的布局不够合理，旅游线路设计不够科学，导致游客在游览过程中容易出现拥堵、迷路等问题。而且，由于缺乏市场营销专业知识，旅游企业在市场推广和品牌建设方面存在不足，难以吸引更多的游客。</w:t>
      </w:r>
    </w:p>
    <w:p w14:paraId="4117FA9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从业人员</w:t>
      </w:r>
      <w:r>
        <w:rPr>
          <w:rFonts w:hint="eastAsia" w:ascii="Times New Roman" w:hAnsi="Times New Roman" w:cs="Times New Roman"/>
          <w:bCs/>
          <w:color w:val="auto"/>
          <w:kern w:val="2"/>
          <w:sz w:val="24"/>
          <w:szCs w:val="24"/>
          <w:lang w:val="en-US" w:eastAsia="zh-CN" w:bidi="ar-SA"/>
        </w:rPr>
        <w:t>素质不高</w:t>
      </w:r>
      <w:r>
        <w:rPr>
          <w:rFonts w:hint="default" w:ascii="Times New Roman" w:hAnsi="Times New Roman" w:cs="Times New Roman"/>
          <w:bCs/>
          <w:color w:val="auto"/>
          <w:kern w:val="2"/>
          <w:sz w:val="24"/>
          <w:szCs w:val="24"/>
          <w:lang w:val="en-US" w:eastAsia="zh-CN" w:bidi="ar-SA"/>
        </w:rPr>
        <w:t>还体现在服务意识淡薄上。部分旅游从业人员缺乏主动服务的意识，对待游客态度冷漠，不能及时解决游客遇到的问题。在一些酒店，前台服务人员办理入住和退房手续时效率低下，对游客的询问缺乏耐心解答；餐厅服务员在服务过程中，不能及时为游客提供周到的服务，甚至出现上错菜、服务不及时等情况。这些问题严重影响了游客的旅游体验，降低了游客对焦作市旅游的满意度。</w:t>
      </w:r>
    </w:p>
    <w:p w14:paraId="57BD81F5">
      <w:pPr>
        <w:spacing w:line="360" w:lineRule="auto"/>
        <w:ind w:firstLine="482" w:firstLineChars="200"/>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（二）</w:t>
      </w:r>
      <w:r>
        <w:rPr>
          <w:rFonts w:hint="default" w:ascii="宋体" w:hAnsi="宋体" w:cs="宋体"/>
          <w:b/>
          <w:bCs/>
          <w:color w:val="auto"/>
          <w:sz w:val="24"/>
          <w:szCs w:val="24"/>
          <w:lang w:val="en-US" w:eastAsia="zh-CN"/>
        </w:rPr>
        <w:t>服务设施不完善</w:t>
      </w:r>
    </w:p>
    <w:p w14:paraId="6C5989D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的一些旅游景区存在旅游厕所数量不足、质量不高的问题。根据相关调查数据显示，部分景区每平方公里旅游厕所数量远低于国家标准。在一些热门景区，游客在游览过程中常常需要排队等待使用厕所，而且厕所的卫生状况较差，异味严重，缺乏必要的清洁和维护。这不仅给游客带来了极大的不便，也影响了游客的旅游心情。</w:t>
      </w:r>
    </w:p>
    <w:p w14:paraId="6B2078F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停车场设施同样存在问题。随着自驾游的日益普及，越来越多的游客选择开车前往景区。然而，焦作市一些景区的停车场规模较小，无法满足游客的停车需求。在旅游旺季，景区周边经常出现交通拥堵和停车难的问题。例如，某景区在节假日期间，停车场早早就停满了车辆，大量游客的车辆只能停放在景区周边的道路上，导致道路通行不畅，严重影响了游客的出行效率。而且，部分停车场的标识不清晰，缺乏必要的引导设施，游客很难找到合适的停车位。</w:t>
      </w:r>
    </w:p>
    <w:p w14:paraId="040063B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游客服务中心的设施和服务也存在不足。一些景区的游客服务中心面积较小，功能不完善，无法为游客提供全面、周到的服务。游客服务中心内缺乏必要的休息区域、信息咨询台、投诉处理窗口等设施。在旅游旺季，游客服务中心内人满为患，工作人员应接不暇，无法及时为游客提供准确的信息和帮助。例如，游客在咨询旅游线路、景点介绍等问题时，工作人员往往不能给予详细、准确</w:t>
      </w:r>
      <w:r>
        <w:rPr>
          <w:rFonts w:hint="eastAsia" w:ascii="Times New Roman" w:hAnsi="Times New Roman" w:cs="Times New Roman"/>
          <w:bCs/>
          <w:color w:val="auto"/>
          <w:kern w:val="2"/>
          <w:sz w:val="24"/>
          <w:szCs w:val="24"/>
          <w:lang w:val="en-US" w:eastAsia="zh-CN" w:bidi="ar-SA"/>
        </w:rPr>
        <w:t>地</w:t>
      </w:r>
      <w:r>
        <w:rPr>
          <w:rFonts w:hint="default" w:ascii="Times New Roman" w:hAnsi="Times New Roman" w:cs="Times New Roman"/>
          <w:bCs/>
          <w:color w:val="auto"/>
          <w:kern w:val="2"/>
          <w:sz w:val="24"/>
          <w:szCs w:val="24"/>
          <w:lang w:val="en-US" w:eastAsia="zh-CN" w:bidi="ar-SA"/>
        </w:rPr>
        <w:t>解答，导致游客在游览过程中遇到诸多不便。</w:t>
      </w:r>
    </w:p>
    <w:p w14:paraId="0BEFEC9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此外，景区内的标识系统也不够完善。部分景区的标识牌数量不足、位置不合理，标识内容不清晰、不准确。游客在景区内很容易迷失方向，无法顺利找到各个景点和服务设施。例如，一些景区的步行道上没有设置明显的指示牌，游客在游览过程中容易走错路；一些景点的标识牌上只有简单的名称，没有详细的介绍，游客无法了解景点的历史文化和特色。</w:t>
      </w:r>
    </w:p>
    <w:p w14:paraId="3701F9C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旅游交通设施也存在一定的问题。焦作市部分景区之间的交通连接不够便捷，缺乏直达的公共交通线路。游客在前往不同景区时，往往需要多次换乘，增加了出行的时间和成本。而且，一些景区的内部交通设施也不够完善，如观光车数量不足、运营时间不合理等，影响了游客在景区内的游览效率。</w:t>
      </w:r>
    </w:p>
    <w:p w14:paraId="4898CA2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住宿设施方面，虽然焦作市有一些星级酒店和民宿，但整体服务质量参差不齐。部分酒店的设施设备老化，卫生条件不佳，服务人员素质有待提高。一些民宿缺乏规范的管理，在安全、卫生等方面存在一定的隐患。例如，部分民宿的消防设施不完善，存在安全隐患；卫生条件较差，床单、被罩等用品更换不及时，影响了游客的住宿体验。</w:t>
      </w:r>
    </w:p>
    <w:p w14:paraId="4108DC7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color w:val="auto"/>
        </w:rPr>
      </w:pPr>
      <w:r>
        <w:rPr>
          <w:rFonts w:hint="default" w:ascii="Times New Roman" w:hAnsi="Times New Roman" w:cs="Times New Roman"/>
          <w:bCs/>
          <w:color w:val="auto"/>
          <w:kern w:val="2"/>
          <w:sz w:val="24"/>
          <w:szCs w:val="24"/>
          <w:lang w:val="en-US" w:eastAsia="zh-CN" w:bidi="ar-SA"/>
        </w:rPr>
        <w:t>餐饮设施也存在一些问题。焦作市的一些餐厅在菜品质量、卫生状况和服务水平方面有待提高。部分餐厅的菜品缺乏特色，口味不佳，而且价格不合理。一些餐厅的卫生状况较差，厨房环境不整洁，餐具消毒不彻底，容易引发食品安全问题。在服务方面，餐厅服务员的服务意识淡薄，不能及时为游客提供周到的服务。</w:t>
      </w:r>
    </w:p>
    <w:p w14:paraId="1D7782E7">
      <w:pPr>
        <w:keepNext w:val="0"/>
        <w:keepLines w:val="0"/>
        <w:pageBreakBefore w:val="0"/>
        <w:widowControl w:val="0"/>
        <w:kinsoku/>
        <w:wordWrap/>
        <w:overflowPunct/>
        <w:topLinePunct w:val="0"/>
        <w:autoSpaceDE/>
        <w:autoSpaceDN/>
        <w:bidi w:val="0"/>
        <w:adjustRightInd/>
        <w:snapToGrid/>
        <w:textAlignment w:val="auto"/>
        <w:outlineLvl w:val="2"/>
        <w:rPr>
          <w:rFonts w:hint="default" w:ascii="宋体" w:hAnsi="宋体" w:cs="宋体"/>
          <w:b/>
          <w:bCs/>
          <w:color w:val="auto"/>
          <w:sz w:val="28"/>
          <w:szCs w:val="28"/>
          <w:lang w:val="en-US" w:eastAsia="zh-CN"/>
        </w:rPr>
      </w:pPr>
      <w:bookmarkStart w:id="136" w:name="_Toc2285"/>
      <w:r>
        <w:rPr>
          <w:rFonts w:hint="eastAsia" w:ascii="宋体" w:hAnsi="宋体" w:cs="宋体"/>
          <w:b/>
          <w:bCs/>
          <w:color w:val="auto"/>
          <w:sz w:val="28"/>
          <w:szCs w:val="28"/>
          <w:lang w:val="en-US" w:eastAsia="zh-CN"/>
        </w:rPr>
        <w:t>六</w:t>
      </w:r>
      <w:r>
        <w:rPr>
          <w:rFonts w:hint="default" w:ascii="宋体" w:hAnsi="宋体" w:cs="宋体"/>
          <w:b/>
          <w:bCs/>
          <w:color w:val="auto"/>
          <w:sz w:val="28"/>
          <w:szCs w:val="28"/>
          <w:lang w:val="en-US" w:eastAsia="zh-CN"/>
        </w:rPr>
        <w:t>、营销宣传</w:t>
      </w:r>
      <w:r>
        <w:rPr>
          <w:rFonts w:hint="eastAsia" w:ascii="宋体" w:hAnsi="宋体" w:cs="宋体"/>
          <w:b/>
          <w:bCs/>
          <w:color w:val="auto"/>
          <w:sz w:val="28"/>
          <w:szCs w:val="28"/>
          <w:lang w:val="en-US" w:eastAsia="zh-CN"/>
        </w:rPr>
        <w:t>策略有待优化</w:t>
      </w:r>
      <w:bookmarkEnd w:id="136"/>
    </w:p>
    <w:p w14:paraId="1AA647D4">
      <w:pPr>
        <w:spacing w:line="360" w:lineRule="auto"/>
        <w:ind w:firstLine="482" w:firstLineChars="200"/>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（一）联动</w:t>
      </w:r>
      <w:r>
        <w:rPr>
          <w:rFonts w:hint="default" w:ascii="宋体" w:hAnsi="宋体" w:cs="宋体"/>
          <w:b/>
          <w:bCs/>
          <w:color w:val="auto"/>
          <w:sz w:val="24"/>
          <w:szCs w:val="24"/>
          <w:lang w:val="en-US" w:eastAsia="zh-CN"/>
        </w:rPr>
        <w:t>营销</w:t>
      </w:r>
      <w:r>
        <w:rPr>
          <w:rFonts w:hint="eastAsia" w:ascii="宋体" w:hAnsi="宋体" w:cs="宋体"/>
          <w:b/>
          <w:bCs/>
          <w:color w:val="auto"/>
          <w:sz w:val="24"/>
          <w:szCs w:val="24"/>
          <w:lang w:val="en-US" w:eastAsia="zh-CN"/>
        </w:rPr>
        <w:t>有待提升</w:t>
      </w:r>
    </w:p>
    <w:p w14:paraId="3E8DE58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焦作市拥有云台山、青天河、神农山等众多知名景区，但各景区在营销过程中往往各自为战，缺乏多景区联动的营销战略。从数据上看，目前焦作市各景区单独开展营销活动的比例高达 80%以上，而联合营销活动的占比不足 20%。这种缺乏联动的营销方式，使得焦作市整体旅游形象不够突出，难以形成强大的旅游吸引力。</w:t>
      </w:r>
    </w:p>
    <w:p w14:paraId="333BD61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游客来到焦作市，可能只知道云台山，而对其他景区了解甚少。如果各景区能够加强联动，推出</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焦作多景区联游套餐</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，将不同景区的特色景点进行整合，打造多样化的旅游线路，如</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山水文化两日游</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历史自然三日游</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等，不仅可以丰富游客的旅游体验，还能提高焦作市旅游的整体知名度和影响力。但目前，这种多景区联动的营销战略尚未得到有效实施。</w:t>
      </w:r>
    </w:p>
    <w:p w14:paraId="2F0DAFA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同时，焦作市缺乏</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多日游</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的营销战略。根据市场调研数据显示，来焦作市旅游的游客中，一日游游客占比高达65%，而两日游及以上游客占比仅为35%。这表明焦作市在吸引游客停留更长时间方面存在不足。</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多日游</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营销战略的缺失，使得游客在焦作市的消费层次较低，大多只停留在门票和简单的餐饮消费上，无法充分带动住宿、购物、娱乐等其他旅游要素的发展。</w:t>
      </w:r>
    </w:p>
    <w:p w14:paraId="509B917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一些游客来到焦作市，只是匆匆游览了云台山，当天就返回，没有在焦作市过夜，也没有品尝当地美食、购买特色纪念品。这不仅影响了游客的旅游体验，也限制了焦作市旅游业的综合收入。而且，缺乏</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多日游</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营销战略，也不利于焦作市旅游资源的深度开发和利用，许多具有潜力的旅游景点和文化资源没有得到充分展示。</w:t>
      </w:r>
    </w:p>
    <w:p w14:paraId="1A2DF907">
      <w:pPr>
        <w:spacing w:line="360" w:lineRule="auto"/>
        <w:ind w:firstLine="482" w:firstLineChars="200"/>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（二）营销</w:t>
      </w:r>
      <w:r>
        <w:rPr>
          <w:rFonts w:hint="default" w:ascii="宋体" w:hAnsi="宋体" w:cs="宋体"/>
          <w:b/>
          <w:bCs/>
          <w:color w:val="auto"/>
          <w:sz w:val="24"/>
          <w:szCs w:val="24"/>
          <w:lang w:val="en-US" w:eastAsia="zh-CN"/>
        </w:rPr>
        <w:t>针对性</w:t>
      </w:r>
      <w:r>
        <w:rPr>
          <w:rFonts w:hint="eastAsia" w:ascii="宋体" w:hAnsi="宋体" w:cs="宋体"/>
          <w:b/>
          <w:bCs/>
          <w:color w:val="auto"/>
          <w:sz w:val="24"/>
          <w:szCs w:val="24"/>
          <w:lang w:val="en-US" w:eastAsia="zh-CN"/>
        </w:rPr>
        <w:t>有待加强</w:t>
      </w:r>
    </w:p>
    <w:p w14:paraId="1D1244C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旅游宣传内容的针对性和吸引力不够。客群分层精准度不足，需求匹配存在断层</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焦作市的旅游宣传内容大多千篇一律，缺乏对不同目标受众的精准定位。当前宣传内容仍停留在</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山水+文化</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的泛化表述，缺乏对细分客群的深度洞察。这种</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大而全</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的宣传策略导致核心客群流失</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例如，对于年轻游客群体，宣传内容没有突出焦作市的时尚、娱乐元素；对于老年游客群体，宣传内容没有强调焦作市的休闲、养生特色。宣传内容缺乏故事性和情感共鸣，无法打动游客的心。</w:t>
      </w:r>
    </w:p>
    <w:p w14:paraId="7C62936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线下宣传活动的形式也较为单一，缺乏</w:t>
      </w:r>
      <w:r>
        <w:rPr>
          <w:rFonts w:hint="eastAsia" w:ascii="Times New Roman" w:hAnsi="Times New Roman" w:cs="Times New Roman"/>
          <w:bCs/>
          <w:color w:val="auto"/>
          <w:kern w:val="2"/>
          <w:sz w:val="24"/>
          <w:szCs w:val="24"/>
          <w:lang w:val="en-US" w:eastAsia="zh-CN" w:bidi="ar-SA"/>
        </w:rPr>
        <w:t>与不同观众的</w:t>
      </w:r>
      <w:r>
        <w:rPr>
          <w:rFonts w:hint="default" w:ascii="Times New Roman" w:hAnsi="Times New Roman" w:cs="Times New Roman"/>
          <w:bCs/>
          <w:color w:val="auto"/>
          <w:kern w:val="2"/>
          <w:sz w:val="24"/>
          <w:szCs w:val="24"/>
          <w:lang w:val="en-US" w:eastAsia="zh-CN" w:bidi="ar-SA"/>
        </w:rPr>
        <w:t>互动性。大多数宣传活动只是简单</w:t>
      </w:r>
      <w:r>
        <w:rPr>
          <w:rFonts w:hint="eastAsia" w:ascii="Times New Roman" w:hAnsi="Times New Roman" w:cs="Times New Roman"/>
          <w:bCs/>
          <w:color w:val="auto"/>
          <w:kern w:val="2"/>
          <w:sz w:val="24"/>
          <w:szCs w:val="24"/>
          <w:lang w:val="en-US" w:eastAsia="zh-CN" w:bidi="ar-SA"/>
        </w:rPr>
        <w:t>地</w:t>
      </w:r>
      <w:r>
        <w:rPr>
          <w:rFonts w:hint="default" w:ascii="Times New Roman" w:hAnsi="Times New Roman" w:cs="Times New Roman"/>
          <w:bCs/>
          <w:color w:val="auto"/>
          <w:kern w:val="2"/>
          <w:sz w:val="24"/>
          <w:szCs w:val="24"/>
          <w:lang w:val="en-US" w:eastAsia="zh-CN" w:bidi="ar-SA"/>
        </w:rPr>
        <w:t>发放宣传资料、举办旅游推介会等，无法吸引目标受众的关注和参与。例如，在一些旅游推介会上，只是由工作人员在台上介绍景区的景点和特色，缺乏与台下观众的互动环节，导致宣传效果不佳。</w:t>
      </w:r>
    </w:p>
    <w:p w14:paraId="1468CDD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传播渠道滞后于需求，新媒体生态构建薄弱</w:t>
      </w:r>
      <w:r>
        <w:rPr>
          <w:rFonts w:hint="eastAsia" w:ascii="Times New Roman" w:hAnsi="Times New Roman" w:cs="Times New Roman"/>
          <w:bCs/>
          <w:color w:val="auto"/>
          <w:kern w:val="2"/>
          <w:sz w:val="24"/>
          <w:szCs w:val="24"/>
          <w:lang w:val="en-US" w:eastAsia="zh-CN" w:bidi="ar-SA"/>
        </w:rPr>
        <w:t>。在新媒体时代，焦作旅游宣传仍过度依赖传统媒体，新媒体投入占比不足。</w:t>
      </w:r>
      <w:r>
        <w:rPr>
          <w:rFonts w:hint="default" w:ascii="Times New Roman" w:hAnsi="Times New Roman" w:cs="Times New Roman"/>
          <w:bCs/>
          <w:color w:val="auto"/>
          <w:kern w:val="2"/>
          <w:sz w:val="24"/>
          <w:szCs w:val="24"/>
          <w:lang w:val="en-US" w:eastAsia="zh-CN" w:bidi="ar-SA"/>
        </w:rPr>
        <w:t>焦作旅游宣传的升级缺乏政策、产业、技术的系统性支撑。在政策层面，尚未建立针对宣传内容创新的激励机制，导致爆款短视频、网红打卡点等创新项目缺乏持续动力；在产业层面，</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文旅+科技</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文旅+教育</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等跨界融合项目仍处于试点阶段，未形成规模化效应；在技术层面，难以通过游客画像分析实现宣传内容的精准推送。</w:t>
      </w:r>
    </w:p>
    <w:p w14:paraId="2221ED9C">
      <w:pPr>
        <w:rPr>
          <w:rFonts w:hint="eastAsia"/>
          <w:color w:val="auto"/>
          <w:lang w:val="en-US" w:eastAsia="zh-CN"/>
        </w:rPr>
      </w:pPr>
    </w:p>
    <w:p w14:paraId="2C7A8724">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宋体" w:hAnsi="宋体" w:cs="宋体"/>
          <w:b/>
          <w:bCs/>
          <w:color w:val="auto"/>
          <w:sz w:val="30"/>
          <w:szCs w:val="30"/>
          <w:lang w:val="en-US" w:eastAsia="zh-CN"/>
        </w:rPr>
      </w:pPr>
      <w:bookmarkStart w:id="137" w:name="_Toc1002"/>
      <w:r>
        <w:rPr>
          <w:rFonts w:hint="eastAsia" w:ascii="宋体" w:hAnsi="宋体" w:cs="宋体"/>
          <w:b/>
          <w:bCs/>
          <w:color w:val="auto"/>
          <w:sz w:val="30"/>
          <w:szCs w:val="30"/>
          <w:lang w:val="en-US" w:eastAsia="zh-CN"/>
        </w:rPr>
        <w:t>第三节 保护工作建议</w:t>
      </w:r>
      <w:bookmarkEnd w:id="137"/>
    </w:p>
    <w:p w14:paraId="0E5A2EDF">
      <w:pPr>
        <w:keepNext w:val="0"/>
        <w:keepLines w:val="0"/>
        <w:pageBreakBefore w:val="0"/>
        <w:widowControl w:val="0"/>
        <w:kinsoku/>
        <w:wordWrap/>
        <w:overflowPunct/>
        <w:topLinePunct w:val="0"/>
        <w:autoSpaceDE/>
        <w:autoSpaceDN/>
        <w:bidi w:val="0"/>
        <w:adjustRightInd/>
        <w:snapToGrid/>
        <w:textAlignment w:val="auto"/>
        <w:outlineLvl w:val="2"/>
        <w:rPr>
          <w:rFonts w:hint="default" w:ascii="宋体" w:hAnsi="宋体" w:eastAsia="宋体" w:cs="宋体"/>
          <w:b/>
          <w:bCs/>
          <w:color w:val="auto"/>
          <w:sz w:val="28"/>
          <w:szCs w:val="28"/>
          <w:lang w:eastAsia="zh-CN"/>
        </w:rPr>
      </w:pPr>
      <w:bookmarkStart w:id="138" w:name="_Toc11691"/>
      <w:r>
        <w:rPr>
          <w:rFonts w:hint="default" w:ascii="宋体" w:hAnsi="宋体" w:eastAsia="宋体" w:cs="宋体"/>
          <w:b/>
          <w:bCs/>
          <w:color w:val="auto"/>
          <w:sz w:val="28"/>
          <w:szCs w:val="28"/>
          <w:lang w:eastAsia="zh-CN"/>
        </w:rPr>
        <w:t>一</w:t>
      </w:r>
      <w:r>
        <w:rPr>
          <w:rFonts w:hint="default" w:ascii="宋体" w:hAnsi="宋体" w:eastAsia="宋体" w:cs="宋体"/>
          <w:b/>
          <w:bCs/>
          <w:color w:val="auto"/>
          <w:sz w:val="28"/>
          <w:szCs w:val="28"/>
          <w:lang w:val="en-US" w:eastAsia="zh-CN"/>
        </w:rPr>
        <w:t>、强化</w:t>
      </w:r>
      <w:r>
        <w:rPr>
          <w:rFonts w:hint="eastAsia" w:ascii="宋体" w:hAnsi="宋体" w:eastAsia="宋体" w:cs="宋体"/>
          <w:b/>
          <w:bCs/>
          <w:color w:val="auto"/>
          <w:sz w:val="28"/>
          <w:szCs w:val="28"/>
          <w:lang w:val="en-US" w:eastAsia="zh-CN"/>
        </w:rPr>
        <w:t>旅游</w:t>
      </w:r>
      <w:r>
        <w:rPr>
          <w:rFonts w:hint="default" w:ascii="宋体" w:hAnsi="宋体" w:eastAsia="宋体" w:cs="宋体"/>
          <w:b/>
          <w:bCs/>
          <w:color w:val="auto"/>
          <w:sz w:val="28"/>
          <w:szCs w:val="28"/>
          <w:lang w:val="en-US" w:eastAsia="zh-CN"/>
        </w:rPr>
        <w:t>资源保护意识与法规建设</w:t>
      </w:r>
      <w:bookmarkEnd w:id="138"/>
    </w:p>
    <w:p w14:paraId="39E05455">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w:t>
      </w:r>
      <w:r>
        <w:rPr>
          <w:rFonts w:hint="default" w:ascii="宋体" w:hAnsi="宋体" w:cs="宋体"/>
          <w:b/>
          <w:bCs/>
          <w:color w:val="auto"/>
          <w:sz w:val="24"/>
          <w:szCs w:val="24"/>
          <w:lang w:val="en-US" w:eastAsia="zh-CN"/>
        </w:rPr>
        <w:t>提升保护意识</w:t>
      </w:r>
    </w:p>
    <w:p w14:paraId="53C6DC9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提升政府、企业、社区及游客对旅游资源保护的意识，是形成全社会共同参与保护良好氛围的基础。政府作为旅游资源保护的主导力量，其保护意识的强弱直接影响着保护工作的成效。焦作市政府应充分认识到旅游资源是城市发展的宝贵财富，不仅关乎当下的经济利益，更关系到子孙后代的福祉。通过定期组织政府部门工作人员参加旅游资源保护专题讲座，邀请行业专家深入解读旅游资源保护的重要性、紧迫性以及先进的保护理念和方法，使政府工作人员深刻认识到自身在保护工作中的责任和使命。同时，将旅游资源保护纳入政府绩效考核体系，激励各部门积极履行职责，形成政府内部重视保护、支持保护的良好风气。</w:t>
      </w:r>
    </w:p>
    <w:p w14:paraId="5A58BDC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企业是旅游市场的重要主体，其行为对旅游资源保护有着直接影响。对于旅游开发企业，焦作市应加强对其环保意识的培养。一方面，举办专门的环保培训课程，向企业管理人员和员工传授旅游开发与保护并重的理念，使其明白只有保护好旅游资源，才能实现企业的长期稳定发展。例如，在景区开发过程中，企业应遵循生态原则，避免过度开发对自然环境造成破坏。另一方面，通过政策引导和激励措施，鼓励企业采用环保技术和材料，减少对旅游资源的负面影响。对于采用环保建筑材料的旅游住宿企业，给予一定的税收优惠或资金补贴，激发企业参与保护的积极性。</w:t>
      </w:r>
    </w:p>
    <w:p w14:paraId="381DA0A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社区是旅游资源的重要承载地，社区居民的保护意识直接关系到旅游资源的日常保护状况。焦作市可以通过开展社区宣传活动，如举办旅游资源保护知识竞赛、文艺演出等，以生动有趣的形式向社区居民普及旅游资源保护知识，提高居民的环保意识和责任感。同时，建立社区参与保护机制，鼓励居民积极参与旅游资源的日常巡查和监督工作，对于发现破坏旅游资源的行为及时报告。设立社区旅游资源保护志愿者队伍，定期组织志愿者开展景区周边环境清理、生态修复等活动，让居民在实践中增强保护意识。</w:t>
      </w:r>
    </w:p>
    <w:p w14:paraId="38A6108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游客是旅游活动的主体，其行为习惯对旅游资源保护至关重要。焦作市应在旅游景区、交通枢纽等游客集中的地方，通过设置宣传展板、发放宣传手册、播放宣传视频等方式，向游客宣传旅游资源保护的重要性和注意事项。提醒游客在景区内不随地吐痰、不乱扔垃圾、不破坏植被等。同时，加强对导游的培训，要求导游在带团过程中向游客宣传环保知识，引导游客文明旅游。此外，建立游客环保激励机制，对于文明旅游的游客给予一定的奖励，如赠送旅游纪念品、优惠券等，激发游客参与保护的积极性。</w:t>
      </w:r>
    </w:p>
    <w:p w14:paraId="7E72EDCE">
      <w:pPr>
        <w:spacing w:line="360" w:lineRule="auto"/>
        <w:ind w:firstLine="482" w:firstLineChars="200"/>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（二）</w:t>
      </w:r>
      <w:r>
        <w:rPr>
          <w:rFonts w:hint="default" w:ascii="宋体" w:hAnsi="宋体" w:cs="宋体"/>
          <w:b/>
          <w:bCs/>
          <w:color w:val="auto"/>
          <w:sz w:val="24"/>
          <w:szCs w:val="24"/>
          <w:lang w:val="en-US" w:eastAsia="zh-CN"/>
        </w:rPr>
        <w:t>完善法规体系</w:t>
      </w:r>
    </w:p>
    <w:p w14:paraId="5924C05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制定和完善焦作市旅游资源保护的相关法律法规，是确保旅游资源得到有效保护的重要支撑。明确保护范围是法规建设的基础。焦作市应组织专业团队，对全市的旅游资源进行全面普查和评估，根据资源的类型、价值、分布等情况，科学划定保护范围。对于自然景观，如云台山、青天河等，不仅要保护其核心景区，将周边的生态缓冲区纳入保护范围；对于人文景观，如陈家沟的太极拳文化遗址、韩愈文化园等，要保护其历史建筑、文化遗迹以及相关的文化生态环境。通过明确保护范围，为旅游资源的保护划定清晰的边界。</w:t>
      </w:r>
    </w:p>
    <w:p w14:paraId="104A128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确定责任主体是确保法规有效执行的关键。在旅游资源保护中，涉及多个部门和主体，如旅游部门、环保部门、林业部门、景区管理机构等。焦作市应在法规中明确各部门的职责和权限，避免出现职责不清、相互推诿的现象。旅游部门负责旅游资源的整体规划和开发利用管理；环保部门负责对旅游活动产生的环境污染进行监管；林业部门负责对森林植被等自然资源的保护。同时，对于景区管理机构，要明确其在景区日常保护中的具体责任，如资源巡查、设施维护等。此外，对于破坏旅游资源的行为，要明确相应的责任主体，如游客、企业等，确保在出现问题时能够依法追究责任。</w:t>
      </w:r>
    </w:p>
    <w:p w14:paraId="68AEBB2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制定具体的保护措施是法规的核心内容。针对不同的旅游资源类型，应采取相应的保护措施。对于自然景观，要加强生态保护，严格控制开发建设活动，避免对生态环境造成破坏。在景区内禁止</w:t>
      </w:r>
      <w:r>
        <w:rPr>
          <w:rFonts w:hint="eastAsia" w:ascii="Times New Roman" w:hAnsi="Times New Roman" w:cs="Times New Roman"/>
          <w:bCs/>
          <w:color w:val="auto"/>
          <w:kern w:val="2"/>
          <w:sz w:val="24"/>
          <w:szCs w:val="24"/>
          <w:lang w:val="en-US" w:eastAsia="zh-CN" w:bidi="ar-SA"/>
        </w:rPr>
        <w:t>乱砍滥伐</w:t>
      </w:r>
      <w:r>
        <w:rPr>
          <w:rFonts w:hint="default" w:ascii="Times New Roman" w:hAnsi="Times New Roman" w:cs="Times New Roman"/>
          <w:bCs/>
          <w:color w:val="auto"/>
          <w:kern w:val="2"/>
          <w:sz w:val="24"/>
          <w:szCs w:val="24"/>
          <w:lang w:val="en-US" w:eastAsia="zh-CN" w:bidi="ar-SA"/>
        </w:rPr>
        <w:t>、非法捕猎等行为，加强对水体、土壤等生态环境的监测和治理。对于人文景观，要注重文化遗产的保护和传承，加强对历史建筑、文化遗迹的修缮和维护。例如，采用科学的保护技术和方法，对古建筑进行定期检查和修复，确保其历史风貌和文化价值得到有效保护。同时，要加强对旅游活动的管理，规范游客行为，避免游客对旅游资源造成损害。</w:t>
      </w:r>
    </w:p>
    <w:p w14:paraId="10AE1F8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明确违法处罚是保障法规威慑力的重要手段。焦作市应在法规中详细规定各种破坏旅游资源行为的处罚标准和方式，如罚款、责令停产停业、吊销许可证等。对于情节严重的违法行为，要依法追究刑事责任。通过严格的处罚措施，提高违法成本，形成有效的法律威慑。同时，要加强执法力度，建立健全执法监督机制，确保法规得到严格执行。</w:t>
      </w:r>
    </w:p>
    <w:p w14:paraId="44C7A149">
      <w:pPr>
        <w:keepNext w:val="0"/>
        <w:keepLines w:val="0"/>
        <w:pageBreakBefore w:val="0"/>
        <w:widowControl w:val="0"/>
        <w:kinsoku/>
        <w:wordWrap/>
        <w:overflowPunct/>
        <w:topLinePunct w:val="0"/>
        <w:autoSpaceDE/>
        <w:autoSpaceDN/>
        <w:bidi w:val="0"/>
        <w:adjustRightInd/>
        <w:snapToGrid/>
        <w:textAlignment w:val="auto"/>
        <w:outlineLvl w:val="2"/>
        <w:rPr>
          <w:rFonts w:hint="default" w:ascii="宋体" w:hAnsi="宋体" w:eastAsia="宋体" w:cs="宋体"/>
          <w:b/>
          <w:bCs/>
          <w:color w:val="auto"/>
          <w:sz w:val="28"/>
          <w:szCs w:val="28"/>
          <w:lang w:eastAsia="zh-CN"/>
        </w:rPr>
      </w:pPr>
      <w:bookmarkStart w:id="139" w:name="_Toc12459"/>
      <w:r>
        <w:rPr>
          <w:rFonts w:hint="default" w:ascii="宋体" w:hAnsi="宋体" w:eastAsia="宋体" w:cs="宋体"/>
          <w:b/>
          <w:bCs/>
          <w:color w:val="auto"/>
          <w:sz w:val="28"/>
          <w:szCs w:val="28"/>
          <w:lang w:eastAsia="zh-CN"/>
        </w:rPr>
        <w:t>二、加强</w:t>
      </w:r>
      <w:r>
        <w:rPr>
          <w:rFonts w:hint="eastAsia" w:ascii="宋体" w:hAnsi="宋体" w:eastAsia="宋体" w:cs="宋体"/>
          <w:b/>
          <w:bCs/>
          <w:color w:val="auto"/>
          <w:sz w:val="28"/>
          <w:szCs w:val="28"/>
          <w:lang w:eastAsia="zh-CN"/>
        </w:rPr>
        <w:t>旅游</w:t>
      </w:r>
      <w:r>
        <w:rPr>
          <w:rFonts w:hint="default" w:ascii="宋体" w:hAnsi="宋体" w:eastAsia="宋体" w:cs="宋体"/>
          <w:b/>
          <w:bCs/>
          <w:color w:val="auto"/>
          <w:sz w:val="28"/>
          <w:szCs w:val="28"/>
          <w:lang w:eastAsia="zh-CN"/>
        </w:rPr>
        <w:t>资源监测与评估</w:t>
      </w:r>
      <w:bookmarkEnd w:id="139"/>
    </w:p>
    <w:p w14:paraId="06FDD111">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w:t>
      </w:r>
      <w:r>
        <w:rPr>
          <w:rFonts w:hint="default" w:ascii="宋体" w:hAnsi="宋体" w:cs="宋体"/>
          <w:b/>
          <w:bCs/>
          <w:color w:val="auto"/>
          <w:sz w:val="24"/>
          <w:szCs w:val="24"/>
          <w:lang w:val="en-US" w:eastAsia="zh-CN"/>
        </w:rPr>
        <w:t>建立监测体系</w:t>
      </w:r>
    </w:p>
    <w:p w14:paraId="0F75893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利用现代科技手段，如遥感技术、GIS 系统等，对焦作市的旅游资源进行实时监测，是及时掌握资源变化情况的有效途径。遥感技术凭借其宏观、快速、动态的特点，能够从高空获取大面积的旅游资源信息。通过卫星或航空遥感影像，可以清晰地观察到焦作市各旅游景区的地形地貌、植被覆盖、水体变化等情况。例如，对于云台山这样以自然景观为主的景区，遥感影像可以直观地显示出山体的地质结构是否稳定，植被的生长状况是否良好，有无山体滑坡、泥石流等地质灾害隐患。同时，还能监测到景区内水体的水质变化，如是否存在污染、水位是否异常等情况。一旦发现异常，相关部门可以及时采取措施，避免对旅游资源造成不可挽回的损失。</w:t>
      </w:r>
    </w:p>
    <w:p w14:paraId="4E5936B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GIS 系统（地理信息系统）具有强大的空间分析和数据管理功能。可以将遥感影像、地形数据、旅游资源分布信息等多源数据进行整合，构建出焦作市旅游资源的三维可视化模型。通过这个模型，管理人员可以直观地了解旅游资源的空间分布、相互关系以及变化趋势。比如，在规划新的旅游线路时，可以利用 GIS 系统分析不同景区之间的交通联系、游客流量分布等因素，从而制定出更加科学合理的旅游线路。此外，GIS 系统还可以对旅游资源进行动态管理，及时更新资源信息，为旅游资源的保护和开发提供准确的数据支持。</w:t>
      </w:r>
    </w:p>
    <w:p w14:paraId="5CAA35B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除了遥感技术和 GIS 系统，还可以结合物联网技术，在旅游景区内安装各种传感器，如空气质量传感器、土壤湿度传感器、游客流量传感器等。这些传感器可以实时采集景区内的环境数据和游客行为数据，并将数据传输到监测中心。通过对这些数据的分析，可以深入了解景区的生态环境状况和游客的游览需求。当空气质量传感器检测到景区内空气质量下降时，可以及时采取措施，如增加绿化植被、限制游客数量等，以改善空气质量。同时，游客流量传感器可以帮助景区管理人员合理安排工作人员，优化景区服务，提高游客的游览体验。</w:t>
      </w:r>
    </w:p>
    <w:p w14:paraId="32144F4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为了确保监测体系的有效运行，焦作市需要建立专业的监测团队，负责数据的采集、分析和处理。监测团队成员应具备相关的专业知识和技能，能够熟练操作各种监测设备和分析软件。同时，要加强对监测人员的培训，不断提高他们的业务水平和综合素质。此外，还需要建立健全监测数据管理制度，确保监测数据的准确性、完整性和安全性。</w:t>
      </w:r>
    </w:p>
    <w:p w14:paraId="5023A82A">
      <w:pPr>
        <w:spacing w:line="360" w:lineRule="auto"/>
        <w:ind w:firstLine="482" w:firstLineChars="200"/>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（二）</w:t>
      </w:r>
      <w:r>
        <w:rPr>
          <w:rFonts w:hint="default" w:ascii="宋体" w:hAnsi="宋体" w:cs="宋体"/>
          <w:b/>
          <w:bCs/>
          <w:color w:val="auto"/>
          <w:sz w:val="24"/>
          <w:szCs w:val="24"/>
          <w:lang w:val="en-US" w:eastAsia="zh-CN"/>
        </w:rPr>
        <w:t>开展定期评估</w:t>
      </w:r>
    </w:p>
    <w:p w14:paraId="00B2875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组织专家团队对旅游资源进行定期评估，是分析资源保护现状、存在问题及潜在风险的重要手段。专家团队应由旅游、地理、生态、文化等多个领域的专业人士组成，他们具有丰富的理论知识和实践经验，能够从不同角度对旅游资源进行全面、深入的评估。</w:t>
      </w:r>
    </w:p>
    <w:p w14:paraId="6A3FB30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评估过程中，专家团队应采用科学的评估方法和指标体系。对于自然景观资源，可以从生态完整性、景观美学价值、生物多样性等方面进行评估；对于人文景观资源，可以从历史文化价值、艺术价值、社会影响力等方面进行评估。同时，要结合焦作市旅游资源的实际情况，制定符合当地特色的评估指标。对于太极拳发源地陈家沟，除了评估其历史文化价值外，还应考虑太极拳文化的传承与发展情况，以及其在国内外的影响力等因素。</w:t>
      </w:r>
    </w:p>
    <w:p w14:paraId="6F0D775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通过定期评估，可以全面了解焦作市旅游资源的保护现状。一方面，可以发现资源保护工作中取得的成效，如生态环境的改善、文化遗产的保护与传承等。这些成效可以为后续的保护工作提供经验和借鉴，激励相关部门和人员继续做好资源保护工作。另一方面，更重要的是能够发现存在的问题和潜在风险。一些景区可能存在过度开发的问题，导致生态环境遭到破坏；一些文化遗产可能由于保护措施不到位，面临着损坏和遗失的风险。对于这些问题和风险，专家团队要进行深入分析，找出问题的根源和影响因素。基于评估结果，专家团队应提出针对性</w:t>
      </w:r>
      <w:r>
        <w:rPr>
          <w:rFonts w:hint="eastAsia" w:ascii="Times New Roman" w:hAnsi="Times New Roman" w:cs="Times New Roman"/>
          <w:bCs/>
          <w:color w:val="auto"/>
          <w:kern w:val="2"/>
          <w:sz w:val="24"/>
          <w:szCs w:val="24"/>
          <w:lang w:val="en-US" w:eastAsia="zh-CN" w:bidi="ar-SA"/>
        </w:rPr>
        <w:t>地</w:t>
      </w:r>
      <w:r>
        <w:rPr>
          <w:rFonts w:hint="default" w:ascii="Times New Roman" w:hAnsi="Times New Roman" w:cs="Times New Roman"/>
          <w:bCs/>
          <w:color w:val="auto"/>
          <w:kern w:val="2"/>
          <w:sz w:val="24"/>
          <w:szCs w:val="24"/>
          <w:lang w:val="en-US" w:eastAsia="zh-CN" w:bidi="ar-SA"/>
        </w:rPr>
        <w:t>保护措施和建议。这些措施和建议应具有可操作性和针对性，能够切实解决资源保护中存在的问题。要将评估结果和保护措施及时反馈给相关部门和单位，督促他们认真落实，确保旅游资源得到有效保护。</w:t>
      </w:r>
    </w:p>
    <w:p w14:paraId="1314110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color w:val="auto"/>
        </w:rPr>
      </w:pPr>
      <w:r>
        <w:rPr>
          <w:rFonts w:hint="default" w:ascii="Times New Roman" w:hAnsi="Times New Roman" w:cs="Times New Roman"/>
          <w:bCs/>
          <w:color w:val="auto"/>
          <w:kern w:val="2"/>
          <w:sz w:val="24"/>
          <w:szCs w:val="24"/>
          <w:lang w:val="en-US" w:eastAsia="zh-CN" w:bidi="ar-SA"/>
        </w:rPr>
        <w:t>此外，定期评估还可以为焦作市旅游资源的开发和利用提供科学依据。通过对旅游资源的评估，可以了解资源的优势和特色，从而制定出更加科学合理的旅游开发规划。根据评估结果，可以确定哪些景区适合发展生态旅游，哪些景区适合发展文化旅游，从而实现旅游资源的差异化开发和利用。同时，在旅游开发过程中，要充分考虑资源的保护要求，确保开发与保护相协调，实现旅游业的可持续发展。</w:t>
      </w:r>
    </w:p>
    <w:p w14:paraId="468935E8">
      <w:pPr>
        <w:keepNext w:val="0"/>
        <w:keepLines w:val="0"/>
        <w:pageBreakBefore w:val="0"/>
        <w:widowControl w:val="0"/>
        <w:kinsoku/>
        <w:wordWrap/>
        <w:overflowPunct/>
        <w:topLinePunct w:val="0"/>
        <w:autoSpaceDE/>
        <w:autoSpaceDN/>
        <w:bidi w:val="0"/>
        <w:adjustRightInd/>
        <w:snapToGrid/>
        <w:textAlignment w:val="auto"/>
        <w:outlineLvl w:val="2"/>
        <w:rPr>
          <w:rFonts w:hint="default" w:ascii="宋体" w:hAnsi="宋体" w:eastAsia="宋体" w:cs="宋体"/>
          <w:b/>
          <w:bCs/>
          <w:color w:val="auto"/>
          <w:sz w:val="28"/>
          <w:szCs w:val="28"/>
          <w:lang w:eastAsia="zh-CN"/>
        </w:rPr>
      </w:pPr>
      <w:bookmarkStart w:id="140" w:name="_Toc30097"/>
      <w:r>
        <w:rPr>
          <w:rFonts w:hint="default" w:ascii="宋体" w:hAnsi="宋体" w:eastAsia="宋体" w:cs="宋体"/>
          <w:b/>
          <w:bCs/>
          <w:color w:val="auto"/>
          <w:sz w:val="28"/>
          <w:szCs w:val="28"/>
          <w:lang w:eastAsia="zh-CN"/>
        </w:rPr>
        <w:t>三、推进生态修复与环境保护</w:t>
      </w:r>
      <w:bookmarkEnd w:id="140"/>
    </w:p>
    <w:p w14:paraId="1250BA5C">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w:t>
      </w:r>
      <w:r>
        <w:rPr>
          <w:rFonts w:hint="default" w:ascii="宋体" w:hAnsi="宋体" w:cs="宋体"/>
          <w:b/>
          <w:bCs/>
          <w:color w:val="auto"/>
          <w:sz w:val="24"/>
          <w:szCs w:val="24"/>
          <w:lang w:val="en-US" w:eastAsia="zh-CN"/>
        </w:rPr>
        <w:t>实施生态修复工程</w:t>
      </w:r>
    </w:p>
    <w:p w14:paraId="583E7CC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一方面，通过植树造林的方式增加森林覆盖率。选择适合当地气候和土壤条件的树种，如侧柏、刺槐、杨树等，进行大规模的植树活动。在植树过程中，要注重科学规划，合理布局，形成多树种、多层次的森林生态系统。在山区可以采用混交林的模式，将不同树种的树木搭配种植，提高森林的生态稳定性和抗病虫害能力。同时，加强对新造林地的抚育管理，定期进行浇水、施肥、修剪等工作，确保树木的健康成长。</w:t>
      </w:r>
    </w:p>
    <w:p w14:paraId="631D41D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划定一定的封育区域，禁止一切破坏森林植被的活动，让森林在自然状态下进行恢复和演替。在封育期间，加强对封育区域的监测和管理，防止人为干扰和破坏。通过封山育林，可以促进森林植被的自然更新，提高森林的质量和生态功能。</w:t>
      </w:r>
    </w:p>
    <w:p w14:paraId="6DCE2A8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焦作市应加大水污染治理力度，实施水体生态修复工程。加强污水处理设施建设，提高污水处理能力和标准。同时，采用生态修复技术，如人工湿地、生态浮岛等，对污水体进行净化处理。</w:t>
      </w:r>
    </w:p>
    <w:p w14:paraId="3CC4C5E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人工湿地是一种利用植物、微生物和土壤等自然元素构建的生态系统，能够有效去除水体中的污染物。</w:t>
      </w:r>
      <w:r>
        <w:rPr>
          <w:rFonts w:hint="eastAsia" w:ascii="Times New Roman" w:hAnsi="Times New Roman" w:cs="Times New Roman"/>
          <w:bCs/>
          <w:color w:val="auto"/>
          <w:kern w:val="2"/>
          <w:sz w:val="24"/>
          <w:szCs w:val="24"/>
          <w:lang w:val="en-US" w:eastAsia="zh-CN" w:bidi="ar-SA"/>
        </w:rPr>
        <w:t>如</w:t>
      </w:r>
      <w:r>
        <w:rPr>
          <w:rFonts w:hint="default" w:ascii="Times New Roman" w:hAnsi="Times New Roman" w:cs="Times New Roman"/>
          <w:bCs/>
          <w:color w:val="auto"/>
          <w:kern w:val="2"/>
          <w:sz w:val="24"/>
          <w:szCs w:val="24"/>
          <w:lang w:val="en-US" w:eastAsia="zh-CN" w:bidi="ar-SA"/>
        </w:rPr>
        <w:t>在青天河等景区周边，可以建设人工湿地，将处理后的中水引入湿地，通过湿地植物的吸收和微生物的分解作用，进一步净化水质。生态浮岛则是一种漂浮在水面上的生态设施，上面种植着各种水生植物，能够吸收水中的氮、磷等营养物质，抑制藻类生长，改善水体生态环境。通过这些生态修复技术的应用，逐步恢复水体的生态功能和景观价值，让焦作市的水域重新焕发出清澈秀美的光彩。</w:t>
      </w:r>
    </w:p>
    <w:p w14:paraId="4B4DE134">
      <w:pPr>
        <w:spacing w:line="360" w:lineRule="auto"/>
        <w:ind w:firstLine="482" w:firstLineChars="200"/>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（二）</w:t>
      </w:r>
      <w:r>
        <w:rPr>
          <w:rFonts w:hint="default" w:ascii="宋体" w:hAnsi="宋体" w:cs="宋体"/>
          <w:b/>
          <w:bCs/>
          <w:color w:val="auto"/>
          <w:sz w:val="24"/>
          <w:szCs w:val="24"/>
          <w:lang w:val="en-US" w:eastAsia="zh-CN"/>
        </w:rPr>
        <w:t>加强环境保护</w:t>
      </w:r>
    </w:p>
    <w:p w14:paraId="7AF7FEE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加大对旅游活动产生的污染物的处理力度，是确保旅游环境质量的重要保障。随着焦作市旅游业的快速发展，游客数量不断增加，旅游活动产生的垃圾、废水等污染物也日益增多。如果这些污染物得不到及时有效</w:t>
      </w:r>
      <w:r>
        <w:rPr>
          <w:rFonts w:hint="eastAsia" w:ascii="Times New Roman" w:hAnsi="Times New Roman" w:cs="Times New Roman"/>
          <w:bCs/>
          <w:color w:val="auto"/>
          <w:kern w:val="2"/>
          <w:sz w:val="24"/>
          <w:szCs w:val="24"/>
          <w:lang w:val="en-US" w:eastAsia="zh-CN" w:bidi="ar-SA"/>
        </w:rPr>
        <w:t>地</w:t>
      </w:r>
      <w:r>
        <w:rPr>
          <w:rFonts w:hint="default" w:ascii="Times New Roman" w:hAnsi="Times New Roman" w:cs="Times New Roman"/>
          <w:bCs/>
          <w:color w:val="auto"/>
          <w:kern w:val="2"/>
          <w:sz w:val="24"/>
          <w:szCs w:val="24"/>
          <w:lang w:val="en-US" w:eastAsia="zh-CN" w:bidi="ar-SA"/>
        </w:rPr>
        <w:t>处理，将会对旅游环境造成严重破坏。</w:t>
      </w:r>
    </w:p>
    <w:p w14:paraId="430038D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在垃圾处理方面，焦作市应加强旅游景区的垃圾收集、运输和处理设施建设。在景区内合理设置垃圾桶，增加垃圾收集频次，确保垃圾及时清理。同时，建立完善的垃圾运输体系，将收集到的垃圾运至正规的垃圾</w:t>
      </w:r>
      <w:r>
        <w:rPr>
          <w:rFonts w:hint="eastAsia" w:ascii="Times New Roman" w:hAnsi="Times New Roman" w:cs="Times New Roman"/>
          <w:bCs/>
          <w:color w:val="auto"/>
          <w:kern w:val="2"/>
          <w:sz w:val="24"/>
          <w:szCs w:val="24"/>
          <w:lang w:val="en-US" w:eastAsia="zh-CN" w:bidi="ar-SA"/>
        </w:rPr>
        <w:t>处理厂</w:t>
      </w:r>
      <w:r>
        <w:rPr>
          <w:rFonts w:hint="default" w:ascii="Times New Roman" w:hAnsi="Times New Roman" w:cs="Times New Roman"/>
          <w:bCs/>
          <w:color w:val="auto"/>
          <w:kern w:val="2"/>
          <w:sz w:val="24"/>
          <w:szCs w:val="24"/>
          <w:lang w:val="en-US" w:eastAsia="zh-CN" w:bidi="ar-SA"/>
        </w:rPr>
        <w:t>进行处理。对于可回收物，应进行分类回收和再利用，减少资源浪费。</w:t>
      </w:r>
    </w:p>
    <w:p w14:paraId="63DA790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废水处理方面，加强对旅游景区和周边餐饮、住宿等场所的废水排放监管。要求这些场所建设污水处理设施，对废水进行处理达标后排放。对于没有条件建设污水处理设施的小型场所，可以采用分散式污水处理技术，如生物接触氧化法、膜生物反应器等，对废水进行就地处理。同时，加强对景区内河流、湖泊等水体的水质监测，及时发现和处理水污染问题。</w:t>
      </w:r>
    </w:p>
    <w:p w14:paraId="3D6435C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旅游项目开发前，要进行严格的环境影响评价，评估项目对环境的潜在影响，并提出相应的预防和减轻措施。在项目建设过程中，要加强对施工单位的监管，要求其采取有效的污染防治措施，减少施工扬尘、噪声等对环境的影响。例如，要求施工单位在施工现场设置围挡、洒水降尘，合理安排施工时间，避免在居民休息时间进行高噪声作业。</w:t>
      </w:r>
    </w:p>
    <w:p w14:paraId="106D510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color w:val="auto"/>
        </w:rPr>
      </w:pPr>
      <w:r>
        <w:rPr>
          <w:rFonts w:hint="default" w:ascii="Times New Roman" w:hAnsi="Times New Roman" w:cs="Times New Roman"/>
          <w:bCs/>
          <w:color w:val="auto"/>
          <w:kern w:val="2"/>
          <w:sz w:val="24"/>
          <w:szCs w:val="24"/>
          <w:lang w:val="en-US" w:eastAsia="zh-CN" w:bidi="ar-SA"/>
        </w:rPr>
        <w:t>在旅游项目运营过程中，要加强对旅游企业的环境监管，督促其遵守环保法律法规，落实环保措施。对于违反环保规定的企业，要依法进行处罚，形成有效的法律威慑。同时，建立健全旅游环境投诉举报机制，鼓励游客和社会公众对旅游环境问题进行监督和举报，及时发现和解决环境问题。</w:t>
      </w:r>
    </w:p>
    <w:p w14:paraId="79A205F5">
      <w:pPr>
        <w:keepNext w:val="0"/>
        <w:keepLines w:val="0"/>
        <w:pageBreakBefore w:val="0"/>
        <w:widowControl w:val="0"/>
        <w:kinsoku/>
        <w:wordWrap/>
        <w:overflowPunct/>
        <w:topLinePunct w:val="0"/>
        <w:autoSpaceDE/>
        <w:autoSpaceDN/>
        <w:bidi w:val="0"/>
        <w:adjustRightInd/>
        <w:snapToGrid/>
        <w:textAlignment w:val="auto"/>
        <w:outlineLvl w:val="2"/>
        <w:rPr>
          <w:rFonts w:hint="default" w:ascii="宋体" w:hAnsi="宋体" w:eastAsia="宋体" w:cs="宋体"/>
          <w:b/>
          <w:bCs/>
          <w:color w:val="auto"/>
          <w:sz w:val="28"/>
          <w:szCs w:val="28"/>
          <w:lang w:eastAsia="zh-CN"/>
        </w:rPr>
      </w:pPr>
      <w:bookmarkStart w:id="141" w:name="_Toc4385"/>
      <w:r>
        <w:rPr>
          <w:rFonts w:hint="default" w:ascii="宋体" w:hAnsi="宋体" w:eastAsia="宋体" w:cs="宋体"/>
          <w:b/>
          <w:bCs/>
          <w:color w:val="auto"/>
          <w:sz w:val="28"/>
          <w:szCs w:val="28"/>
          <w:lang w:eastAsia="zh-CN"/>
        </w:rPr>
        <w:t>四、注重文化遗产保护与传承</w:t>
      </w:r>
      <w:bookmarkEnd w:id="141"/>
    </w:p>
    <w:p w14:paraId="2D94D99D">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w:t>
      </w:r>
      <w:r>
        <w:rPr>
          <w:rFonts w:hint="default" w:ascii="宋体" w:hAnsi="宋体" w:cs="宋体"/>
          <w:b/>
          <w:bCs/>
          <w:color w:val="auto"/>
          <w:sz w:val="24"/>
          <w:szCs w:val="24"/>
          <w:lang w:val="en-US" w:eastAsia="zh-CN"/>
        </w:rPr>
        <w:t>加强文化遗产保护</w:t>
      </w:r>
    </w:p>
    <w:p w14:paraId="60CD02B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对焦作市的历史文化遗迹、古建筑、传统村落等文化遗产进行妥善保护，是防止其受到破坏和遗失的关键所在。历史文化遗迹是焦作市历史的见证者，它们承载着先辈们的智慧和情感，是城市文化的重要载体。山阳故城作为焦作地区重要的古代城址，见证了焦作在历史上的政治、经济和文化地位。然而，随着岁月的流逝和城市化进程的加快，山阳故城面临着诸多威胁，为了保护这一珍贵的历史文化遗迹，焦作市加大了保护力度，划定了保护范围和建设控制地带，加强对周边环境的整治和管理。同时，运用现代科技手段，对山阳故城进行数字化保护和监测，及时掌握其保存状况，为制定科学的保护方案提供依据。</w:t>
      </w:r>
    </w:p>
    <w:p w14:paraId="4261DAA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古建筑是焦作市文化遗产的重要组成部分，它们以其独特的建筑风格和精湛的工艺技术，展现了古代建筑艺术的魅力。像嘉应观这样的清代古建筑群，融合了多种建筑风格和文化元素，具有极高的历史、艺术和科学价值。为了保护嘉应观，焦作市制定了严格的保护规划，加强对古建筑的日常维护和修缮。在修缮过程中，遵循</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不改变文物原状</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的原则，采用传统的工艺和材料，确保古建筑的历史风貌得以完整保留。同时，加强对古建筑周边环境的保护，控制周边建筑的高度和风格，营造与古建筑相协调的景观环境。</w:t>
      </w:r>
    </w:p>
    <w:p w14:paraId="1240E4D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传统村落是焦作市农耕文明的活化石，它们保留了丰富的传统建筑、民俗文化和生活方式。一斗水村、陪嫁妆村等传统村落，以其独特的村落布局、古朴的建筑风格和浓郁的民俗风情，吸引着众多游客前来观光游览。为了保护这些传统村落，焦作市</w:t>
      </w:r>
      <w:r>
        <w:rPr>
          <w:rFonts w:hint="eastAsia" w:ascii="Times New Roman" w:hAnsi="Times New Roman" w:cs="Times New Roman"/>
          <w:bCs/>
          <w:color w:val="auto"/>
          <w:kern w:val="2"/>
          <w:sz w:val="24"/>
          <w:szCs w:val="24"/>
          <w:lang w:val="en-US" w:eastAsia="zh-CN" w:bidi="ar-SA"/>
        </w:rPr>
        <w:t>可</w:t>
      </w:r>
      <w:r>
        <w:rPr>
          <w:rFonts w:hint="default" w:ascii="Times New Roman" w:hAnsi="Times New Roman" w:cs="Times New Roman"/>
          <w:bCs/>
          <w:color w:val="auto"/>
          <w:kern w:val="2"/>
          <w:sz w:val="24"/>
          <w:szCs w:val="24"/>
          <w:lang w:val="en-US" w:eastAsia="zh-CN" w:bidi="ar-SA"/>
        </w:rPr>
        <w:t>实施传统村落保护工程，加强对村落整体风貌的保护和修缮。一方面，对传统建筑进行分类保护，对濒危建筑进行抢救性修复，对一般建筑进行日常维护和保养；另一方面，注重对传统村落非物质文化遗产的保护和传承，挖掘和整理村落的民俗文化、传统技艺等，让传统村落焕发出新的生机与活力。</w:t>
      </w:r>
    </w:p>
    <w:p w14:paraId="23BF719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除了对具体的文化遗产进行保护，</w:t>
      </w:r>
      <w:r>
        <w:rPr>
          <w:rFonts w:hint="eastAsia" w:ascii="Times New Roman" w:hAnsi="Times New Roman" w:cs="Times New Roman"/>
          <w:bCs/>
          <w:color w:val="auto"/>
          <w:kern w:val="2"/>
          <w:sz w:val="24"/>
          <w:szCs w:val="24"/>
          <w:lang w:val="en-US" w:eastAsia="zh-CN" w:bidi="ar-SA"/>
        </w:rPr>
        <w:t>要加强</w:t>
      </w:r>
      <w:r>
        <w:rPr>
          <w:rFonts w:hint="default" w:ascii="Times New Roman" w:hAnsi="Times New Roman" w:cs="Times New Roman"/>
          <w:bCs/>
          <w:color w:val="auto"/>
          <w:kern w:val="2"/>
          <w:sz w:val="24"/>
          <w:szCs w:val="24"/>
          <w:lang w:val="en-US" w:eastAsia="zh-CN" w:bidi="ar-SA"/>
        </w:rPr>
        <w:t>文化遗产保护的制度建设。制定和完善相关的法律法规和政策文件，明确文化遗产保护的责任主体、保护范围和保护措施。建立文化遗产保护专项资金，加大对文化遗产保护的资金投入。同时，加强文化遗产保护的宣传教育，提高市民对文化遗产保护的认识和意识，形成了全社会共同参与文化遗产保护的良好氛围。</w:t>
      </w:r>
    </w:p>
    <w:p w14:paraId="304F917D">
      <w:pPr>
        <w:spacing w:line="360" w:lineRule="auto"/>
        <w:ind w:firstLine="482" w:firstLineChars="200"/>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（二）</w:t>
      </w:r>
      <w:r>
        <w:rPr>
          <w:rFonts w:hint="default" w:ascii="宋体" w:hAnsi="宋体" w:cs="宋体"/>
          <w:b/>
          <w:bCs/>
          <w:color w:val="auto"/>
          <w:sz w:val="24"/>
          <w:szCs w:val="24"/>
          <w:lang w:val="en-US" w:eastAsia="zh-CN"/>
        </w:rPr>
        <w:t>促进文化传承</w:t>
      </w:r>
    </w:p>
    <w:p w14:paraId="291A1FE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通过举办文化活动、展览、演出等方式，传承和弘扬焦作市的历史文化，是增强游客对当地文化的认同感和归属感的重要途径。文化活动是文化传承的重要载体，焦作市通过举办各类文化节、庙会等活动，让历史文化走进百姓生活。焦作市每年</w:t>
      </w:r>
      <w:r>
        <w:rPr>
          <w:rFonts w:hint="eastAsia" w:ascii="Times New Roman" w:hAnsi="Times New Roman" w:cs="Times New Roman"/>
          <w:bCs/>
          <w:color w:val="auto"/>
          <w:kern w:val="2"/>
          <w:sz w:val="24"/>
          <w:szCs w:val="24"/>
          <w:lang w:val="en-US" w:eastAsia="zh-CN" w:bidi="ar-SA"/>
        </w:rPr>
        <w:t>可以</w:t>
      </w:r>
      <w:r>
        <w:rPr>
          <w:rFonts w:hint="default" w:ascii="Times New Roman" w:hAnsi="Times New Roman" w:cs="Times New Roman"/>
          <w:bCs/>
          <w:color w:val="auto"/>
          <w:kern w:val="2"/>
          <w:sz w:val="24"/>
          <w:szCs w:val="24"/>
          <w:lang w:val="en-US" w:eastAsia="zh-CN" w:bidi="ar-SA"/>
        </w:rPr>
        <w:t>举办</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山阳文化节</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以展示山阳文化为主题，涵盖了文化展览、文艺演出、民俗表演等多个方面的内容。在文化展览中，展示焦作市的历史文物、民俗风情、传统技艺等，让市民和游客深入了解焦作市的历史文化；在文艺演出中，演出具有焦作特色的戏曲、歌舞等节目，展现焦作市的文化艺术魅力；在民俗表演中，展示舞龙舞狮、踩高跷等传统民俗活动，让市民和游客感受到浓郁的节日氛围。</w:t>
      </w:r>
    </w:p>
    <w:p w14:paraId="0175F56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展览是展示文化遗产的重要方式，焦作市</w:t>
      </w:r>
      <w:r>
        <w:rPr>
          <w:rFonts w:hint="eastAsia" w:ascii="Times New Roman" w:hAnsi="Times New Roman" w:cs="Times New Roman"/>
          <w:bCs/>
          <w:color w:val="auto"/>
          <w:kern w:val="2"/>
          <w:sz w:val="24"/>
          <w:szCs w:val="24"/>
          <w:lang w:val="en-US" w:eastAsia="zh-CN" w:bidi="ar-SA"/>
        </w:rPr>
        <w:t>应</w:t>
      </w:r>
      <w:r>
        <w:rPr>
          <w:rFonts w:hint="default" w:ascii="Times New Roman" w:hAnsi="Times New Roman" w:cs="Times New Roman"/>
          <w:bCs/>
          <w:color w:val="auto"/>
          <w:kern w:val="2"/>
          <w:sz w:val="24"/>
          <w:szCs w:val="24"/>
          <w:lang w:val="en-US" w:eastAsia="zh-CN" w:bidi="ar-SA"/>
        </w:rPr>
        <w:t>充分利用博物馆、文化馆等文化场所，举办各类文化遗产展览。焦作市博物馆作为展示焦作市历史文化的重要窗口，通过举办基本陈列和临时展览，向市民和游客展示焦作市的历史变迁、文化发展和艺术成就。举办</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焦作古代陶瓷展</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，展示焦作地区从原始社会到近现代的陶瓷精品，让人们领略到焦作陶瓷文化的博大精深。同时，焦作市还</w:t>
      </w:r>
      <w:r>
        <w:rPr>
          <w:rFonts w:hint="eastAsia" w:ascii="Times New Roman" w:hAnsi="Times New Roman" w:cs="Times New Roman"/>
          <w:bCs/>
          <w:color w:val="auto"/>
          <w:kern w:val="2"/>
          <w:sz w:val="24"/>
          <w:szCs w:val="24"/>
          <w:lang w:val="en-US" w:eastAsia="zh-CN" w:bidi="ar-SA"/>
        </w:rPr>
        <w:t>应</w:t>
      </w:r>
      <w:r>
        <w:rPr>
          <w:rFonts w:hint="default" w:ascii="Times New Roman" w:hAnsi="Times New Roman" w:cs="Times New Roman"/>
          <w:bCs/>
          <w:color w:val="auto"/>
          <w:kern w:val="2"/>
          <w:sz w:val="24"/>
          <w:szCs w:val="24"/>
          <w:lang w:val="en-US" w:eastAsia="zh-CN" w:bidi="ar-SA"/>
        </w:rPr>
        <w:t>积极组织文化遗产展览走出本地，到其他城市进行巡展，扩大焦作市文化遗产的影响力。</w:t>
      </w:r>
    </w:p>
    <w:p w14:paraId="68ECF1C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演出是传播历史文化的重要形式，焦作市通过创作和演出具有地方特色的文艺作品，传承和弘扬焦作市的历史文化。以太极拳文化为题材创作的舞剧《太极》，通过精彩的舞蹈表演和唯美的舞台效果，展现太极拳的魅力和文化内涵，受到了广大观众的喜爱。此外</w:t>
      </w:r>
      <w:r>
        <w:rPr>
          <w:rFonts w:hint="eastAsia" w:ascii="Times New Roman" w:hAnsi="Times New Roman" w:cs="Times New Roman"/>
          <w:bCs/>
          <w:color w:val="auto"/>
          <w:kern w:val="2"/>
          <w:sz w:val="24"/>
          <w:szCs w:val="24"/>
          <w:lang w:val="en-US" w:eastAsia="zh-CN" w:bidi="ar-SA"/>
        </w:rPr>
        <w:t>，应</w:t>
      </w:r>
      <w:r>
        <w:rPr>
          <w:rFonts w:hint="default" w:ascii="Times New Roman" w:hAnsi="Times New Roman" w:cs="Times New Roman"/>
          <w:bCs/>
          <w:color w:val="auto"/>
          <w:kern w:val="2"/>
          <w:sz w:val="24"/>
          <w:szCs w:val="24"/>
          <w:lang w:val="en-US" w:eastAsia="zh-CN" w:bidi="ar-SA"/>
        </w:rPr>
        <w:t>鼓励民间文艺团体开展文化演出活动，将传统文化与现代艺术相结合，创作出</w:t>
      </w:r>
      <w:r>
        <w:rPr>
          <w:rFonts w:hint="eastAsia" w:ascii="Times New Roman" w:hAnsi="Times New Roman" w:cs="Times New Roman"/>
          <w:bCs/>
          <w:color w:val="auto"/>
          <w:kern w:val="2"/>
          <w:sz w:val="24"/>
          <w:szCs w:val="24"/>
          <w:lang w:val="en-US" w:eastAsia="zh-CN" w:bidi="ar-SA"/>
        </w:rPr>
        <w:t>更多</w:t>
      </w:r>
      <w:r>
        <w:rPr>
          <w:rFonts w:hint="default" w:ascii="Times New Roman" w:hAnsi="Times New Roman" w:cs="Times New Roman"/>
          <w:bCs/>
          <w:color w:val="auto"/>
          <w:kern w:val="2"/>
          <w:sz w:val="24"/>
          <w:szCs w:val="24"/>
          <w:lang w:val="en-US" w:eastAsia="zh-CN" w:bidi="ar-SA"/>
        </w:rPr>
        <w:t>具有时代特色的文艺作品，让历史文化在新时代焕发出新的生机与活力。</w:t>
      </w:r>
    </w:p>
    <w:p w14:paraId="6053C06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color w:val="auto"/>
        </w:rPr>
      </w:pPr>
      <w:r>
        <w:rPr>
          <w:rFonts w:hint="default" w:ascii="Times New Roman" w:hAnsi="Times New Roman" w:cs="Times New Roman"/>
          <w:bCs/>
          <w:color w:val="auto"/>
          <w:kern w:val="2"/>
          <w:sz w:val="24"/>
          <w:szCs w:val="24"/>
          <w:lang w:val="en-US" w:eastAsia="zh-CN" w:bidi="ar-SA"/>
        </w:rPr>
        <w:t>为了进一步增强游客对焦作市文化的认同感和归属感，焦作市还</w:t>
      </w:r>
      <w:r>
        <w:rPr>
          <w:rFonts w:hint="eastAsia" w:ascii="Times New Roman" w:hAnsi="Times New Roman" w:cs="Times New Roman"/>
          <w:bCs/>
          <w:color w:val="auto"/>
          <w:kern w:val="2"/>
          <w:sz w:val="24"/>
          <w:szCs w:val="24"/>
          <w:lang w:val="en-US" w:eastAsia="zh-CN" w:bidi="ar-SA"/>
        </w:rPr>
        <w:t>应</w:t>
      </w:r>
      <w:r>
        <w:rPr>
          <w:rFonts w:hint="default" w:ascii="Times New Roman" w:hAnsi="Times New Roman" w:cs="Times New Roman"/>
          <w:bCs/>
          <w:color w:val="auto"/>
          <w:kern w:val="2"/>
          <w:sz w:val="24"/>
          <w:szCs w:val="24"/>
          <w:lang w:val="en-US" w:eastAsia="zh-CN" w:bidi="ar-SA"/>
        </w:rPr>
        <w:t>将文化传承与旅游开发相结合。在旅游景区中融入文化元素，打造具有文化内涵的旅游产品和旅游线路。在云台山景区中，设置文化展示区，展示云台山的历史文化和自然景观；在陈家沟景区中，开发太极拳体验项目，让游客亲身体验太极拳的魅力。通过这些举措，让游客在欣赏美景的同时，深入了解焦作市的历史文化，增强游客对当地文化的认同感和归属感。</w:t>
      </w:r>
    </w:p>
    <w:p w14:paraId="0AFBAACC">
      <w:pPr>
        <w:keepNext w:val="0"/>
        <w:keepLines w:val="0"/>
        <w:pageBreakBefore w:val="0"/>
        <w:widowControl w:val="0"/>
        <w:kinsoku/>
        <w:wordWrap/>
        <w:overflowPunct/>
        <w:topLinePunct w:val="0"/>
        <w:autoSpaceDE/>
        <w:autoSpaceDN/>
        <w:bidi w:val="0"/>
        <w:adjustRightInd/>
        <w:snapToGrid/>
        <w:textAlignment w:val="auto"/>
        <w:outlineLvl w:val="2"/>
        <w:rPr>
          <w:rFonts w:hint="default" w:ascii="宋体" w:hAnsi="宋体" w:eastAsia="宋体" w:cs="宋体"/>
          <w:b/>
          <w:bCs/>
          <w:color w:val="auto"/>
          <w:sz w:val="28"/>
          <w:szCs w:val="28"/>
          <w:lang w:eastAsia="zh-CN"/>
        </w:rPr>
      </w:pPr>
      <w:bookmarkStart w:id="142" w:name="_Toc17366"/>
      <w:r>
        <w:rPr>
          <w:rFonts w:hint="default" w:ascii="宋体" w:hAnsi="宋体" w:eastAsia="宋体" w:cs="宋体"/>
          <w:b/>
          <w:bCs/>
          <w:color w:val="auto"/>
          <w:sz w:val="28"/>
          <w:szCs w:val="28"/>
          <w:lang w:eastAsia="zh-CN"/>
        </w:rPr>
        <w:t>五、建立跨部门合作与协调机制</w:t>
      </w:r>
      <w:bookmarkEnd w:id="142"/>
    </w:p>
    <w:p w14:paraId="48A78270">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w:t>
      </w:r>
      <w:r>
        <w:rPr>
          <w:rFonts w:hint="default" w:ascii="宋体" w:hAnsi="宋体" w:cs="宋体"/>
          <w:b/>
          <w:bCs/>
          <w:color w:val="auto"/>
          <w:sz w:val="24"/>
          <w:szCs w:val="24"/>
          <w:lang w:val="en-US" w:eastAsia="zh-CN"/>
        </w:rPr>
        <w:t>加强部门协作</w:t>
      </w:r>
    </w:p>
    <w:p w14:paraId="66F187B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建立由旅游、环保、文化、林业等多部门参与的旅游资源保护协调机制，是整合各方资源、形成工作合力的有效途径。旅游部门作为旅游业发展的主导力量，在旅游资源的规划、开发和营销等方面发挥着重要作用。然而，旅游资源的保护不仅仅是旅游部门的责任，还</w:t>
      </w:r>
      <w:r>
        <w:rPr>
          <w:rFonts w:hint="eastAsia" w:ascii="Times New Roman" w:hAnsi="Times New Roman" w:cs="Times New Roman"/>
          <w:bCs/>
          <w:color w:val="auto"/>
          <w:kern w:val="2"/>
          <w:sz w:val="24"/>
          <w:szCs w:val="24"/>
          <w:lang w:val="en-US" w:eastAsia="zh-CN" w:bidi="ar-SA"/>
        </w:rPr>
        <w:t>涉及</w:t>
      </w:r>
      <w:r>
        <w:rPr>
          <w:rFonts w:hint="default" w:ascii="Times New Roman" w:hAnsi="Times New Roman" w:cs="Times New Roman"/>
          <w:bCs/>
          <w:color w:val="auto"/>
          <w:kern w:val="2"/>
          <w:sz w:val="24"/>
          <w:szCs w:val="24"/>
          <w:lang w:val="en-US" w:eastAsia="zh-CN" w:bidi="ar-SA"/>
        </w:rPr>
        <w:t>环保、文化、林业等多个部门。</w:t>
      </w:r>
    </w:p>
    <w:p w14:paraId="7B67238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环保部门在旅游资源保护中承担着重要职责。随着旅游活动的日益频繁，旅游环境面临着诸多挑战，如垃圾污染、水污染、大气污染等。环保部门需要加强对旅游景区的环境监测和治理，确保旅游环境的质量。在云台山景区，环保部门可以设置多个监测点，实时监测空气质量、水质等指标，一旦发现异常情况，及时采取措施进行处理。同时，加强对旅游企业和游客的环保宣传教育，提高他们的环保意识，共同保护旅游环境。</w:t>
      </w:r>
    </w:p>
    <w:p w14:paraId="4188EA2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文化和旅游部</w:t>
      </w:r>
      <w:r>
        <w:rPr>
          <w:rFonts w:hint="default" w:ascii="Times New Roman" w:hAnsi="Times New Roman" w:cs="Times New Roman"/>
          <w:bCs/>
          <w:color w:val="auto"/>
          <w:kern w:val="2"/>
          <w:sz w:val="24"/>
          <w:szCs w:val="24"/>
          <w:lang w:val="en-US" w:eastAsia="zh-CN" w:bidi="ar-SA"/>
        </w:rPr>
        <w:t>门则负责保护和传承焦作市的历史文化遗产。焦作市拥有丰富的历史文化资源，如古建筑、古遗址、非物质文化遗产等。</w:t>
      </w:r>
      <w:r>
        <w:rPr>
          <w:rFonts w:hint="eastAsia" w:ascii="Times New Roman" w:hAnsi="Times New Roman" w:cs="Times New Roman"/>
          <w:bCs/>
          <w:color w:val="auto"/>
          <w:kern w:val="2"/>
          <w:sz w:val="24"/>
          <w:szCs w:val="24"/>
          <w:lang w:val="en-US" w:eastAsia="zh-CN" w:bidi="ar-SA"/>
        </w:rPr>
        <w:t>文化和旅游部</w:t>
      </w:r>
      <w:r>
        <w:rPr>
          <w:rFonts w:hint="default" w:ascii="Times New Roman" w:hAnsi="Times New Roman" w:cs="Times New Roman"/>
          <w:bCs/>
          <w:color w:val="auto"/>
          <w:kern w:val="2"/>
          <w:sz w:val="24"/>
          <w:szCs w:val="24"/>
          <w:lang w:val="en-US" w:eastAsia="zh-CN" w:bidi="ar-SA"/>
        </w:rPr>
        <w:t>门需要加强对这些文化遗产的保护和管理，制定科学合理的保护规划，加大对文化遗产的修缮和维护力度。对于嘉应观这样的清代古建筑群，</w:t>
      </w:r>
      <w:r>
        <w:rPr>
          <w:rFonts w:hint="eastAsia" w:ascii="Times New Roman" w:hAnsi="Times New Roman" w:cs="Times New Roman"/>
          <w:bCs/>
          <w:color w:val="auto"/>
          <w:kern w:val="2"/>
          <w:sz w:val="24"/>
          <w:szCs w:val="24"/>
          <w:lang w:val="en-US" w:eastAsia="zh-CN" w:bidi="ar-SA"/>
        </w:rPr>
        <w:t>文化和旅游部</w:t>
      </w:r>
      <w:r>
        <w:rPr>
          <w:rFonts w:hint="default" w:ascii="Times New Roman" w:hAnsi="Times New Roman" w:cs="Times New Roman"/>
          <w:bCs/>
          <w:color w:val="auto"/>
          <w:kern w:val="2"/>
          <w:sz w:val="24"/>
          <w:szCs w:val="24"/>
          <w:lang w:val="en-US" w:eastAsia="zh-CN" w:bidi="ar-SA"/>
        </w:rPr>
        <w:t>门可以组织专业的文物保护团队，对其进行定期的检查和修缮，确保古建筑的安全和完整。此外，</w:t>
      </w:r>
      <w:r>
        <w:rPr>
          <w:rFonts w:hint="eastAsia" w:ascii="Times New Roman" w:hAnsi="Times New Roman" w:cs="Times New Roman"/>
          <w:bCs/>
          <w:color w:val="auto"/>
          <w:kern w:val="2"/>
          <w:sz w:val="24"/>
          <w:szCs w:val="24"/>
          <w:lang w:val="en-US" w:eastAsia="zh-CN" w:bidi="ar-SA"/>
        </w:rPr>
        <w:t>文化和旅游部</w:t>
      </w:r>
      <w:r>
        <w:rPr>
          <w:rFonts w:hint="default" w:ascii="Times New Roman" w:hAnsi="Times New Roman" w:cs="Times New Roman"/>
          <w:bCs/>
          <w:color w:val="auto"/>
          <w:kern w:val="2"/>
          <w:sz w:val="24"/>
          <w:szCs w:val="24"/>
          <w:lang w:val="en-US" w:eastAsia="zh-CN" w:bidi="ar-SA"/>
        </w:rPr>
        <w:t>门还可以通过举办文化活动、展览等方式，传承和弘扬焦作市的历史文化，增强游客对当地文化的认同感和归属感。</w:t>
      </w:r>
    </w:p>
    <w:p w14:paraId="5A6FA2C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林业部门在保护旅游景区的生态环境方面发挥着重要作用。焦作市的一些旅游景区，如云台山、青天河等，拥有丰富的森林资源。林业部门需要加强对森林资源的保护和管理，防止</w:t>
      </w:r>
      <w:r>
        <w:rPr>
          <w:rFonts w:hint="eastAsia" w:ascii="Times New Roman" w:hAnsi="Times New Roman" w:cs="Times New Roman"/>
          <w:bCs/>
          <w:color w:val="auto"/>
          <w:kern w:val="2"/>
          <w:sz w:val="24"/>
          <w:szCs w:val="24"/>
          <w:lang w:val="en-US" w:eastAsia="zh-CN" w:bidi="ar-SA"/>
        </w:rPr>
        <w:t>乱砍滥伐</w:t>
      </w:r>
      <w:r>
        <w:rPr>
          <w:rFonts w:hint="default" w:ascii="Times New Roman" w:hAnsi="Times New Roman" w:cs="Times New Roman"/>
          <w:bCs/>
          <w:color w:val="auto"/>
          <w:kern w:val="2"/>
          <w:sz w:val="24"/>
          <w:szCs w:val="24"/>
          <w:lang w:val="en-US" w:eastAsia="zh-CN" w:bidi="ar-SA"/>
        </w:rPr>
        <w:t>、非法捕猎等行为的发生。同时，积极开展植树造林活动，增加森林覆盖率，改善生态环境。此外，林业部门还可以与旅游部门合作，开发森林旅游项目，让游客在欣赏自然风光的同时，增强环保意识。</w:t>
      </w:r>
    </w:p>
    <w:p w14:paraId="37EA74C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为了明确各部门职责，形成工作合力，焦作市需要建立健全协调机制。可以成立旅游资源保护协调领导小组，由市政府主要领导担任组长，旅游、环保、文化、林业等部门负责人为成员。领导小组定期召开会议，研究解决旅游资源保护与开发中遇到的重大问题。同时，建立信息共享平台，各部门及时通报工作进展情况和相关信息，实现信息的互联互通。此外，还可以制定考核评价机制，对各部门在旅游资源保护与开发中的工作表现进行考核评价，激励各部门积极履行职责。</w:t>
      </w:r>
    </w:p>
    <w:p w14:paraId="162F87E0">
      <w:pPr>
        <w:spacing w:line="360" w:lineRule="auto"/>
        <w:ind w:firstLine="482" w:firstLineChars="200"/>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（二）</w:t>
      </w:r>
      <w:r>
        <w:rPr>
          <w:rFonts w:hint="default" w:ascii="宋体" w:hAnsi="宋体" w:cs="宋体"/>
          <w:b/>
          <w:bCs/>
          <w:color w:val="auto"/>
          <w:sz w:val="24"/>
          <w:szCs w:val="24"/>
          <w:lang w:val="en-US" w:eastAsia="zh-CN"/>
        </w:rPr>
        <w:t>推动区域合作</w:t>
      </w:r>
    </w:p>
    <w:p w14:paraId="7CDAD5E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加强与周边地区的合作与交流，共同推进旅游资源的保护和开发，是焦作市实现旅游业可持续发展的重要途径。在区域一体化发展的背景下，各地之间的经济联系日益紧密，旅游资源的互补性也越来越强。焦作市与周边地区在旅游资源、客源市场等方面存在一定的差异，通过区域合作，可以实现资源共享、优势互补，共同打造具有影响力的旅游品牌。</w:t>
      </w:r>
    </w:p>
    <w:p w14:paraId="4C243D5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在旅游资源保护方面，焦作市可以与周边地区建立联合保护机制。与山西晋城、河南</w:t>
      </w:r>
      <w:r>
        <w:rPr>
          <w:rFonts w:hint="eastAsia" w:ascii="Times New Roman" w:hAnsi="Times New Roman" w:cs="Times New Roman"/>
          <w:bCs/>
          <w:color w:val="auto"/>
          <w:kern w:val="2"/>
          <w:sz w:val="24"/>
          <w:szCs w:val="24"/>
          <w:lang w:val="en-US" w:eastAsia="zh-CN" w:bidi="ar-SA"/>
        </w:rPr>
        <w:t>新乡、安阳</w:t>
      </w:r>
      <w:r>
        <w:rPr>
          <w:rFonts w:hint="default" w:ascii="Times New Roman" w:hAnsi="Times New Roman" w:cs="Times New Roman"/>
          <w:bCs/>
          <w:color w:val="auto"/>
          <w:kern w:val="2"/>
          <w:sz w:val="24"/>
          <w:szCs w:val="24"/>
          <w:lang w:val="en-US" w:eastAsia="zh-CN" w:bidi="ar-SA"/>
        </w:rPr>
        <w:t>等地共同加强对太行山</w:t>
      </w:r>
      <w:r>
        <w:rPr>
          <w:rFonts w:hint="eastAsia" w:ascii="Times New Roman" w:hAnsi="Times New Roman" w:cs="Times New Roman"/>
          <w:bCs/>
          <w:color w:val="auto"/>
          <w:kern w:val="2"/>
          <w:sz w:val="24"/>
          <w:szCs w:val="24"/>
          <w:lang w:val="en-US" w:eastAsia="zh-CN" w:bidi="ar-SA"/>
        </w:rPr>
        <w:t>生态环境保护</w:t>
      </w:r>
      <w:r>
        <w:rPr>
          <w:rFonts w:hint="default" w:ascii="Times New Roman" w:hAnsi="Times New Roman" w:cs="Times New Roman"/>
          <w:bCs/>
          <w:color w:val="auto"/>
          <w:kern w:val="2"/>
          <w:sz w:val="24"/>
          <w:szCs w:val="24"/>
          <w:lang w:val="en-US" w:eastAsia="zh-CN" w:bidi="ar-SA"/>
        </w:rPr>
        <w:t>。太行山跨越多个地区，其</w:t>
      </w:r>
      <w:r>
        <w:rPr>
          <w:rFonts w:hint="eastAsia" w:ascii="Times New Roman" w:hAnsi="Times New Roman" w:cs="Times New Roman"/>
          <w:bCs/>
          <w:color w:val="auto"/>
          <w:kern w:val="2"/>
          <w:sz w:val="24"/>
          <w:szCs w:val="24"/>
          <w:lang w:val="en-US" w:eastAsia="zh-CN" w:bidi="ar-SA"/>
        </w:rPr>
        <w:t>生态环境保护</w:t>
      </w:r>
      <w:r>
        <w:rPr>
          <w:rFonts w:hint="default" w:ascii="Times New Roman" w:hAnsi="Times New Roman" w:cs="Times New Roman"/>
          <w:bCs/>
          <w:color w:val="auto"/>
          <w:kern w:val="2"/>
          <w:sz w:val="24"/>
          <w:szCs w:val="24"/>
          <w:lang w:val="en-US" w:eastAsia="zh-CN" w:bidi="ar-SA"/>
        </w:rPr>
        <w:t>需要各地共同努力。焦作市可以与周边地区签订生态保护协议，共同制定保护规划和措施，加强对太行山森林资源、水资源、野生动植物资源的保护。同时，建立联合执法机制，加强对破坏生态环境行为的打击力度，确保太行山生态环境的安全。</w:t>
      </w:r>
    </w:p>
    <w:p w14:paraId="212DD28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在旅游开发方面，焦作市可以与周边地区开展合作，共同打造旅游线路和产品。与郑州、洛阳等地合作，推出</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中原文化旅游线路</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将焦作市的云台山、陈家沟等景点与郑州的少林寺、洛阳的龙门石窟等景点串联起来，形成具有吸引力的旅游线路。通过合作，可以整合各地的旅游资源，提高旅游产品的质量和竞争力。此外，焦作市还可以与周边地区开展旅游营销合作，共同举办旅游推介会、旅游节等活动，扩大旅游市场的影响力。</w:t>
      </w:r>
    </w:p>
    <w:p w14:paraId="74CF952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为了实现区域合作的有效开展，焦作市需要加强与周边地区的沟通与协调。可以建立区域旅游合作协调机构，由各地旅游部门负责人组成，定期召开会议，研究解决合作中遇到的问题。同时，加强与周边地区的交通基础设施建设，提高交通便利性，为游客的出行提供便利。例如，加快与周边地区的高速公路、铁路等交通干线的连接，缩短游客的旅行时间。</w:t>
      </w:r>
    </w:p>
    <w:p w14:paraId="486678E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此外，焦作市还可以借鉴周边地区的成功经验，学习他们在旅游资源保护和开发方面的先进做法。学习杭州在西湖景区保护与开发中的经验，注重生态保护与文化传承相结合，打造具有特色的旅游品牌。通过学习与借鉴，不断提升焦作市旅游资源保护和开发的水平。</w:t>
      </w:r>
    </w:p>
    <w:p w14:paraId="6EE4DA3E">
      <w:pPr>
        <w:keepNext w:val="0"/>
        <w:keepLines w:val="0"/>
        <w:pageBreakBefore w:val="0"/>
        <w:widowControl w:val="0"/>
        <w:kinsoku/>
        <w:wordWrap/>
        <w:overflowPunct/>
        <w:topLinePunct w:val="0"/>
        <w:autoSpaceDE/>
        <w:autoSpaceDN/>
        <w:bidi w:val="0"/>
        <w:adjustRightInd/>
        <w:snapToGrid/>
        <w:textAlignment w:val="auto"/>
        <w:outlineLvl w:val="2"/>
        <w:rPr>
          <w:rFonts w:hint="default" w:ascii="宋体" w:hAnsi="宋体" w:eastAsia="宋体" w:cs="宋体"/>
          <w:b/>
          <w:bCs/>
          <w:color w:val="auto"/>
          <w:sz w:val="28"/>
          <w:szCs w:val="28"/>
          <w:lang w:eastAsia="zh-CN"/>
        </w:rPr>
      </w:pPr>
      <w:bookmarkStart w:id="143" w:name="_Toc3830"/>
      <w:r>
        <w:rPr>
          <w:rFonts w:hint="default" w:ascii="宋体" w:hAnsi="宋体" w:eastAsia="宋体" w:cs="宋体"/>
          <w:b/>
          <w:bCs/>
          <w:color w:val="auto"/>
          <w:sz w:val="28"/>
          <w:szCs w:val="28"/>
          <w:lang w:eastAsia="zh-CN"/>
        </w:rPr>
        <w:t>六、鼓励社区参与</w:t>
      </w:r>
      <w:r>
        <w:rPr>
          <w:rFonts w:hint="eastAsia" w:ascii="宋体" w:hAnsi="宋体" w:cs="宋体"/>
          <w:b/>
          <w:bCs/>
          <w:color w:val="auto"/>
          <w:sz w:val="28"/>
          <w:szCs w:val="28"/>
          <w:lang w:val="en-US" w:eastAsia="zh-CN"/>
        </w:rPr>
        <w:t>和</w:t>
      </w:r>
      <w:r>
        <w:rPr>
          <w:rFonts w:hint="default" w:ascii="宋体" w:hAnsi="宋体" w:eastAsia="宋体" w:cs="宋体"/>
          <w:b/>
          <w:bCs/>
          <w:color w:val="auto"/>
          <w:sz w:val="28"/>
          <w:szCs w:val="28"/>
          <w:lang w:eastAsia="zh-CN"/>
        </w:rPr>
        <w:t>利益共享</w:t>
      </w:r>
      <w:bookmarkEnd w:id="143"/>
    </w:p>
    <w:p w14:paraId="19899FBA">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w:t>
      </w:r>
      <w:r>
        <w:rPr>
          <w:rFonts w:hint="default" w:ascii="宋体" w:hAnsi="宋体" w:cs="宋体"/>
          <w:b/>
          <w:bCs/>
          <w:color w:val="auto"/>
          <w:sz w:val="24"/>
          <w:szCs w:val="24"/>
          <w:lang w:val="en-US" w:eastAsia="zh-CN"/>
        </w:rPr>
        <w:t>引导社区参与</w:t>
      </w:r>
    </w:p>
    <w:p w14:paraId="3565AF7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鼓励当地社区积极参与旅游资源保护工作，是增强社区对旅游资源保护意识和责任感的重要途径。社区作为旅游资源的直接承载者和守护者，他们对当地的环境、文化有着深厚的感情和深入的了解。通过开展</w:t>
      </w:r>
      <w:r>
        <w:rPr>
          <w:rFonts w:hint="eastAsia" w:ascii="Times New Roman" w:hAnsi="Times New Roman" w:cs="Times New Roman"/>
          <w:bCs/>
          <w:color w:val="auto"/>
          <w:kern w:val="2"/>
          <w:sz w:val="24"/>
          <w:szCs w:val="24"/>
          <w:lang w:val="en-US" w:eastAsia="zh-CN" w:bidi="ar-SA"/>
        </w:rPr>
        <w:t>生态保护和</w:t>
      </w:r>
      <w:r>
        <w:rPr>
          <w:rFonts w:hint="default" w:ascii="Times New Roman" w:hAnsi="Times New Roman" w:cs="Times New Roman"/>
          <w:bCs/>
          <w:color w:val="auto"/>
          <w:kern w:val="2"/>
          <w:sz w:val="24"/>
          <w:szCs w:val="24"/>
          <w:lang w:val="en-US" w:eastAsia="zh-CN" w:bidi="ar-SA"/>
        </w:rPr>
        <w:t>文化遗产保护宣传活动，向居民普及</w:t>
      </w:r>
      <w:r>
        <w:rPr>
          <w:rFonts w:hint="eastAsia" w:ascii="Times New Roman" w:hAnsi="Times New Roman" w:cs="Times New Roman"/>
          <w:bCs/>
          <w:color w:val="auto"/>
          <w:kern w:val="2"/>
          <w:sz w:val="24"/>
          <w:szCs w:val="24"/>
          <w:lang w:val="en-US" w:eastAsia="zh-CN" w:bidi="ar-SA"/>
        </w:rPr>
        <w:t>生态和</w:t>
      </w:r>
      <w:r>
        <w:rPr>
          <w:rFonts w:hint="default" w:ascii="Times New Roman" w:hAnsi="Times New Roman" w:cs="Times New Roman"/>
          <w:bCs/>
          <w:color w:val="auto"/>
          <w:kern w:val="2"/>
          <w:sz w:val="24"/>
          <w:szCs w:val="24"/>
          <w:lang w:val="en-US" w:eastAsia="zh-CN" w:bidi="ar-SA"/>
        </w:rPr>
        <w:t>文化遗产保护知识，提高居民对</w:t>
      </w:r>
      <w:r>
        <w:rPr>
          <w:rFonts w:hint="eastAsia" w:ascii="Times New Roman" w:hAnsi="Times New Roman" w:cs="Times New Roman"/>
          <w:bCs/>
          <w:color w:val="auto"/>
          <w:kern w:val="2"/>
          <w:sz w:val="24"/>
          <w:szCs w:val="24"/>
          <w:lang w:val="en-US" w:eastAsia="zh-CN" w:bidi="ar-SA"/>
        </w:rPr>
        <w:t>生态和</w:t>
      </w:r>
      <w:r>
        <w:rPr>
          <w:rFonts w:hint="default" w:ascii="Times New Roman" w:hAnsi="Times New Roman" w:cs="Times New Roman"/>
          <w:bCs/>
          <w:color w:val="auto"/>
          <w:kern w:val="2"/>
          <w:sz w:val="24"/>
          <w:szCs w:val="24"/>
          <w:lang w:val="en-US" w:eastAsia="zh-CN" w:bidi="ar-SA"/>
        </w:rPr>
        <w:t>文化遗产保护的责任感</w:t>
      </w:r>
      <w:r>
        <w:rPr>
          <w:rFonts w:hint="eastAsia" w:ascii="Times New Roman" w:hAnsi="Times New Roman" w:cs="Times New Roman"/>
          <w:bCs/>
          <w:color w:val="auto"/>
          <w:kern w:val="2"/>
          <w:sz w:val="24"/>
          <w:szCs w:val="24"/>
          <w:lang w:val="en-US" w:eastAsia="zh-CN" w:bidi="ar-SA"/>
        </w:rPr>
        <w:t>，同时鼓励</w:t>
      </w:r>
      <w:r>
        <w:rPr>
          <w:rFonts w:hint="default" w:ascii="Times New Roman" w:hAnsi="Times New Roman" w:cs="Times New Roman"/>
          <w:bCs/>
          <w:color w:val="auto"/>
          <w:kern w:val="2"/>
          <w:sz w:val="24"/>
          <w:szCs w:val="24"/>
          <w:lang w:val="en-US" w:eastAsia="zh-CN" w:bidi="ar-SA"/>
        </w:rPr>
        <w:t>社区参与到生态修复、文化遗产保护等工作中，充分发挥社区的基层优势，实现旅游资源的有效保护。</w:t>
      </w:r>
    </w:p>
    <w:p w14:paraId="2020BBD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为了进一步提高社区参与旅游资源保护的积极性，</w:t>
      </w:r>
      <w:r>
        <w:rPr>
          <w:rFonts w:hint="eastAsia" w:ascii="Times New Roman" w:hAnsi="Times New Roman" w:cs="Times New Roman"/>
          <w:bCs/>
          <w:color w:val="auto"/>
          <w:kern w:val="2"/>
          <w:sz w:val="24"/>
          <w:szCs w:val="24"/>
          <w:lang w:val="en-US" w:eastAsia="zh-CN" w:bidi="ar-SA"/>
        </w:rPr>
        <w:t>可以建立</w:t>
      </w:r>
      <w:r>
        <w:rPr>
          <w:rFonts w:hint="default" w:ascii="Times New Roman" w:hAnsi="Times New Roman" w:cs="Times New Roman"/>
          <w:bCs/>
          <w:color w:val="auto"/>
          <w:kern w:val="2"/>
          <w:sz w:val="24"/>
          <w:szCs w:val="24"/>
          <w:lang w:val="en-US" w:eastAsia="zh-CN" w:bidi="ar-SA"/>
        </w:rPr>
        <w:t>相应的激励机制。对在旅游资源保护工作中表现突出的社区和个人给予表彰和奖励，如颁发荣誉证书、给予物质奖励等。同时，为社区提供技术支持和培训，提高社区参与旅游资源保护的能力。例如，邀请专家学者到社区举办讲座和培训班，向社区居民传授生态修复、文化遗产保护等方面的知识和技能。</w:t>
      </w:r>
    </w:p>
    <w:p w14:paraId="618F41C7">
      <w:pPr>
        <w:spacing w:line="360" w:lineRule="auto"/>
        <w:ind w:firstLine="482" w:firstLineChars="200"/>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（二）</w:t>
      </w:r>
      <w:r>
        <w:rPr>
          <w:rFonts w:hint="default" w:ascii="宋体" w:hAnsi="宋体" w:cs="宋体"/>
          <w:b/>
          <w:bCs/>
          <w:color w:val="auto"/>
          <w:sz w:val="24"/>
          <w:szCs w:val="24"/>
          <w:lang w:val="en-US" w:eastAsia="zh-CN"/>
        </w:rPr>
        <w:t>实现利益共享</w:t>
      </w:r>
    </w:p>
    <w:p w14:paraId="68E0755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通过发展乡村旅游、生态旅游等方式，让当地社区从旅游资源保护中获得经济收益，是实现利益共享和可持续发展的关键。乡村旅游和生态旅游作为一种新兴的旅游形式，不仅能够满足游客对自然和文化的需求，还能为当地社区带来可观的经济收入。</w:t>
      </w:r>
    </w:p>
    <w:p w14:paraId="43BBB1A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拥有丰富的乡村旅游资源，如美丽的田园风光、独特的民俗风情等。为了发展乡村旅游，焦作市鼓励社区利用自身的资源优势，开发具有特色的乡村旅游产品。在一些乡村，社区组织居民开办农家乐、民宿等旅游接待设施，为游客提供餐饮、住宿等服务。游客可以在这里品尝到地道的农家美食，体验到乡村生活的宁静与惬意。同时，社区还开发了农事体验、民俗表演等旅游项目，让游客亲身参与到乡村生活中，增强了旅游的趣味性和吸引力。</w:t>
      </w:r>
    </w:p>
    <w:p w14:paraId="4F1A2D2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生态旅游也是焦作市实现利益共享的重要途径。焦作市的一些自然保护区、森林公园等生态旅游资源丰富，具有极高的观赏价值和科研价值。当地社区积极参与生态旅游开发，通过发展生态旅游，实现生态保护与经济发展的良性互动。在青天河景区周边的社区，居民参与到景区的生态保护和服务工作中，如担任护林员、导游等。他们不仅为景区的生态保护做出了贡献，还从景区的旅游收入中获得了一定的</w:t>
      </w:r>
      <w:r>
        <w:rPr>
          <w:rFonts w:hint="eastAsia" w:ascii="Times New Roman" w:hAnsi="Times New Roman" w:cs="Times New Roman"/>
          <w:bCs/>
          <w:color w:val="auto"/>
          <w:kern w:val="2"/>
          <w:sz w:val="24"/>
          <w:szCs w:val="24"/>
          <w:lang w:val="en-US" w:eastAsia="zh-CN" w:bidi="ar-SA"/>
        </w:rPr>
        <w:t>收益</w:t>
      </w:r>
      <w:r>
        <w:rPr>
          <w:rFonts w:hint="default" w:ascii="Times New Roman" w:hAnsi="Times New Roman" w:cs="Times New Roman"/>
          <w:bCs/>
          <w:color w:val="auto"/>
          <w:kern w:val="2"/>
          <w:sz w:val="24"/>
          <w:szCs w:val="24"/>
          <w:lang w:val="en-US" w:eastAsia="zh-CN" w:bidi="ar-SA"/>
        </w:rPr>
        <w:t>。同时，社区还利用景区的资源优势，发展特色农产品种植和加工产业，将农产品销售给游客，增加了居民的收入。</w:t>
      </w:r>
    </w:p>
    <w:p w14:paraId="6764060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auto"/>
          <w:lang w:val="en-US" w:eastAsia="zh-CN"/>
        </w:rPr>
      </w:pPr>
      <w:r>
        <w:rPr>
          <w:rFonts w:hint="default" w:ascii="Times New Roman" w:hAnsi="Times New Roman" w:cs="Times New Roman"/>
          <w:bCs/>
          <w:color w:val="auto"/>
          <w:kern w:val="2"/>
          <w:sz w:val="24"/>
          <w:szCs w:val="24"/>
          <w:lang w:val="en-US" w:eastAsia="zh-CN" w:bidi="ar-SA"/>
        </w:rPr>
        <w:t>此外，</w:t>
      </w:r>
      <w:r>
        <w:rPr>
          <w:rFonts w:hint="eastAsia" w:ascii="Times New Roman" w:hAnsi="Times New Roman" w:cs="Times New Roman"/>
          <w:bCs/>
          <w:color w:val="auto"/>
          <w:kern w:val="2"/>
          <w:sz w:val="24"/>
          <w:szCs w:val="24"/>
          <w:lang w:val="en-US" w:eastAsia="zh-CN" w:bidi="ar-SA"/>
        </w:rPr>
        <w:t>应</w:t>
      </w:r>
      <w:r>
        <w:rPr>
          <w:rFonts w:hint="default" w:ascii="Times New Roman" w:hAnsi="Times New Roman" w:cs="Times New Roman"/>
          <w:bCs/>
          <w:color w:val="auto"/>
          <w:kern w:val="2"/>
          <w:sz w:val="24"/>
          <w:szCs w:val="24"/>
          <w:lang w:val="en-US" w:eastAsia="zh-CN" w:bidi="ar-SA"/>
        </w:rPr>
        <w:t>注重提升社区居民的旅游服务意识和技能，以提高旅游服务质量。通过开展旅游服务培训，向社区居民传授旅游接待、礼仪规范等方面的知识和技能，让社区居民能够更好地为游客服务。同时，鼓励社区居民参与旅游行业协会，加强行业自律和管理，共同推动焦作市旅游业的发展。</w:t>
      </w:r>
    </w:p>
    <w:p w14:paraId="18D9F971">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3780" w:leftChars="0" w:firstLine="0" w:firstLineChars="0"/>
        <w:jc w:val="both"/>
        <w:textAlignment w:val="auto"/>
        <w:outlineLvl w:val="1"/>
        <w:rPr>
          <w:rFonts w:hint="eastAsia" w:ascii="宋体" w:hAnsi="宋体" w:cs="宋体"/>
          <w:b/>
          <w:bCs/>
          <w:color w:val="auto"/>
          <w:sz w:val="30"/>
          <w:szCs w:val="30"/>
          <w:lang w:val="en-US" w:eastAsia="zh-CN"/>
        </w:rPr>
      </w:pPr>
      <w:r>
        <w:rPr>
          <w:rFonts w:hint="eastAsia" w:ascii="宋体" w:hAnsi="宋体" w:cs="宋体"/>
          <w:b/>
          <w:bCs/>
          <w:color w:val="auto"/>
          <w:sz w:val="30"/>
          <w:szCs w:val="30"/>
          <w:lang w:val="en-US" w:eastAsia="zh-CN"/>
        </w:rPr>
        <w:t xml:space="preserve"> </w:t>
      </w:r>
      <w:bookmarkStart w:id="144" w:name="_Toc27020"/>
      <w:r>
        <w:rPr>
          <w:rFonts w:hint="eastAsia" w:ascii="宋体" w:hAnsi="宋体" w:cs="宋体"/>
          <w:b/>
          <w:bCs/>
          <w:color w:val="auto"/>
          <w:sz w:val="30"/>
          <w:szCs w:val="30"/>
          <w:lang w:val="en-US" w:eastAsia="zh-CN"/>
        </w:rPr>
        <w:t>开发建议</w:t>
      </w:r>
      <w:bookmarkEnd w:id="144"/>
    </w:p>
    <w:p w14:paraId="6ECE72B2">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val="en-US" w:eastAsia="zh-CN"/>
        </w:rPr>
      </w:pPr>
      <w:bookmarkStart w:id="145" w:name="_Toc13525"/>
      <w:r>
        <w:rPr>
          <w:rFonts w:hint="eastAsia" w:ascii="宋体" w:hAnsi="宋体" w:cs="宋体"/>
          <w:b/>
          <w:bCs/>
          <w:color w:val="auto"/>
          <w:sz w:val="28"/>
          <w:szCs w:val="28"/>
          <w:lang w:val="en-US" w:eastAsia="zh-CN"/>
        </w:rPr>
        <w:t>一、</w:t>
      </w:r>
      <w:r>
        <w:rPr>
          <w:rFonts w:hint="eastAsia" w:ascii="宋体" w:hAnsi="宋体" w:eastAsia="宋体" w:cs="宋体"/>
          <w:b/>
          <w:bCs/>
          <w:color w:val="auto"/>
          <w:sz w:val="28"/>
          <w:szCs w:val="28"/>
          <w:lang w:val="en-US" w:eastAsia="zh-CN"/>
        </w:rPr>
        <w:t>树立新的旅游资源</w:t>
      </w:r>
      <w:r>
        <w:rPr>
          <w:rFonts w:hint="eastAsia" w:ascii="宋体" w:hAnsi="宋体" w:cs="宋体"/>
          <w:b/>
          <w:bCs/>
          <w:color w:val="auto"/>
          <w:sz w:val="28"/>
          <w:szCs w:val="28"/>
          <w:lang w:val="en-US" w:eastAsia="zh-CN"/>
        </w:rPr>
        <w:t>利用</w:t>
      </w:r>
      <w:r>
        <w:rPr>
          <w:rFonts w:hint="eastAsia" w:ascii="宋体" w:hAnsi="宋体" w:eastAsia="宋体" w:cs="宋体"/>
          <w:b/>
          <w:bCs/>
          <w:color w:val="auto"/>
          <w:sz w:val="28"/>
          <w:szCs w:val="28"/>
          <w:lang w:val="en-US" w:eastAsia="zh-CN"/>
        </w:rPr>
        <w:t>观</w:t>
      </w:r>
      <w:bookmarkEnd w:id="145"/>
    </w:p>
    <w:p w14:paraId="0C4DB7F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现</w:t>
      </w:r>
      <w:r>
        <w:rPr>
          <w:rFonts w:hint="default" w:ascii="Times New Roman" w:hAnsi="Times New Roman" w:cs="Times New Roman"/>
          <w:bCs/>
          <w:color w:val="auto"/>
          <w:kern w:val="2"/>
          <w:sz w:val="24"/>
          <w:szCs w:val="24"/>
          <w:lang w:val="en-US" w:eastAsia="zh-CN" w:bidi="ar-SA"/>
        </w:rPr>
        <w:t>代旅游资源观是对传统资源认知的突破与升级，强调从单一资源开发转向系统性、创新性、可持续性的资源利用模式。其核心内涵可归纳为以下六个方面，并在实践中形成相互支撑的逻辑链条</w:t>
      </w:r>
      <w:r>
        <w:rPr>
          <w:rFonts w:hint="eastAsia" w:ascii="Times New Roman" w:hAnsi="Times New Roman" w:cs="Times New Roman"/>
          <w:bCs/>
          <w:color w:val="auto"/>
          <w:kern w:val="2"/>
          <w:sz w:val="24"/>
          <w:szCs w:val="24"/>
          <w:lang w:val="en-US" w:eastAsia="zh-CN" w:bidi="ar-SA"/>
        </w:rPr>
        <w:t>。</w:t>
      </w:r>
    </w:p>
    <w:p w14:paraId="7BCF0D3A">
      <w:pPr>
        <w:keepNext w:val="0"/>
        <w:keepLines w:val="0"/>
        <w:pageBreakBefore w:val="0"/>
        <w:widowControl w:val="0"/>
        <w:numPr>
          <w:ilvl w:val="0"/>
          <w:numId w:val="28"/>
        </w:numPr>
        <w:kinsoku/>
        <w:wordWrap/>
        <w:overflowPunct/>
        <w:topLinePunct w:val="0"/>
        <w:autoSpaceDE/>
        <w:autoSpaceDN/>
        <w:bidi w:val="0"/>
        <w:adjustRightInd/>
        <w:snapToGrid/>
        <w:spacing w:line="360" w:lineRule="auto"/>
        <w:ind w:firstLine="482" w:firstLineChars="200"/>
        <w:jc w:val="both"/>
        <w:textAlignment w:val="auto"/>
        <w:outlineLvl w:val="9"/>
        <w:rPr>
          <w:rFonts w:hint="default" w:ascii="宋体" w:hAnsi="宋体" w:cs="宋体"/>
          <w:b/>
          <w:bCs/>
          <w:color w:val="auto"/>
          <w:sz w:val="24"/>
          <w:szCs w:val="24"/>
          <w:lang w:val="en-US" w:eastAsia="zh-CN"/>
        </w:rPr>
      </w:pPr>
      <w:r>
        <w:rPr>
          <w:rFonts w:hint="default" w:ascii="宋体" w:hAnsi="宋体" w:cs="宋体"/>
          <w:b/>
          <w:bCs/>
          <w:color w:val="auto"/>
          <w:sz w:val="24"/>
          <w:szCs w:val="24"/>
          <w:lang w:val="en-US" w:eastAsia="zh-CN"/>
        </w:rPr>
        <w:t>全域资源整合观打破传统边界，构建“旅游+”生态体系</w:t>
      </w:r>
    </w:p>
    <w:p w14:paraId="3202D9A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将自然景观、文化遗产、社会资源（如社区生活、工业遗产）、农业资源等纳入统一开发框架，形成</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景点</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城镇</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乡村</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协同发展的空间格局。其核心逻辑在于通过资源互补性与空间联动性实现价值最大化：例如，焦作可将云台山的山水资源与陈家沟的太极文化结合，打造</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山水太极</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主题线路，避免同质化竞争；同时通过交通网络（如景区直通车、骑行绿道）串联分散资源，形成</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一日游多景</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的消费场景。瑞士少女峰地区通过登山铁路、滑雪场、冰川公园与周边小镇的奶酪工坊、钟表博物馆联动，构建全域旅游网络；焦作则可规划</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云台山-青天河-神农山</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山水联盟，推出联票与跨景区接驳服务，提升游客停留时间。这种整合不仅扩大了资源覆盖面，更通过场景叠加创造了新的消费需求。</w:t>
      </w:r>
    </w:p>
    <w:p w14:paraId="4A056B53">
      <w:pPr>
        <w:keepNext w:val="0"/>
        <w:keepLines w:val="0"/>
        <w:pageBreakBefore w:val="0"/>
        <w:widowControl w:val="0"/>
        <w:numPr>
          <w:ilvl w:val="0"/>
          <w:numId w:val="28"/>
        </w:numPr>
        <w:kinsoku/>
        <w:wordWrap/>
        <w:overflowPunct/>
        <w:topLinePunct w:val="0"/>
        <w:autoSpaceDE/>
        <w:autoSpaceDN/>
        <w:bidi w:val="0"/>
        <w:adjustRightInd/>
        <w:snapToGrid/>
        <w:spacing w:line="360" w:lineRule="auto"/>
        <w:ind w:firstLine="482" w:firstLineChars="200"/>
        <w:jc w:val="both"/>
        <w:textAlignment w:val="auto"/>
        <w:outlineLvl w:val="9"/>
        <w:rPr>
          <w:rFonts w:hint="default" w:ascii="宋体" w:hAnsi="宋体" w:cs="宋体"/>
          <w:b/>
          <w:bCs/>
          <w:color w:val="auto"/>
          <w:sz w:val="24"/>
          <w:szCs w:val="24"/>
          <w:lang w:val="en-US" w:eastAsia="zh-CN"/>
        </w:rPr>
      </w:pPr>
      <w:r>
        <w:rPr>
          <w:rFonts w:hint="default" w:ascii="宋体" w:hAnsi="宋体" w:cs="宋体"/>
          <w:b/>
          <w:bCs/>
          <w:color w:val="auto"/>
          <w:sz w:val="24"/>
          <w:szCs w:val="24"/>
          <w:lang w:val="en-US" w:eastAsia="zh-CN"/>
        </w:rPr>
        <w:t>文化价值深度挖掘观推动文化资源从“符号展示”向“活态传承”转型</w:t>
      </w:r>
    </w:p>
    <w:p w14:paraId="3865DF0A">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 传统开发模式常将文化简化为静态展品，而现代观念强调通过场景化与IP化实现文化体验的</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可参与、可消费</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。其核心逻辑在于重构文化与游客的互动关系：一方面，通过实景演出、工作坊、节庆活动等创造沉浸式场景，如河南《只有河南</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戏剧幻城》以21个剧场演绎黄河文化，将历史故事转化为戏剧体验；另一方面，将文化符号转化为具有市场价值的品牌，如故宫文创、敦煌IP的跨界开发。焦作可开发</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太极养生营</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，让游客跟随非遗传承人学习推手、站桩，结合中医理疗推出</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太极+药膳</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套餐，使文化从</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背景板</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变为消费核心。</w:t>
      </w:r>
    </w:p>
    <w:p w14:paraId="1B04A774">
      <w:pPr>
        <w:keepNext w:val="0"/>
        <w:keepLines w:val="0"/>
        <w:pageBreakBefore w:val="0"/>
        <w:widowControl w:val="0"/>
        <w:numPr>
          <w:ilvl w:val="0"/>
          <w:numId w:val="28"/>
        </w:numPr>
        <w:kinsoku/>
        <w:wordWrap/>
        <w:overflowPunct/>
        <w:topLinePunct w:val="0"/>
        <w:autoSpaceDE/>
        <w:autoSpaceDN/>
        <w:bidi w:val="0"/>
        <w:adjustRightInd/>
        <w:snapToGrid/>
        <w:spacing w:line="360" w:lineRule="auto"/>
        <w:ind w:firstLine="482" w:firstLineChars="200"/>
        <w:jc w:val="both"/>
        <w:textAlignment w:val="auto"/>
        <w:outlineLvl w:val="9"/>
        <w:rPr>
          <w:rFonts w:hint="default" w:ascii="宋体" w:hAnsi="宋体" w:cs="宋体"/>
          <w:b/>
          <w:bCs/>
          <w:color w:val="auto"/>
          <w:sz w:val="24"/>
          <w:szCs w:val="24"/>
          <w:lang w:val="en-US" w:eastAsia="zh-CN"/>
        </w:rPr>
      </w:pPr>
      <w:r>
        <w:rPr>
          <w:rFonts w:hint="default" w:ascii="宋体" w:hAnsi="宋体" w:cs="宋体"/>
          <w:b/>
          <w:bCs/>
          <w:color w:val="auto"/>
          <w:sz w:val="24"/>
          <w:szCs w:val="24"/>
          <w:lang w:val="en-US" w:eastAsia="zh-CN"/>
        </w:rPr>
        <w:t>技术驱动创新观以数字技术重构旅游体验维度</w:t>
      </w:r>
    </w:p>
    <w:p w14:paraId="208D436F">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5G、VR/AR、大数据、人工智能等技术的应用，不仅提升了服务的便捷性，更创造了全新的互动模式。其核心逻辑在于通过技术弥补现实资源的局限性：例如，敦煌莫高窟通过VR技术让游客</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穿越</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至千年前的洞窟，实现文物保护与体验升级的平衡；焦作可在云台山红石峡设置AR导览点，游客扫描岩石即可获取矿物成分、形成年代等科普信息，将地质景观转化为</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可解读的教科书</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。同时，技术优化了运营效率，如通过游客行为数据分析动态调整景区动线，或精准推送营销内容，使资源利用从</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粗放式</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转向</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精细化</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w:t>
      </w:r>
    </w:p>
    <w:p w14:paraId="00152C94">
      <w:pPr>
        <w:keepNext w:val="0"/>
        <w:keepLines w:val="0"/>
        <w:pageBreakBefore w:val="0"/>
        <w:widowControl w:val="0"/>
        <w:numPr>
          <w:ilvl w:val="0"/>
          <w:numId w:val="28"/>
        </w:numPr>
        <w:kinsoku/>
        <w:wordWrap/>
        <w:overflowPunct/>
        <w:topLinePunct w:val="0"/>
        <w:autoSpaceDE/>
        <w:autoSpaceDN/>
        <w:bidi w:val="0"/>
        <w:adjustRightInd/>
        <w:snapToGrid/>
        <w:spacing w:line="360" w:lineRule="auto"/>
        <w:ind w:firstLine="482" w:firstLineChars="200"/>
        <w:jc w:val="both"/>
        <w:textAlignment w:val="auto"/>
        <w:outlineLvl w:val="9"/>
        <w:rPr>
          <w:rFonts w:hint="default" w:ascii="宋体" w:hAnsi="宋体" w:cs="宋体"/>
          <w:b/>
          <w:bCs/>
          <w:color w:val="auto"/>
          <w:sz w:val="24"/>
          <w:szCs w:val="24"/>
          <w:lang w:val="en-US" w:eastAsia="zh-CN"/>
        </w:rPr>
      </w:pPr>
      <w:r>
        <w:rPr>
          <w:rFonts w:hint="default" w:ascii="宋体" w:hAnsi="宋体" w:cs="宋体"/>
          <w:b/>
          <w:bCs/>
          <w:color w:val="auto"/>
          <w:sz w:val="24"/>
          <w:szCs w:val="24"/>
          <w:lang w:val="en-US" w:eastAsia="zh-CN"/>
        </w:rPr>
        <w:t>可持续生态观强调保护与利用的动态平衡</w:t>
      </w:r>
    </w:p>
    <w:p w14:paraId="20551C26">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将生态承载力作为开发前提，通过科学规划与技术手段实现资源永续利用。其核心逻辑在于建立</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开发-补偿</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的闭环机制：一方面，严格限制游客容量（如云台山分时预约制度），避免超载开发；另一方面，将部分旅游收入反哺生态保护，如新西兰米尔福德峡湾通过</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生态税</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资助海洋研究，焦作可设立黄河湿地保护基金，或开发电动摆渡车、太阳能民宿等低碳产品。此外，生态教育成为重要组成部分，如在云台山规划</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生态教育走廊</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，通过不同难度徒步路线与科研监测点，让游客在探索中理解生态价值。</w:t>
      </w:r>
    </w:p>
    <w:p w14:paraId="5537B8E0">
      <w:pPr>
        <w:keepNext w:val="0"/>
        <w:keepLines w:val="0"/>
        <w:pageBreakBefore w:val="0"/>
        <w:widowControl w:val="0"/>
        <w:numPr>
          <w:ilvl w:val="0"/>
          <w:numId w:val="28"/>
        </w:numPr>
        <w:kinsoku/>
        <w:wordWrap/>
        <w:overflowPunct/>
        <w:topLinePunct w:val="0"/>
        <w:autoSpaceDE/>
        <w:autoSpaceDN/>
        <w:bidi w:val="0"/>
        <w:adjustRightInd/>
        <w:snapToGrid/>
        <w:spacing w:line="360" w:lineRule="auto"/>
        <w:ind w:firstLine="482" w:firstLineChars="200"/>
        <w:jc w:val="both"/>
        <w:textAlignment w:val="auto"/>
        <w:outlineLvl w:val="9"/>
        <w:rPr>
          <w:rFonts w:hint="default" w:ascii="宋体" w:hAnsi="宋体" w:cs="宋体"/>
          <w:b/>
          <w:bCs/>
          <w:color w:val="auto"/>
          <w:sz w:val="24"/>
          <w:szCs w:val="24"/>
          <w:lang w:val="en-US" w:eastAsia="zh-CN"/>
        </w:rPr>
      </w:pPr>
      <w:r>
        <w:rPr>
          <w:rFonts w:hint="default" w:ascii="宋体" w:hAnsi="宋体" w:cs="宋体"/>
          <w:b/>
          <w:bCs/>
          <w:color w:val="auto"/>
          <w:sz w:val="24"/>
          <w:szCs w:val="24"/>
          <w:lang w:val="en-US" w:eastAsia="zh-CN"/>
        </w:rPr>
        <w:t>市场需求导向观推动旅游产品从“资源供给”向“消费定制”转型</w:t>
      </w:r>
    </w:p>
    <w:p w14:paraId="551CA34C">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传统开发常以资源禀赋决定产品形态，而现代观念要求以游客需求为核心，通过细分市场与场景创新创造差异化价值。其核心逻辑在于精准匹配消费升级趋势：针对Z世代推出</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电竞露营+山水实景</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跨界产品，利用剧本杀、国潮等元素重构旅游场景；面向银发族开发</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太极康养度假套餐</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，整合住宿、餐饮、理疗、课程一站式服务；为亲子家庭设计</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地质小探险家</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研学课程，配备专业导师与安全装备，满足科普教育需求。通过灯光秀、</w:t>
      </w:r>
      <w:r>
        <w:rPr>
          <w:rFonts w:hint="eastAsia" w:ascii="Times New Roman" w:hAnsi="Times New Roman" w:cs="Times New Roman"/>
          <w:bCs/>
          <w:color w:val="auto"/>
          <w:kern w:val="2"/>
          <w:sz w:val="24"/>
          <w:szCs w:val="24"/>
          <w:lang w:val="en-US" w:eastAsia="zh-CN" w:bidi="ar-SA"/>
        </w:rPr>
        <w:t>实景</w:t>
      </w:r>
      <w:r>
        <w:rPr>
          <w:rFonts w:hint="default" w:ascii="Times New Roman" w:hAnsi="Times New Roman" w:cs="Times New Roman"/>
          <w:bCs/>
          <w:color w:val="auto"/>
          <w:kern w:val="2"/>
          <w:sz w:val="24"/>
          <w:szCs w:val="24"/>
          <w:lang w:val="en-US" w:eastAsia="zh-CN" w:bidi="ar-SA"/>
        </w:rPr>
        <w:t>演出</w:t>
      </w:r>
      <w:r>
        <w:rPr>
          <w:rFonts w:hint="eastAsia" w:ascii="Times New Roman" w:hAnsi="Times New Roman" w:cs="Times New Roman"/>
          <w:bCs/>
          <w:color w:val="auto"/>
          <w:kern w:val="2"/>
          <w:sz w:val="24"/>
          <w:szCs w:val="24"/>
          <w:lang w:val="en-US" w:eastAsia="zh-CN" w:bidi="ar-SA"/>
        </w:rPr>
        <w:t>等</w:t>
      </w:r>
      <w:r>
        <w:rPr>
          <w:rFonts w:hint="default" w:ascii="Times New Roman" w:hAnsi="Times New Roman" w:cs="Times New Roman"/>
          <w:bCs/>
          <w:color w:val="auto"/>
          <w:kern w:val="2"/>
          <w:sz w:val="24"/>
          <w:szCs w:val="24"/>
          <w:lang w:val="en-US" w:eastAsia="zh-CN" w:bidi="ar-SA"/>
        </w:rPr>
        <w:t>打造城市夜经济场景，对年轻群体</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夜间消费</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需求</w:t>
      </w:r>
      <w:r>
        <w:rPr>
          <w:rFonts w:hint="eastAsia" w:ascii="Times New Roman" w:hAnsi="Times New Roman" w:cs="Times New Roman"/>
          <w:bCs/>
          <w:color w:val="auto"/>
          <w:kern w:val="2"/>
          <w:sz w:val="24"/>
          <w:szCs w:val="24"/>
          <w:lang w:val="en-US" w:eastAsia="zh-CN" w:bidi="ar-SA"/>
        </w:rPr>
        <w:t>进行</w:t>
      </w:r>
      <w:r>
        <w:rPr>
          <w:rFonts w:hint="default" w:ascii="Times New Roman" w:hAnsi="Times New Roman" w:cs="Times New Roman"/>
          <w:bCs/>
          <w:color w:val="auto"/>
          <w:kern w:val="2"/>
          <w:sz w:val="24"/>
          <w:szCs w:val="24"/>
          <w:lang w:val="en-US" w:eastAsia="zh-CN" w:bidi="ar-SA"/>
        </w:rPr>
        <w:t>精准回应。</w:t>
      </w:r>
    </w:p>
    <w:p w14:paraId="1E48EF54">
      <w:pPr>
        <w:keepNext w:val="0"/>
        <w:keepLines w:val="0"/>
        <w:pageBreakBefore w:val="0"/>
        <w:widowControl w:val="0"/>
        <w:numPr>
          <w:ilvl w:val="0"/>
          <w:numId w:val="28"/>
        </w:numPr>
        <w:kinsoku/>
        <w:wordWrap/>
        <w:overflowPunct/>
        <w:topLinePunct w:val="0"/>
        <w:autoSpaceDE/>
        <w:autoSpaceDN/>
        <w:bidi w:val="0"/>
        <w:adjustRightInd/>
        <w:snapToGrid/>
        <w:spacing w:line="360" w:lineRule="auto"/>
        <w:ind w:firstLine="482" w:firstLineChars="200"/>
        <w:jc w:val="both"/>
        <w:textAlignment w:val="auto"/>
        <w:outlineLvl w:val="9"/>
        <w:rPr>
          <w:rFonts w:hint="default" w:ascii="宋体" w:hAnsi="宋体" w:cs="宋体"/>
          <w:b/>
          <w:bCs/>
          <w:color w:val="auto"/>
          <w:sz w:val="24"/>
          <w:szCs w:val="24"/>
          <w:lang w:val="en-US" w:eastAsia="zh-CN"/>
        </w:rPr>
      </w:pPr>
      <w:r>
        <w:rPr>
          <w:rFonts w:hint="default" w:ascii="宋体" w:hAnsi="宋体" w:cs="宋体"/>
          <w:b/>
          <w:bCs/>
          <w:color w:val="auto"/>
          <w:sz w:val="24"/>
          <w:szCs w:val="24"/>
          <w:lang w:val="en-US" w:eastAsia="zh-CN"/>
        </w:rPr>
        <w:t>社区参与共治观构建旅游发展的利益共同体</w:t>
      </w:r>
    </w:p>
    <w:p w14:paraId="5BFB43C3">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 将当地居民从</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旁观者</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转变为</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参与者</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，通过技能培训、收益分配、文化传承等机制实现共建共享。其核心逻辑在于平衡经济收益与社会效益：一方面，优先雇佣本地居民从事旅游服务（如民宿管家、手工艺导师），避免</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旅游飞地化</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；另一方面，鼓励居民参与非遗传承（如怀梆戏表演、绞胎瓷制作），保持文化真实性。云南哈尼梯田的村民通过民宿经营与稻作体验获得收入，同时承担梯田维护责任，形成</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保护-利用</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良性循环；焦作可在修武县大南坡村发展民宿集群，村民以房屋入股参与分红，并接受服务技能培训提升接待水平，使旅游发展成果真正惠及本地。</w:t>
      </w:r>
    </w:p>
    <w:p w14:paraId="4E33D85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现代旅游资源观的实践意义在于破解传统开发模式的局限性：通过全域整合与技术赋能，焦作可从</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煤矿城市</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转型为</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山水太极之都</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；通过文化活化与场景创新，云台山能实现从</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一日游</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到</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多日深度游</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的消费升级；通过生态保育与社区共建，黄河湿地保护与乡村旅游可形成协同发展的长效机制。这一观念不仅为资源型城市转型提供了理论框架，更通过动态平衡资源保护、文化传承与市场需求，为旅游业的可持续发展开辟新路径。</w:t>
      </w:r>
    </w:p>
    <w:p w14:paraId="5B13EEF3">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cs="宋体"/>
          <w:b/>
          <w:bCs/>
          <w:color w:val="auto"/>
          <w:sz w:val="28"/>
          <w:szCs w:val="28"/>
          <w:lang w:val="zh-CN" w:eastAsia="zh-Hans"/>
        </w:rPr>
      </w:pPr>
      <w:bookmarkStart w:id="146" w:name="_Toc9798"/>
      <w:bookmarkStart w:id="147" w:name="_Toc21771"/>
      <w:r>
        <w:rPr>
          <w:rFonts w:hint="eastAsia" w:ascii="宋体" w:hAnsi="宋体" w:cs="宋体"/>
          <w:b/>
          <w:bCs/>
          <w:color w:val="auto"/>
          <w:sz w:val="28"/>
          <w:szCs w:val="28"/>
          <w:lang w:val="zh-CN" w:eastAsia="zh-Hans"/>
        </w:rPr>
        <w:t>二、</w:t>
      </w:r>
      <w:r>
        <w:rPr>
          <w:rFonts w:hint="eastAsia" w:ascii="宋体" w:hAnsi="宋体" w:cs="宋体"/>
          <w:b/>
          <w:bCs/>
          <w:color w:val="auto"/>
          <w:sz w:val="28"/>
          <w:szCs w:val="28"/>
          <w:lang w:val="en-US" w:eastAsia="zh-Hans"/>
        </w:rPr>
        <w:t>重塑</w:t>
      </w:r>
      <w:r>
        <w:rPr>
          <w:rFonts w:hint="eastAsia" w:ascii="宋体" w:hAnsi="宋体" w:cs="宋体"/>
          <w:b/>
          <w:bCs/>
          <w:color w:val="auto"/>
          <w:sz w:val="28"/>
          <w:szCs w:val="28"/>
          <w:lang w:val="zh-CN" w:eastAsia="zh-Hans"/>
        </w:rPr>
        <w:t>新的</w:t>
      </w:r>
      <w:r>
        <w:rPr>
          <w:rFonts w:hint="eastAsia" w:ascii="宋体" w:hAnsi="宋体" w:cs="宋体"/>
          <w:b/>
          <w:bCs/>
          <w:color w:val="auto"/>
          <w:sz w:val="28"/>
          <w:szCs w:val="28"/>
          <w:lang w:val="en-US" w:eastAsia="zh-Hans"/>
        </w:rPr>
        <w:t>资源整合格局</w:t>
      </w:r>
      <w:bookmarkEnd w:id="146"/>
      <w:bookmarkEnd w:id="147"/>
    </w:p>
    <w:p w14:paraId="048CDFF1">
      <w:pPr>
        <w:adjustRightInd w:val="0"/>
        <w:snapToGrid w:val="0"/>
        <w:spacing w:line="360" w:lineRule="auto"/>
        <w:ind w:firstLine="480" w:firstLineChars="200"/>
        <w:jc w:val="left"/>
        <w:rPr>
          <w:rFonts w:ascii="宋体" w:hAnsi="宋体"/>
          <w:color w:val="auto"/>
          <w:sz w:val="24"/>
        </w:rPr>
      </w:pPr>
      <w:r>
        <w:rPr>
          <w:rFonts w:hint="eastAsia" w:ascii="宋体" w:hAnsi="宋体"/>
          <w:color w:val="auto"/>
          <w:sz w:val="24"/>
        </w:rPr>
        <w:t>坚持连点、串线、扩面，推动资源集聚式、一体化利用，创新</w:t>
      </w:r>
      <w:r>
        <w:rPr>
          <w:rFonts w:hint="eastAsia" w:ascii="宋体" w:hAnsi="宋体"/>
          <w:color w:val="auto"/>
          <w:sz w:val="24"/>
          <w:lang w:val="en-US" w:eastAsia="zh-CN"/>
        </w:rPr>
        <w:t>市</w:t>
      </w:r>
      <w:r>
        <w:rPr>
          <w:rFonts w:hint="eastAsia" w:ascii="宋体" w:hAnsi="宋体"/>
          <w:color w:val="auto"/>
          <w:sz w:val="24"/>
        </w:rPr>
        <w:t>域层面文旅立体综合发展格局。</w:t>
      </w:r>
    </w:p>
    <w:p w14:paraId="2B77DF31">
      <w:pPr>
        <w:adjustRightInd w:val="0"/>
        <w:snapToGrid w:val="0"/>
        <w:spacing w:line="360" w:lineRule="auto"/>
        <w:ind w:firstLine="482" w:firstLineChars="200"/>
        <w:jc w:val="left"/>
        <w:rPr>
          <w:rFonts w:ascii="宋体" w:hAnsi="宋体"/>
          <w:color w:val="auto"/>
          <w:sz w:val="24"/>
        </w:rPr>
      </w:pPr>
      <w:r>
        <w:rPr>
          <w:rFonts w:hint="eastAsia" w:ascii="宋体" w:hAnsi="宋体"/>
          <w:b/>
          <w:bCs/>
          <w:color w:val="auto"/>
          <w:sz w:val="24"/>
          <w:lang w:eastAsia="zh-CN"/>
        </w:rPr>
        <w:t>（</w:t>
      </w:r>
      <w:r>
        <w:rPr>
          <w:rFonts w:hint="eastAsia" w:ascii="宋体" w:hAnsi="宋体"/>
          <w:b/>
          <w:bCs/>
          <w:color w:val="auto"/>
          <w:sz w:val="24"/>
          <w:lang w:val="en-US" w:eastAsia="zh-CN"/>
        </w:rPr>
        <w:t>一）</w:t>
      </w:r>
      <w:r>
        <w:rPr>
          <w:rFonts w:hint="eastAsia" w:ascii="宋体" w:hAnsi="宋体"/>
          <w:b/>
          <w:bCs/>
          <w:color w:val="auto"/>
          <w:sz w:val="24"/>
        </w:rPr>
        <w:t>加强集点成珠</w:t>
      </w:r>
    </w:p>
    <w:p w14:paraId="30BA2EF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宋体" w:hAnsi="宋体"/>
          <w:color w:val="auto"/>
          <w:sz w:val="24"/>
        </w:rPr>
      </w:pPr>
      <w:r>
        <w:rPr>
          <w:rFonts w:hint="eastAsia" w:ascii="Times New Roman" w:hAnsi="Times New Roman" w:cs="Times New Roman"/>
          <w:bCs/>
          <w:color w:val="auto"/>
          <w:kern w:val="2"/>
          <w:sz w:val="24"/>
          <w:szCs w:val="24"/>
          <w:lang w:val="en-US" w:eastAsia="zh-CN" w:bidi="ar-SA"/>
        </w:rPr>
        <w:t>深度开发资源富集区，打破行政边界与藩篱，沿着水脉、山脉、文脉等资源肌理，以本轮资源普查为契机，摸清文旅发展的资源家底，进一步优化完善资源优集区科学划定，加强与国土空间规划无缝对接，成为今后旅游景区、旅游度假区等主要旅游目的地设立开发、重大项目落户的主体功能区，打造旅游“明珠”。提升焦作影视城等发展层次，利用热点影视流量开发旅游产品和线路，努力打造知名演艺旅游目的地。加快影视城旅游文娱产业集聚区建设，围绕影视城旅游产品的升级和特色小镇等新项目的建设，开发影视、节庆、演出、娱乐等服务产业及相关产品。</w:t>
      </w:r>
    </w:p>
    <w:p w14:paraId="71A7D313">
      <w:pPr>
        <w:adjustRightInd w:val="0"/>
        <w:snapToGrid w:val="0"/>
        <w:spacing w:line="360" w:lineRule="auto"/>
        <w:ind w:firstLine="482" w:firstLineChars="200"/>
        <w:jc w:val="left"/>
        <w:rPr>
          <w:rFonts w:ascii="宋体" w:hAnsi="宋体"/>
          <w:color w:val="auto"/>
          <w:sz w:val="24"/>
        </w:rPr>
      </w:pPr>
      <w:r>
        <w:rPr>
          <w:rFonts w:hint="eastAsia" w:ascii="宋体" w:hAnsi="宋体"/>
          <w:b/>
          <w:bCs/>
          <w:color w:val="auto"/>
          <w:sz w:val="24"/>
          <w:lang w:eastAsia="zh-CN"/>
        </w:rPr>
        <w:t>（</w:t>
      </w:r>
      <w:r>
        <w:rPr>
          <w:rFonts w:hint="eastAsia" w:ascii="宋体" w:hAnsi="宋体"/>
          <w:b/>
          <w:bCs/>
          <w:color w:val="auto"/>
          <w:sz w:val="24"/>
          <w:lang w:val="en-US" w:eastAsia="zh-CN"/>
        </w:rPr>
        <w:t>二）</w:t>
      </w:r>
      <w:r>
        <w:rPr>
          <w:rFonts w:hint="eastAsia" w:ascii="宋体" w:hAnsi="宋体"/>
          <w:b/>
          <w:bCs/>
          <w:color w:val="auto"/>
          <w:sz w:val="24"/>
        </w:rPr>
        <w:t>推动串珠成链</w:t>
      </w:r>
    </w:p>
    <w:p w14:paraId="4E5985F3">
      <w:pPr>
        <w:adjustRightInd w:val="0"/>
        <w:snapToGrid w:val="0"/>
        <w:spacing w:line="360" w:lineRule="auto"/>
        <w:ind w:firstLine="480" w:firstLineChars="200"/>
        <w:jc w:val="left"/>
        <w:rPr>
          <w:rFonts w:hint="eastAsia" w:ascii="Times New Roman" w:hAnsi="Times New Roman" w:cs="Times New Roman"/>
          <w:bCs/>
          <w:color w:val="auto"/>
          <w:kern w:val="2"/>
          <w:sz w:val="24"/>
          <w:szCs w:val="24"/>
          <w:lang w:val="en-US" w:eastAsia="zh-CN" w:bidi="ar-SA"/>
        </w:rPr>
      </w:pPr>
      <w:r>
        <w:rPr>
          <w:rFonts w:hint="eastAsia" w:ascii="宋体" w:hAnsi="宋体"/>
          <w:color w:val="auto"/>
          <w:sz w:val="24"/>
        </w:rPr>
        <w:t>以文脉、山脉、水脉、古道、交通干线等为经络，推动线性的文旅资源整合、</w:t>
      </w:r>
      <w:r>
        <w:rPr>
          <w:rFonts w:hint="eastAsia" w:ascii="Times New Roman" w:hAnsi="Times New Roman" w:cs="Times New Roman"/>
          <w:bCs/>
          <w:color w:val="auto"/>
          <w:kern w:val="2"/>
          <w:sz w:val="24"/>
          <w:szCs w:val="24"/>
          <w:lang w:val="en-US" w:eastAsia="zh-CN" w:bidi="ar-SA"/>
        </w:rPr>
        <w:t>串珠成链，一体化统筹谋划重大文旅项目建设。加快建设百里黄河国家公园工程，推进武陟、孟州、温县黄河旅游带串联建设，推进韩愈文化园、黄河文化主题公园等项目建设和提升。聚焦文物遗址、历史文化名人、非物质文化遗产等文化资源，联合各地推出一批中华文化主题旅游线路，加快推进文化遗产主题游线，建立一批融入人民生活、服务人民群众的优质文物主题游径。</w:t>
      </w:r>
    </w:p>
    <w:p w14:paraId="5B749377">
      <w:pPr>
        <w:adjustRightInd w:val="0"/>
        <w:snapToGrid w:val="0"/>
        <w:spacing w:line="360" w:lineRule="auto"/>
        <w:ind w:firstLine="482" w:firstLineChars="200"/>
        <w:jc w:val="left"/>
        <w:rPr>
          <w:rFonts w:ascii="宋体" w:hAnsi="宋体"/>
          <w:b/>
          <w:bCs/>
          <w:color w:val="auto"/>
          <w:sz w:val="24"/>
        </w:rPr>
      </w:pPr>
      <w:r>
        <w:rPr>
          <w:rFonts w:hint="eastAsia" w:ascii="宋体" w:hAnsi="宋体"/>
          <w:b/>
          <w:bCs/>
          <w:color w:val="auto"/>
          <w:sz w:val="24"/>
          <w:lang w:eastAsia="zh-CN"/>
        </w:rPr>
        <w:t>（</w:t>
      </w:r>
      <w:r>
        <w:rPr>
          <w:rFonts w:hint="eastAsia" w:ascii="宋体" w:hAnsi="宋体"/>
          <w:b/>
          <w:bCs/>
          <w:color w:val="auto"/>
          <w:sz w:val="24"/>
          <w:lang w:val="en-US" w:eastAsia="zh-CN"/>
        </w:rPr>
        <w:t>三）</w:t>
      </w:r>
      <w:r>
        <w:rPr>
          <w:rFonts w:hint="eastAsia" w:ascii="宋体" w:hAnsi="宋体"/>
          <w:b/>
          <w:bCs/>
          <w:color w:val="auto"/>
          <w:sz w:val="24"/>
        </w:rPr>
        <w:t>加快聚链成带</w:t>
      </w:r>
    </w:p>
    <w:p w14:paraId="18FFB475">
      <w:pPr>
        <w:adjustRightInd w:val="0"/>
        <w:snapToGrid w:val="0"/>
        <w:spacing w:line="360" w:lineRule="auto"/>
        <w:ind w:firstLine="480" w:firstLineChars="200"/>
        <w:jc w:val="left"/>
        <w:rPr>
          <w:rFonts w:hint="eastAsia" w:ascii="宋体" w:hAnsi="宋体"/>
          <w:color w:val="auto"/>
          <w:sz w:val="24"/>
          <w:lang w:val="en-US" w:eastAsia="zh-CN"/>
        </w:rPr>
      </w:pPr>
      <w:r>
        <w:rPr>
          <w:rFonts w:hint="eastAsia" w:ascii="宋体" w:hAnsi="宋体"/>
          <w:color w:val="auto"/>
          <w:sz w:val="24"/>
        </w:rPr>
        <w:t>持续做强</w:t>
      </w:r>
      <w:r>
        <w:rPr>
          <w:rFonts w:hint="eastAsia" w:ascii="宋体" w:hAnsi="宋体"/>
          <w:color w:val="auto"/>
          <w:sz w:val="24"/>
          <w:lang w:val="en-US" w:eastAsia="zh-CN"/>
        </w:rPr>
        <w:t xml:space="preserve">北部山地景区带，这包括确定大云台（包括云台山景区、青龙峡景区、峰林峡景区及净影寺）以及青天河风景区、神农山景区等在未来发展中涉及的景区功能、市场发展定位、旅游产品及形象、建设目标等问题。通过（南）太行山申遗以及云台山的品牌推广、营销计划，进一步扩大北部山地景区在国内外的影响力，将云台山培育成具有国际影响力的品牌，成为太行山旅游的首选旅游目的地、中原山水文化的典型代表。    </w:t>
      </w:r>
    </w:p>
    <w:p w14:paraId="3834103B">
      <w:pPr>
        <w:adjustRightInd w:val="0"/>
        <w:snapToGrid w:val="0"/>
        <w:spacing w:line="360" w:lineRule="auto"/>
        <w:ind w:firstLine="480" w:firstLineChars="200"/>
        <w:jc w:val="left"/>
        <w:rPr>
          <w:color w:val="auto"/>
        </w:rPr>
      </w:pPr>
      <w:r>
        <w:rPr>
          <w:rFonts w:hint="eastAsia" w:ascii="宋体" w:hAnsi="宋体"/>
          <w:color w:val="auto"/>
          <w:sz w:val="24"/>
          <w:lang w:val="en-US" w:eastAsia="zh-CN"/>
        </w:rPr>
        <w:t>发展建设南部黄河景区带。将太极文化、怀药文化和黄河文化为代表的三大具有中国传统文化特色的资源加以整合。规划远期建设</w:t>
      </w:r>
      <w:r>
        <w:rPr>
          <w:rFonts w:hint="default" w:ascii="宋体" w:hAnsi="宋体"/>
          <w:color w:val="auto"/>
          <w:sz w:val="24"/>
          <w:lang w:val="en-US" w:eastAsia="zh-CN"/>
        </w:rPr>
        <w:t>“</w:t>
      </w:r>
      <w:r>
        <w:rPr>
          <w:rFonts w:hint="eastAsia" w:ascii="宋体" w:hAnsi="宋体"/>
          <w:color w:val="auto"/>
          <w:sz w:val="24"/>
          <w:lang w:val="en-US" w:eastAsia="zh-CN"/>
        </w:rPr>
        <w:t>焦作太极</w:t>
      </w:r>
      <w:r>
        <w:rPr>
          <w:rFonts w:hint="default" w:ascii="宋体" w:hAnsi="宋体"/>
          <w:color w:val="auto"/>
          <w:sz w:val="24"/>
          <w:lang w:val="en-US" w:eastAsia="zh-CN"/>
        </w:rPr>
        <w:t>-</w:t>
      </w:r>
      <w:r>
        <w:rPr>
          <w:rFonts w:hint="eastAsia" w:ascii="宋体" w:hAnsi="宋体"/>
          <w:color w:val="auto"/>
          <w:sz w:val="24"/>
          <w:lang w:val="en-US" w:eastAsia="zh-CN"/>
        </w:rPr>
        <w:t>黄河旅游度假区</w:t>
      </w:r>
      <w:r>
        <w:rPr>
          <w:rFonts w:hint="default" w:ascii="宋体" w:hAnsi="宋体"/>
          <w:color w:val="auto"/>
          <w:sz w:val="24"/>
          <w:lang w:val="en-US" w:eastAsia="zh-CN"/>
        </w:rPr>
        <w:t>”</w:t>
      </w:r>
      <w:r>
        <w:rPr>
          <w:rFonts w:hint="eastAsia" w:ascii="宋体" w:hAnsi="宋体"/>
          <w:color w:val="auto"/>
          <w:sz w:val="24"/>
          <w:lang w:val="en-US" w:eastAsia="zh-CN"/>
        </w:rPr>
        <w:t>以及</w:t>
      </w:r>
      <w:r>
        <w:rPr>
          <w:rFonts w:hint="default" w:ascii="宋体" w:hAnsi="宋体"/>
          <w:color w:val="auto"/>
          <w:sz w:val="24"/>
          <w:lang w:val="en-US" w:eastAsia="zh-CN"/>
        </w:rPr>
        <w:t>“</w:t>
      </w:r>
      <w:r>
        <w:rPr>
          <w:rFonts w:hint="eastAsia" w:ascii="宋体" w:hAnsi="宋体"/>
          <w:color w:val="auto"/>
          <w:sz w:val="24"/>
          <w:lang w:val="en-US" w:eastAsia="zh-CN"/>
        </w:rPr>
        <w:t>嘉应观黄河文化旅游区</w:t>
      </w:r>
      <w:r>
        <w:rPr>
          <w:rFonts w:hint="default" w:ascii="宋体" w:hAnsi="宋体"/>
          <w:color w:val="auto"/>
          <w:sz w:val="24"/>
          <w:lang w:val="en-US" w:eastAsia="zh-CN"/>
        </w:rPr>
        <w:t>”</w:t>
      </w:r>
      <w:r>
        <w:rPr>
          <w:rFonts w:hint="eastAsia" w:ascii="宋体" w:hAnsi="宋体"/>
          <w:color w:val="auto"/>
          <w:sz w:val="24"/>
          <w:lang w:val="en-US" w:eastAsia="zh-CN"/>
        </w:rPr>
        <w:t>的两大旅游目的地，同时在沿黄一线建设完成国家农业公园、湿地公园等一系列旅游景区，拓展游客认识中的焦作</w:t>
      </w:r>
      <w:r>
        <w:rPr>
          <w:rFonts w:hint="default" w:ascii="宋体" w:hAnsi="宋体"/>
          <w:color w:val="auto"/>
          <w:sz w:val="24"/>
          <w:lang w:val="en-US" w:eastAsia="zh-CN"/>
        </w:rPr>
        <w:t>“</w:t>
      </w:r>
      <w:r>
        <w:rPr>
          <w:rFonts w:hint="eastAsia" w:ascii="宋体" w:hAnsi="宋体"/>
          <w:color w:val="auto"/>
          <w:sz w:val="24"/>
          <w:lang w:val="en-US" w:eastAsia="zh-CN"/>
        </w:rPr>
        <w:t>可游版图</w:t>
      </w:r>
      <w:r>
        <w:rPr>
          <w:rFonts w:hint="default" w:ascii="宋体" w:hAnsi="宋体"/>
          <w:color w:val="auto"/>
          <w:sz w:val="24"/>
          <w:lang w:val="en-US" w:eastAsia="zh-CN"/>
        </w:rPr>
        <w:t>”</w:t>
      </w:r>
      <w:r>
        <w:rPr>
          <w:rFonts w:hint="eastAsia" w:ascii="宋体" w:hAnsi="宋体"/>
          <w:color w:val="auto"/>
          <w:sz w:val="24"/>
          <w:lang w:val="en-US" w:eastAsia="zh-CN"/>
        </w:rPr>
        <w:t>，开启焦作黄河沿线的旅游发展。以</w:t>
      </w:r>
      <w:r>
        <w:rPr>
          <w:rFonts w:hint="default" w:ascii="宋体" w:hAnsi="宋体"/>
          <w:color w:val="auto"/>
          <w:sz w:val="24"/>
          <w:lang w:val="en-US" w:eastAsia="zh-CN"/>
        </w:rPr>
        <w:t>“</w:t>
      </w:r>
      <w:r>
        <w:rPr>
          <w:rFonts w:hint="eastAsia" w:ascii="宋体" w:hAnsi="宋体"/>
          <w:color w:val="auto"/>
          <w:sz w:val="24"/>
          <w:lang w:val="en-US" w:eastAsia="zh-CN"/>
        </w:rPr>
        <w:t>黄河</w:t>
      </w:r>
      <w:r>
        <w:rPr>
          <w:rFonts w:hint="default" w:ascii="宋体" w:hAnsi="宋体"/>
          <w:color w:val="auto"/>
          <w:sz w:val="24"/>
          <w:lang w:val="en-US" w:eastAsia="zh-CN"/>
        </w:rPr>
        <w:t>”“</w:t>
      </w:r>
      <w:r>
        <w:rPr>
          <w:rFonts w:hint="eastAsia" w:ascii="宋体" w:hAnsi="宋体"/>
          <w:color w:val="auto"/>
          <w:sz w:val="24"/>
          <w:lang w:val="en-US" w:eastAsia="zh-CN"/>
        </w:rPr>
        <w:t>太极</w:t>
      </w:r>
      <w:r>
        <w:rPr>
          <w:rFonts w:hint="default" w:ascii="宋体" w:hAnsi="宋体"/>
          <w:color w:val="auto"/>
          <w:sz w:val="24"/>
          <w:lang w:val="en-US" w:eastAsia="zh-CN"/>
        </w:rPr>
        <w:t>”</w:t>
      </w:r>
      <w:r>
        <w:rPr>
          <w:rFonts w:hint="eastAsia" w:ascii="宋体" w:hAnsi="宋体"/>
          <w:color w:val="auto"/>
          <w:sz w:val="24"/>
          <w:lang w:val="en-US" w:eastAsia="zh-CN"/>
        </w:rPr>
        <w:t>和</w:t>
      </w:r>
      <w:r>
        <w:rPr>
          <w:rFonts w:hint="default" w:ascii="宋体" w:hAnsi="宋体"/>
          <w:color w:val="auto"/>
          <w:sz w:val="24"/>
          <w:lang w:val="en-US" w:eastAsia="zh-CN"/>
        </w:rPr>
        <w:t>“</w:t>
      </w:r>
      <w:r>
        <w:rPr>
          <w:rFonts w:hint="eastAsia" w:ascii="宋体" w:hAnsi="宋体"/>
          <w:color w:val="auto"/>
          <w:sz w:val="24"/>
          <w:lang w:val="en-US" w:eastAsia="zh-CN"/>
        </w:rPr>
        <w:t>怀药</w:t>
      </w:r>
      <w:r>
        <w:rPr>
          <w:rFonts w:hint="default" w:ascii="宋体" w:hAnsi="宋体"/>
          <w:color w:val="auto"/>
          <w:sz w:val="24"/>
          <w:lang w:val="en-US" w:eastAsia="zh-CN"/>
        </w:rPr>
        <w:t>”</w:t>
      </w:r>
      <w:r>
        <w:rPr>
          <w:rFonts w:hint="eastAsia" w:ascii="宋体" w:hAnsi="宋体"/>
          <w:color w:val="auto"/>
          <w:sz w:val="24"/>
          <w:lang w:val="en-US" w:eastAsia="zh-CN"/>
        </w:rPr>
        <w:t>文化为核心，以一纵一横的旅游风景道骨架构建黄河湿地公园、陈家沟景区、太极小镇、怀药养生小镇、低空飞行基地、麦作国家农业公园、南水北调穿黄工程等七大功能片区，打造国家级的旅游度假区，成为黄河沿线发展的驱动引擎项目。</w:t>
      </w:r>
    </w:p>
    <w:p w14:paraId="13C9ADD6">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outlineLvl w:val="2"/>
        <w:rPr>
          <w:rFonts w:hint="eastAsia" w:ascii="宋体" w:hAnsi="宋体" w:cs="宋体"/>
          <w:b/>
          <w:bCs/>
          <w:color w:val="auto"/>
          <w:sz w:val="28"/>
          <w:szCs w:val="28"/>
          <w:lang w:val="zh-CN" w:eastAsia="zh-Hans"/>
        </w:rPr>
      </w:pPr>
      <w:bookmarkStart w:id="148" w:name="_Toc29867"/>
      <w:r>
        <w:rPr>
          <w:rFonts w:hint="eastAsia" w:ascii="宋体" w:hAnsi="宋体" w:cs="宋体"/>
          <w:b/>
          <w:bCs/>
          <w:color w:val="auto"/>
          <w:sz w:val="28"/>
          <w:szCs w:val="28"/>
          <w:lang w:val="en-US" w:eastAsia="zh-CN"/>
        </w:rPr>
        <w:t>四、</w:t>
      </w:r>
      <w:r>
        <w:rPr>
          <w:rFonts w:hint="eastAsia" w:ascii="宋体" w:hAnsi="宋体" w:cs="宋体"/>
          <w:b/>
          <w:bCs/>
          <w:color w:val="auto"/>
          <w:sz w:val="28"/>
          <w:szCs w:val="28"/>
          <w:lang w:val="zh-CN" w:eastAsia="zh-Hans"/>
        </w:rPr>
        <w:t>拓宽新的资源</w:t>
      </w:r>
      <w:r>
        <w:rPr>
          <w:rFonts w:hint="eastAsia" w:ascii="宋体" w:hAnsi="宋体" w:cs="宋体"/>
          <w:b/>
          <w:bCs/>
          <w:color w:val="auto"/>
          <w:sz w:val="28"/>
          <w:szCs w:val="28"/>
          <w:lang w:val="en-US" w:eastAsia="zh-CN"/>
        </w:rPr>
        <w:t>活化</w:t>
      </w:r>
      <w:r>
        <w:rPr>
          <w:rFonts w:hint="eastAsia" w:ascii="宋体" w:hAnsi="宋体" w:cs="宋体"/>
          <w:b/>
          <w:bCs/>
          <w:color w:val="auto"/>
          <w:sz w:val="28"/>
          <w:szCs w:val="28"/>
          <w:lang w:val="zh-CN" w:eastAsia="zh-Hans"/>
        </w:rPr>
        <w:t>路径</w:t>
      </w:r>
      <w:bookmarkEnd w:id="148"/>
    </w:p>
    <w:p w14:paraId="50679BFD">
      <w:pPr>
        <w:adjustRightInd w:val="0"/>
        <w:snapToGrid w:val="0"/>
        <w:spacing w:line="360" w:lineRule="auto"/>
        <w:ind w:firstLine="482" w:firstLineChars="200"/>
        <w:jc w:val="left"/>
        <w:rPr>
          <w:rFonts w:hint="default" w:ascii="宋体" w:hAnsi="宋体"/>
          <w:b/>
          <w:bCs/>
          <w:color w:val="auto"/>
          <w:sz w:val="24"/>
          <w:lang w:val="en-US" w:eastAsia="zh-CN"/>
        </w:rPr>
      </w:pPr>
      <w:r>
        <w:rPr>
          <w:rFonts w:hint="eastAsia" w:ascii="宋体" w:hAnsi="宋体"/>
          <w:b/>
          <w:bCs/>
          <w:color w:val="auto"/>
          <w:sz w:val="24"/>
          <w:lang w:val="en-US" w:eastAsia="zh-CN"/>
        </w:rPr>
        <w:t>（一）</w:t>
      </w:r>
      <w:r>
        <w:rPr>
          <w:rFonts w:hint="default" w:ascii="宋体" w:hAnsi="宋体"/>
          <w:b/>
          <w:bCs/>
          <w:color w:val="auto"/>
          <w:sz w:val="24"/>
          <w:lang w:val="en-US" w:eastAsia="zh-CN"/>
        </w:rPr>
        <w:t>推动文旅融合发展</w:t>
      </w:r>
    </w:p>
    <w:p w14:paraId="5B97D3E6">
      <w:pPr>
        <w:adjustRightInd w:val="0"/>
        <w:snapToGrid w:val="0"/>
        <w:spacing w:line="360" w:lineRule="auto"/>
        <w:ind w:firstLine="480" w:firstLineChars="200"/>
        <w:jc w:val="left"/>
        <w:rPr>
          <w:rFonts w:hint="default" w:ascii="宋体" w:hAnsi="宋体"/>
          <w:color w:val="auto"/>
          <w:sz w:val="24"/>
          <w:lang w:val="en-US" w:eastAsia="zh-CN"/>
        </w:rPr>
      </w:pPr>
      <w:r>
        <w:rPr>
          <w:rFonts w:hint="eastAsia" w:ascii="宋体" w:hAnsi="宋体"/>
          <w:color w:val="auto"/>
          <w:sz w:val="24"/>
          <w:lang w:val="en-US" w:eastAsia="zh-CN"/>
        </w:rPr>
        <w:t>深入</w:t>
      </w:r>
      <w:r>
        <w:rPr>
          <w:rFonts w:hint="default" w:ascii="宋体" w:hAnsi="宋体"/>
          <w:color w:val="auto"/>
          <w:sz w:val="24"/>
          <w:lang w:val="en-US" w:eastAsia="zh-CN"/>
        </w:rPr>
        <w:t>挖掘历史文化资源</w:t>
      </w:r>
      <w:r>
        <w:rPr>
          <w:rFonts w:hint="eastAsia" w:ascii="宋体" w:hAnsi="宋体"/>
          <w:color w:val="auto"/>
          <w:sz w:val="24"/>
          <w:lang w:val="en-US" w:eastAsia="zh-CN"/>
        </w:rPr>
        <w:t>，推动文旅融合发展。</w:t>
      </w:r>
      <w:r>
        <w:rPr>
          <w:rFonts w:hint="default" w:ascii="宋体" w:hAnsi="宋体"/>
          <w:color w:val="auto"/>
          <w:sz w:val="24"/>
          <w:lang w:val="en-US" w:eastAsia="zh-CN"/>
        </w:rPr>
        <w:t>历史文化是城市的灵魂，焦作市拥有太极拳文化、司马懿文化等深厚的历史文化底蕴，深入挖掘这些资源并将其与旅游开发相结合，是打造具有焦作特色文化旅游产品的关键所在。</w:t>
      </w:r>
    </w:p>
    <w:p w14:paraId="56884E0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太极拳文化：传承与创新并举，打造国际文旅名片</w:t>
      </w:r>
    </w:p>
    <w:p w14:paraId="00FAB34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太极拳作为焦作市最具代表性的文化符号之一，具有广泛的国际影响力。为了将太极拳</w:t>
      </w:r>
      <w:r>
        <w:rPr>
          <w:rFonts w:hint="eastAsia" w:ascii="Times New Roman" w:hAnsi="Times New Roman" w:cs="Times New Roman"/>
          <w:bCs/>
          <w:color w:val="auto"/>
          <w:kern w:val="2"/>
          <w:sz w:val="24"/>
          <w:szCs w:val="24"/>
          <w:lang w:val="en-US" w:eastAsia="zh-CN" w:bidi="ar-SA"/>
        </w:rPr>
        <w:t>文化和旅游</w:t>
      </w:r>
      <w:r>
        <w:rPr>
          <w:rFonts w:hint="default" w:ascii="Times New Roman" w:hAnsi="Times New Roman" w:cs="Times New Roman"/>
          <w:bCs/>
          <w:color w:val="auto"/>
          <w:kern w:val="2"/>
          <w:sz w:val="24"/>
          <w:szCs w:val="24"/>
          <w:lang w:val="en-US" w:eastAsia="zh-CN" w:bidi="ar-SA"/>
        </w:rPr>
        <w:t>深度融合，一方面要注重太极拳文化的传承与保护。建立太极拳文化博物馆，收集和展示太极拳的历史文物、拳谱、影像资料等，让游客深入了解太极拳的起源、发展和文化内涵。同时，加强对太极拳传承人的保护和培养，鼓励他们开展太极拳教学和传承活动，确保太极拳文化的正宗性和延续性。</w:t>
      </w:r>
    </w:p>
    <w:p w14:paraId="1ED8192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另一方面，要推动太极拳文化的创新发展。开发以太极拳为主题的旅游演艺项目，如大型实景演出《太极神韵》，通过精彩的舞台表演和灯光音效，展现太极拳的魅力和哲学思想。举办太极拳国际文化交流活动，邀请国内外太极拳爱好者齐聚焦作，进行太极拳比赛、研讨和交流，提升焦作太极拳文化的国际知名度。此外，还可以开发太极拳文化旅游线路，将太极拳发源地陈家沟与周边的旅游景点相结合，让游客在欣赏自然风光的同时，体验太极拳文化的博大精深。</w:t>
      </w:r>
    </w:p>
    <w:p w14:paraId="3A13707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司马懿文化：挖掘与展示并重，塑造三国文旅品牌</w:t>
      </w:r>
    </w:p>
    <w:p w14:paraId="6D06CD0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司马懿是焦作市的历史名人，其智谋和故事在中国历史上具有重要地位。挖掘司马懿文化，首先要加强对司马懿历史遗迹的保护和修缮。对司马懿故居、祠堂等进行修复和重建，恢复其历史风貌，并设置详细的解说牌和展示区，向游客介绍司马懿的生平事迹和历史贡献。</w:t>
      </w:r>
    </w:p>
    <w:p w14:paraId="33B48A8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其次，要创新司马懿文化的展示方式。利用现代科技手段，如虚拟现实、增强现实等，打造司马懿文化体验馆，让游客身临其境地感受三国时期的风云变幻和司马懿的智慧谋略。开发以司马懿为主题的文化创意产品，如书籍、影视、动漫等，扩大司马懿文化的影响力。此外，还可以举办司马懿文化研讨会和学术讲座，邀请专家学者深入研究司马懿文化，为文旅融合发展提供理论支持。</w:t>
      </w:r>
    </w:p>
    <w:p w14:paraId="574DFA1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其他历史文化资源：梳理与整合共进，丰富文旅产品体系</w:t>
      </w:r>
    </w:p>
    <w:p w14:paraId="53EF817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除了太极拳文化和司马懿文化，焦作市还拥有众多的历史文化资源，如韩愈文化、陶瓷文化等。对这些历史文化资源进行系统</w:t>
      </w:r>
      <w:r>
        <w:rPr>
          <w:rFonts w:hint="eastAsia" w:ascii="Times New Roman" w:hAnsi="Times New Roman" w:cs="Times New Roman"/>
          <w:bCs/>
          <w:color w:val="auto"/>
          <w:kern w:val="2"/>
          <w:sz w:val="24"/>
          <w:szCs w:val="24"/>
          <w:lang w:val="en-US" w:eastAsia="zh-CN" w:bidi="ar-SA"/>
        </w:rPr>
        <w:t>地</w:t>
      </w:r>
      <w:r>
        <w:rPr>
          <w:rFonts w:hint="default" w:ascii="Times New Roman" w:hAnsi="Times New Roman" w:cs="Times New Roman"/>
          <w:bCs/>
          <w:color w:val="auto"/>
          <w:kern w:val="2"/>
          <w:sz w:val="24"/>
          <w:szCs w:val="24"/>
          <w:lang w:val="en-US" w:eastAsia="zh-CN" w:bidi="ar-SA"/>
        </w:rPr>
        <w:t>梳理和整合，将其</w:t>
      </w:r>
      <w:r>
        <w:rPr>
          <w:rFonts w:hint="eastAsia" w:ascii="Times New Roman" w:hAnsi="Times New Roman" w:cs="Times New Roman"/>
          <w:bCs/>
          <w:color w:val="auto"/>
          <w:kern w:val="2"/>
          <w:sz w:val="24"/>
          <w:szCs w:val="24"/>
          <w:lang w:val="en-US" w:eastAsia="zh-CN" w:bidi="ar-SA"/>
        </w:rPr>
        <w:t>融入</w:t>
      </w:r>
      <w:r>
        <w:rPr>
          <w:rFonts w:hint="default" w:ascii="Times New Roman" w:hAnsi="Times New Roman" w:cs="Times New Roman"/>
          <w:bCs/>
          <w:color w:val="auto"/>
          <w:kern w:val="2"/>
          <w:sz w:val="24"/>
          <w:szCs w:val="24"/>
          <w:lang w:val="en-US" w:eastAsia="zh-CN" w:bidi="ar-SA"/>
        </w:rPr>
        <w:t>旅游产品中。打造韩愈文化主题公园，展示韩愈的文学作品和生平事迹，举办韩愈文化诗歌朗诵会等活动，吸引文学爱好者前来参观。开发陶瓷文化旅游线路，让游客参观陶瓷制作工坊，体验陶瓷制作的乐趣，了解焦作陶瓷文化的历史和发展。</w:t>
      </w:r>
    </w:p>
    <w:p w14:paraId="4330C20A">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cs="宋体"/>
          <w:b/>
          <w:bCs/>
          <w:color w:val="auto"/>
          <w:sz w:val="24"/>
          <w:szCs w:val="24"/>
          <w:lang w:val="en-US" w:eastAsia="zh-CN"/>
        </w:rPr>
      </w:pPr>
      <w:r>
        <w:rPr>
          <w:rFonts w:hint="eastAsia" w:ascii="宋体" w:hAnsi="宋体"/>
          <w:b/>
          <w:bCs/>
          <w:color w:val="auto"/>
          <w:sz w:val="24"/>
          <w:lang w:val="en-US" w:eastAsia="zh-CN"/>
        </w:rPr>
        <w:t>（二）</w:t>
      </w:r>
      <w:r>
        <w:rPr>
          <w:rFonts w:hint="default" w:ascii="宋体" w:hAnsi="宋体" w:cs="宋体"/>
          <w:b/>
          <w:bCs/>
          <w:color w:val="auto"/>
          <w:sz w:val="24"/>
          <w:szCs w:val="24"/>
          <w:lang w:val="en-US" w:eastAsia="zh-CN"/>
        </w:rPr>
        <w:t>推动</w:t>
      </w:r>
      <w:r>
        <w:rPr>
          <w:rFonts w:hint="eastAsia" w:ascii="宋体" w:hAnsi="宋体" w:cs="宋体"/>
          <w:b/>
          <w:bCs/>
          <w:color w:val="auto"/>
          <w:sz w:val="24"/>
          <w:szCs w:val="24"/>
          <w:lang w:val="en-US" w:eastAsia="zh-CN"/>
        </w:rPr>
        <w:t>“</w:t>
      </w:r>
      <w:r>
        <w:rPr>
          <w:rFonts w:hint="default" w:ascii="宋体" w:hAnsi="宋体" w:cs="宋体"/>
          <w:b/>
          <w:bCs/>
          <w:color w:val="auto"/>
          <w:sz w:val="24"/>
          <w:szCs w:val="24"/>
          <w:lang w:val="en-US" w:eastAsia="zh-CN"/>
        </w:rPr>
        <w:t>文旅+</w:t>
      </w:r>
      <w:r>
        <w:rPr>
          <w:rFonts w:hint="eastAsia" w:ascii="宋体" w:hAnsi="宋体" w:cs="宋体"/>
          <w:b/>
          <w:bCs/>
          <w:color w:val="auto"/>
          <w:sz w:val="24"/>
          <w:szCs w:val="24"/>
          <w:lang w:val="en-US" w:eastAsia="zh-CN"/>
        </w:rPr>
        <w:t>”</w:t>
      </w:r>
      <w:r>
        <w:rPr>
          <w:rFonts w:hint="default" w:ascii="宋体" w:hAnsi="宋体" w:cs="宋体"/>
          <w:b/>
          <w:bCs/>
          <w:color w:val="auto"/>
          <w:sz w:val="24"/>
          <w:szCs w:val="24"/>
          <w:lang w:val="en-US" w:eastAsia="zh-CN"/>
        </w:rPr>
        <w:t>融合发展</w:t>
      </w:r>
    </w:p>
    <w:p w14:paraId="20E8F15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加强旅游业与农业、工业、文化、体育等产业的深度融合，是焦作市实现产业协同效应、拓展旅游发展空间的重要举措。通过</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文旅 +</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的融合模式，焦作市将不同产业的优势资源进行整合，创造出更加丰富多样、独具特色的旅游产品，满足了游客日益多元化的旅游需求。</w:t>
      </w:r>
    </w:p>
    <w:p w14:paraId="72CA301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文旅+农业</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：田园牧歌，绘就乡村新画卷</w:t>
      </w:r>
    </w:p>
    <w:p w14:paraId="195BF72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发展</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文旅+农业</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焦作市致力于打造田园综合体、乡村旅游集聚区等，让游客在欣赏田园风光的同时，体验农耕文化的魅力。在焦作的一些乡村地区，当地政府引导农民利用闲置土地和农业资源，发展特色农业种植和养殖，如种植有机蔬菜、水果，养殖家禽家畜等。同时，结合农业生产和农村生活，开发了农事体验、采摘观光、乡村民宿等旅游项目。</w:t>
      </w:r>
    </w:p>
    <w:p w14:paraId="2468A26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孟州市的一个村庄，打造了集蔬菜种植、采摘、农事体验、餐饮住宿为一体的田园综合体。游客可以在这里亲自参与蔬菜的种植和采摘，了解农业生产的过程，品尝新鲜的农家美食，还可以住在充满乡村特色的民宿中，感受宁静的乡村生活。此外，一些乡村旅游集聚区还举办了丰富多彩的民俗文化活动，如农民丰收节、传统庙会等，让游客深入体验乡村的文化底蕴和民俗风情。</w:t>
      </w:r>
    </w:p>
    <w:p w14:paraId="0E4FA81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文旅+工业</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：工业遗韵，开启旅游新视角</w:t>
      </w:r>
    </w:p>
    <w:p w14:paraId="336D864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利用工业遗产开发工业旅游项目，焦作市将废弃的工厂、矿山等工业遗迹转化为具有旅游价值的景点，让游客了解工业发展的历史和文化。焦作曾经是中国重要的煤炭、化工工业基地，留下了许多具有历史价值的工业遗迹。通过对这些工业遗迹进行保护和改造，焦作市开发了一系列工业旅游项目。</w:t>
      </w:r>
    </w:p>
    <w:p w14:paraId="1B55C70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可以</w:t>
      </w:r>
      <w:r>
        <w:rPr>
          <w:rFonts w:hint="default" w:ascii="Times New Roman" w:hAnsi="Times New Roman" w:cs="Times New Roman"/>
          <w:bCs/>
          <w:color w:val="auto"/>
          <w:kern w:val="2"/>
          <w:sz w:val="24"/>
          <w:szCs w:val="24"/>
          <w:lang w:val="en-US" w:eastAsia="zh-CN" w:bidi="ar-SA"/>
        </w:rPr>
        <w:t>将一座废弃的煤矿改造成工业博物馆，展示了煤炭开采的历史、技术和设备，让游客了解煤炭工业的发展历程。同时，在博物馆周边建设了工业主题公园，设置了工业雕塑、景观小品等，营造出独特的工业文化氛围。此外，一些老工厂被改造成创意园区，吸引了艺术家、设计师等入驻，举办各类文化活动和展览，实现了工业遗产的创造性转化和创新性发展。</w:t>
      </w:r>
    </w:p>
    <w:p w14:paraId="0A24EE3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文旅+文化</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：文化赋能，彰显旅游新魅力</w:t>
      </w:r>
    </w:p>
    <w:p w14:paraId="3D97C76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文化是旅游的灵魂，焦作市将太极拳文化、陶瓷文化等融入旅游产品中，提升了旅游的文化内涵和附加值。在太极拳发源地陈家沟，建设了太极拳文化主题公园、太极拳博物馆等，展示了太极拳的发展历程、拳理拳法和文化内涵。同时，举办了太极拳国际交流大赛、太极拳文化研讨会等活动，吸引了国内外众多太极拳爱好者和游客前来参与。</w:t>
      </w:r>
    </w:p>
    <w:p w14:paraId="4159DBB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陶瓷文化方面，焦作市挖掘当地悠久的陶瓷制作历史，建设了陶瓷文化创意园区，展示了传统陶瓷制作工艺和现代陶瓷艺术作品。游客可以在这里参观陶瓷制作过程，亲自参与陶瓷制作体验，购买精美的陶瓷纪念品。此外，焦作市还将历史文化遗迹与旅游相结合，如嘉应观、韩愈陵园等，通过举办文化讲座、展览等活动，让游客深入了解焦作的历史文化。</w:t>
      </w:r>
    </w:p>
    <w:p w14:paraId="1E7C1A4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4、“</w:t>
      </w:r>
      <w:r>
        <w:rPr>
          <w:rFonts w:hint="default" w:ascii="Times New Roman" w:hAnsi="Times New Roman" w:cs="Times New Roman"/>
          <w:bCs/>
          <w:color w:val="auto"/>
          <w:kern w:val="2"/>
          <w:sz w:val="24"/>
          <w:szCs w:val="24"/>
          <w:lang w:val="en-US" w:eastAsia="zh-CN" w:bidi="ar-SA"/>
        </w:rPr>
        <w:t>文旅+体育</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：活力赛事，点燃旅游新激情</w:t>
      </w:r>
    </w:p>
    <w:p w14:paraId="6BA7402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举办体育赛事、建设体育旅游基地等，焦作市将体育与旅游深度融合，为游客带来了充满活力和激情的旅游体验。焦作市拥有良好的体育设施和丰富的体育赛事资源，举办了马拉松比赛、自行车赛、武术比赛等各类体育赛事。这些赛事不仅吸引了众多专业运动员和体育爱好者参与，也吸引了大量游客前来观赛和旅游。</w:t>
      </w:r>
    </w:p>
    <w:p w14:paraId="37E2F64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举办的云台山国际马拉松比赛，赛道设置在风景秀丽的云台山景区内，参赛者在奔跑的过程中可以欣赏到美丽的自然风光。同时，焦作市还建设了多个体育旅游基地，如登山基地、攀岩基地、水上运动基地等，为游客提供了丰富的体育旅游项目。游客可以在这里进行登山、攀岩、漂流等户外运动，感受体育与旅游结合的魅力。</w:t>
      </w:r>
    </w:p>
    <w:p w14:paraId="27B653F8">
      <w:pPr>
        <w:spacing w:line="360" w:lineRule="auto"/>
        <w:ind w:firstLine="482" w:firstLineChars="200"/>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（三）</w:t>
      </w:r>
      <w:r>
        <w:rPr>
          <w:rFonts w:hint="default" w:ascii="宋体" w:hAnsi="宋体" w:cs="宋体"/>
          <w:b/>
          <w:bCs/>
          <w:color w:val="auto"/>
          <w:sz w:val="24"/>
          <w:szCs w:val="24"/>
          <w:lang w:val="en-US" w:eastAsia="zh-CN"/>
        </w:rPr>
        <w:t>创新旅游发展模式</w:t>
      </w:r>
    </w:p>
    <w:p w14:paraId="54EB70E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探索新的旅游发展模式，是焦作市适应市场变化、满足游客需求的重要举措。通过微短剧旅游、夜间旅游等新兴模式的尝试，焦作市为旅游业注入了新的活力，吸引了更多游客的关注。</w:t>
      </w:r>
    </w:p>
    <w:p w14:paraId="612EB95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微短剧旅游：短剧引流，吸引年轻新群体</w:t>
      </w:r>
    </w:p>
    <w:p w14:paraId="1154368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拍摄以焦作市旅游资源为主题的微短剧，是焦作市创新旅游宣传方式、吸引年轻游客群体的大胆尝试。微短剧具有时长短、节奏快、传播广等特点，符合当下年轻人的观看习惯。焦作市邀请专业的影视制作团队，以当地的自然景观、历史文化、民俗风情等为素材，拍摄了一系列精彩的微短剧。</w:t>
      </w:r>
    </w:p>
    <w:p w14:paraId="19A32BD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这些微短剧在各大网络平台上发布后，引起了广泛关注和热议。许多年轻游客被微短剧中的美景和文化所吸引，纷纷前往焦作市旅游。例如，一部以云台山风光为背景的微短剧，展示了云台山的奇峰异石、飞瀑流泉，让观众仿佛身临其境。该微短剧发布后，云台山的游客数量明显增加，尤其是年轻游客的比例大幅上升。</w:t>
      </w:r>
    </w:p>
    <w:p w14:paraId="66F523D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夜间旅游：夜韵焦作，丰富旅游新体验</w:t>
      </w:r>
    </w:p>
    <w:p w14:paraId="7CF4909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打造夜间文化和旅游消费集聚区，是焦作市丰富游客夜间旅游体验、促进夜间经济发展的重要举措。焦作市在市区和主要旅游景区打造了多个夜间文化和旅游消费集聚区，如夜游云台山、焦作影视城夜游等。</w:t>
      </w:r>
    </w:p>
    <w:p w14:paraId="0E3225A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夜游云台山通过灯光秀、实景演出等形式，将云台山的自然风光与文化内涵相结合，营造出梦幻般的夜间景观。游客可以在夜晚欣赏到云台山的别样美景，感受大自然的神秘与宁静。焦作影视城夜游则通过举办古装表演、民俗活动等，让游客仿佛穿越回了古代，体验到了浓厚的历史文化氛围。此外，夜间文化和旅游消费集聚区还设置了美食街、购物区等，满足游客的餐饮和购物需求，促进了夜间经济的发展。</w:t>
      </w:r>
    </w:p>
    <w:p w14:paraId="4DA1417C">
      <w:pPr>
        <w:numPr>
          <w:ilvl w:val="0"/>
          <w:numId w:val="0"/>
        </w:numPr>
        <w:spacing w:line="360" w:lineRule="auto"/>
        <w:ind w:leftChars="0" w:firstLine="480" w:firstLineChars="200"/>
        <w:rPr>
          <w:rFonts w:hint="eastAsia" w:ascii="宋体" w:hAnsi="宋体" w:cs="宋体"/>
          <w:b/>
          <w:bCs/>
          <w:color w:val="auto"/>
          <w:sz w:val="28"/>
          <w:szCs w:val="28"/>
          <w:lang w:val="zh-CN" w:eastAsia="zh-Hans"/>
        </w:rPr>
      </w:pPr>
      <w:r>
        <w:rPr>
          <w:rFonts w:hint="default" w:ascii="Times New Roman" w:hAnsi="Times New Roman" w:cs="Times New Roman"/>
          <w:bCs/>
          <w:color w:val="auto"/>
          <w:kern w:val="2"/>
          <w:sz w:val="24"/>
          <w:szCs w:val="24"/>
          <w:lang w:val="en-US" w:eastAsia="zh-CN" w:bidi="ar-SA"/>
        </w:rPr>
        <w:t>焦作市通过推动“文旅 +”融合发展和创新旅游发展模式，实现产业协同和模式革新，为旅游业注入新的活力。在未来的发展中，焦作市应继续深化产业融合，不断探索创新旅游发展模式，进一步提升旅游业的竞争力和影响力，让焦作市成为国内外游客向往的旅游目的地。</w:t>
      </w:r>
    </w:p>
    <w:p w14:paraId="2BB5EAC8">
      <w:pPr>
        <w:keepNext w:val="0"/>
        <w:keepLines w:val="0"/>
        <w:pageBreakBefore w:val="0"/>
        <w:widowControl w:val="0"/>
        <w:numPr>
          <w:ilvl w:val="0"/>
          <w:numId w:val="26"/>
        </w:numPr>
        <w:kinsoku/>
        <w:wordWrap/>
        <w:overflowPunct/>
        <w:topLinePunct w:val="0"/>
        <w:autoSpaceDE/>
        <w:autoSpaceDN/>
        <w:bidi w:val="0"/>
        <w:adjustRightInd/>
        <w:snapToGrid/>
        <w:ind w:left="0" w:leftChars="0" w:firstLine="0" w:firstLineChars="0"/>
        <w:textAlignment w:val="auto"/>
        <w:outlineLvl w:val="2"/>
        <w:rPr>
          <w:rFonts w:hint="default" w:ascii="宋体" w:hAnsi="宋体" w:eastAsia="宋体" w:cs="宋体"/>
          <w:b/>
          <w:bCs/>
          <w:color w:val="auto"/>
          <w:sz w:val="28"/>
          <w:szCs w:val="28"/>
          <w:lang w:eastAsia="zh-CN"/>
        </w:rPr>
      </w:pPr>
      <w:bookmarkStart w:id="149" w:name="_Toc16817"/>
      <w:r>
        <w:rPr>
          <w:rFonts w:hint="eastAsia" w:ascii="宋体" w:hAnsi="宋体" w:cs="宋体"/>
          <w:b/>
          <w:bCs/>
          <w:color w:val="auto"/>
          <w:sz w:val="28"/>
          <w:szCs w:val="28"/>
          <w:lang w:val="en-US" w:eastAsia="zh-CN"/>
        </w:rPr>
        <w:t>构建新的</w:t>
      </w:r>
      <w:r>
        <w:rPr>
          <w:rFonts w:hint="default" w:ascii="宋体" w:hAnsi="宋体" w:eastAsia="宋体" w:cs="宋体"/>
          <w:b/>
          <w:bCs/>
          <w:color w:val="auto"/>
          <w:sz w:val="28"/>
          <w:szCs w:val="28"/>
          <w:lang w:eastAsia="zh-CN"/>
        </w:rPr>
        <w:t>旅游产品体系</w:t>
      </w:r>
      <w:bookmarkEnd w:id="149"/>
    </w:p>
    <w:p w14:paraId="0AE2F2F5">
      <w:pPr>
        <w:spacing w:line="360" w:lineRule="auto"/>
        <w:ind w:firstLine="482" w:firstLineChars="200"/>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（一）</w:t>
      </w:r>
      <w:r>
        <w:rPr>
          <w:rFonts w:hint="default" w:ascii="宋体" w:hAnsi="宋体" w:cs="宋体"/>
          <w:b/>
          <w:bCs/>
          <w:color w:val="auto"/>
          <w:sz w:val="24"/>
          <w:szCs w:val="24"/>
          <w:lang w:val="en-US" w:eastAsia="zh-CN"/>
        </w:rPr>
        <w:t>丰富旅游产品业态</w:t>
      </w:r>
    </w:p>
    <w:p w14:paraId="03FABDC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在保护生态环境的前提下，开发多样化的旅游产品，是满足游客多样化旅游需求、提升焦作市旅游吸引力的重要举措。在现有自然景观游的基础上，焦作市</w:t>
      </w:r>
      <w:r>
        <w:rPr>
          <w:rFonts w:hint="eastAsia" w:ascii="Times New Roman" w:hAnsi="Times New Roman" w:cs="Times New Roman"/>
          <w:bCs/>
          <w:color w:val="auto"/>
          <w:kern w:val="2"/>
          <w:sz w:val="24"/>
          <w:szCs w:val="24"/>
          <w:lang w:val="en-US" w:eastAsia="zh-CN" w:bidi="ar-SA"/>
        </w:rPr>
        <w:t>应</w:t>
      </w:r>
      <w:r>
        <w:rPr>
          <w:rFonts w:hint="default" w:ascii="Times New Roman" w:hAnsi="Times New Roman" w:cs="Times New Roman"/>
          <w:bCs/>
          <w:color w:val="auto"/>
          <w:kern w:val="2"/>
          <w:sz w:val="24"/>
          <w:szCs w:val="24"/>
          <w:lang w:val="en-US" w:eastAsia="zh-CN" w:bidi="ar-SA"/>
        </w:rPr>
        <w:t>大力开发休闲康养游、文化体验游、研学旅游、体育旅游、工业旅游等多样化的旅游产品，构建起一个全方位、多层次的旅游产品体系，为游客提供丰富多样的旅游选择。</w:t>
      </w:r>
    </w:p>
    <w:p w14:paraId="216F1B2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休闲康养游：依托生态优势，打造康养胜地</w:t>
      </w:r>
    </w:p>
    <w:p w14:paraId="692F939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休闲康养游正逐渐成为旅游市场的新宠，焦作拥有悠久的中医药文化历史和丰富的中药材资源，像怀山药、怀地黄、怀菊花、怀牛膝</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四大怀药</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闻名遐迩</w:t>
      </w:r>
      <w:r>
        <w:rPr>
          <w:rFonts w:hint="eastAsia" w:ascii="Times New Roman" w:hAnsi="Times New Roman" w:cs="Times New Roman"/>
          <w:bCs/>
          <w:color w:val="auto"/>
          <w:kern w:val="2"/>
          <w:sz w:val="24"/>
          <w:szCs w:val="24"/>
          <w:lang w:val="en-US" w:eastAsia="zh-CN" w:bidi="ar-SA"/>
        </w:rPr>
        <w:t>，可</w:t>
      </w:r>
      <w:r>
        <w:rPr>
          <w:rFonts w:hint="default" w:ascii="Times New Roman" w:hAnsi="Times New Roman" w:cs="Times New Roman"/>
          <w:bCs/>
          <w:color w:val="auto"/>
          <w:kern w:val="2"/>
          <w:sz w:val="24"/>
          <w:szCs w:val="24"/>
          <w:lang w:val="en-US" w:eastAsia="zh-CN" w:bidi="ar-SA"/>
        </w:rPr>
        <w:t>依托其丰富的中医药资源，积极发展中医药健康旅游。</w:t>
      </w:r>
      <w:r>
        <w:rPr>
          <w:rFonts w:hint="eastAsia" w:ascii="Times New Roman" w:hAnsi="Times New Roman" w:cs="Times New Roman"/>
          <w:bCs/>
          <w:color w:val="auto"/>
          <w:kern w:val="2"/>
          <w:sz w:val="24"/>
          <w:szCs w:val="24"/>
          <w:lang w:val="en-US" w:eastAsia="zh-CN" w:bidi="ar-SA"/>
        </w:rPr>
        <w:t>通过</w:t>
      </w:r>
      <w:r>
        <w:rPr>
          <w:rFonts w:hint="default" w:ascii="Times New Roman" w:hAnsi="Times New Roman" w:cs="Times New Roman"/>
          <w:bCs/>
          <w:color w:val="auto"/>
          <w:kern w:val="2"/>
          <w:sz w:val="24"/>
          <w:szCs w:val="24"/>
          <w:lang w:val="en-US" w:eastAsia="zh-CN" w:bidi="ar-SA"/>
        </w:rPr>
        <w:t>建设</w:t>
      </w:r>
      <w:r>
        <w:rPr>
          <w:rFonts w:hint="eastAsia" w:ascii="Times New Roman" w:hAnsi="Times New Roman" w:cs="Times New Roman"/>
          <w:bCs/>
          <w:color w:val="auto"/>
          <w:kern w:val="2"/>
          <w:sz w:val="24"/>
          <w:szCs w:val="24"/>
          <w:lang w:val="en-US" w:eastAsia="zh-CN" w:bidi="ar-SA"/>
        </w:rPr>
        <w:t>康养小镇，建设</w:t>
      </w:r>
      <w:r>
        <w:rPr>
          <w:rFonts w:hint="default" w:ascii="Times New Roman" w:hAnsi="Times New Roman" w:cs="Times New Roman"/>
          <w:bCs/>
          <w:color w:val="auto"/>
          <w:kern w:val="2"/>
          <w:sz w:val="24"/>
          <w:szCs w:val="24"/>
          <w:lang w:val="en-US" w:eastAsia="zh-CN" w:bidi="ar-SA"/>
        </w:rPr>
        <w:t>中医药文化博物馆，展示中医药的发展历程、名医名方以及</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四大怀药</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的种植、炮制工艺等，让游客深入了解中医药文化。同时，开发中医药养生体验项目，如中医理疗、药膳养生、中药材种植采摘等，游客可以在这里享受专业的中医理疗服务，品尝美味的药膳，亲自参与中药材的种植和采摘，感受中医药养生的魅力。此外，还可以打造中医药养生度假村，提供舒适的住宿环境和个性化的养生方案，让游客在放松身心的同时，达到养生保健的目的。</w:t>
      </w:r>
    </w:p>
    <w:p w14:paraId="5B951D8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焦作市拥有云台山、青天河等优美的自然景观，生态环境良好，具备发展休闲康养游的优越条件。可以依托这些自然资源，建设一批高品质的康养度假基地。在基地内，配备专业的康养设施和服务团队，提供温泉疗养、森林氧吧、中医理疗等康养项目。在云台山景区周边建设云台山康养小镇，打造集住宿、餐饮、康养、娱乐为一体的综合性旅游度假区，让游客在欣赏自然风光的同时，享受身心的放松和康复。</w:t>
      </w:r>
    </w:p>
    <w:p w14:paraId="2DD25F0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文化体验游：结合文化资源，增强游客参与感</w:t>
      </w:r>
    </w:p>
    <w:p w14:paraId="19A6EA9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文化体验游方面，焦作市</w:t>
      </w:r>
      <w:r>
        <w:rPr>
          <w:rFonts w:hint="eastAsia" w:ascii="Times New Roman" w:hAnsi="Times New Roman" w:cs="Times New Roman"/>
          <w:bCs/>
          <w:color w:val="auto"/>
          <w:kern w:val="2"/>
          <w:sz w:val="24"/>
          <w:szCs w:val="24"/>
          <w:lang w:val="en-US" w:eastAsia="zh-CN" w:bidi="ar-SA"/>
        </w:rPr>
        <w:t>可</w:t>
      </w:r>
      <w:r>
        <w:rPr>
          <w:rFonts w:hint="default" w:ascii="Times New Roman" w:hAnsi="Times New Roman" w:cs="Times New Roman"/>
          <w:bCs/>
          <w:color w:val="auto"/>
          <w:kern w:val="2"/>
          <w:sz w:val="24"/>
          <w:szCs w:val="24"/>
          <w:lang w:val="en-US" w:eastAsia="zh-CN" w:bidi="ar-SA"/>
        </w:rPr>
        <w:t>深入挖掘自身的历史文化底蕴，将太极拳文化、陶瓷文化等融入旅游产品中。太极拳作为焦作的文化名片，具有深厚的文化内涵和广泛的国际影响力。在太极拳发源地陈家沟，建设太极拳文化主题公园，设置太极拳展示区、教学区、体验区等功能区域，游客在这里可以欣赏到精彩的太极拳表演，跟随专业教练学习太极拳拳法，感受太极拳的刚柔并济和博大精深。</w:t>
      </w:r>
      <w:r>
        <w:rPr>
          <w:rFonts w:hint="eastAsia" w:ascii="Times New Roman" w:hAnsi="Times New Roman" w:cs="Times New Roman"/>
          <w:bCs/>
          <w:color w:val="auto"/>
          <w:kern w:val="2"/>
          <w:sz w:val="24"/>
          <w:szCs w:val="24"/>
          <w:lang w:val="en-US" w:eastAsia="zh-CN" w:bidi="ar-SA"/>
        </w:rPr>
        <w:t>针对深度体验</w:t>
      </w:r>
      <w:r>
        <w:rPr>
          <w:rFonts w:hint="default" w:ascii="Times New Roman" w:hAnsi="Times New Roman" w:cs="Times New Roman"/>
          <w:bCs/>
          <w:color w:val="auto"/>
          <w:kern w:val="2"/>
          <w:sz w:val="24"/>
          <w:szCs w:val="24"/>
          <w:lang w:val="en-US" w:eastAsia="zh-CN" w:bidi="ar-SA"/>
        </w:rPr>
        <w:t>游客</w:t>
      </w:r>
      <w:r>
        <w:rPr>
          <w:rFonts w:hint="eastAsia" w:ascii="Times New Roman" w:hAnsi="Times New Roman" w:cs="Times New Roman"/>
          <w:bCs/>
          <w:color w:val="auto"/>
          <w:kern w:val="2"/>
          <w:sz w:val="24"/>
          <w:szCs w:val="24"/>
          <w:lang w:val="en-US" w:eastAsia="zh-CN" w:bidi="ar-SA"/>
        </w:rPr>
        <w:t>，可开发</w:t>
      </w:r>
      <w:r>
        <w:rPr>
          <w:rFonts w:hint="default" w:ascii="Times New Roman" w:hAnsi="Times New Roman" w:cs="Times New Roman"/>
          <w:bCs/>
          <w:color w:val="auto"/>
          <w:kern w:val="2"/>
          <w:sz w:val="24"/>
          <w:szCs w:val="24"/>
          <w:lang w:val="en-US" w:eastAsia="zh-CN" w:bidi="ar-SA"/>
        </w:rPr>
        <w:t>太极拳培训课程，跟随太极拳大师学习太极拳拳法和套路，感受太极拳的魅力和文化内涵。同时，开发以太极拳为主题的旅游线路，将太极拳发源地陈家沟与其他旅游景点串联起来，让游客在欣赏自然风光的同时，深入了解太极拳文化。焦作的陶瓷文化也源远流长，当地可以建设陶瓷文化创意园区，展示传统陶瓷制作工艺和现代陶瓷艺术作品，游客可以亲自参与陶瓷制作，体验陶艺的乐趣，带走自己亲手制作的陶瓷作品作为纪念。在司马懿文化景区，游客可以穿上三国时期的服饰，参与三国主题的情景剧表演，亲身体验三国时期的历史氛围。</w:t>
      </w:r>
      <w:r>
        <w:rPr>
          <w:rFonts w:hint="eastAsia" w:ascii="Times New Roman" w:hAnsi="Times New Roman" w:cs="Times New Roman"/>
          <w:bCs/>
          <w:color w:val="auto"/>
          <w:kern w:val="2"/>
          <w:sz w:val="24"/>
          <w:szCs w:val="24"/>
          <w:lang w:val="en-US" w:eastAsia="zh-CN" w:bidi="ar-SA"/>
        </w:rPr>
        <w:t>针对非物质文化遗产等资源，</w:t>
      </w:r>
      <w:r>
        <w:rPr>
          <w:rFonts w:hint="default" w:ascii="Times New Roman" w:hAnsi="Times New Roman" w:cs="Times New Roman"/>
          <w:bCs/>
          <w:color w:val="auto"/>
          <w:kern w:val="2"/>
          <w:sz w:val="24"/>
          <w:szCs w:val="24"/>
          <w:lang w:val="en-US" w:eastAsia="zh-CN" w:bidi="ar-SA"/>
        </w:rPr>
        <w:t>还可以开发民俗文化体验游，让游客参与焦作市的传统民俗活动，如庙会、社火等，增强游客的文化参与感和体验感</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此外，</w:t>
      </w:r>
      <w:r>
        <w:rPr>
          <w:rFonts w:hint="eastAsia" w:ascii="Times New Roman" w:hAnsi="Times New Roman" w:cs="Times New Roman"/>
          <w:bCs/>
          <w:color w:val="auto"/>
          <w:kern w:val="2"/>
          <w:sz w:val="24"/>
          <w:szCs w:val="24"/>
          <w:lang w:val="en-US" w:eastAsia="zh-CN" w:bidi="ar-SA"/>
        </w:rPr>
        <w:t>针对红色旅游资源，将红色资源串联起来，通过展厅展板介绍、视频播放、真人演绎、观众互动、虚拟仿真体验等方式，增强红色故事的感染力。</w:t>
      </w:r>
    </w:p>
    <w:p w14:paraId="401360F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 w:val="0"/>
          <w:bCs/>
          <w:color w:val="auto"/>
          <w:kern w:val="2"/>
          <w:sz w:val="24"/>
          <w:szCs w:val="24"/>
          <w:lang w:val="en-US" w:eastAsia="zh-CN" w:bidi="ar-SA"/>
        </w:rPr>
      </w:pPr>
      <w:r>
        <w:rPr>
          <w:rFonts w:hint="eastAsia" w:ascii="Times New Roman" w:hAnsi="Times New Roman" w:cs="Times New Roman"/>
          <w:b w:val="0"/>
          <w:bCs/>
          <w:color w:val="auto"/>
          <w:kern w:val="2"/>
          <w:sz w:val="24"/>
          <w:szCs w:val="24"/>
          <w:lang w:val="en-US" w:eastAsia="zh-CN" w:bidi="ar-SA"/>
        </w:rPr>
        <w:t>3、</w:t>
      </w:r>
      <w:r>
        <w:rPr>
          <w:rFonts w:hint="default" w:ascii="Times New Roman" w:hAnsi="Times New Roman" w:cs="Times New Roman"/>
          <w:b w:val="0"/>
          <w:bCs/>
          <w:color w:val="auto"/>
          <w:kern w:val="2"/>
          <w:sz w:val="24"/>
          <w:szCs w:val="24"/>
          <w:lang w:val="en-US" w:eastAsia="zh-CN" w:bidi="ar-SA"/>
        </w:rPr>
        <w:t>研学旅游：整合教育资源，打造研学基地</w:t>
      </w:r>
    </w:p>
    <w:p w14:paraId="1686FEE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研学旅游是近年来兴起的一种新型旅游方式，焦作市拥有丰富的历史文化和自然资源，是开展研学旅游的理想之地。焦作市</w:t>
      </w:r>
      <w:r>
        <w:rPr>
          <w:rFonts w:hint="eastAsia" w:ascii="Times New Roman" w:hAnsi="Times New Roman" w:cs="Times New Roman"/>
          <w:bCs/>
          <w:color w:val="auto"/>
          <w:kern w:val="2"/>
          <w:sz w:val="24"/>
          <w:szCs w:val="24"/>
          <w:lang w:val="en-US" w:eastAsia="zh-CN" w:bidi="ar-SA"/>
        </w:rPr>
        <w:t>可</w:t>
      </w:r>
      <w:r>
        <w:rPr>
          <w:rFonts w:hint="default" w:ascii="Times New Roman" w:hAnsi="Times New Roman" w:cs="Times New Roman"/>
          <w:bCs/>
          <w:color w:val="auto"/>
          <w:kern w:val="2"/>
          <w:sz w:val="24"/>
          <w:szCs w:val="24"/>
          <w:lang w:val="en-US" w:eastAsia="zh-CN" w:bidi="ar-SA"/>
        </w:rPr>
        <w:t>充分利用其丰富的自然和人文资源，开发一系列研学旅游项目。整合学校、科研机构、旅游景区等资源，开发研学旅游线路和产品。针对中小学生，开发以历史文化、自然科学为主题的研学旅游课程，让他们在旅游中学习知识，增长见识。针对地质科普研学，可以依托云台山世界地质公园，设计地质考察线路，让学生和专业人士了解地质构造、岩石类型、地貌形成等知识。在历史文化研学方面，组织学生参观嘉应观、韩愈陵园等历史文化遗迹，邀请专家学者进行现场讲解，让学生深入了解焦作的历史文化。此外，还可以开展生态环保研学活动，让学生了解生态保护的重要性，增强环保意识。</w:t>
      </w:r>
      <w:r>
        <w:rPr>
          <w:rFonts w:hint="eastAsia" w:ascii="Times New Roman" w:hAnsi="Times New Roman" w:cs="Times New Roman"/>
          <w:bCs/>
          <w:color w:val="auto"/>
          <w:kern w:val="2"/>
          <w:sz w:val="24"/>
          <w:szCs w:val="24"/>
          <w:lang w:val="en-US" w:eastAsia="zh-CN" w:bidi="ar-SA"/>
        </w:rPr>
        <w:t>积极申报</w:t>
      </w:r>
      <w:r>
        <w:rPr>
          <w:rFonts w:hint="default" w:ascii="Times New Roman" w:hAnsi="Times New Roman" w:cs="Times New Roman"/>
          <w:bCs/>
          <w:color w:val="auto"/>
          <w:kern w:val="2"/>
          <w:sz w:val="24"/>
          <w:szCs w:val="24"/>
          <w:lang w:val="en-US" w:eastAsia="zh-CN" w:bidi="ar-SA"/>
        </w:rPr>
        <w:t>建立研学旅</w:t>
      </w:r>
      <w:r>
        <w:rPr>
          <w:rFonts w:hint="eastAsia" w:ascii="Times New Roman" w:hAnsi="Times New Roman" w:cs="Times New Roman"/>
          <w:bCs/>
          <w:color w:val="auto"/>
          <w:kern w:val="2"/>
          <w:sz w:val="24"/>
          <w:szCs w:val="24"/>
          <w:lang w:val="en-US" w:eastAsia="zh-CN" w:bidi="ar-SA"/>
        </w:rPr>
        <w:t>行营地和基地</w:t>
      </w:r>
      <w:r>
        <w:rPr>
          <w:rFonts w:hint="default" w:ascii="Times New Roman" w:hAnsi="Times New Roman" w:cs="Times New Roman"/>
          <w:bCs/>
          <w:color w:val="auto"/>
          <w:kern w:val="2"/>
          <w:sz w:val="24"/>
          <w:szCs w:val="24"/>
          <w:lang w:val="en-US" w:eastAsia="zh-CN" w:bidi="ar-SA"/>
        </w:rPr>
        <w:t>，配备专业的研学导师和教学设施，为研学旅</w:t>
      </w:r>
      <w:r>
        <w:rPr>
          <w:rFonts w:hint="eastAsia" w:ascii="Times New Roman" w:hAnsi="Times New Roman" w:cs="Times New Roman"/>
          <w:bCs/>
          <w:color w:val="auto"/>
          <w:kern w:val="2"/>
          <w:sz w:val="24"/>
          <w:szCs w:val="24"/>
          <w:lang w:val="en-US" w:eastAsia="zh-CN" w:bidi="ar-SA"/>
        </w:rPr>
        <w:t>行</w:t>
      </w:r>
      <w:r>
        <w:rPr>
          <w:rFonts w:hint="default" w:ascii="Times New Roman" w:hAnsi="Times New Roman" w:cs="Times New Roman"/>
          <w:bCs/>
          <w:color w:val="auto"/>
          <w:kern w:val="2"/>
          <w:sz w:val="24"/>
          <w:szCs w:val="24"/>
          <w:lang w:val="en-US" w:eastAsia="zh-CN" w:bidi="ar-SA"/>
        </w:rPr>
        <w:t>提供优质的服务保障</w:t>
      </w:r>
      <w:r>
        <w:rPr>
          <w:rFonts w:hint="eastAsia" w:ascii="Times New Roman" w:hAnsi="Times New Roman" w:cs="Times New Roman"/>
          <w:bCs/>
          <w:color w:val="auto"/>
          <w:kern w:val="2"/>
          <w:sz w:val="24"/>
          <w:szCs w:val="24"/>
          <w:lang w:val="en-US" w:eastAsia="zh-CN" w:bidi="ar-SA"/>
        </w:rPr>
        <w:t>。</w:t>
      </w:r>
    </w:p>
    <w:p w14:paraId="5376F1BE">
      <w:pPr>
        <w:pageBreakBefore w:val="0"/>
        <w:widowControl w:val="0"/>
        <w:numPr>
          <w:ilvl w:val="0"/>
          <w:numId w:val="29"/>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体育旅游：融合运动场景，激发游客挑战欲</w:t>
      </w:r>
    </w:p>
    <w:p w14:paraId="01FE78E6">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体育旅游通过设计攀岩、漂流、滑雪等运动场景，将游客从</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旁观者</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转化为“参与者”，满足其突破自我、释放压力的心理需求。体育旅游也是焦作市重点发展的旅游产品之一。焦作市拥有良好的体育设施和丰富的体育赛事资源，可以举办各类体育赛事，如马拉松比赛、自行车赛、武术比赛等，吸引体育爱好者前来观赛和参与。同时，开发户外运动项目，如登山、攀岩、漂流等，让游客在欣赏自然风光的同时，体验体育运动的乐趣。例如，在青天河景区可以开发水上运动项目，如皮划艇、摩托艇等，满足游客的不同需求。体育旅游可进一步探索</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体育+教育</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（如青少年研学营）、</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体育+艺术</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（如</w:t>
      </w:r>
      <w:r>
        <w:rPr>
          <w:rFonts w:hint="eastAsia" w:ascii="Times New Roman" w:hAnsi="Times New Roman" w:cs="Times New Roman"/>
          <w:bCs/>
          <w:color w:val="auto"/>
          <w:kern w:val="2"/>
          <w:sz w:val="24"/>
          <w:szCs w:val="24"/>
          <w:lang w:val="en-US" w:eastAsia="zh-CN" w:bidi="ar-SA"/>
        </w:rPr>
        <w:t>云台山山地</w:t>
      </w:r>
      <w:r>
        <w:rPr>
          <w:rFonts w:hint="default" w:ascii="Times New Roman" w:hAnsi="Times New Roman" w:cs="Times New Roman"/>
          <w:bCs/>
          <w:color w:val="auto"/>
          <w:kern w:val="2"/>
          <w:sz w:val="24"/>
          <w:szCs w:val="24"/>
          <w:lang w:val="en-US" w:eastAsia="zh-CN" w:bidi="ar-SA"/>
        </w:rPr>
        <w:t>音乐节与运动结合）等跨界模式，通过场景创新与资源整合，满足游客对</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健康生活方式</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与</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独特体验记忆</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的双重追求。</w:t>
      </w:r>
    </w:p>
    <w:p w14:paraId="6D10EFE0">
      <w:pPr>
        <w:pageBreakBefore w:val="0"/>
        <w:widowControl w:val="0"/>
        <w:numPr>
          <w:ilvl w:val="0"/>
          <w:numId w:val="29"/>
        </w:numPr>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工业旅游：链接生活场景，激发游客消费兴趣</w:t>
      </w:r>
    </w:p>
    <w:p w14:paraId="4808F2DF">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工业遗产是</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凝固的产业文明</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，通过保护老厂房、生产线、工具设备等物质载体，结合档案文献、口述史等非物质资源，构建</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时空对话</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场景。焦作曾经是中国重要的煤炭、化工工业基地，留下了许多具有历史价值的工业遗迹。焦作市</w:t>
      </w:r>
      <w:r>
        <w:rPr>
          <w:rFonts w:hint="eastAsia" w:ascii="Times New Roman" w:hAnsi="Times New Roman" w:cs="Times New Roman"/>
          <w:bCs/>
          <w:color w:val="auto"/>
          <w:kern w:val="2"/>
          <w:sz w:val="24"/>
          <w:szCs w:val="24"/>
          <w:lang w:val="en-US" w:eastAsia="zh-CN" w:bidi="ar-SA"/>
        </w:rPr>
        <w:t>可</w:t>
      </w:r>
      <w:r>
        <w:rPr>
          <w:rFonts w:hint="default" w:ascii="Times New Roman" w:hAnsi="Times New Roman" w:cs="Times New Roman"/>
          <w:bCs/>
          <w:color w:val="auto"/>
          <w:kern w:val="2"/>
          <w:sz w:val="24"/>
          <w:szCs w:val="24"/>
          <w:lang w:val="en-US" w:eastAsia="zh-CN" w:bidi="ar-SA"/>
        </w:rPr>
        <w:t>利用自身的工业遗产，开发工业旅游项目。可以对这些工业遗迹进行保护和改造，建设工业博物馆、工业遗址公园等，展示焦作市的工业发展历程和工业文化。将废弃的工厂改造成创意园区，吸引艺术家、设计师等入驻，举办各类文化活动和展览，让游客在感受工业文化的同时，体验到创意的魅力。利用AR/VR还原生产流程、智能导览解析技术原理、互动装置模拟产品测试，将抽象知识转化为可感知的体验。工业旅游需突破</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厂区参观</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的单一模式，通过开发</w:t>
      </w:r>
      <w:r>
        <w:rPr>
          <w:rFonts w:hint="eastAsia" w:ascii="Times New Roman" w:hAnsi="Times New Roman" w:cs="Times New Roman"/>
          <w:bCs/>
          <w:color w:val="auto"/>
          <w:kern w:val="2"/>
          <w:sz w:val="24"/>
          <w:szCs w:val="24"/>
          <w:lang w:val="en-US" w:eastAsia="zh-CN" w:bidi="ar-SA"/>
        </w:rPr>
        <w:t>DIY</w:t>
      </w:r>
      <w:r>
        <w:rPr>
          <w:rFonts w:hint="default" w:ascii="Times New Roman" w:hAnsi="Times New Roman" w:cs="Times New Roman"/>
          <w:bCs/>
          <w:color w:val="auto"/>
          <w:kern w:val="2"/>
          <w:sz w:val="24"/>
          <w:szCs w:val="24"/>
          <w:lang w:val="en-US" w:eastAsia="zh-CN" w:bidi="ar-SA"/>
        </w:rPr>
        <w:t>工坊、定制化产品、工业主题餐饮等业态，将工业元素转化为生活美学符号。针对青少年群体，工业旅游可设计职业体验课程，如模拟工程师设计、质检员检测、物流调度等，将</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工业参观</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升级为</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生涯教育</w:t>
      </w:r>
      <w:r>
        <w:rPr>
          <w:rFonts w:hint="eastAsia" w:ascii="Times New Roman" w:hAnsi="Times New Roman" w:cs="Times New Roman"/>
          <w:bCs/>
          <w:color w:val="auto"/>
          <w:kern w:val="2"/>
          <w:sz w:val="24"/>
          <w:szCs w:val="24"/>
          <w:lang w:val="en-US" w:eastAsia="zh-CN" w:bidi="ar-SA"/>
        </w:rPr>
        <w:t>”。构建社群平台，延长游客价值链条</w:t>
      </w:r>
      <w:r>
        <w:rPr>
          <w:rFonts w:hint="default" w:ascii="Times New Roman" w:hAnsi="Times New Roman" w:cs="Times New Roman"/>
          <w:bCs/>
          <w:color w:val="auto"/>
          <w:kern w:val="2"/>
          <w:sz w:val="24"/>
          <w:szCs w:val="24"/>
          <w:lang w:val="en-US" w:eastAsia="zh-CN" w:bidi="ar-SA"/>
        </w:rPr>
        <w:t>通过线上社区运营、会员制度、用户共创活动，将一次性游客转化为长期粉丝，形成</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参观-反馈-迭代</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的良性循环。</w:t>
      </w:r>
      <w:r>
        <w:rPr>
          <w:rFonts w:hint="eastAsia" w:ascii="Times New Roman" w:hAnsi="Times New Roman" w:cs="Times New Roman"/>
          <w:bCs/>
          <w:color w:val="auto"/>
          <w:kern w:val="2"/>
          <w:sz w:val="24"/>
          <w:szCs w:val="24"/>
          <w:lang w:val="en-US" w:eastAsia="zh-CN" w:bidi="ar-SA"/>
        </w:rPr>
        <w:t>加大焦作·百年矿业遗址公园、大咖国际、蒙牛工业园、明仁苏打水等工业旅游资源的开发。</w:t>
      </w:r>
    </w:p>
    <w:p w14:paraId="502F8665">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（二）加大旅游产品数量</w:t>
      </w:r>
    </w:p>
    <w:p w14:paraId="14BE42A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color w:val="auto"/>
          <w:sz w:val="24"/>
          <w:lang w:eastAsia="zh-CN"/>
        </w:rPr>
      </w:pPr>
      <w:r>
        <w:rPr>
          <w:rFonts w:hint="eastAsia" w:ascii="宋体" w:hAnsi="宋体"/>
          <w:color w:val="auto"/>
          <w:sz w:val="24"/>
          <w:lang w:eastAsia="zh-CN"/>
        </w:rPr>
        <w:t>加快推进旅游度假区建设。把旅游度假区作为主平台，利用焦作太行山山水资源、本草中医药资源、太极养生文化等，全面推进旅游休闲度假功能、资源环境整合功能、旅游产品培育功能和开发管理服务功能提升发展，努力把旅游度假区打造成为旅游业转型升级的示范区、旅游经济强省的先行区和旅游休闲度假产业的集聚区。加快焦作南太行与太极-黄河旅游度假区的规划</w:t>
      </w:r>
      <w:r>
        <w:rPr>
          <w:rFonts w:hint="eastAsia" w:ascii="宋体" w:hAnsi="宋体"/>
          <w:color w:val="auto"/>
          <w:sz w:val="24"/>
          <w:lang w:val="en-US" w:eastAsia="zh-CN"/>
        </w:rPr>
        <w:t>建设和申报</w:t>
      </w:r>
      <w:r>
        <w:rPr>
          <w:rFonts w:hint="eastAsia" w:ascii="宋体" w:hAnsi="宋体"/>
          <w:color w:val="auto"/>
          <w:sz w:val="24"/>
          <w:lang w:eastAsia="zh-CN"/>
        </w:rPr>
        <w:t>。</w:t>
      </w:r>
    </w:p>
    <w:p w14:paraId="7325405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color w:val="auto"/>
          <w:sz w:val="24"/>
          <w:lang w:eastAsia="zh-CN"/>
        </w:rPr>
      </w:pPr>
      <w:r>
        <w:rPr>
          <w:rFonts w:hint="eastAsia" w:ascii="宋体" w:hAnsi="宋体"/>
          <w:color w:val="auto"/>
          <w:sz w:val="24"/>
          <w:lang w:eastAsia="zh-CN"/>
        </w:rPr>
        <w:t>加快打造一批文化旅游景区。深入挖掘整合文化旅游资源，加快嘉应小镇、云台古镇、太极小镇等重大项目建设，努力在文化旅游示范基地、景区特色文化主题酒店、非物质文化遗产旅游经典景区、特色文化主题酒店、旅游文化演艺项目等方面取得新突破。</w:t>
      </w:r>
    </w:p>
    <w:p w14:paraId="35B2F46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宋体" w:hAnsi="宋体"/>
          <w:color w:val="auto"/>
          <w:sz w:val="24"/>
          <w:lang w:eastAsia="zh-CN"/>
        </w:rPr>
        <w:t>加快培育一批特色新型景区。依托博大精深的中医药、整合提升特色医疗、中医药疗养、美容保健、康体养生等特色资源，培育一批医养康体景区。建设一批以户外休闲、康体活动、垂钓、自行车、徒步健行、拓展运动、房车基地、自驾车露营地等为特色的休闲运动项目景区。依托特色工业企业，打造体验性强、产业链长、影响力大的工业旅游A级旅游景区。</w:t>
      </w:r>
    </w:p>
    <w:p w14:paraId="771AC247">
      <w:pPr>
        <w:spacing w:line="360" w:lineRule="auto"/>
        <w:ind w:firstLine="482" w:firstLineChars="200"/>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（三）</w:t>
      </w:r>
      <w:r>
        <w:rPr>
          <w:rFonts w:hint="default" w:ascii="宋体" w:hAnsi="宋体" w:cs="宋体"/>
          <w:b/>
          <w:bCs/>
          <w:color w:val="auto"/>
          <w:sz w:val="24"/>
          <w:szCs w:val="24"/>
          <w:lang w:val="en-US" w:eastAsia="zh-CN"/>
        </w:rPr>
        <w:t>提升旅游产品品质</w:t>
      </w:r>
    </w:p>
    <w:p w14:paraId="6E10BC0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注重旅游产品的文化内涵和创意性，是提升旅游产品品质的关键。通过将太极拳文化、陶瓷文化等融入旅游产品中，提升了产品的附加值和吸引力，打造具有焦作特色的旅游品牌。</w:t>
      </w:r>
    </w:p>
    <w:p w14:paraId="70FD3DF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在旅游产品的设计和开发中，</w:t>
      </w:r>
      <w:r>
        <w:rPr>
          <w:rFonts w:hint="eastAsia" w:ascii="Times New Roman" w:hAnsi="Times New Roman" w:cs="Times New Roman"/>
          <w:bCs/>
          <w:color w:val="auto"/>
          <w:kern w:val="2"/>
          <w:sz w:val="24"/>
          <w:szCs w:val="24"/>
          <w:lang w:val="en-US" w:eastAsia="zh-CN" w:bidi="ar-SA"/>
        </w:rPr>
        <w:t>要</w:t>
      </w:r>
      <w:r>
        <w:rPr>
          <w:rFonts w:hint="default" w:ascii="Times New Roman" w:hAnsi="Times New Roman" w:cs="Times New Roman"/>
          <w:bCs/>
          <w:color w:val="auto"/>
          <w:kern w:val="2"/>
          <w:sz w:val="24"/>
          <w:szCs w:val="24"/>
          <w:lang w:val="en-US" w:eastAsia="zh-CN" w:bidi="ar-SA"/>
        </w:rPr>
        <w:t>深入挖掘文化内涵，将文化元素贯穿于旅游的全过程。在景区建设中，融入当地的历史文化故事和传说，让游客在欣赏美景的同时，了解背后的文化意义。在旅游纪念品的设计上，将太极拳的动作、陶瓷的图案等元素融入其中，开发出具有特色的旅游纪念品，如太极拳主题的钥匙链、陶瓷工艺品等，既具有实用价值，又具有纪念意义。</w:t>
      </w:r>
    </w:p>
    <w:p w14:paraId="12E0612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auto"/>
          <w:lang w:eastAsia="zh-CN"/>
        </w:rPr>
      </w:pPr>
      <w:r>
        <w:rPr>
          <w:rFonts w:hint="default" w:ascii="Times New Roman" w:hAnsi="Times New Roman" w:cs="Times New Roman"/>
          <w:bCs/>
          <w:color w:val="auto"/>
          <w:kern w:val="2"/>
          <w:sz w:val="24"/>
          <w:szCs w:val="24"/>
          <w:lang w:val="en-US" w:eastAsia="zh-CN" w:bidi="ar-SA"/>
        </w:rPr>
        <w:t>利用现代科技手段，如虚拟现实、增强现实等，打造沉浸式的旅游体验。在太极拳文化展示中，利用虚拟现实技术让游客身临其境地感受太极拳的演练场景；在陶瓷文化创意园区，利用增强现实技术让游客看到陶瓷的制作过程和历史文化背景。同时，开发具有创意的旅游活动，如太极拳创意表演、陶瓷艺术创意大赛等，吸引游客的参与和关注。</w:t>
      </w:r>
    </w:p>
    <w:p w14:paraId="03DD187D">
      <w:pPr>
        <w:keepNext w:val="0"/>
        <w:keepLines w:val="0"/>
        <w:pageBreakBefore w:val="0"/>
        <w:widowControl w:val="0"/>
        <w:kinsoku/>
        <w:wordWrap/>
        <w:overflowPunct/>
        <w:topLinePunct w:val="0"/>
        <w:autoSpaceDE/>
        <w:autoSpaceDN/>
        <w:bidi w:val="0"/>
        <w:adjustRightInd/>
        <w:snapToGrid/>
        <w:textAlignment w:val="auto"/>
        <w:outlineLvl w:val="2"/>
        <w:rPr>
          <w:rFonts w:hint="default" w:ascii="宋体" w:hAnsi="宋体" w:eastAsia="宋体" w:cs="宋体"/>
          <w:b/>
          <w:bCs/>
          <w:color w:val="auto"/>
          <w:sz w:val="28"/>
          <w:szCs w:val="28"/>
          <w:lang w:eastAsia="zh-CN"/>
        </w:rPr>
      </w:pPr>
      <w:bookmarkStart w:id="150" w:name="_Toc4318"/>
      <w:r>
        <w:rPr>
          <w:rFonts w:hint="eastAsia" w:ascii="宋体" w:hAnsi="宋体" w:cs="宋体"/>
          <w:b/>
          <w:bCs/>
          <w:color w:val="auto"/>
          <w:sz w:val="28"/>
          <w:szCs w:val="28"/>
          <w:lang w:val="en-US" w:eastAsia="zh-CN"/>
        </w:rPr>
        <w:t>五</w:t>
      </w:r>
      <w:r>
        <w:rPr>
          <w:rFonts w:hint="default" w:ascii="宋体" w:hAnsi="宋体" w:eastAsia="宋体" w:cs="宋体"/>
          <w:b/>
          <w:bCs/>
          <w:color w:val="auto"/>
          <w:sz w:val="28"/>
          <w:szCs w:val="28"/>
          <w:lang w:eastAsia="zh-CN"/>
        </w:rPr>
        <w:t>、提升旅游服务质量与设施</w:t>
      </w:r>
      <w:bookmarkEnd w:id="150"/>
    </w:p>
    <w:p w14:paraId="1FBC59A2">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w:t>
      </w:r>
      <w:r>
        <w:rPr>
          <w:rFonts w:hint="default" w:ascii="宋体" w:hAnsi="宋体" w:cs="宋体"/>
          <w:b/>
          <w:bCs/>
          <w:color w:val="auto"/>
          <w:sz w:val="24"/>
          <w:szCs w:val="24"/>
          <w:lang w:val="en-US" w:eastAsia="zh-CN"/>
        </w:rPr>
        <w:t>提高从业人员素质</w:t>
      </w:r>
    </w:p>
    <w:p w14:paraId="09099A6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旅游从业人员是旅游服务的直接提供者，其素质高低直接影响着游客的旅游体验和对旅游目的地的评价。焦作市高度重视旅游从业人员素质的提升，通过加强培训，全面提高其服务意识和专业技能，打造一支高素质的旅游服务队伍。</w:t>
      </w:r>
    </w:p>
    <w:p w14:paraId="2030AF1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服务意识培养：</w:t>
      </w:r>
      <w:r>
        <w:rPr>
          <w:rFonts w:hint="eastAsia" w:ascii="Times New Roman" w:hAnsi="Times New Roman" w:cs="Times New Roman"/>
          <w:bCs/>
          <w:color w:val="auto"/>
          <w:kern w:val="2"/>
          <w:sz w:val="24"/>
          <w:szCs w:val="24"/>
          <w:lang w:val="en-US" w:eastAsia="zh-CN" w:bidi="ar-SA"/>
        </w:rPr>
        <w:t>内化于心、外化于行</w:t>
      </w:r>
    </w:p>
    <w:p w14:paraId="3B1A65A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服务意识是旅游从业人员的基本素养，焦作市通过多种方式培养从业人员的服务意识，使其真正将</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游客至上</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的理念内化于心、外化于行。一方面，开展服务意识专题培训，邀请行业专家、优秀服务人员分享经验和心得，通过案例分析、角色扮演等方式，让从业人员深刻理解服务意识的重要性，掌握与游客沟通的技巧和方法。组织从业人员参加</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微笑服务</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贴心服务</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等主题培训活动，引导他们在服务过程中始终保持热情、耐心、细致的态度，主动关注游客的需求，及时为游客解决问题。</w:t>
      </w:r>
    </w:p>
    <w:p w14:paraId="77A23975">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另一方面，建立服务激励机制，对服务意识强、表现优秀的从业人员进行表彰和奖励，树立服务榜样，激发全体从业人员的服务热情。同时，加强对从业人员的日常管理和监督，对服务态度不好、服务质量不高的行为进行及时纠正和处理，形成良好的服务氛围。</w:t>
      </w:r>
    </w:p>
    <w:p w14:paraId="43E0318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专业技能提升：精准施训，增强服务能力</w:t>
      </w:r>
    </w:p>
    <w:p w14:paraId="0CC0DC6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专业技能是旅游从业人员为游客提供优质服务的基础。根据不同岗位的需求，开展针对性的专业技能培训，提高从业人员的业务水平。对于导游人员，加强历史文化、地理知识、讲解技巧等方面的培训，使他们能够生动、准确地介绍焦作市的旅游景点和文化内涵。组织导游参加</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焦作历史文化</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云台山地质科普</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等专题培训课程，邀请相关领域的专家学者进行授课，拓宽导游的知识面，提升其讲解的深度和趣味性。</w:t>
      </w:r>
    </w:p>
    <w:p w14:paraId="211DCDF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对于酒店服务人员，注重客房服务、餐饮服务、礼仪规范等方面的培训，提高他们的服务效率和质量。通过模拟演练、实操考核等方式，让服务人员熟练掌握服务流程和标准，为游客提供舒适、温馨的住宿和用餐环境。对于景区工作人员，加强安全管理、应急救援、游客疏导等方面的培训，确保游客在景区的人身安全。定期组织景区工作人员参加消防安全演练、急救知识培训等活动，提高他们的应急处置能力。</w:t>
      </w:r>
    </w:p>
    <w:p w14:paraId="4F63431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持续学习与交流：紧跟行业趋势，提升综合素质</w:t>
      </w:r>
    </w:p>
    <w:p w14:paraId="4B0D485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旅游行业发展日新月异，焦作市鼓励旅游从业人员持续学习，紧跟行业发展趋势，不断提升综合素质。一方面，支持从业人员参加各类行业研讨会、学术交流活动，了解行业最新动态和前沿理念，拓宽视野，更新知识结构。另一方面，建立从业人员学习交流平台，促进他们之间的经验分享和合作。成立旅游从业人员协会，定期组织会员开展交流活动，分享服务心得和遇到的问题，共同探讨解决方案。</w:t>
      </w:r>
    </w:p>
    <w:p w14:paraId="2399324C">
      <w:pPr>
        <w:spacing w:line="360" w:lineRule="auto"/>
        <w:ind w:firstLine="482" w:firstLineChars="200"/>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（二）</w:t>
      </w:r>
      <w:r>
        <w:rPr>
          <w:rFonts w:hint="default" w:ascii="宋体" w:hAnsi="宋体" w:cs="宋体"/>
          <w:b/>
          <w:bCs/>
          <w:color w:val="auto"/>
          <w:sz w:val="24"/>
          <w:szCs w:val="24"/>
          <w:lang w:val="en-US" w:eastAsia="zh-CN"/>
        </w:rPr>
        <w:t>完善旅游服务设施</w:t>
      </w:r>
    </w:p>
    <w:p w14:paraId="5063253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旅游服务设施是旅游业发展的重要支撑，其完善程度直接影响着游客的旅游体验。焦作市加大对旅游厕所、停车场、游客服务中心等基础设施的投入，同时注重旅游服务的智能化和便捷化，为游客提供更加舒适、高效的旅游环境。</w:t>
      </w:r>
    </w:p>
    <w:p w14:paraId="709EC47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基础设施升级：提升数量与质量，满足游客需求</w:t>
      </w:r>
    </w:p>
    <w:p w14:paraId="6E034663">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旅游厕所是旅游服务设施的重要组成部分，其卫生状况和服务质量直接关系到游客的满意度。焦作市大力推进</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厕所革命</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加大对旅游厕所的建设和改造力度，增加旅游厕所的数量，提高旅游厕所的卫生标准和设施水平。在景区、乡村旅游点等游客集中的区域，合理布局旅游厕所，采用环保、节能的技术和设备，打造干净、整洁、舒适的如厕环境。</w:t>
      </w:r>
    </w:p>
    <w:p w14:paraId="1F7E30F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停车场的建设和管理也是旅游服务的重要环节。根据旅游景区的游客接待量和交通状况，合理规划停车场，增加停车位数量，改善停车场的硬件设施。同时，加强停车场的智能化管理，采用车牌识别、电子支付等技术，提高停车场的通行效率和管理水平。建设大型停车场，安装智能停车引导系统，游客可以通过手机APP实时了解停车场的车位情况，快速找到停车位。</w:t>
      </w:r>
    </w:p>
    <w:p w14:paraId="3E8F20D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游客服务中心是游客获取旅游信息、享受旅游服务的重要场所。加强游客服务中心的建设，完善其功能布局，为游客提供咨询、投诉、休息、购物等一站式服务。游客服务中心配备专业的服务人员，为游客提供详细、准确的旅游信息和建议。同时，设置展示区，展示焦作市的旅游特色和文化内涵，让游客更好地了解焦作。</w:t>
      </w:r>
    </w:p>
    <w:p w14:paraId="67D3E04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智能化与便捷化服务：科技赋能，提升旅游体验</w:t>
      </w:r>
    </w:p>
    <w:p w14:paraId="514C3E6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随着科技的不断发展，旅游服务的智能化和便捷化成为趋势。焦作市积极推广电子门票、提供在线预订等服务，让游客的旅游出行更加轻松、高效。游客可以通过手机APP、旅游网站等平台提前预订门票、酒店、餐饮等服务，避免排队等待，节省时间和精力。</w:t>
      </w:r>
      <w:r>
        <w:rPr>
          <w:rFonts w:hint="eastAsia" w:ascii="Times New Roman" w:hAnsi="Times New Roman" w:cs="Times New Roman"/>
          <w:bCs/>
          <w:color w:val="auto"/>
          <w:kern w:val="2"/>
          <w:sz w:val="24"/>
          <w:szCs w:val="24"/>
          <w:lang w:val="en-US" w:eastAsia="zh-CN" w:bidi="ar-SA"/>
        </w:rPr>
        <w:t>如在</w:t>
      </w:r>
      <w:r>
        <w:rPr>
          <w:rFonts w:hint="default" w:ascii="Times New Roman" w:hAnsi="Times New Roman" w:cs="Times New Roman"/>
          <w:bCs/>
          <w:color w:val="auto"/>
          <w:kern w:val="2"/>
          <w:sz w:val="24"/>
          <w:szCs w:val="24"/>
          <w:lang w:val="en-US" w:eastAsia="zh-CN" w:bidi="ar-SA"/>
        </w:rPr>
        <w:t>云台山景区推出了电子门票系统，游客可以通过手机扫码入园，无需排队购票，大大提高了入园效率。</w:t>
      </w:r>
    </w:p>
    <w:p w14:paraId="4B9C940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同时，焦作市加强旅游信息化建设，利用大数据、云计算等技术，为游客提供个性化的旅游推荐和服务。通过分析游客的浏览记录、消费习惯等信息，为游客精准推送符合其兴趣和需求的旅游产品和服务。例如，根据游客的地理位置和出行时间，为其推荐附近的景点、餐厅和酒店，提供实时的交通信息和导航服务。</w:t>
      </w:r>
    </w:p>
    <w:p w14:paraId="3682A83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景区内设置智能导览系统，游客可以通过手机APP或导览设备获取景区的语音讲解、地图导航、景点介绍等信息，实现自助游览。智能导览系统还可以根据游客的位置和游览进度，自动推送相关的讲解内容，让游客更加深入地了解景区的文化和历史。</w:t>
      </w:r>
    </w:p>
    <w:p w14:paraId="4D30344B">
      <w:pPr>
        <w:keepNext w:val="0"/>
        <w:keepLines w:val="0"/>
        <w:pageBreakBefore w:val="0"/>
        <w:widowControl w:val="0"/>
        <w:kinsoku/>
        <w:wordWrap/>
        <w:overflowPunct/>
        <w:topLinePunct w:val="0"/>
        <w:autoSpaceDE/>
        <w:autoSpaceDN/>
        <w:bidi w:val="0"/>
        <w:adjustRightInd/>
        <w:snapToGrid/>
        <w:textAlignment w:val="auto"/>
        <w:outlineLvl w:val="2"/>
        <w:rPr>
          <w:rFonts w:hint="default" w:ascii="宋体" w:hAnsi="宋体" w:eastAsia="宋体" w:cs="宋体"/>
          <w:b/>
          <w:bCs/>
          <w:color w:val="auto"/>
          <w:sz w:val="28"/>
          <w:szCs w:val="28"/>
          <w:lang w:eastAsia="zh-CN"/>
        </w:rPr>
      </w:pPr>
      <w:bookmarkStart w:id="151" w:name="_Toc4811"/>
      <w:r>
        <w:rPr>
          <w:rFonts w:hint="eastAsia" w:ascii="宋体" w:hAnsi="宋体" w:cs="宋体"/>
          <w:b/>
          <w:bCs/>
          <w:color w:val="auto"/>
          <w:sz w:val="28"/>
          <w:szCs w:val="28"/>
          <w:lang w:val="en-US" w:eastAsia="zh-CN"/>
        </w:rPr>
        <w:t>六</w:t>
      </w:r>
      <w:r>
        <w:rPr>
          <w:rFonts w:hint="default" w:ascii="宋体" w:hAnsi="宋体" w:eastAsia="宋体" w:cs="宋体"/>
          <w:b/>
          <w:bCs/>
          <w:color w:val="auto"/>
          <w:sz w:val="28"/>
          <w:szCs w:val="28"/>
          <w:lang w:eastAsia="zh-CN"/>
        </w:rPr>
        <w:t>、加强市场营销与品牌推广</w:t>
      </w:r>
      <w:bookmarkEnd w:id="151"/>
    </w:p>
    <w:p w14:paraId="2CCE906C">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w:t>
      </w:r>
      <w:r>
        <w:rPr>
          <w:rFonts w:hint="default" w:ascii="宋体" w:hAnsi="宋体" w:cs="宋体"/>
          <w:b/>
          <w:bCs/>
          <w:color w:val="auto"/>
          <w:sz w:val="24"/>
          <w:szCs w:val="24"/>
          <w:lang w:val="en-US" w:eastAsia="zh-CN"/>
        </w:rPr>
        <w:t>制定精准营销策略</w:t>
      </w:r>
    </w:p>
    <w:p w14:paraId="0A01F98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精准营销是提升营销效果、提高资源利用效率的重要手段。焦作市应根据目标市场的特点和需求，制定针对性的营销策略，通过多元化的渠道将旅游信息精准传递给潜在游客。</w:t>
      </w:r>
    </w:p>
    <w:p w14:paraId="1193040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细分目标市场，精准定位需求</w:t>
      </w:r>
    </w:p>
    <w:p w14:paraId="5EB0FFE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不同的游客群体有着不同的旅游需求和消费习惯，焦作市需要对旅游市场进行细分，明确各细分市场的特点和需求。除了年轻游客群体和中老年游客群体，还可以进一步细分家庭游客群体、商务游客群体、摄影爱好者群体等。</w:t>
      </w:r>
    </w:p>
    <w:p w14:paraId="52DACB7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对于年轻游客群体，他们追求个性化、时尚化、体验化的旅游方式，喜欢通过社交媒体、短视频平台获取旅游信息。他们更倾向于具有挑战性、趣味性的旅游项目，如户外运动、主题乐园等。对于中老年游客群体，他们更注重旅游的舒适度和文化内涵，喜欢参加文化体验游、休闲度假游等。家庭游客群体则关注旅游的安全性和亲子互动性，希望能够在旅游中增进家庭成员之间的感情。商务游客群体对旅游的服务质量和配套设施要求较高，注重便捷的交通和高效的商务服务。摄影爱好者群体则更关注旅游目的地的自然风光和人文景观，希望能够拍摄到独特的照片。</w:t>
      </w:r>
    </w:p>
    <w:p w14:paraId="20E3203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多元渠道宣传，精准触达游客</w:t>
      </w:r>
    </w:p>
    <w:p w14:paraId="38F3E8B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针对不同的目标市场，焦作市应选择不同的宣传渠道进行精准营销。</w:t>
      </w:r>
    </w:p>
    <w:p w14:paraId="07DBE4E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对于年轻游客群体，充分利用社交媒体、短视频平台等新媒体渠道进行宣传。可以在微博、微信、抖音、小红书等平台上开设官方账号，发布精美的旅游图片、有趣的短视频，展示焦作市的自然风光、人文景观、特色美食等。通过与网红博主、旅游达人合作，邀请他们到焦作市旅游体验，并制作相关的宣传内容进行推广。例如，邀请抖音上的知名旅游博主拍摄“焦作一日游”的短视频，展示焦作市的云台山、青天河等景点的美景，吸引年轻游客的关注。</w:t>
      </w:r>
    </w:p>
    <w:p w14:paraId="4F3B471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对于中老年游客群体，举办旅游推介会、发放宣传资料等传统方式进行宣传。可以在社区、老年活动中心等地举办旅游推介会，邀请专业的旅游讲解员介绍焦作市的旅游产品和优惠政策。制作精美的宣传手册、海报等资料，在旅行社、酒店、车站等场所发放。同时，利用报纸、电视等传统媒体进行广告宣传，提高焦作市旅游的知名度。</w:t>
      </w:r>
    </w:p>
    <w:p w14:paraId="34DC19A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对于家庭游客群体，可以与亲子机构、幼儿园、学校等合作，开展亲子旅游活动。通过举办亲子旅游节、亲子摄影比赛等活动，吸引家庭游客的参与。在宣传渠道上，可以选择亲子类的网站、APP等平台进行推广，发布亲子旅游线路和攻略。</w:t>
      </w:r>
    </w:p>
    <w:p w14:paraId="508C107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对于商务游客群体，加强与商务酒店、会议中心等合作，在商务场所设置旅游宣传展板，发放旅游宣传资料。利用商务杂志、行业展会等渠道进行宣传，介绍焦作市的商务旅游资源和配套设施。</w:t>
      </w:r>
    </w:p>
    <w:p w14:paraId="27033D4E">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对于摄影爱好者群体，举办摄影比赛、摄影展览等活动，吸引他们到焦作市拍摄。在摄影网站、论坛等平台上发布焦作市的摄影作品和旅游信息，与他们进行互动交流。</w:t>
      </w:r>
    </w:p>
    <w:p w14:paraId="2DFC864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个性化营销，提高游客参与度</w:t>
      </w:r>
    </w:p>
    <w:p w14:paraId="296307D7">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除了选择合适的宣传渠道，焦作市还应开展个性化的营销活动，提高游客的参与度和体验感。推出定制化的旅游线路，根据游客的兴趣和需求，为他们量身定制旅游行程。开展互动式的营销活动，如线上抽奖、线下打卡等，让游客在参与活动的过程中了解焦作市的旅游信息。</w:t>
      </w:r>
    </w:p>
    <w:p w14:paraId="2DEDEE3F">
      <w:pPr>
        <w:spacing w:line="360" w:lineRule="auto"/>
        <w:ind w:firstLine="482" w:firstLineChars="200"/>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（二）</w:t>
      </w:r>
      <w:r>
        <w:rPr>
          <w:rFonts w:hint="default" w:ascii="宋体" w:hAnsi="宋体" w:cs="宋体"/>
          <w:b/>
          <w:bCs/>
          <w:color w:val="auto"/>
          <w:sz w:val="24"/>
          <w:szCs w:val="24"/>
          <w:lang w:val="en-US" w:eastAsia="zh-CN"/>
        </w:rPr>
        <w:t>打造旅游品牌形象</w:t>
      </w:r>
    </w:p>
    <w:p w14:paraId="5CD5507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旅游品牌形象是旅游目的地的核心竞争力之一，焦作市应通过举办旅游节庆活动、参加旅游展会等方式，提升旅游的知名度和影响力，注重旅游品牌的塑造和推广，打造具有焦作特色的旅游品牌形象。</w:t>
      </w:r>
    </w:p>
    <w:p w14:paraId="01B47A6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举办旅游节庆活动，增强品牌吸引力</w:t>
      </w:r>
    </w:p>
    <w:p w14:paraId="62DD8861">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举办旅游节庆活动是提升旅游知名度和吸引力的重要手段。焦作市可以结合自身的文化特色和旅游资源，举办丰富多彩的旅游节庆活动。</w:t>
      </w:r>
    </w:p>
    <w:p w14:paraId="78A1FA7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举办云台山国际旅游节，以云台山的自然风光和文化内涵为主题，开展登山比赛、摄影展览、民俗表演等活动，吸引国内外游客的参与。举办焦作太极拳文化节，邀请太极拳大师进行表演和教学，展示太极拳的魅力和文化内涵。举办焦作山水音乐节，邀请知名歌手和乐队到焦作市演出，将音乐与山水风光相结合，打造独特的旅游体验。</w:t>
      </w:r>
    </w:p>
    <w:p w14:paraId="096811EA">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通过举办这些旅游节庆活动，不仅能够吸引大量游客前来参与，还能够提高焦作市旅游的知名度和美誉度，增强旅游品牌的吸引力。</w:t>
      </w:r>
    </w:p>
    <w:p w14:paraId="21571A2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参加旅游展会，拓展品牌影响力</w:t>
      </w:r>
    </w:p>
    <w:p w14:paraId="69C074F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参加国内外知名的旅游展会是展示焦作市旅游资源和品牌形象的重要平台。焦作市应积极参加各类旅游展会，如中国国际旅游交易会、国内旅游交易会等，设置精美的展位，展示焦作市的旅游特色和产品。</w:t>
      </w:r>
    </w:p>
    <w:p w14:paraId="2158352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在展会上，通过发放宣传资料、播放宣传视频、举办旅游推介会等方式，向参展商和游客介绍焦作市的旅游资源和优惠政策。与旅行社、旅游电商等合作，拓展旅游销售渠道，提高焦作市旅游的市场份额。</w:t>
      </w:r>
    </w:p>
    <w:p w14:paraId="59FF8BA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注重品牌塑造和推广，打造特色品牌形象</w:t>
      </w:r>
    </w:p>
    <w:p w14:paraId="3904016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在打造旅游品牌形象的过程中，焦作市应注重品牌塑造和推广，突出焦作市的特色和优势。确定一个具有代表性和吸引力的旅游品牌口号，如</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焦作山水，太极故乡</w:t>
      </w:r>
      <w:r>
        <w:rPr>
          <w:rFonts w:hint="eastAsia" w:ascii="Times New Roman" w:hAnsi="Times New Roman" w:cs="Times New Roman"/>
          <w:bCs/>
          <w:color w:val="auto"/>
          <w:kern w:val="2"/>
          <w:sz w:val="24"/>
          <w:szCs w:val="24"/>
          <w:lang w:val="en-US" w:eastAsia="zh-CN" w:bidi="ar-SA"/>
        </w:rPr>
        <w:t>”“</w:t>
      </w:r>
      <w:r>
        <w:rPr>
          <w:rFonts w:hint="eastAsia" w:ascii="Times New Roman" w:hAnsi="Times New Roman" w:eastAsia="宋体" w:cs="Times New Roman"/>
          <w:bCs/>
          <w:color w:val="auto"/>
          <w:kern w:val="2"/>
          <w:sz w:val="24"/>
          <w:szCs w:val="24"/>
          <w:lang w:val="en-US" w:eastAsia="zh-CN" w:bidi="ar-SA"/>
        </w:rPr>
        <w:t>山水焦作·太极圣地</w:t>
      </w:r>
      <w:r>
        <w:rPr>
          <w:rFonts w:hint="eastAsia" w:ascii="Times New Roman" w:hAnsi="Times New Roman" w:cs="Times New Roman"/>
          <w:bCs/>
          <w:color w:val="auto"/>
          <w:kern w:val="2"/>
          <w:sz w:val="24"/>
          <w:szCs w:val="24"/>
          <w:lang w:val="en-US" w:eastAsia="zh-CN" w:bidi="ar-SA"/>
        </w:rPr>
        <w:t>”</w:t>
      </w:r>
      <w:r>
        <w:rPr>
          <w:rFonts w:hint="default" w:ascii="Times New Roman" w:hAnsi="Times New Roman" w:cs="Times New Roman"/>
          <w:bCs/>
          <w:color w:val="auto"/>
          <w:kern w:val="2"/>
          <w:sz w:val="24"/>
          <w:szCs w:val="24"/>
          <w:lang w:val="en-US" w:eastAsia="zh-CN" w:bidi="ar-SA"/>
        </w:rPr>
        <w:t>，通过各种渠道进行宣传和推广。</w:t>
      </w:r>
    </w:p>
    <w:p w14:paraId="0BA8717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设计具有焦作特色的旅游品牌标识，将其应用到旅游宣传资料、景区标识、旅游商品等各个方面，提高品牌的辨识度和记忆度。加强旅游品牌的文化内涵建设，深入挖掘焦作市的历史文化、民俗文化等，将文化内涵</w:t>
      </w:r>
      <w:r>
        <w:rPr>
          <w:rFonts w:hint="eastAsia" w:ascii="Times New Roman" w:hAnsi="Times New Roman" w:cs="Times New Roman"/>
          <w:bCs/>
          <w:color w:val="auto"/>
          <w:kern w:val="2"/>
          <w:sz w:val="24"/>
          <w:szCs w:val="24"/>
          <w:lang w:val="en-US" w:eastAsia="zh-CN" w:bidi="ar-SA"/>
        </w:rPr>
        <w:t>融入</w:t>
      </w:r>
      <w:r>
        <w:rPr>
          <w:rFonts w:hint="default" w:ascii="Times New Roman" w:hAnsi="Times New Roman" w:cs="Times New Roman"/>
          <w:bCs/>
          <w:color w:val="auto"/>
          <w:kern w:val="2"/>
          <w:sz w:val="24"/>
          <w:szCs w:val="24"/>
          <w:lang w:val="en-US" w:eastAsia="zh-CN" w:bidi="ar-SA"/>
        </w:rPr>
        <w:t>旅游产品和服务中，打造具有深厚文化底蕴的旅游品牌形象。</w:t>
      </w:r>
    </w:p>
    <w:p w14:paraId="70301A1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auto"/>
          <w:lang w:eastAsia="zh-CN"/>
        </w:rPr>
      </w:pPr>
      <w:r>
        <w:rPr>
          <w:rFonts w:hint="default" w:ascii="Times New Roman" w:hAnsi="Times New Roman" w:cs="Times New Roman"/>
          <w:bCs/>
          <w:color w:val="auto"/>
          <w:kern w:val="2"/>
          <w:sz w:val="24"/>
          <w:szCs w:val="24"/>
          <w:lang w:val="en-US" w:eastAsia="zh-CN" w:bidi="ar-SA"/>
        </w:rPr>
        <w:t>同时，利用新媒体平台进行品牌传播，通过故事营销、情感营销等方式，与游客建立情感连接，提高游客对焦作市旅游品牌的认同感和忠诚度。</w:t>
      </w:r>
    </w:p>
    <w:p w14:paraId="7A173527">
      <w:pPr>
        <w:keepNext w:val="0"/>
        <w:keepLines w:val="0"/>
        <w:pageBreakBefore w:val="0"/>
        <w:widowControl w:val="0"/>
        <w:kinsoku/>
        <w:wordWrap/>
        <w:overflowPunct/>
        <w:topLinePunct w:val="0"/>
        <w:autoSpaceDE/>
        <w:autoSpaceDN/>
        <w:bidi w:val="0"/>
        <w:adjustRightInd/>
        <w:snapToGrid/>
        <w:textAlignment w:val="auto"/>
        <w:outlineLvl w:val="2"/>
        <w:rPr>
          <w:rFonts w:hint="eastAsia" w:ascii="宋体" w:hAnsi="宋体" w:eastAsia="宋体" w:cs="宋体"/>
          <w:b/>
          <w:bCs/>
          <w:color w:val="auto"/>
          <w:sz w:val="28"/>
          <w:szCs w:val="28"/>
          <w:lang w:eastAsia="zh-CN"/>
        </w:rPr>
      </w:pPr>
      <w:bookmarkStart w:id="152" w:name="_Toc18456"/>
      <w:r>
        <w:rPr>
          <w:rFonts w:hint="eastAsia" w:ascii="宋体" w:hAnsi="宋体" w:cs="宋体"/>
          <w:b/>
          <w:bCs/>
          <w:color w:val="auto"/>
          <w:sz w:val="28"/>
          <w:szCs w:val="28"/>
          <w:lang w:val="en-US" w:eastAsia="zh-CN"/>
        </w:rPr>
        <w:t>七</w:t>
      </w:r>
      <w:r>
        <w:rPr>
          <w:rFonts w:hint="default" w:ascii="宋体" w:hAnsi="宋体" w:eastAsia="宋体" w:cs="宋体"/>
          <w:b/>
          <w:bCs/>
          <w:color w:val="auto"/>
          <w:sz w:val="28"/>
          <w:szCs w:val="28"/>
          <w:lang w:eastAsia="zh-CN"/>
        </w:rPr>
        <w:t>、完善政策支持与保障</w:t>
      </w:r>
      <w:bookmarkEnd w:id="152"/>
    </w:p>
    <w:p w14:paraId="28CFA5A2">
      <w:pPr>
        <w:spacing w:line="360" w:lineRule="auto"/>
        <w:ind w:firstLine="482" w:firstLineChars="2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（一）</w:t>
      </w:r>
      <w:r>
        <w:rPr>
          <w:rFonts w:hint="default" w:ascii="宋体" w:hAnsi="宋体" w:cs="宋体"/>
          <w:b/>
          <w:bCs/>
          <w:color w:val="auto"/>
          <w:sz w:val="24"/>
          <w:szCs w:val="24"/>
          <w:lang w:val="en-US" w:eastAsia="zh-CN"/>
        </w:rPr>
        <w:t>加大政策扶持力度</w:t>
      </w:r>
    </w:p>
    <w:p w14:paraId="6B4F0E0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政策扶持是推动旅游资源开发的重要引擎，出台一系列优惠政策能够吸引企业和社会资本积极参与，为焦作市旅游业的发展注入强大动力。</w:t>
      </w:r>
    </w:p>
    <w:p w14:paraId="2FA6D5D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财政补贴与奖励政策</w:t>
      </w:r>
    </w:p>
    <w:p w14:paraId="0E10637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设立旅游发展专项资金，对参与旅游资源开发的企业和社会资本给予财政补贴。对于新建或改造的旅游项目，根据项目的规模、投资额度、预期效益等因素，给予一定比例的建设补贴。例如，对于投资超过一定金额的大型旅游综合体项目，给予项目总投资一定比例的补贴，用于基础设施建设、设备购置等方面。同时，对在旅游资源开发中表现突出的企业，如获得国家级、省级旅游奖项的企业，给予奖励资金，激励企业不断提升旅游项目的品质和服务水平。</w:t>
      </w:r>
    </w:p>
    <w:p w14:paraId="0C84E6D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税收优惠政策</w:t>
      </w:r>
    </w:p>
    <w:p w14:paraId="542EBF9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对从事旅游资源开发的企业，在税收方面给予一定的优惠。减免企业所得税，对于符合一定条件的旅游开发企业，在企业所得税方面实行减免政策，降低企业的运营成本。例如，对于新成立的旅游开发企业，在一定期限内免征企业所得税；对于从事生态旅游、文化旅游等特定类型旅游开发的企业，给予企业所得税减按一定比例的优惠。此外，还可以减免增值税，对旅游企业提供的旅游服务、销售旅游纪念品等业务，实行增值税减免或即征即退政策，提高企业的盈利能力。</w:t>
      </w:r>
    </w:p>
    <w:p w14:paraId="56798AB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土地政策支持</w:t>
      </w:r>
    </w:p>
    <w:p w14:paraId="11C8260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土地供应方面，优先保障旅游资源开发项目的用地需求。对于符合旅游发展规划的重点项目，在土地出让价格、土地使用年限等方面给予优惠。可以采用弹性出让年限的方式，根据旅游项目的特点和预期收益，合理确定土地出让年限，降低企业的前期投资压力。同时，鼓励农村集体经营性建设用地入市，用于乡村旅游开发，增加乡村旅游用地的供给，促进乡村旅游的发展。</w:t>
      </w:r>
    </w:p>
    <w:p w14:paraId="5E3F7099">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4、</w:t>
      </w:r>
      <w:r>
        <w:rPr>
          <w:rFonts w:hint="default" w:ascii="Times New Roman" w:hAnsi="Times New Roman" w:cs="Times New Roman"/>
          <w:bCs/>
          <w:color w:val="auto"/>
          <w:kern w:val="2"/>
          <w:sz w:val="24"/>
          <w:szCs w:val="24"/>
          <w:lang w:val="en-US" w:eastAsia="zh-CN" w:bidi="ar-SA"/>
        </w:rPr>
        <w:t>融资支持政策</w:t>
      </w:r>
    </w:p>
    <w:p w14:paraId="2A03BB38">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搭建融资平台，为旅游资源开发企业提供多元化的融资渠道。设立旅游产业投资基金，吸引社会资本参与，为旅游项目提供股权投资和债权融资支持。鼓励金融机构开发适合旅游企业的金融产品和服务，如旅游项目贷款、旅游企业债券等。对符合条件的旅游企业，给予贷款贴息支持，降低企业的融资成本。此外，还可以推动旅游企业上市融资，对成功上市的旅游企业给予奖励，提高企业的融资能力和市场竞争力。</w:t>
      </w:r>
    </w:p>
    <w:p w14:paraId="3C64BF4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5、</w:t>
      </w:r>
      <w:r>
        <w:rPr>
          <w:rFonts w:hint="default" w:ascii="Times New Roman" w:hAnsi="Times New Roman" w:cs="Times New Roman"/>
          <w:bCs/>
          <w:color w:val="auto"/>
          <w:kern w:val="2"/>
          <w:sz w:val="24"/>
          <w:szCs w:val="24"/>
          <w:lang w:val="en-US" w:eastAsia="zh-CN" w:bidi="ar-SA"/>
        </w:rPr>
        <w:t>人才引进与培养政策</w:t>
      </w:r>
    </w:p>
    <w:p w14:paraId="2AE0501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人才是旅游资源开发的关键要素，出台人才引进与培养政策，吸引和留住优秀人才。对引进的高层次旅游专业人才，给予住房补贴、安家费等优惠政策，解决他们的后顾之忧。建立旅游人才培训基地，与高校、职业院校合作，开展旅游专业人才培养项目，为旅游企业提供定制化的人才培训服务。鼓励旅游企业开展内部培训，提高员工的业务水平和综合素质，对在人才培养方面表现突出的企业给予奖励。</w:t>
      </w:r>
    </w:p>
    <w:p w14:paraId="284F852C">
      <w:pPr>
        <w:spacing w:line="360" w:lineRule="auto"/>
        <w:ind w:firstLine="482" w:firstLineChars="200"/>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（二）</w:t>
      </w:r>
      <w:r>
        <w:rPr>
          <w:rFonts w:hint="default" w:ascii="宋体" w:hAnsi="宋体" w:cs="宋体"/>
          <w:b/>
          <w:bCs/>
          <w:color w:val="auto"/>
          <w:sz w:val="24"/>
          <w:szCs w:val="24"/>
          <w:lang w:val="en-US" w:eastAsia="zh-CN"/>
        </w:rPr>
        <w:t>完善法律法规体系</w:t>
      </w:r>
    </w:p>
    <w:p w14:paraId="74BC788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完善的法律法规体系是旅游资源开发的重要保障，能够明确各方责任和义务，规范开发行为，保障旅游资源的合理利用和可持续发展。</w:t>
      </w:r>
    </w:p>
    <w:p w14:paraId="674D2FD4">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1、</w:t>
      </w:r>
      <w:r>
        <w:rPr>
          <w:rFonts w:hint="default" w:ascii="Times New Roman" w:hAnsi="Times New Roman" w:cs="Times New Roman"/>
          <w:bCs/>
          <w:color w:val="auto"/>
          <w:kern w:val="2"/>
          <w:sz w:val="24"/>
          <w:szCs w:val="24"/>
          <w:lang w:val="en-US" w:eastAsia="zh-CN" w:bidi="ar-SA"/>
        </w:rPr>
        <w:t>制定地方性法规</w:t>
      </w:r>
    </w:p>
    <w:p w14:paraId="703CC7F0">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结合焦作市的实际情况，制定旅游资源开发的地方性法规。明确旅游资源开发的规划、审批、建设、运营等各个环节的管理要求和程序，确保旅游资源开发活动有法可依。例如，制定《焦作市旅游资源开发管理条例》，对旅游资源的保护、开发、利用等方面进行详细规定，对违反法规的行为制定相应的处罚措施。</w:t>
      </w:r>
    </w:p>
    <w:p w14:paraId="23951DE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2、</w:t>
      </w:r>
      <w:r>
        <w:rPr>
          <w:rFonts w:hint="default" w:ascii="Times New Roman" w:hAnsi="Times New Roman" w:cs="Times New Roman"/>
          <w:bCs/>
          <w:color w:val="auto"/>
          <w:kern w:val="2"/>
          <w:sz w:val="24"/>
          <w:szCs w:val="24"/>
          <w:lang w:val="en-US" w:eastAsia="zh-CN" w:bidi="ar-SA"/>
        </w:rPr>
        <w:t>明确各方责任和义务</w:t>
      </w:r>
    </w:p>
    <w:p w14:paraId="36B6F5CD">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在法律法规中明确政府、企业、投资者、当地居民等各方在旅游资源开发中的责任和义务。政府应加强对旅游资源开发的规划引导和监督管理，制定科学合理的旅游发展规划，加大对旅游基础设施建设的投入。企业应严格遵守法律法规，按照规划要求进行旅游项目开发，确保项目的质量和安全。投资者应合法合规地进行投资，不得损害国家和集体的利益。当地居民应积极配合旅游资源开发工作，同时有权参与旅游开发的决策和监督，分享旅游发展带来的红利。</w:t>
      </w:r>
    </w:p>
    <w:p w14:paraId="4C7CC19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3、</w:t>
      </w:r>
      <w:r>
        <w:rPr>
          <w:rFonts w:hint="default" w:ascii="Times New Roman" w:hAnsi="Times New Roman" w:cs="Times New Roman"/>
          <w:bCs/>
          <w:color w:val="auto"/>
          <w:kern w:val="2"/>
          <w:sz w:val="24"/>
          <w:szCs w:val="24"/>
          <w:lang w:val="en-US" w:eastAsia="zh-CN" w:bidi="ar-SA"/>
        </w:rPr>
        <w:t>加强执法监督</w:t>
      </w:r>
    </w:p>
    <w:p w14:paraId="067B7376">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建立健全旅游执法监督机制，加强对旅游资源开发活动的执法检查。成立专门的旅游执法队伍，加强对旅游市场的日常巡查和监管，及时发现和处理违法违规行为。加强对旅游项目的审批监管，严格审查项目的可行性研究报告、环境影响评价报告等文件，确保项目符合法律法规和规划要求。对违法违规开发旅游资源的企业和个人，依法予以严厉处罚，维护旅游市场的正常秩序。</w:t>
      </w:r>
    </w:p>
    <w:p w14:paraId="77004F8F">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4、</w:t>
      </w:r>
      <w:r>
        <w:rPr>
          <w:rFonts w:hint="default" w:ascii="Times New Roman" w:hAnsi="Times New Roman" w:cs="Times New Roman"/>
          <w:bCs/>
          <w:color w:val="auto"/>
          <w:kern w:val="2"/>
          <w:sz w:val="24"/>
          <w:szCs w:val="24"/>
          <w:lang w:val="en-US" w:eastAsia="zh-CN" w:bidi="ar-SA"/>
        </w:rPr>
        <w:t>建立纠纷解决机制</w:t>
      </w:r>
    </w:p>
    <w:p w14:paraId="0AE24D62">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default" w:ascii="Times New Roman" w:hAnsi="Times New Roman" w:cs="Times New Roman"/>
          <w:bCs/>
          <w:color w:val="auto"/>
          <w:kern w:val="2"/>
          <w:sz w:val="24"/>
          <w:szCs w:val="24"/>
          <w:lang w:val="en-US" w:eastAsia="zh-CN" w:bidi="ar-SA"/>
        </w:rPr>
        <w:t>建立多元化的旅游纠纷解决机制，及时处理旅游资源开发过程中出现的各种纠纷。设立旅游投诉受理中心，畅通投诉渠道，及时受理游客和企业的投诉。建立旅游仲裁机构和旅游法庭，对旅游纠纷进行快速、公正的仲裁和审判。同时，加强行业自律，发挥旅游行业协会的作用，引导企业自觉遵守法律法规和行业规范，通过协商、调解等方式解决行业内部的纠纷。</w:t>
      </w:r>
    </w:p>
    <w:p w14:paraId="010290DB">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kern w:val="2"/>
          <w:sz w:val="24"/>
          <w:szCs w:val="24"/>
          <w:lang w:val="en-US" w:eastAsia="zh-CN" w:bidi="ar-SA"/>
        </w:rPr>
        <w:t>5、</w:t>
      </w:r>
      <w:r>
        <w:rPr>
          <w:rFonts w:hint="default" w:ascii="Times New Roman" w:hAnsi="Times New Roman" w:cs="Times New Roman"/>
          <w:bCs/>
          <w:color w:val="auto"/>
          <w:kern w:val="2"/>
          <w:sz w:val="24"/>
          <w:szCs w:val="24"/>
          <w:lang w:val="en-US" w:eastAsia="zh-CN" w:bidi="ar-SA"/>
        </w:rPr>
        <w:t>强化</w:t>
      </w:r>
      <w:r>
        <w:rPr>
          <w:rFonts w:hint="eastAsia" w:ascii="Times New Roman" w:hAnsi="Times New Roman" w:cs="Times New Roman"/>
          <w:bCs/>
          <w:color w:val="auto"/>
          <w:kern w:val="2"/>
          <w:sz w:val="24"/>
          <w:szCs w:val="24"/>
          <w:lang w:val="en-US" w:eastAsia="zh-CN" w:bidi="ar-SA"/>
        </w:rPr>
        <w:t>法治宣传教育</w:t>
      </w:r>
    </w:p>
    <w:p w14:paraId="7D9FCDEC">
      <w:pPr>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kern w:val="2"/>
          <w:sz w:val="24"/>
          <w:szCs w:val="24"/>
          <w:lang w:val="en-US" w:eastAsia="zh-CN" w:bidi="ar-SA"/>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r>
        <w:rPr>
          <w:rFonts w:hint="default" w:ascii="Times New Roman" w:hAnsi="Times New Roman" w:cs="Times New Roman"/>
          <w:bCs/>
          <w:color w:val="auto"/>
          <w:kern w:val="2"/>
          <w:sz w:val="24"/>
          <w:szCs w:val="24"/>
          <w:lang w:val="en-US" w:eastAsia="zh-CN" w:bidi="ar-SA"/>
        </w:rPr>
        <w:t>加强对旅游法律法规的宣传教育，提高全社会的法律意识和法治观念。通过举办法律讲座、发放宣传资料、开展法律咨询等形式，向政府工作人员、企业经营者、投资者和当地居民宣传旅游法律法规知识。利用媒体平台，广泛宣传旅游法律法规和典型案例，引导公众自觉遵守法律法规，共同营造良好的旅游发展环境</w:t>
      </w:r>
      <w:r>
        <w:rPr>
          <w:rFonts w:hint="eastAsia" w:ascii="Times New Roman" w:hAnsi="Times New Roman" w:cs="Times New Roman"/>
          <w:bCs/>
          <w:color w:val="auto"/>
          <w:kern w:val="2"/>
          <w:sz w:val="24"/>
          <w:szCs w:val="24"/>
          <w:lang w:val="en-US" w:eastAsia="zh-CN" w:bidi="ar-SA"/>
        </w:rPr>
        <w:t>。</w:t>
      </w:r>
    </w:p>
    <w:p w14:paraId="5D7D2528">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0"/>
        <w:rPr>
          <w:rFonts w:hint="eastAsia" w:ascii="Times New Roman" w:hAnsi="Times New Roman" w:cs="Times New Roman"/>
          <w:b/>
          <w:bCs w:val="0"/>
          <w:color w:val="auto"/>
          <w:kern w:val="2"/>
          <w:sz w:val="24"/>
          <w:szCs w:val="24"/>
          <w:lang w:val="en-US" w:eastAsia="zh-CN" w:bidi="ar-SA"/>
        </w:rPr>
      </w:pPr>
      <w:bookmarkStart w:id="153" w:name="_Toc6819"/>
      <w:r>
        <w:rPr>
          <w:rFonts w:hint="eastAsia" w:ascii="Times New Roman" w:hAnsi="Times New Roman" w:cs="Times New Roman"/>
          <w:b/>
          <w:bCs w:val="0"/>
          <w:color w:val="auto"/>
          <w:kern w:val="2"/>
          <w:sz w:val="24"/>
          <w:szCs w:val="24"/>
          <w:lang w:val="en-US" w:eastAsia="zh-CN" w:bidi="ar-SA"/>
        </w:rPr>
        <w:t>附表1 焦作市分区资源普查数量和等级表</w:t>
      </w:r>
      <w:bookmarkEnd w:id="153"/>
    </w:p>
    <w:tbl>
      <w:tblPr>
        <w:tblStyle w:val="15"/>
        <w:tblpPr w:leftFromText="180" w:rightFromText="180" w:vertAnchor="text" w:horzAnchor="page" w:tblpX="1786" w:tblpY="300"/>
        <w:tblOverlap w:val="never"/>
        <w:tblW w:w="878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60"/>
        <w:gridCol w:w="827"/>
        <w:gridCol w:w="1107"/>
        <w:gridCol w:w="1107"/>
        <w:gridCol w:w="1107"/>
        <w:gridCol w:w="1107"/>
        <w:gridCol w:w="1107"/>
        <w:gridCol w:w="1463"/>
      </w:tblGrid>
      <w:tr w14:paraId="12C5E6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9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A4DBDF">
            <w:pPr>
              <w:jc w:val="center"/>
              <w:rPr>
                <w:rFonts w:hint="eastAsia" w:ascii="宋体" w:hAnsi="宋体" w:eastAsia="宋体" w:cs="宋体"/>
                <w:i w:val="0"/>
                <w:iCs w:val="0"/>
                <w:color w:val="000000"/>
                <w:sz w:val="22"/>
                <w:szCs w:val="22"/>
                <w:u w:val="none"/>
              </w:rPr>
            </w:pPr>
          </w:p>
        </w:tc>
        <w:tc>
          <w:tcPr>
            <w:tcW w:w="82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D13D0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总计（处）</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B5319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五级（处）</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D542F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四级（处）</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3CAD3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三级（处）</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9BAEC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二级（处）</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E7545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一级（处）</w:t>
            </w:r>
          </w:p>
        </w:tc>
        <w:tc>
          <w:tcPr>
            <w:tcW w:w="14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18199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未获等级（处）</w:t>
            </w:r>
          </w:p>
        </w:tc>
      </w:tr>
      <w:tr w14:paraId="018E1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361D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焦作市</w:t>
            </w:r>
          </w:p>
        </w:tc>
        <w:tc>
          <w:tcPr>
            <w:tcW w:w="82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F5EF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12008</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3E40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189</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41F3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D415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1232</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E485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3700</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D466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6369</w:t>
            </w:r>
          </w:p>
        </w:tc>
        <w:tc>
          <w:tcPr>
            <w:tcW w:w="14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528E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r>
      <w:tr w14:paraId="3C6C1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4D03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解放区</w:t>
            </w:r>
          </w:p>
        </w:tc>
        <w:tc>
          <w:tcPr>
            <w:tcW w:w="82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53C2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801</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2FE0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6319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D2BA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147</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0675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1ADE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440</w:t>
            </w:r>
          </w:p>
        </w:tc>
        <w:tc>
          <w:tcPr>
            <w:tcW w:w="14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0316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1064C9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12CC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中站区</w:t>
            </w:r>
          </w:p>
        </w:tc>
        <w:tc>
          <w:tcPr>
            <w:tcW w:w="82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85C8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504</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78E4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D1F6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39B9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701D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60DF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306</w:t>
            </w:r>
          </w:p>
        </w:tc>
        <w:tc>
          <w:tcPr>
            <w:tcW w:w="14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E97D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r>
      <w:tr w14:paraId="22EFCD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2203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马村区</w:t>
            </w:r>
          </w:p>
        </w:tc>
        <w:tc>
          <w:tcPr>
            <w:tcW w:w="82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208E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453</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3FB3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4B56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8053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E6DA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514A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w:t>
            </w:r>
          </w:p>
        </w:tc>
        <w:tc>
          <w:tcPr>
            <w:tcW w:w="14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B8C1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08AE8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49E8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山阳区</w:t>
            </w:r>
          </w:p>
        </w:tc>
        <w:tc>
          <w:tcPr>
            <w:tcW w:w="82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00D4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1053</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E4BD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5286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C973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1795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421</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8396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527</w:t>
            </w:r>
          </w:p>
        </w:tc>
        <w:tc>
          <w:tcPr>
            <w:tcW w:w="14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60FE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2FF92C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824E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修武县</w:t>
            </w:r>
          </w:p>
        </w:tc>
        <w:tc>
          <w:tcPr>
            <w:tcW w:w="82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3612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50A6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5BE8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3DFD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8B77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975</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60CA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1511</w:t>
            </w:r>
          </w:p>
        </w:tc>
        <w:tc>
          <w:tcPr>
            <w:tcW w:w="14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767A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4DABA3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AFA0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博爱县</w:t>
            </w:r>
          </w:p>
        </w:tc>
        <w:tc>
          <w:tcPr>
            <w:tcW w:w="82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4348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1647</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7613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7F6C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A397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BD62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584</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F3DD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864</w:t>
            </w:r>
          </w:p>
        </w:tc>
        <w:tc>
          <w:tcPr>
            <w:tcW w:w="14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D846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526CB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FAFB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武陟县</w:t>
            </w:r>
          </w:p>
        </w:tc>
        <w:tc>
          <w:tcPr>
            <w:tcW w:w="82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8E4E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893</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A5ED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AC67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F2C9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AD5D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484D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566</w:t>
            </w:r>
          </w:p>
        </w:tc>
        <w:tc>
          <w:tcPr>
            <w:tcW w:w="14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D6A9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18DF6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CADF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温县</w:t>
            </w:r>
          </w:p>
        </w:tc>
        <w:tc>
          <w:tcPr>
            <w:tcW w:w="82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6F69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1031</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B5E3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D634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A267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77F4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431</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8E2B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395</w:t>
            </w:r>
          </w:p>
        </w:tc>
        <w:tc>
          <w:tcPr>
            <w:tcW w:w="14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CD2C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63BAB7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FDDC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沁阳市</w:t>
            </w:r>
          </w:p>
        </w:tc>
        <w:tc>
          <w:tcPr>
            <w:tcW w:w="82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7DB2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1571</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CEE6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12E6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6B35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49F0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293</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DA55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1028</w:t>
            </w:r>
          </w:p>
        </w:tc>
        <w:tc>
          <w:tcPr>
            <w:tcW w:w="14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A25B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r>
      <w:tr w14:paraId="23A54D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3EFF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孟州市</w:t>
            </w:r>
          </w:p>
        </w:tc>
        <w:tc>
          <w:tcPr>
            <w:tcW w:w="82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F9C0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1026</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F77C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85D1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FBBB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194</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398B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438</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C903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358</w:t>
            </w:r>
          </w:p>
        </w:tc>
        <w:tc>
          <w:tcPr>
            <w:tcW w:w="14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C8DA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bl>
    <w:p w14:paraId="7B9C7DC7">
      <w:pPr>
        <w:rPr>
          <w:rFonts w:hint="default"/>
          <w:b/>
          <w:bCs/>
          <w:color w:val="auto"/>
          <w:lang w:val="en-US" w:eastAsia="zh-CN"/>
        </w:rPr>
      </w:pPr>
    </w:p>
    <w:p w14:paraId="700FFA1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outlineLvl w:val="0"/>
        <w:rPr>
          <w:rFonts w:hint="eastAsia"/>
          <w:color w:val="auto"/>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14:paraId="38C1E236">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0"/>
        <w:rPr>
          <w:rFonts w:hint="eastAsia" w:ascii="Times New Roman" w:hAnsi="Times New Roman" w:cs="Times New Roman"/>
          <w:b/>
          <w:bCs w:val="0"/>
          <w:color w:val="auto"/>
          <w:kern w:val="2"/>
          <w:sz w:val="24"/>
          <w:szCs w:val="24"/>
          <w:lang w:val="en-US" w:eastAsia="zh-CN" w:bidi="ar-SA"/>
        </w:rPr>
      </w:pPr>
      <w:bookmarkStart w:id="154" w:name="_Toc8353"/>
      <w:r>
        <w:rPr>
          <w:rFonts w:hint="eastAsia" w:ascii="Times New Roman" w:hAnsi="Times New Roman" w:cs="Times New Roman"/>
          <w:b/>
          <w:bCs w:val="0"/>
          <w:color w:val="auto"/>
          <w:kern w:val="2"/>
          <w:sz w:val="24"/>
          <w:szCs w:val="24"/>
          <w:lang w:val="en-US" w:eastAsia="zh-CN" w:bidi="ar-SA"/>
        </w:rPr>
        <w:t>附表2 焦作市五级（特品级）旅游资源汇总表</w:t>
      </w:r>
      <w:bookmarkEnd w:id="154"/>
    </w:p>
    <w:tbl>
      <w:tblPr>
        <w:tblStyle w:val="15"/>
        <w:tblW w:w="8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32" w:type="dxa"/>
          <w:left w:w="64" w:type="dxa"/>
          <w:bottom w:w="32" w:type="dxa"/>
          <w:right w:w="64" w:type="dxa"/>
        </w:tblCellMar>
      </w:tblPr>
      <w:tblGrid>
        <w:gridCol w:w="648"/>
        <w:gridCol w:w="891"/>
        <w:gridCol w:w="2869"/>
        <w:gridCol w:w="1250"/>
        <w:gridCol w:w="1571"/>
        <w:gridCol w:w="1733"/>
      </w:tblGrid>
      <w:tr w14:paraId="34F5E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32" w:type="dxa"/>
            <w:left w:w="64" w:type="dxa"/>
            <w:bottom w:w="32" w:type="dxa"/>
            <w:right w:w="64" w:type="dxa"/>
          </w:tblCellMar>
        </w:tblPrEx>
        <w:trPr>
          <w:trHeight w:val="0" w:hRule="atLeast"/>
          <w:tblHeader/>
          <w:jc w:val="center"/>
        </w:trPr>
        <w:tc>
          <w:tcPr>
            <w:tcW w:w="648" w:type="dxa"/>
            <w:tcBorders>
              <w:tl2br w:val="nil"/>
              <w:tr2bl w:val="nil"/>
            </w:tcBorders>
            <w:shd w:val="clear" w:color="auto" w:fill="auto"/>
            <w:vAlign w:val="center"/>
          </w:tcPr>
          <w:p w14:paraId="231EBB0A">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891" w:type="dxa"/>
            <w:tcBorders>
              <w:tl2br w:val="nil"/>
              <w:tr2bl w:val="nil"/>
            </w:tcBorders>
            <w:shd w:val="clear" w:color="auto" w:fill="auto"/>
            <w:vAlign w:val="center"/>
          </w:tcPr>
          <w:p w14:paraId="192A6C7D">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县市区</w:t>
            </w:r>
          </w:p>
        </w:tc>
        <w:tc>
          <w:tcPr>
            <w:tcW w:w="2869" w:type="dxa"/>
            <w:tcBorders>
              <w:tl2br w:val="nil"/>
              <w:tr2bl w:val="nil"/>
            </w:tcBorders>
            <w:shd w:val="clear" w:color="auto" w:fill="auto"/>
            <w:vAlign w:val="center"/>
          </w:tcPr>
          <w:p w14:paraId="53FA57CB">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资源名称</w:t>
            </w:r>
          </w:p>
        </w:tc>
        <w:tc>
          <w:tcPr>
            <w:tcW w:w="1250" w:type="dxa"/>
            <w:tcBorders>
              <w:tl2br w:val="nil"/>
              <w:tr2bl w:val="nil"/>
            </w:tcBorders>
            <w:shd w:val="clear" w:color="auto" w:fill="auto"/>
            <w:vAlign w:val="center"/>
          </w:tcPr>
          <w:p w14:paraId="27C060CD">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资源主类</w:t>
            </w:r>
          </w:p>
        </w:tc>
        <w:tc>
          <w:tcPr>
            <w:tcW w:w="1571" w:type="dxa"/>
            <w:tcBorders>
              <w:tl2br w:val="nil"/>
              <w:tr2bl w:val="nil"/>
            </w:tcBorders>
            <w:shd w:val="clear" w:color="auto" w:fill="auto"/>
            <w:vAlign w:val="center"/>
          </w:tcPr>
          <w:p w14:paraId="35236F41">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资源亚类</w:t>
            </w:r>
          </w:p>
        </w:tc>
        <w:tc>
          <w:tcPr>
            <w:tcW w:w="1733" w:type="dxa"/>
            <w:tcBorders>
              <w:tl2br w:val="nil"/>
              <w:tr2bl w:val="nil"/>
            </w:tcBorders>
            <w:shd w:val="clear" w:color="auto" w:fill="auto"/>
            <w:vAlign w:val="center"/>
          </w:tcPr>
          <w:p w14:paraId="79FE0A1F">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资源基本类型</w:t>
            </w:r>
          </w:p>
        </w:tc>
      </w:tr>
      <w:tr w14:paraId="6BFB7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406EB2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w:t>
            </w:r>
          </w:p>
        </w:tc>
        <w:tc>
          <w:tcPr>
            <w:tcW w:w="891" w:type="dxa"/>
            <w:vMerge w:val="restart"/>
            <w:tcBorders>
              <w:tl2br w:val="nil"/>
              <w:tr2bl w:val="nil"/>
            </w:tcBorders>
            <w:shd w:val="clear" w:color="auto" w:fill="auto"/>
            <w:noWrap/>
            <w:vAlign w:val="center"/>
          </w:tcPr>
          <w:p w14:paraId="65BE10C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解放区</w:t>
            </w:r>
          </w:p>
        </w:tc>
        <w:tc>
          <w:tcPr>
            <w:tcW w:w="2869" w:type="dxa"/>
            <w:tcBorders>
              <w:tl2br w:val="nil"/>
              <w:tr2bl w:val="nil"/>
            </w:tcBorders>
            <w:shd w:val="clear" w:color="auto" w:fill="auto"/>
            <w:noWrap/>
            <w:vAlign w:val="center"/>
          </w:tcPr>
          <w:p w14:paraId="6018B9FE">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英福公司旧址（含采矿业遗址）</w:t>
            </w:r>
          </w:p>
        </w:tc>
        <w:tc>
          <w:tcPr>
            <w:tcW w:w="1250" w:type="dxa"/>
            <w:tcBorders>
              <w:tl2br w:val="nil"/>
              <w:tr2bl w:val="nil"/>
            </w:tcBorders>
            <w:shd w:val="clear" w:color="auto" w:fill="auto"/>
            <w:noWrap/>
            <w:vAlign w:val="center"/>
          </w:tcPr>
          <w:p w14:paraId="0529FDCD">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1AE12E1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物质类文化遗存</w:t>
            </w:r>
          </w:p>
        </w:tc>
        <w:tc>
          <w:tcPr>
            <w:tcW w:w="1733" w:type="dxa"/>
            <w:tcBorders>
              <w:tl2br w:val="nil"/>
              <w:tr2bl w:val="nil"/>
            </w:tcBorders>
            <w:shd w:val="clear" w:color="auto" w:fill="auto"/>
            <w:noWrap/>
            <w:vAlign w:val="center"/>
          </w:tcPr>
          <w:p w14:paraId="666F641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建筑遗迹</w:t>
            </w:r>
          </w:p>
        </w:tc>
      </w:tr>
      <w:tr w14:paraId="7FEF2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6A58560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w:t>
            </w:r>
          </w:p>
        </w:tc>
        <w:tc>
          <w:tcPr>
            <w:tcW w:w="891" w:type="dxa"/>
            <w:vMerge w:val="continue"/>
            <w:tcBorders>
              <w:tl2br w:val="nil"/>
              <w:tr2bl w:val="nil"/>
            </w:tcBorders>
            <w:shd w:val="clear" w:color="auto" w:fill="auto"/>
            <w:noWrap/>
            <w:vAlign w:val="center"/>
          </w:tcPr>
          <w:p w14:paraId="07C39A03">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4DA3D4E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焦作四大怀药的种植与炮制</w:t>
            </w:r>
          </w:p>
        </w:tc>
        <w:tc>
          <w:tcPr>
            <w:tcW w:w="1250" w:type="dxa"/>
            <w:tcBorders>
              <w:tl2br w:val="nil"/>
              <w:tr2bl w:val="nil"/>
            </w:tcBorders>
            <w:shd w:val="clear" w:color="auto" w:fill="auto"/>
            <w:noWrap/>
            <w:vAlign w:val="center"/>
          </w:tcPr>
          <w:p w14:paraId="723A1CF2">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1D0D26F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非物质类文化遗存</w:t>
            </w:r>
          </w:p>
        </w:tc>
        <w:tc>
          <w:tcPr>
            <w:tcW w:w="1733" w:type="dxa"/>
            <w:tcBorders>
              <w:tl2br w:val="nil"/>
              <w:tr2bl w:val="nil"/>
            </w:tcBorders>
            <w:shd w:val="clear" w:color="auto" w:fill="auto"/>
            <w:noWrap/>
            <w:vAlign w:val="center"/>
          </w:tcPr>
          <w:p w14:paraId="4926932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传统医药</w:t>
            </w:r>
          </w:p>
        </w:tc>
      </w:tr>
      <w:tr w14:paraId="3E6D4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37198C2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w:t>
            </w:r>
          </w:p>
        </w:tc>
        <w:tc>
          <w:tcPr>
            <w:tcW w:w="891" w:type="dxa"/>
            <w:vMerge w:val="continue"/>
            <w:tcBorders>
              <w:tl2br w:val="nil"/>
              <w:tr2bl w:val="nil"/>
            </w:tcBorders>
            <w:shd w:val="clear" w:color="auto" w:fill="auto"/>
            <w:noWrap/>
            <w:vAlign w:val="center"/>
          </w:tcPr>
          <w:p w14:paraId="48A76E97">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4E3FC7C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河南理工大学（北校区）</w:t>
            </w:r>
          </w:p>
        </w:tc>
        <w:tc>
          <w:tcPr>
            <w:tcW w:w="1250" w:type="dxa"/>
            <w:tcBorders>
              <w:tl2br w:val="nil"/>
              <w:tr2bl w:val="nil"/>
            </w:tcBorders>
            <w:shd w:val="clear" w:color="auto" w:fill="auto"/>
            <w:noWrap/>
            <w:vAlign w:val="center"/>
          </w:tcPr>
          <w:p w14:paraId="177BC53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4287ECB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人文景观综合体</w:t>
            </w:r>
          </w:p>
        </w:tc>
        <w:tc>
          <w:tcPr>
            <w:tcW w:w="1733" w:type="dxa"/>
            <w:tcBorders>
              <w:tl2br w:val="nil"/>
              <w:tr2bl w:val="nil"/>
            </w:tcBorders>
            <w:shd w:val="clear" w:color="auto" w:fill="auto"/>
            <w:noWrap/>
            <w:vAlign w:val="center"/>
          </w:tcPr>
          <w:p w14:paraId="0D3642C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教学科研实验场所</w:t>
            </w:r>
          </w:p>
        </w:tc>
      </w:tr>
      <w:tr w14:paraId="13952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72637F4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04</w:t>
            </w:r>
          </w:p>
        </w:tc>
        <w:tc>
          <w:tcPr>
            <w:tcW w:w="891" w:type="dxa"/>
            <w:vMerge w:val="continue"/>
            <w:tcBorders>
              <w:tl2br w:val="nil"/>
              <w:tr2bl w:val="nil"/>
            </w:tcBorders>
            <w:shd w:val="clear" w:color="auto" w:fill="auto"/>
            <w:noWrap/>
            <w:vAlign w:val="center"/>
          </w:tcPr>
          <w:p w14:paraId="345C6D31">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3F4E273F">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焦作猿仙通背拳</w:t>
            </w:r>
          </w:p>
        </w:tc>
        <w:tc>
          <w:tcPr>
            <w:tcW w:w="1250" w:type="dxa"/>
            <w:tcBorders>
              <w:tl2br w:val="nil"/>
              <w:tr2bl w:val="nil"/>
            </w:tcBorders>
            <w:shd w:val="clear" w:color="auto" w:fill="auto"/>
            <w:noWrap/>
            <w:vAlign w:val="center"/>
          </w:tcPr>
          <w:p w14:paraId="2077E44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6761230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非物质类文化遗存</w:t>
            </w:r>
          </w:p>
        </w:tc>
        <w:tc>
          <w:tcPr>
            <w:tcW w:w="1733" w:type="dxa"/>
            <w:tcBorders>
              <w:tl2br w:val="nil"/>
              <w:tr2bl w:val="nil"/>
            </w:tcBorders>
            <w:shd w:val="clear" w:color="auto" w:fill="auto"/>
            <w:noWrap/>
            <w:vAlign w:val="center"/>
          </w:tcPr>
          <w:p w14:paraId="6C361C2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传统武术</w:t>
            </w:r>
          </w:p>
        </w:tc>
      </w:tr>
      <w:tr w14:paraId="0899D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7190F13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w:t>
            </w:r>
          </w:p>
        </w:tc>
        <w:tc>
          <w:tcPr>
            <w:tcW w:w="891" w:type="dxa"/>
            <w:vMerge w:val="continue"/>
            <w:tcBorders>
              <w:tl2br w:val="nil"/>
              <w:tr2bl w:val="nil"/>
            </w:tcBorders>
            <w:shd w:val="clear" w:color="auto" w:fill="auto"/>
            <w:noWrap/>
            <w:vAlign w:val="center"/>
          </w:tcPr>
          <w:p w14:paraId="55D14476">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480CAC6E">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焦作缝山国家矿山公园</w:t>
            </w:r>
          </w:p>
        </w:tc>
        <w:tc>
          <w:tcPr>
            <w:tcW w:w="1250" w:type="dxa"/>
            <w:tcBorders>
              <w:tl2br w:val="nil"/>
              <w:tr2bl w:val="nil"/>
            </w:tcBorders>
            <w:shd w:val="clear" w:color="auto" w:fill="auto"/>
            <w:noWrap/>
            <w:vAlign w:val="center"/>
          </w:tcPr>
          <w:p w14:paraId="337BA368">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2CF9CF0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人文景观综合体</w:t>
            </w:r>
          </w:p>
        </w:tc>
        <w:tc>
          <w:tcPr>
            <w:tcW w:w="1733" w:type="dxa"/>
            <w:tcBorders>
              <w:tl2br w:val="nil"/>
              <w:tr2bl w:val="nil"/>
            </w:tcBorders>
            <w:shd w:val="clear" w:color="auto" w:fill="auto"/>
            <w:noWrap/>
            <w:vAlign w:val="center"/>
          </w:tcPr>
          <w:p w14:paraId="0892EA7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康体游乐休闲度假地</w:t>
            </w:r>
          </w:p>
        </w:tc>
      </w:tr>
      <w:tr w14:paraId="3BE1C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3771562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06</w:t>
            </w:r>
          </w:p>
        </w:tc>
        <w:tc>
          <w:tcPr>
            <w:tcW w:w="891" w:type="dxa"/>
            <w:vMerge w:val="restart"/>
            <w:tcBorders>
              <w:tl2br w:val="nil"/>
              <w:tr2bl w:val="nil"/>
            </w:tcBorders>
            <w:shd w:val="clear" w:color="auto" w:fill="auto"/>
            <w:noWrap/>
            <w:vAlign w:val="center"/>
          </w:tcPr>
          <w:p w14:paraId="35FDA48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中站区</w:t>
            </w:r>
          </w:p>
        </w:tc>
        <w:tc>
          <w:tcPr>
            <w:tcW w:w="2869" w:type="dxa"/>
            <w:tcBorders>
              <w:tl2br w:val="nil"/>
              <w:tr2bl w:val="nil"/>
            </w:tcBorders>
            <w:shd w:val="clear" w:color="auto" w:fill="auto"/>
            <w:noWrap/>
            <w:vAlign w:val="center"/>
          </w:tcPr>
          <w:p w14:paraId="46ADD99B">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焦作查拳</w:t>
            </w:r>
          </w:p>
        </w:tc>
        <w:tc>
          <w:tcPr>
            <w:tcW w:w="1250" w:type="dxa"/>
            <w:tcBorders>
              <w:tl2br w:val="nil"/>
              <w:tr2bl w:val="nil"/>
            </w:tcBorders>
            <w:shd w:val="clear" w:color="auto" w:fill="auto"/>
            <w:noWrap/>
            <w:vAlign w:val="center"/>
          </w:tcPr>
          <w:p w14:paraId="51F17FB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593DD80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非物质类文化遗存</w:t>
            </w:r>
          </w:p>
        </w:tc>
        <w:tc>
          <w:tcPr>
            <w:tcW w:w="1733" w:type="dxa"/>
            <w:tcBorders>
              <w:tl2br w:val="nil"/>
              <w:tr2bl w:val="nil"/>
            </w:tcBorders>
            <w:shd w:val="clear" w:color="auto" w:fill="auto"/>
            <w:noWrap/>
            <w:vAlign w:val="center"/>
          </w:tcPr>
          <w:p w14:paraId="5FCD2F0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传统武术</w:t>
            </w:r>
          </w:p>
        </w:tc>
      </w:tr>
      <w:tr w14:paraId="159AE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6EEE614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w:t>
            </w:r>
          </w:p>
        </w:tc>
        <w:tc>
          <w:tcPr>
            <w:tcW w:w="891" w:type="dxa"/>
            <w:vMerge w:val="continue"/>
            <w:tcBorders>
              <w:tl2br w:val="nil"/>
              <w:tr2bl w:val="nil"/>
            </w:tcBorders>
            <w:shd w:val="clear" w:color="auto" w:fill="auto"/>
            <w:noWrap/>
            <w:vAlign w:val="center"/>
          </w:tcPr>
          <w:p w14:paraId="4D438753">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1BB180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焦作耍老虎</w:t>
            </w:r>
          </w:p>
        </w:tc>
        <w:tc>
          <w:tcPr>
            <w:tcW w:w="1250" w:type="dxa"/>
            <w:tcBorders>
              <w:tl2br w:val="nil"/>
              <w:tr2bl w:val="nil"/>
            </w:tcBorders>
            <w:shd w:val="clear" w:color="auto" w:fill="auto"/>
            <w:noWrap/>
            <w:vAlign w:val="center"/>
          </w:tcPr>
          <w:p w14:paraId="06EB3A1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30695E0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非物质类文化遗存</w:t>
            </w:r>
          </w:p>
        </w:tc>
        <w:tc>
          <w:tcPr>
            <w:tcW w:w="1733" w:type="dxa"/>
            <w:tcBorders>
              <w:tl2br w:val="nil"/>
              <w:tr2bl w:val="nil"/>
            </w:tcBorders>
            <w:shd w:val="clear" w:color="auto" w:fill="auto"/>
            <w:noWrap/>
            <w:vAlign w:val="center"/>
          </w:tcPr>
          <w:p w14:paraId="03B60F7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传统演艺</w:t>
            </w:r>
          </w:p>
        </w:tc>
      </w:tr>
      <w:tr w14:paraId="73908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191C405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08</w:t>
            </w:r>
          </w:p>
        </w:tc>
        <w:tc>
          <w:tcPr>
            <w:tcW w:w="891" w:type="dxa"/>
            <w:vMerge w:val="continue"/>
            <w:tcBorders>
              <w:tl2br w:val="nil"/>
              <w:tr2bl w:val="nil"/>
            </w:tcBorders>
            <w:shd w:val="clear" w:color="auto" w:fill="auto"/>
            <w:noWrap/>
            <w:vAlign w:val="center"/>
          </w:tcPr>
          <w:p w14:paraId="015C3247">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38339CA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焦作常家武虎</w:t>
            </w:r>
          </w:p>
        </w:tc>
        <w:tc>
          <w:tcPr>
            <w:tcW w:w="1250" w:type="dxa"/>
            <w:tcBorders>
              <w:tl2br w:val="nil"/>
              <w:tr2bl w:val="nil"/>
            </w:tcBorders>
            <w:shd w:val="clear" w:color="auto" w:fill="auto"/>
            <w:noWrap/>
            <w:vAlign w:val="center"/>
          </w:tcPr>
          <w:p w14:paraId="732DB23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7689465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非物质类文化遗存</w:t>
            </w:r>
          </w:p>
        </w:tc>
        <w:tc>
          <w:tcPr>
            <w:tcW w:w="1733" w:type="dxa"/>
            <w:tcBorders>
              <w:tl2br w:val="nil"/>
              <w:tr2bl w:val="nil"/>
            </w:tcBorders>
            <w:shd w:val="clear" w:color="auto" w:fill="auto"/>
            <w:noWrap/>
            <w:vAlign w:val="center"/>
          </w:tcPr>
          <w:p w14:paraId="4F274FB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传统演艺</w:t>
            </w:r>
          </w:p>
        </w:tc>
      </w:tr>
      <w:tr w14:paraId="39E04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73997AA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09</w:t>
            </w:r>
          </w:p>
        </w:tc>
        <w:tc>
          <w:tcPr>
            <w:tcW w:w="891" w:type="dxa"/>
            <w:vMerge w:val="continue"/>
            <w:tcBorders>
              <w:tl2br w:val="nil"/>
              <w:tr2bl w:val="nil"/>
            </w:tcBorders>
            <w:shd w:val="clear" w:color="auto" w:fill="auto"/>
            <w:noWrap/>
            <w:vAlign w:val="center"/>
          </w:tcPr>
          <w:p w14:paraId="7387A3F6">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2052158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焦作小尚虎舞</w:t>
            </w:r>
          </w:p>
        </w:tc>
        <w:tc>
          <w:tcPr>
            <w:tcW w:w="1250" w:type="dxa"/>
            <w:tcBorders>
              <w:tl2br w:val="nil"/>
              <w:tr2bl w:val="nil"/>
            </w:tcBorders>
            <w:shd w:val="clear" w:color="auto" w:fill="auto"/>
            <w:noWrap/>
            <w:vAlign w:val="center"/>
          </w:tcPr>
          <w:p w14:paraId="6E00917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5952F76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非物质类文化遗存</w:t>
            </w:r>
          </w:p>
        </w:tc>
        <w:tc>
          <w:tcPr>
            <w:tcW w:w="1733" w:type="dxa"/>
            <w:tcBorders>
              <w:tl2br w:val="nil"/>
              <w:tr2bl w:val="nil"/>
            </w:tcBorders>
            <w:shd w:val="clear" w:color="auto" w:fill="auto"/>
            <w:noWrap/>
            <w:vAlign w:val="center"/>
          </w:tcPr>
          <w:p w14:paraId="74D3648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传统演艺</w:t>
            </w:r>
          </w:p>
        </w:tc>
      </w:tr>
      <w:tr w14:paraId="119E9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248D8AF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91" w:type="dxa"/>
            <w:vMerge w:val="continue"/>
            <w:tcBorders>
              <w:tl2br w:val="nil"/>
              <w:tr2bl w:val="nil"/>
            </w:tcBorders>
            <w:shd w:val="clear" w:color="auto" w:fill="auto"/>
            <w:noWrap/>
            <w:vAlign w:val="center"/>
          </w:tcPr>
          <w:p w14:paraId="1CCFD8C7">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2F67D87F">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西大井</w:t>
            </w:r>
            <w:r>
              <w:rPr>
                <w:rStyle w:val="23"/>
                <w:rFonts w:ascii="宋体" w:eastAsia="宋体"/>
                <w:sz w:val="20"/>
                <w:lang w:val="en-US" w:eastAsia="zh-CN" w:bidi="ar"/>
              </w:rPr>
              <w:t>1919</w:t>
            </w:r>
            <w:r>
              <w:rPr>
                <w:rStyle w:val="24"/>
                <w:rFonts w:ascii="宋体" w:eastAsia="宋体"/>
                <w:sz w:val="20"/>
                <w:lang w:val="en-US" w:eastAsia="zh-CN" w:bidi="ar"/>
              </w:rPr>
              <w:t>文旅景区</w:t>
            </w:r>
          </w:p>
        </w:tc>
        <w:tc>
          <w:tcPr>
            <w:tcW w:w="1250" w:type="dxa"/>
            <w:tcBorders>
              <w:tl2br w:val="nil"/>
              <w:tr2bl w:val="nil"/>
            </w:tcBorders>
            <w:shd w:val="clear" w:color="auto" w:fill="auto"/>
            <w:noWrap/>
            <w:vAlign w:val="center"/>
          </w:tcPr>
          <w:p w14:paraId="3383E20D">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1B15D4A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人文景观综合体</w:t>
            </w:r>
          </w:p>
        </w:tc>
        <w:tc>
          <w:tcPr>
            <w:tcW w:w="1733" w:type="dxa"/>
            <w:tcBorders>
              <w:tl2br w:val="nil"/>
              <w:tr2bl w:val="nil"/>
            </w:tcBorders>
            <w:shd w:val="clear" w:color="auto" w:fill="auto"/>
            <w:noWrap/>
            <w:vAlign w:val="center"/>
          </w:tcPr>
          <w:p w14:paraId="3C5776E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文化活动场所</w:t>
            </w:r>
          </w:p>
        </w:tc>
      </w:tr>
      <w:tr w14:paraId="7A022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489C5A7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891" w:type="dxa"/>
            <w:vMerge w:val="continue"/>
            <w:tcBorders>
              <w:tl2br w:val="nil"/>
              <w:tr2bl w:val="nil"/>
            </w:tcBorders>
            <w:shd w:val="clear" w:color="auto" w:fill="auto"/>
            <w:noWrap/>
            <w:vAlign w:val="center"/>
          </w:tcPr>
          <w:p w14:paraId="05D1E296">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A01CAD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焦作许衡墓</w:t>
            </w:r>
          </w:p>
        </w:tc>
        <w:tc>
          <w:tcPr>
            <w:tcW w:w="1250" w:type="dxa"/>
            <w:tcBorders>
              <w:tl2br w:val="nil"/>
              <w:tr2bl w:val="nil"/>
            </w:tcBorders>
            <w:shd w:val="clear" w:color="auto" w:fill="auto"/>
            <w:noWrap/>
            <w:vAlign w:val="center"/>
          </w:tcPr>
          <w:p w14:paraId="294BD96F">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03DE4E1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人文景观综合体</w:t>
            </w:r>
          </w:p>
        </w:tc>
        <w:tc>
          <w:tcPr>
            <w:tcW w:w="1733" w:type="dxa"/>
            <w:tcBorders>
              <w:tl2br w:val="nil"/>
              <w:tr2bl w:val="nil"/>
            </w:tcBorders>
            <w:shd w:val="clear" w:color="auto" w:fill="auto"/>
            <w:noWrap/>
            <w:vAlign w:val="center"/>
          </w:tcPr>
          <w:p w14:paraId="70B4B15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纪念地与纪念活动场所</w:t>
            </w:r>
          </w:p>
        </w:tc>
      </w:tr>
      <w:tr w14:paraId="37766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4086FBC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891" w:type="dxa"/>
            <w:vMerge w:val="restart"/>
            <w:tcBorders>
              <w:tl2br w:val="nil"/>
              <w:tr2bl w:val="nil"/>
            </w:tcBorders>
            <w:shd w:val="clear" w:color="auto" w:fill="auto"/>
            <w:noWrap/>
            <w:vAlign w:val="center"/>
          </w:tcPr>
          <w:p w14:paraId="388A4D0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山阳区</w:t>
            </w:r>
          </w:p>
        </w:tc>
        <w:tc>
          <w:tcPr>
            <w:tcW w:w="2869" w:type="dxa"/>
            <w:tcBorders>
              <w:tl2br w:val="nil"/>
              <w:tr2bl w:val="nil"/>
            </w:tcBorders>
            <w:shd w:val="clear" w:color="auto" w:fill="auto"/>
            <w:noWrap/>
            <w:vAlign w:val="center"/>
          </w:tcPr>
          <w:p w14:paraId="09B8CAAD">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焦作金谷轩绞胎瓷</w:t>
            </w:r>
          </w:p>
        </w:tc>
        <w:tc>
          <w:tcPr>
            <w:tcW w:w="1250" w:type="dxa"/>
            <w:tcBorders>
              <w:tl2br w:val="nil"/>
              <w:tr2bl w:val="nil"/>
            </w:tcBorders>
            <w:shd w:val="clear" w:color="auto" w:fill="auto"/>
            <w:noWrap/>
            <w:vAlign w:val="center"/>
          </w:tcPr>
          <w:p w14:paraId="46AF00A0">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旅游购品</w:t>
            </w:r>
          </w:p>
        </w:tc>
        <w:tc>
          <w:tcPr>
            <w:tcW w:w="1571" w:type="dxa"/>
            <w:tcBorders>
              <w:tl2br w:val="nil"/>
              <w:tr2bl w:val="nil"/>
            </w:tcBorders>
            <w:shd w:val="clear" w:color="auto" w:fill="auto"/>
            <w:noWrap/>
            <w:vAlign w:val="center"/>
          </w:tcPr>
          <w:p w14:paraId="6492763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手工工艺品</w:t>
            </w:r>
          </w:p>
        </w:tc>
        <w:tc>
          <w:tcPr>
            <w:tcW w:w="1733" w:type="dxa"/>
            <w:tcBorders>
              <w:tl2br w:val="nil"/>
              <w:tr2bl w:val="nil"/>
            </w:tcBorders>
            <w:shd w:val="clear" w:color="auto" w:fill="auto"/>
            <w:noWrap/>
            <w:vAlign w:val="center"/>
          </w:tcPr>
          <w:p w14:paraId="7CB635E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陶瓷</w:t>
            </w:r>
          </w:p>
        </w:tc>
      </w:tr>
      <w:tr w14:paraId="0854B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1AF8FBC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891" w:type="dxa"/>
            <w:vMerge w:val="continue"/>
            <w:tcBorders>
              <w:tl2br w:val="nil"/>
              <w:tr2bl w:val="nil"/>
            </w:tcBorders>
            <w:shd w:val="clear" w:color="auto" w:fill="auto"/>
            <w:noWrap/>
            <w:vAlign w:val="center"/>
          </w:tcPr>
          <w:p w14:paraId="222976D3">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8802642">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河南理工大学</w:t>
            </w:r>
          </w:p>
        </w:tc>
        <w:tc>
          <w:tcPr>
            <w:tcW w:w="1250" w:type="dxa"/>
            <w:tcBorders>
              <w:tl2br w:val="nil"/>
              <w:tr2bl w:val="nil"/>
            </w:tcBorders>
            <w:shd w:val="clear" w:color="auto" w:fill="auto"/>
            <w:noWrap/>
            <w:vAlign w:val="center"/>
          </w:tcPr>
          <w:p w14:paraId="60F57D72">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70E99AA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人文景观综合体</w:t>
            </w:r>
          </w:p>
        </w:tc>
        <w:tc>
          <w:tcPr>
            <w:tcW w:w="1733" w:type="dxa"/>
            <w:tcBorders>
              <w:tl2br w:val="nil"/>
              <w:tr2bl w:val="nil"/>
            </w:tcBorders>
            <w:shd w:val="clear" w:color="auto" w:fill="auto"/>
            <w:noWrap/>
            <w:vAlign w:val="center"/>
          </w:tcPr>
          <w:p w14:paraId="059D39B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教学科研实验场所</w:t>
            </w:r>
          </w:p>
        </w:tc>
      </w:tr>
      <w:tr w14:paraId="6A6F4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27F4C1E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891" w:type="dxa"/>
            <w:vMerge w:val="continue"/>
            <w:tcBorders>
              <w:tl2br w:val="nil"/>
              <w:tr2bl w:val="nil"/>
            </w:tcBorders>
            <w:shd w:val="clear" w:color="auto" w:fill="auto"/>
            <w:noWrap/>
            <w:vAlign w:val="center"/>
          </w:tcPr>
          <w:p w14:paraId="22399815">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68A62FB">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焦作苏家作龙凤灯舞</w:t>
            </w:r>
          </w:p>
        </w:tc>
        <w:tc>
          <w:tcPr>
            <w:tcW w:w="1250" w:type="dxa"/>
            <w:tcBorders>
              <w:tl2br w:val="nil"/>
              <w:tr2bl w:val="nil"/>
            </w:tcBorders>
            <w:shd w:val="clear" w:color="auto" w:fill="auto"/>
            <w:noWrap/>
            <w:vAlign w:val="center"/>
          </w:tcPr>
          <w:p w14:paraId="1F4F5A22">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0182D0D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非物质类文化遗存</w:t>
            </w:r>
          </w:p>
        </w:tc>
        <w:tc>
          <w:tcPr>
            <w:tcW w:w="1733" w:type="dxa"/>
            <w:tcBorders>
              <w:tl2br w:val="nil"/>
              <w:tr2bl w:val="nil"/>
            </w:tcBorders>
            <w:shd w:val="clear" w:color="auto" w:fill="auto"/>
            <w:noWrap/>
            <w:vAlign w:val="center"/>
          </w:tcPr>
          <w:p w14:paraId="1F67C0F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传统演艺</w:t>
            </w:r>
          </w:p>
        </w:tc>
      </w:tr>
      <w:tr w14:paraId="4D683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173EAC7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891" w:type="dxa"/>
            <w:vMerge w:val="continue"/>
            <w:tcBorders>
              <w:tl2br w:val="nil"/>
              <w:tr2bl w:val="nil"/>
            </w:tcBorders>
            <w:shd w:val="clear" w:color="auto" w:fill="auto"/>
            <w:noWrap/>
            <w:vAlign w:val="center"/>
          </w:tcPr>
          <w:p w14:paraId="70E352BB">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5235DF2">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焦作国际太极拳交流大赛</w:t>
            </w:r>
          </w:p>
        </w:tc>
        <w:tc>
          <w:tcPr>
            <w:tcW w:w="1250" w:type="dxa"/>
            <w:tcBorders>
              <w:tl2br w:val="nil"/>
              <w:tr2bl w:val="nil"/>
            </w:tcBorders>
            <w:shd w:val="clear" w:color="auto" w:fill="auto"/>
            <w:noWrap/>
            <w:vAlign w:val="center"/>
          </w:tcPr>
          <w:p w14:paraId="58174723">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3E8946B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岁时节令</w:t>
            </w:r>
          </w:p>
        </w:tc>
        <w:tc>
          <w:tcPr>
            <w:tcW w:w="1733" w:type="dxa"/>
            <w:tcBorders>
              <w:tl2br w:val="nil"/>
              <w:tr2bl w:val="nil"/>
            </w:tcBorders>
            <w:shd w:val="clear" w:color="auto" w:fill="auto"/>
            <w:noWrap/>
            <w:vAlign w:val="center"/>
          </w:tcPr>
          <w:p w14:paraId="7C88358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现代节庆</w:t>
            </w:r>
          </w:p>
        </w:tc>
      </w:tr>
      <w:tr w14:paraId="58AD9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242419C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891" w:type="dxa"/>
            <w:vMerge w:val="continue"/>
            <w:tcBorders>
              <w:tl2br w:val="nil"/>
              <w:tr2bl w:val="nil"/>
            </w:tcBorders>
            <w:shd w:val="clear" w:color="auto" w:fill="auto"/>
            <w:noWrap/>
            <w:vAlign w:val="center"/>
          </w:tcPr>
          <w:p w14:paraId="573B2A55">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D00E9E0">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焦作名仁苏打水</w:t>
            </w:r>
          </w:p>
        </w:tc>
        <w:tc>
          <w:tcPr>
            <w:tcW w:w="1250" w:type="dxa"/>
            <w:tcBorders>
              <w:tl2br w:val="nil"/>
              <w:tr2bl w:val="nil"/>
            </w:tcBorders>
            <w:shd w:val="clear" w:color="auto" w:fill="auto"/>
            <w:noWrap/>
            <w:vAlign w:val="center"/>
          </w:tcPr>
          <w:p w14:paraId="572DE3DF">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旅游购品</w:t>
            </w:r>
          </w:p>
        </w:tc>
        <w:tc>
          <w:tcPr>
            <w:tcW w:w="1571" w:type="dxa"/>
            <w:tcBorders>
              <w:tl2br w:val="nil"/>
              <w:tr2bl w:val="nil"/>
            </w:tcBorders>
            <w:shd w:val="clear" w:color="auto" w:fill="auto"/>
            <w:noWrap/>
            <w:vAlign w:val="center"/>
          </w:tcPr>
          <w:p w14:paraId="750C8C1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特色饮食</w:t>
            </w:r>
          </w:p>
        </w:tc>
        <w:tc>
          <w:tcPr>
            <w:tcW w:w="1733" w:type="dxa"/>
            <w:tcBorders>
              <w:tl2br w:val="nil"/>
              <w:tr2bl w:val="nil"/>
            </w:tcBorders>
            <w:shd w:val="clear" w:color="auto" w:fill="auto"/>
            <w:noWrap/>
            <w:vAlign w:val="center"/>
          </w:tcPr>
          <w:p w14:paraId="70BE057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特色饮品</w:t>
            </w:r>
          </w:p>
        </w:tc>
      </w:tr>
      <w:tr w14:paraId="1B6C3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21596A3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891" w:type="dxa"/>
            <w:vMerge w:val="continue"/>
            <w:tcBorders>
              <w:tl2br w:val="nil"/>
              <w:tr2bl w:val="nil"/>
            </w:tcBorders>
            <w:shd w:val="clear" w:color="auto" w:fill="auto"/>
            <w:noWrap/>
            <w:vAlign w:val="center"/>
          </w:tcPr>
          <w:p w14:paraId="54C28C7B">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048F0D6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焦作寨卜昌古建筑群</w:t>
            </w:r>
          </w:p>
        </w:tc>
        <w:tc>
          <w:tcPr>
            <w:tcW w:w="1250" w:type="dxa"/>
            <w:tcBorders>
              <w:tl2br w:val="nil"/>
              <w:tr2bl w:val="nil"/>
            </w:tcBorders>
            <w:shd w:val="clear" w:color="auto" w:fill="auto"/>
            <w:noWrap/>
            <w:vAlign w:val="center"/>
          </w:tcPr>
          <w:p w14:paraId="57B7B3F7">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28885A8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人文景观综合体</w:t>
            </w:r>
          </w:p>
        </w:tc>
        <w:tc>
          <w:tcPr>
            <w:tcW w:w="1733" w:type="dxa"/>
            <w:tcBorders>
              <w:tl2br w:val="nil"/>
              <w:tr2bl w:val="nil"/>
            </w:tcBorders>
            <w:shd w:val="clear" w:color="auto" w:fill="auto"/>
            <w:noWrap/>
            <w:vAlign w:val="center"/>
          </w:tcPr>
          <w:p w14:paraId="3CDE2EE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文化活动场所</w:t>
            </w:r>
          </w:p>
        </w:tc>
      </w:tr>
      <w:tr w14:paraId="3B596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3F5BDA8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891" w:type="dxa"/>
            <w:vMerge w:val="continue"/>
            <w:tcBorders>
              <w:tl2br w:val="nil"/>
              <w:tr2bl w:val="nil"/>
            </w:tcBorders>
            <w:shd w:val="clear" w:color="auto" w:fill="auto"/>
            <w:noWrap/>
            <w:vAlign w:val="center"/>
          </w:tcPr>
          <w:p w14:paraId="7A5CA1B1">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DF25584">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焦作当阳峪绞胎瓷</w:t>
            </w:r>
          </w:p>
        </w:tc>
        <w:tc>
          <w:tcPr>
            <w:tcW w:w="1250" w:type="dxa"/>
            <w:tcBorders>
              <w:tl2br w:val="nil"/>
              <w:tr2bl w:val="nil"/>
            </w:tcBorders>
            <w:shd w:val="clear" w:color="auto" w:fill="auto"/>
            <w:noWrap/>
            <w:vAlign w:val="center"/>
          </w:tcPr>
          <w:p w14:paraId="4A8D30C0">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旅游购品</w:t>
            </w:r>
          </w:p>
        </w:tc>
        <w:tc>
          <w:tcPr>
            <w:tcW w:w="1571" w:type="dxa"/>
            <w:tcBorders>
              <w:tl2br w:val="nil"/>
              <w:tr2bl w:val="nil"/>
            </w:tcBorders>
            <w:shd w:val="clear" w:color="auto" w:fill="auto"/>
            <w:noWrap/>
            <w:vAlign w:val="center"/>
          </w:tcPr>
          <w:p w14:paraId="5FA1D36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手工工艺品</w:t>
            </w:r>
          </w:p>
        </w:tc>
        <w:tc>
          <w:tcPr>
            <w:tcW w:w="1733" w:type="dxa"/>
            <w:tcBorders>
              <w:tl2br w:val="nil"/>
              <w:tr2bl w:val="nil"/>
            </w:tcBorders>
            <w:shd w:val="clear" w:color="auto" w:fill="auto"/>
            <w:noWrap/>
            <w:vAlign w:val="center"/>
          </w:tcPr>
          <w:p w14:paraId="20358DC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陶瓷</w:t>
            </w:r>
          </w:p>
        </w:tc>
      </w:tr>
      <w:tr w14:paraId="27D88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6A4E92B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891" w:type="dxa"/>
            <w:vMerge w:val="continue"/>
            <w:tcBorders>
              <w:tl2br w:val="nil"/>
              <w:tr2bl w:val="nil"/>
            </w:tcBorders>
            <w:shd w:val="clear" w:color="auto" w:fill="auto"/>
            <w:noWrap/>
            <w:vAlign w:val="center"/>
          </w:tcPr>
          <w:p w14:paraId="6C241C8D">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2D053B8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焦作山阳故城</w:t>
            </w:r>
          </w:p>
        </w:tc>
        <w:tc>
          <w:tcPr>
            <w:tcW w:w="1250" w:type="dxa"/>
            <w:tcBorders>
              <w:tl2br w:val="nil"/>
              <w:tr2bl w:val="nil"/>
            </w:tcBorders>
            <w:shd w:val="clear" w:color="auto" w:fill="auto"/>
            <w:noWrap/>
            <w:vAlign w:val="center"/>
          </w:tcPr>
          <w:p w14:paraId="2FA0A70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193D51F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物质类文化遗存</w:t>
            </w:r>
          </w:p>
        </w:tc>
        <w:tc>
          <w:tcPr>
            <w:tcW w:w="1733" w:type="dxa"/>
            <w:tcBorders>
              <w:tl2br w:val="nil"/>
              <w:tr2bl w:val="nil"/>
            </w:tcBorders>
            <w:shd w:val="clear" w:color="auto" w:fill="auto"/>
            <w:noWrap/>
            <w:vAlign w:val="center"/>
          </w:tcPr>
          <w:p w14:paraId="1E43B4F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建筑遗迹</w:t>
            </w:r>
          </w:p>
        </w:tc>
      </w:tr>
      <w:tr w14:paraId="108E2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1752A74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91" w:type="dxa"/>
            <w:vMerge w:val="restart"/>
            <w:tcBorders>
              <w:tl2br w:val="nil"/>
              <w:tr2bl w:val="nil"/>
            </w:tcBorders>
            <w:shd w:val="clear" w:color="auto" w:fill="auto"/>
            <w:noWrap/>
            <w:vAlign w:val="center"/>
          </w:tcPr>
          <w:p w14:paraId="627A80B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修武县</w:t>
            </w:r>
          </w:p>
        </w:tc>
        <w:tc>
          <w:tcPr>
            <w:tcW w:w="2869" w:type="dxa"/>
            <w:tcBorders>
              <w:tl2br w:val="nil"/>
              <w:tr2bl w:val="nil"/>
            </w:tcBorders>
            <w:shd w:val="clear" w:color="auto" w:fill="auto"/>
            <w:noWrap/>
            <w:vAlign w:val="center"/>
          </w:tcPr>
          <w:p w14:paraId="65F4A52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焦作峰林峡天空之恋观景台</w:t>
            </w:r>
          </w:p>
        </w:tc>
        <w:tc>
          <w:tcPr>
            <w:tcW w:w="1250" w:type="dxa"/>
            <w:tcBorders>
              <w:tl2br w:val="nil"/>
              <w:tr2bl w:val="nil"/>
            </w:tcBorders>
            <w:shd w:val="clear" w:color="auto" w:fill="auto"/>
            <w:noWrap/>
            <w:vAlign w:val="center"/>
          </w:tcPr>
          <w:p w14:paraId="766DE25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0A97871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景观与小品建筑</w:t>
            </w:r>
          </w:p>
        </w:tc>
        <w:tc>
          <w:tcPr>
            <w:tcW w:w="1733" w:type="dxa"/>
            <w:tcBorders>
              <w:tl2br w:val="nil"/>
              <w:tr2bl w:val="nil"/>
            </w:tcBorders>
            <w:shd w:val="clear" w:color="auto" w:fill="auto"/>
            <w:noWrap/>
            <w:vAlign w:val="center"/>
          </w:tcPr>
          <w:p w14:paraId="2D6C043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观景点</w:t>
            </w:r>
          </w:p>
        </w:tc>
      </w:tr>
      <w:tr w14:paraId="6F887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72122D0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891" w:type="dxa"/>
            <w:vMerge w:val="continue"/>
            <w:tcBorders>
              <w:tl2br w:val="nil"/>
              <w:tr2bl w:val="nil"/>
            </w:tcBorders>
            <w:shd w:val="clear" w:color="auto" w:fill="auto"/>
            <w:noWrap/>
            <w:vAlign w:val="center"/>
          </w:tcPr>
          <w:p w14:paraId="3D864262">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2EEAFBE7">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焦作云台山泉瀑峡河段</w:t>
            </w:r>
          </w:p>
        </w:tc>
        <w:tc>
          <w:tcPr>
            <w:tcW w:w="1250" w:type="dxa"/>
            <w:tcBorders>
              <w:tl2br w:val="nil"/>
              <w:tr2bl w:val="nil"/>
            </w:tcBorders>
            <w:shd w:val="clear" w:color="auto" w:fill="auto"/>
            <w:noWrap/>
            <w:vAlign w:val="center"/>
          </w:tcPr>
          <w:p w14:paraId="2000F3F4">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水域景观</w:t>
            </w:r>
          </w:p>
        </w:tc>
        <w:tc>
          <w:tcPr>
            <w:tcW w:w="1571" w:type="dxa"/>
            <w:tcBorders>
              <w:tl2br w:val="nil"/>
              <w:tr2bl w:val="nil"/>
            </w:tcBorders>
            <w:shd w:val="clear" w:color="auto" w:fill="auto"/>
            <w:noWrap/>
            <w:vAlign w:val="center"/>
          </w:tcPr>
          <w:p w14:paraId="7E8FEE8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河系</w:t>
            </w:r>
          </w:p>
        </w:tc>
        <w:tc>
          <w:tcPr>
            <w:tcW w:w="1733" w:type="dxa"/>
            <w:tcBorders>
              <w:tl2br w:val="nil"/>
              <w:tr2bl w:val="nil"/>
            </w:tcBorders>
            <w:shd w:val="clear" w:color="auto" w:fill="auto"/>
            <w:noWrap/>
            <w:vAlign w:val="center"/>
          </w:tcPr>
          <w:p w14:paraId="0E82ABC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游憩河段</w:t>
            </w:r>
          </w:p>
        </w:tc>
      </w:tr>
      <w:tr w14:paraId="1A4F7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4F611A5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891" w:type="dxa"/>
            <w:vMerge w:val="continue"/>
            <w:tcBorders>
              <w:tl2br w:val="nil"/>
              <w:tr2bl w:val="nil"/>
            </w:tcBorders>
            <w:shd w:val="clear" w:color="auto" w:fill="auto"/>
            <w:noWrap/>
            <w:vAlign w:val="center"/>
          </w:tcPr>
          <w:p w14:paraId="11054851">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2B19E678">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焦作青龙峡壶穴谷</w:t>
            </w:r>
          </w:p>
        </w:tc>
        <w:tc>
          <w:tcPr>
            <w:tcW w:w="1250" w:type="dxa"/>
            <w:tcBorders>
              <w:tl2br w:val="nil"/>
              <w:tr2bl w:val="nil"/>
            </w:tcBorders>
            <w:shd w:val="clear" w:color="auto" w:fill="auto"/>
            <w:noWrap/>
            <w:vAlign w:val="center"/>
          </w:tcPr>
          <w:p w14:paraId="03A7B14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29D091A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自然景观综合体</w:t>
            </w:r>
          </w:p>
        </w:tc>
        <w:tc>
          <w:tcPr>
            <w:tcW w:w="1733" w:type="dxa"/>
            <w:tcBorders>
              <w:tl2br w:val="nil"/>
              <w:tr2bl w:val="nil"/>
            </w:tcBorders>
            <w:shd w:val="clear" w:color="auto" w:fill="auto"/>
            <w:noWrap/>
            <w:vAlign w:val="center"/>
          </w:tcPr>
          <w:p w14:paraId="493F451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沟谷型景观</w:t>
            </w:r>
          </w:p>
        </w:tc>
      </w:tr>
      <w:tr w14:paraId="57C73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29EB62C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891" w:type="dxa"/>
            <w:vMerge w:val="continue"/>
            <w:tcBorders>
              <w:tl2br w:val="nil"/>
              <w:tr2bl w:val="nil"/>
            </w:tcBorders>
            <w:shd w:val="clear" w:color="auto" w:fill="auto"/>
            <w:noWrap/>
            <w:vAlign w:val="center"/>
          </w:tcPr>
          <w:p w14:paraId="43291586">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0DBFD409">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焦作云台山凤凰岭玻璃栈道崖壁</w:t>
            </w:r>
          </w:p>
        </w:tc>
        <w:tc>
          <w:tcPr>
            <w:tcW w:w="1250" w:type="dxa"/>
            <w:tcBorders>
              <w:tl2br w:val="nil"/>
              <w:tr2bl w:val="nil"/>
            </w:tcBorders>
            <w:shd w:val="clear" w:color="auto" w:fill="auto"/>
            <w:noWrap/>
            <w:vAlign w:val="center"/>
          </w:tcPr>
          <w:p w14:paraId="692F7324">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3EB1F3B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地质与构造形迹</w:t>
            </w:r>
          </w:p>
        </w:tc>
        <w:tc>
          <w:tcPr>
            <w:tcW w:w="1733" w:type="dxa"/>
            <w:tcBorders>
              <w:tl2br w:val="nil"/>
              <w:tr2bl w:val="nil"/>
            </w:tcBorders>
            <w:shd w:val="clear" w:color="auto" w:fill="auto"/>
            <w:noWrap/>
            <w:vAlign w:val="center"/>
          </w:tcPr>
          <w:p w14:paraId="65CF1CD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断裂景观</w:t>
            </w:r>
          </w:p>
        </w:tc>
      </w:tr>
      <w:tr w14:paraId="7B3A2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46B6CC0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891" w:type="dxa"/>
            <w:vMerge w:val="continue"/>
            <w:tcBorders>
              <w:tl2br w:val="nil"/>
              <w:tr2bl w:val="nil"/>
            </w:tcBorders>
            <w:shd w:val="clear" w:color="auto" w:fill="auto"/>
            <w:noWrap/>
            <w:vAlign w:val="center"/>
          </w:tcPr>
          <w:p w14:paraId="4929A566">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73EACAE8">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焦作云台山山前大绝壁</w:t>
            </w:r>
          </w:p>
        </w:tc>
        <w:tc>
          <w:tcPr>
            <w:tcW w:w="1250" w:type="dxa"/>
            <w:tcBorders>
              <w:tl2br w:val="nil"/>
              <w:tr2bl w:val="nil"/>
            </w:tcBorders>
            <w:shd w:val="clear" w:color="auto" w:fill="auto"/>
            <w:noWrap/>
            <w:vAlign w:val="center"/>
          </w:tcPr>
          <w:p w14:paraId="2C43C657">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3BB7AEE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地质与构造形迹</w:t>
            </w:r>
          </w:p>
        </w:tc>
        <w:tc>
          <w:tcPr>
            <w:tcW w:w="1733" w:type="dxa"/>
            <w:tcBorders>
              <w:tl2br w:val="nil"/>
              <w:tr2bl w:val="nil"/>
            </w:tcBorders>
            <w:shd w:val="clear" w:color="auto" w:fill="auto"/>
            <w:noWrap/>
            <w:vAlign w:val="center"/>
          </w:tcPr>
          <w:p w14:paraId="1186B7F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断裂景观</w:t>
            </w:r>
          </w:p>
        </w:tc>
      </w:tr>
      <w:tr w14:paraId="05D21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3769ADA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891" w:type="dxa"/>
            <w:vMerge w:val="continue"/>
            <w:tcBorders>
              <w:tl2br w:val="nil"/>
              <w:tr2bl w:val="nil"/>
            </w:tcBorders>
            <w:shd w:val="clear" w:color="auto" w:fill="auto"/>
            <w:noWrap/>
            <w:vAlign w:val="center"/>
          </w:tcPr>
          <w:p w14:paraId="6D734CA1">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B3185A0">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焦作青龙峡游憩河段</w:t>
            </w:r>
          </w:p>
        </w:tc>
        <w:tc>
          <w:tcPr>
            <w:tcW w:w="1250" w:type="dxa"/>
            <w:tcBorders>
              <w:tl2br w:val="nil"/>
              <w:tr2bl w:val="nil"/>
            </w:tcBorders>
            <w:shd w:val="clear" w:color="auto" w:fill="auto"/>
            <w:noWrap/>
            <w:vAlign w:val="center"/>
          </w:tcPr>
          <w:p w14:paraId="44CEF3EB">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水域景观</w:t>
            </w:r>
          </w:p>
        </w:tc>
        <w:tc>
          <w:tcPr>
            <w:tcW w:w="1571" w:type="dxa"/>
            <w:tcBorders>
              <w:tl2br w:val="nil"/>
              <w:tr2bl w:val="nil"/>
            </w:tcBorders>
            <w:shd w:val="clear" w:color="auto" w:fill="auto"/>
            <w:noWrap/>
            <w:vAlign w:val="center"/>
          </w:tcPr>
          <w:p w14:paraId="0C94865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河系</w:t>
            </w:r>
          </w:p>
        </w:tc>
        <w:tc>
          <w:tcPr>
            <w:tcW w:w="1733" w:type="dxa"/>
            <w:tcBorders>
              <w:tl2br w:val="nil"/>
              <w:tr2bl w:val="nil"/>
            </w:tcBorders>
            <w:shd w:val="clear" w:color="auto" w:fill="auto"/>
            <w:noWrap/>
            <w:vAlign w:val="center"/>
          </w:tcPr>
          <w:p w14:paraId="49C3AB4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游憩河段</w:t>
            </w:r>
          </w:p>
        </w:tc>
      </w:tr>
      <w:tr w14:paraId="4380D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37A9FC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891" w:type="dxa"/>
            <w:vMerge w:val="continue"/>
            <w:tcBorders>
              <w:tl2br w:val="nil"/>
              <w:tr2bl w:val="nil"/>
            </w:tcBorders>
            <w:shd w:val="clear" w:color="auto" w:fill="auto"/>
            <w:noWrap/>
            <w:vAlign w:val="center"/>
          </w:tcPr>
          <w:p w14:paraId="41E416A5">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3FEE29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焦作云台山百家岩垂直自然地</w:t>
            </w:r>
          </w:p>
        </w:tc>
        <w:tc>
          <w:tcPr>
            <w:tcW w:w="1250" w:type="dxa"/>
            <w:tcBorders>
              <w:tl2br w:val="nil"/>
              <w:tr2bl w:val="nil"/>
            </w:tcBorders>
            <w:shd w:val="clear" w:color="auto" w:fill="auto"/>
            <w:noWrap/>
            <w:vAlign w:val="center"/>
          </w:tcPr>
          <w:p w14:paraId="0C7B105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16E4DA3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自然标记与自然现象</w:t>
            </w:r>
          </w:p>
        </w:tc>
        <w:tc>
          <w:tcPr>
            <w:tcW w:w="1733" w:type="dxa"/>
            <w:tcBorders>
              <w:tl2br w:val="nil"/>
              <w:tr2bl w:val="nil"/>
            </w:tcBorders>
            <w:shd w:val="clear" w:color="auto" w:fill="auto"/>
            <w:noWrap/>
            <w:vAlign w:val="center"/>
          </w:tcPr>
          <w:p w14:paraId="3358668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垂直自然带</w:t>
            </w:r>
          </w:p>
        </w:tc>
      </w:tr>
      <w:tr w14:paraId="43A4F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784504F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91" w:type="dxa"/>
            <w:vMerge w:val="continue"/>
            <w:tcBorders>
              <w:tl2br w:val="nil"/>
              <w:tr2bl w:val="nil"/>
            </w:tcBorders>
            <w:shd w:val="clear" w:color="auto" w:fill="auto"/>
            <w:noWrap/>
            <w:vAlign w:val="center"/>
          </w:tcPr>
          <w:p w14:paraId="4DCE304B">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76817562">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焦作云台山小寨沟积雪地</w:t>
            </w:r>
          </w:p>
        </w:tc>
        <w:tc>
          <w:tcPr>
            <w:tcW w:w="1250" w:type="dxa"/>
            <w:tcBorders>
              <w:tl2br w:val="nil"/>
              <w:tr2bl w:val="nil"/>
            </w:tcBorders>
            <w:shd w:val="clear" w:color="auto" w:fill="auto"/>
            <w:noWrap/>
            <w:vAlign w:val="center"/>
          </w:tcPr>
          <w:p w14:paraId="4B7215CD">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水域景观</w:t>
            </w:r>
          </w:p>
        </w:tc>
        <w:tc>
          <w:tcPr>
            <w:tcW w:w="1571" w:type="dxa"/>
            <w:tcBorders>
              <w:tl2br w:val="nil"/>
              <w:tr2bl w:val="nil"/>
            </w:tcBorders>
            <w:shd w:val="clear" w:color="auto" w:fill="auto"/>
            <w:noWrap/>
            <w:vAlign w:val="center"/>
          </w:tcPr>
          <w:p w14:paraId="221310F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冰雪地</w:t>
            </w:r>
          </w:p>
        </w:tc>
        <w:tc>
          <w:tcPr>
            <w:tcW w:w="1733" w:type="dxa"/>
            <w:tcBorders>
              <w:tl2br w:val="nil"/>
              <w:tr2bl w:val="nil"/>
            </w:tcBorders>
            <w:shd w:val="clear" w:color="auto" w:fill="auto"/>
            <w:noWrap/>
            <w:vAlign w:val="center"/>
          </w:tcPr>
          <w:p w14:paraId="7D6F015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积雪地</w:t>
            </w:r>
          </w:p>
        </w:tc>
      </w:tr>
      <w:tr w14:paraId="152C1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6F9140B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891" w:type="dxa"/>
            <w:vMerge w:val="continue"/>
            <w:tcBorders>
              <w:tl2br w:val="nil"/>
              <w:tr2bl w:val="nil"/>
            </w:tcBorders>
            <w:shd w:val="clear" w:color="auto" w:fill="auto"/>
            <w:noWrap/>
            <w:vAlign w:val="center"/>
          </w:tcPr>
          <w:p w14:paraId="527F9C81">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49523D9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焦作云台山凤凰岭峰林地貌</w:t>
            </w:r>
          </w:p>
        </w:tc>
        <w:tc>
          <w:tcPr>
            <w:tcW w:w="1250" w:type="dxa"/>
            <w:tcBorders>
              <w:tl2br w:val="nil"/>
              <w:tr2bl w:val="nil"/>
            </w:tcBorders>
            <w:shd w:val="clear" w:color="auto" w:fill="auto"/>
            <w:noWrap/>
            <w:vAlign w:val="center"/>
          </w:tcPr>
          <w:p w14:paraId="2771318B">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7CE53AF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地表形态</w:t>
            </w:r>
          </w:p>
        </w:tc>
        <w:tc>
          <w:tcPr>
            <w:tcW w:w="1733" w:type="dxa"/>
            <w:tcBorders>
              <w:tl2br w:val="nil"/>
              <w:tr2bl w:val="nil"/>
            </w:tcBorders>
            <w:shd w:val="clear" w:color="auto" w:fill="auto"/>
            <w:noWrap/>
            <w:vAlign w:val="center"/>
          </w:tcPr>
          <w:p w14:paraId="1F42C02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峰柱状地景</w:t>
            </w:r>
          </w:p>
        </w:tc>
      </w:tr>
      <w:tr w14:paraId="16D22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5A57580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891" w:type="dxa"/>
            <w:vMerge w:val="continue"/>
            <w:tcBorders>
              <w:tl2br w:val="nil"/>
              <w:tr2bl w:val="nil"/>
            </w:tcBorders>
            <w:shd w:val="clear" w:color="auto" w:fill="auto"/>
            <w:noWrap/>
            <w:vAlign w:val="center"/>
          </w:tcPr>
          <w:p w14:paraId="7E1588A2">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5E39823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焦作裴庄村台地</w:t>
            </w:r>
          </w:p>
        </w:tc>
        <w:tc>
          <w:tcPr>
            <w:tcW w:w="1250" w:type="dxa"/>
            <w:tcBorders>
              <w:tl2br w:val="nil"/>
              <w:tr2bl w:val="nil"/>
            </w:tcBorders>
            <w:shd w:val="clear" w:color="auto" w:fill="auto"/>
            <w:noWrap/>
            <w:vAlign w:val="center"/>
          </w:tcPr>
          <w:p w14:paraId="2E37FE0F">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17757C2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自然景观综合体</w:t>
            </w:r>
          </w:p>
        </w:tc>
        <w:tc>
          <w:tcPr>
            <w:tcW w:w="1733" w:type="dxa"/>
            <w:tcBorders>
              <w:tl2br w:val="nil"/>
              <w:tr2bl w:val="nil"/>
            </w:tcBorders>
            <w:shd w:val="clear" w:color="auto" w:fill="auto"/>
            <w:noWrap/>
            <w:vAlign w:val="center"/>
          </w:tcPr>
          <w:p w14:paraId="6BC4D19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台地型景观</w:t>
            </w:r>
          </w:p>
        </w:tc>
      </w:tr>
      <w:tr w14:paraId="59A24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3429018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91" w:type="dxa"/>
            <w:vMerge w:val="continue"/>
            <w:tcBorders>
              <w:tl2br w:val="nil"/>
              <w:tr2bl w:val="nil"/>
            </w:tcBorders>
            <w:shd w:val="clear" w:color="auto" w:fill="auto"/>
            <w:noWrap/>
            <w:vAlign w:val="center"/>
          </w:tcPr>
          <w:p w14:paraId="11EC213D">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3F8284B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江泽民视察中州铝厂</w:t>
            </w:r>
          </w:p>
        </w:tc>
        <w:tc>
          <w:tcPr>
            <w:tcW w:w="1250" w:type="dxa"/>
            <w:tcBorders>
              <w:tl2br w:val="nil"/>
              <w:tr2bl w:val="nil"/>
            </w:tcBorders>
            <w:shd w:val="clear" w:color="auto" w:fill="auto"/>
            <w:noWrap/>
            <w:vAlign w:val="center"/>
          </w:tcPr>
          <w:p w14:paraId="104EA9AB">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0D2B457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50E1D97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地方事件</w:t>
            </w:r>
          </w:p>
        </w:tc>
      </w:tr>
      <w:tr w14:paraId="0AEE4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702DBB9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891" w:type="dxa"/>
            <w:vMerge w:val="continue"/>
            <w:tcBorders>
              <w:tl2br w:val="nil"/>
              <w:tr2bl w:val="nil"/>
            </w:tcBorders>
            <w:shd w:val="clear" w:color="auto" w:fill="auto"/>
            <w:noWrap/>
            <w:vAlign w:val="center"/>
          </w:tcPr>
          <w:p w14:paraId="031E41DB">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8228F9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江泽民视察修武小营村</w:t>
            </w:r>
          </w:p>
        </w:tc>
        <w:tc>
          <w:tcPr>
            <w:tcW w:w="1250" w:type="dxa"/>
            <w:tcBorders>
              <w:tl2br w:val="nil"/>
              <w:tr2bl w:val="nil"/>
            </w:tcBorders>
            <w:shd w:val="clear" w:color="auto" w:fill="auto"/>
            <w:noWrap/>
            <w:vAlign w:val="center"/>
          </w:tcPr>
          <w:p w14:paraId="39AAEBB0">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4E8687F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1F31E3D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地方事件</w:t>
            </w:r>
          </w:p>
        </w:tc>
      </w:tr>
      <w:tr w14:paraId="2CB6A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7F2314D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891" w:type="dxa"/>
            <w:vMerge w:val="continue"/>
            <w:tcBorders>
              <w:tl2br w:val="nil"/>
              <w:tr2bl w:val="nil"/>
            </w:tcBorders>
            <w:shd w:val="clear" w:color="auto" w:fill="auto"/>
            <w:noWrap/>
            <w:vAlign w:val="center"/>
          </w:tcPr>
          <w:p w14:paraId="25C33942">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743ABA8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焦作云台山茱萸峰日出</w:t>
            </w:r>
          </w:p>
        </w:tc>
        <w:tc>
          <w:tcPr>
            <w:tcW w:w="1250" w:type="dxa"/>
            <w:tcBorders>
              <w:tl2br w:val="nil"/>
              <w:tr2bl w:val="nil"/>
            </w:tcBorders>
            <w:shd w:val="clear" w:color="auto" w:fill="auto"/>
            <w:noWrap/>
            <w:vAlign w:val="center"/>
          </w:tcPr>
          <w:p w14:paraId="14410E8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天象与气候景观</w:t>
            </w:r>
          </w:p>
        </w:tc>
        <w:tc>
          <w:tcPr>
            <w:tcW w:w="1571" w:type="dxa"/>
            <w:tcBorders>
              <w:tl2br w:val="nil"/>
              <w:tr2bl w:val="nil"/>
            </w:tcBorders>
            <w:shd w:val="clear" w:color="auto" w:fill="auto"/>
            <w:noWrap/>
            <w:vAlign w:val="center"/>
          </w:tcPr>
          <w:p w14:paraId="2E0A49D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天象景观</w:t>
            </w:r>
          </w:p>
        </w:tc>
        <w:tc>
          <w:tcPr>
            <w:tcW w:w="1733" w:type="dxa"/>
            <w:tcBorders>
              <w:tl2br w:val="nil"/>
              <w:tr2bl w:val="nil"/>
            </w:tcBorders>
            <w:shd w:val="clear" w:color="auto" w:fill="auto"/>
            <w:noWrap/>
            <w:vAlign w:val="center"/>
          </w:tcPr>
          <w:p w14:paraId="41472FD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太空景象观赏地</w:t>
            </w:r>
          </w:p>
        </w:tc>
      </w:tr>
      <w:tr w14:paraId="41942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3DF39A7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891" w:type="dxa"/>
            <w:vMerge w:val="continue"/>
            <w:tcBorders>
              <w:tl2br w:val="nil"/>
              <w:tr2bl w:val="nil"/>
            </w:tcBorders>
            <w:shd w:val="clear" w:color="auto" w:fill="auto"/>
            <w:noWrap/>
            <w:vAlign w:val="center"/>
          </w:tcPr>
          <w:p w14:paraId="44B095F8">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B7C0385">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竹林七贤</w:t>
            </w:r>
          </w:p>
        </w:tc>
        <w:tc>
          <w:tcPr>
            <w:tcW w:w="1250" w:type="dxa"/>
            <w:tcBorders>
              <w:tl2br w:val="nil"/>
              <w:tr2bl w:val="nil"/>
            </w:tcBorders>
            <w:shd w:val="clear" w:color="auto" w:fill="auto"/>
            <w:noWrap/>
            <w:vAlign w:val="center"/>
          </w:tcPr>
          <w:p w14:paraId="2DD7BC8F">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1F7B30E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340DB6F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地方人物</w:t>
            </w:r>
          </w:p>
        </w:tc>
      </w:tr>
      <w:tr w14:paraId="40920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6DFD9EB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891" w:type="dxa"/>
            <w:vMerge w:val="continue"/>
            <w:tcBorders>
              <w:tl2br w:val="nil"/>
              <w:tr2bl w:val="nil"/>
            </w:tcBorders>
            <w:shd w:val="clear" w:color="auto" w:fill="auto"/>
            <w:noWrap/>
            <w:vAlign w:val="center"/>
          </w:tcPr>
          <w:p w14:paraId="316FADAE">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718B426B">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修武净影大峡谷</w:t>
            </w:r>
          </w:p>
        </w:tc>
        <w:tc>
          <w:tcPr>
            <w:tcW w:w="1250" w:type="dxa"/>
            <w:tcBorders>
              <w:tl2br w:val="nil"/>
              <w:tr2bl w:val="nil"/>
            </w:tcBorders>
            <w:shd w:val="clear" w:color="auto" w:fill="auto"/>
            <w:noWrap/>
            <w:vAlign w:val="center"/>
          </w:tcPr>
          <w:p w14:paraId="7F656A6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48156F7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自然景观综合体</w:t>
            </w:r>
          </w:p>
        </w:tc>
        <w:tc>
          <w:tcPr>
            <w:tcW w:w="1733" w:type="dxa"/>
            <w:tcBorders>
              <w:tl2br w:val="nil"/>
              <w:tr2bl w:val="nil"/>
            </w:tcBorders>
            <w:shd w:val="clear" w:color="auto" w:fill="auto"/>
            <w:noWrap/>
            <w:vAlign w:val="center"/>
          </w:tcPr>
          <w:p w14:paraId="7F38C01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沟谷型景观</w:t>
            </w:r>
          </w:p>
        </w:tc>
      </w:tr>
      <w:tr w14:paraId="1DD98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168556D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891" w:type="dxa"/>
            <w:vMerge w:val="continue"/>
            <w:tcBorders>
              <w:tl2br w:val="nil"/>
              <w:tr2bl w:val="nil"/>
            </w:tcBorders>
            <w:shd w:val="clear" w:color="auto" w:fill="auto"/>
            <w:noWrap/>
            <w:vAlign w:val="center"/>
          </w:tcPr>
          <w:p w14:paraId="586898F2">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012EBC6D">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焦作云台山凤凰岭</w:t>
            </w:r>
          </w:p>
        </w:tc>
        <w:tc>
          <w:tcPr>
            <w:tcW w:w="1250" w:type="dxa"/>
            <w:tcBorders>
              <w:tl2br w:val="nil"/>
              <w:tr2bl w:val="nil"/>
            </w:tcBorders>
            <w:shd w:val="clear" w:color="auto" w:fill="auto"/>
            <w:noWrap/>
            <w:vAlign w:val="center"/>
          </w:tcPr>
          <w:p w14:paraId="74093F5E">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35F35AC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地表形态</w:t>
            </w:r>
          </w:p>
        </w:tc>
        <w:tc>
          <w:tcPr>
            <w:tcW w:w="1733" w:type="dxa"/>
            <w:tcBorders>
              <w:tl2br w:val="nil"/>
              <w:tr2bl w:val="nil"/>
            </w:tcBorders>
            <w:shd w:val="clear" w:color="auto" w:fill="auto"/>
            <w:noWrap/>
            <w:vAlign w:val="center"/>
          </w:tcPr>
          <w:p w14:paraId="67E12F3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峰柱状地景</w:t>
            </w:r>
          </w:p>
        </w:tc>
      </w:tr>
      <w:tr w14:paraId="119A8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775C3C0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891" w:type="dxa"/>
            <w:vMerge w:val="continue"/>
            <w:tcBorders>
              <w:tl2br w:val="nil"/>
              <w:tr2bl w:val="nil"/>
            </w:tcBorders>
            <w:shd w:val="clear" w:color="auto" w:fill="auto"/>
            <w:noWrap/>
            <w:vAlign w:val="center"/>
          </w:tcPr>
          <w:p w14:paraId="215D8062">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7C26135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焦作云台山潭瀑峡</w:t>
            </w:r>
          </w:p>
        </w:tc>
        <w:tc>
          <w:tcPr>
            <w:tcW w:w="1250" w:type="dxa"/>
            <w:tcBorders>
              <w:tl2br w:val="nil"/>
              <w:tr2bl w:val="nil"/>
            </w:tcBorders>
            <w:shd w:val="clear" w:color="auto" w:fill="auto"/>
            <w:noWrap/>
            <w:vAlign w:val="center"/>
          </w:tcPr>
          <w:p w14:paraId="48B4C362">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0A18999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自然景观综合体</w:t>
            </w:r>
          </w:p>
        </w:tc>
        <w:tc>
          <w:tcPr>
            <w:tcW w:w="1733" w:type="dxa"/>
            <w:tcBorders>
              <w:tl2br w:val="nil"/>
              <w:tr2bl w:val="nil"/>
            </w:tcBorders>
            <w:shd w:val="clear" w:color="auto" w:fill="auto"/>
            <w:noWrap/>
            <w:vAlign w:val="center"/>
          </w:tcPr>
          <w:p w14:paraId="5536C85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沟谷型景观</w:t>
            </w:r>
          </w:p>
        </w:tc>
      </w:tr>
      <w:tr w14:paraId="409E7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3131EDE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891" w:type="dxa"/>
            <w:vMerge w:val="continue"/>
            <w:tcBorders>
              <w:tl2br w:val="nil"/>
              <w:tr2bl w:val="nil"/>
            </w:tcBorders>
            <w:shd w:val="clear" w:color="auto" w:fill="auto"/>
            <w:noWrap/>
            <w:vAlign w:val="center"/>
          </w:tcPr>
          <w:p w14:paraId="6643D2FC">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EB3ABBD">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焦作云台山潭瀑峡瓮谷</w:t>
            </w:r>
          </w:p>
        </w:tc>
        <w:tc>
          <w:tcPr>
            <w:tcW w:w="1250" w:type="dxa"/>
            <w:tcBorders>
              <w:tl2br w:val="nil"/>
              <w:tr2bl w:val="nil"/>
            </w:tcBorders>
            <w:shd w:val="clear" w:color="auto" w:fill="auto"/>
            <w:noWrap/>
            <w:vAlign w:val="center"/>
          </w:tcPr>
          <w:p w14:paraId="21C9543B">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2C54512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自然景观综合体</w:t>
            </w:r>
          </w:p>
        </w:tc>
        <w:tc>
          <w:tcPr>
            <w:tcW w:w="1733" w:type="dxa"/>
            <w:tcBorders>
              <w:tl2br w:val="nil"/>
              <w:tr2bl w:val="nil"/>
            </w:tcBorders>
            <w:shd w:val="clear" w:color="auto" w:fill="auto"/>
            <w:noWrap/>
            <w:vAlign w:val="center"/>
          </w:tcPr>
          <w:p w14:paraId="7984EE6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沟谷型景观</w:t>
            </w:r>
          </w:p>
        </w:tc>
      </w:tr>
      <w:tr w14:paraId="4320B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69A0282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891" w:type="dxa"/>
            <w:vMerge w:val="continue"/>
            <w:tcBorders>
              <w:tl2br w:val="nil"/>
              <w:tr2bl w:val="nil"/>
            </w:tcBorders>
            <w:shd w:val="clear" w:color="auto" w:fill="auto"/>
            <w:noWrap/>
            <w:vAlign w:val="center"/>
          </w:tcPr>
          <w:p w14:paraId="0AB884EC">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32105BED">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焦作云台山云溪谷灯光秀</w:t>
            </w:r>
          </w:p>
        </w:tc>
        <w:tc>
          <w:tcPr>
            <w:tcW w:w="1250" w:type="dxa"/>
            <w:tcBorders>
              <w:tl2br w:val="nil"/>
              <w:tr2bl w:val="nil"/>
            </w:tcBorders>
            <w:shd w:val="clear" w:color="auto" w:fill="auto"/>
            <w:noWrap/>
            <w:vAlign w:val="center"/>
          </w:tcPr>
          <w:p w14:paraId="49F564B9">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天象与气候景观</w:t>
            </w:r>
          </w:p>
        </w:tc>
        <w:tc>
          <w:tcPr>
            <w:tcW w:w="1571" w:type="dxa"/>
            <w:tcBorders>
              <w:tl2br w:val="nil"/>
              <w:tr2bl w:val="nil"/>
            </w:tcBorders>
            <w:shd w:val="clear" w:color="auto" w:fill="auto"/>
            <w:noWrap/>
            <w:vAlign w:val="center"/>
          </w:tcPr>
          <w:p w14:paraId="5191773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天象景观</w:t>
            </w:r>
          </w:p>
        </w:tc>
        <w:tc>
          <w:tcPr>
            <w:tcW w:w="1733" w:type="dxa"/>
            <w:tcBorders>
              <w:tl2br w:val="nil"/>
              <w:tr2bl w:val="nil"/>
            </w:tcBorders>
            <w:shd w:val="clear" w:color="auto" w:fill="auto"/>
            <w:noWrap/>
            <w:vAlign w:val="center"/>
          </w:tcPr>
          <w:p w14:paraId="0E67152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地表光现象</w:t>
            </w:r>
          </w:p>
        </w:tc>
      </w:tr>
      <w:tr w14:paraId="4050A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32FB162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891" w:type="dxa"/>
            <w:vMerge w:val="continue"/>
            <w:tcBorders>
              <w:tl2br w:val="nil"/>
              <w:tr2bl w:val="nil"/>
            </w:tcBorders>
            <w:shd w:val="clear" w:color="auto" w:fill="auto"/>
            <w:noWrap/>
            <w:vAlign w:val="center"/>
          </w:tcPr>
          <w:p w14:paraId="39651222">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37AF3FE2">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焦作云台山潭瀑峡龙凤壁</w:t>
            </w:r>
          </w:p>
        </w:tc>
        <w:tc>
          <w:tcPr>
            <w:tcW w:w="1250" w:type="dxa"/>
            <w:tcBorders>
              <w:tl2br w:val="nil"/>
              <w:tr2bl w:val="nil"/>
            </w:tcBorders>
            <w:shd w:val="clear" w:color="auto" w:fill="auto"/>
            <w:noWrap/>
            <w:vAlign w:val="center"/>
          </w:tcPr>
          <w:p w14:paraId="038E8605">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56156FF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地表形态</w:t>
            </w:r>
          </w:p>
        </w:tc>
        <w:tc>
          <w:tcPr>
            <w:tcW w:w="1733" w:type="dxa"/>
            <w:tcBorders>
              <w:tl2br w:val="nil"/>
              <w:tr2bl w:val="nil"/>
            </w:tcBorders>
            <w:shd w:val="clear" w:color="auto" w:fill="auto"/>
            <w:noWrap/>
            <w:vAlign w:val="center"/>
          </w:tcPr>
          <w:p w14:paraId="77EB5B6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奇特与象形山石</w:t>
            </w:r>
          </w:p>
        </w:tc>
      </w:tr>
      <w:tr w14:paraId="4AE7F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3C12A2B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891" w:type="dxa"/>
            <w:vMerge w:val="continue"/>
            <w:tcBorders>
              <w:tl2br w:val="nil"/>
              <w:tr2bl w:val="nil"/>
            </w:tcBorders>
            <w:shd w:val="clear" w:color="auto" w:fill="auto"/>
            <w:noWrap/>
            <w:vAlign w:val="center"/>
          </w:tcPr>
          <w:p w14:paraId="18A4D5A6">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70AEDECB">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焦作云台山潭瀑峡钙华坝和水帘瀑</w:t>
            </w:r>
          </w:p>
        </w:tc>
        <w:tc>
          <w:tcPr>
            <w:tcW w:w="1250" w:type="dxa"/>
            <w:tcBorders>
              <w:tl2br w:val="nil"/>
              <w:tr2bl w:val="nil"/>
            </w:tcBorders>
            <w:shd w:val="clear" w:color="auto" w:fill="auto"/>
            <w:noWrap/>
            <w:vAlign w:val="center"/>
          </w:tcPr>
          <w:p w14:paraId="49716BCD">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水域景观</w:t>
            </w:r>
          </w:p>
        </w:tc>
        <w:tc>
          <w:tcPr>
            <w:tcW w:w="1571" w:type="dxa"/>
            <w:tcBorders>
              <w:tl2br w:val="nil"/>
              <w:tr2bl w:val="nil"/>
            </w:tcBorders>
            <w:shd w:val="clear" w:color="auto" w:fill="auto"/>
            <w:noWrap/>
            <w:vAlign w:val="center"/>
          </w:tcPr>
          <w:p w14:paraId="04A90D4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河系</w:t>
            </w:r>
          </w:p>
        </w:tc>
        <w:tc>
          <w:tcPr>
            <w:tcW w:w="1733" w:type="dxa"/>
            <w:tcBorders>
              <w:tl2br w:val="nil"/>
              <w:tr2bl w:val="nil"/>
            </w:tcBorders>
            <w:shd w:val="clear" w:color="auto" w:fill="auto"/>
            <w:noWrap/>
            <w:vAlign w:val="center"/>
          </w:tcPr>
          <w:p w14:paraId="7E8A3D6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瀑布</w:t>
            </w:r>
          </w:p>
        </w:tc>
      </w:tr>
      <w:tr w14:paraId="4FC8A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2ACF7C6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891" w:type="dxa"/>
            <w:vMerge w:val="continue"/>
            <w:tcBorders>
              <w:tl2br w:val="nil"/>
              <w:tr2bl w:val="nil"/>
            </w:tcBorders>
            <w:shd w:val="clear" w:color="auto" w:fill="auto"/>
            <w:noWrap/>
            <w:vAlign w:val="center"/>
          </w:tcPr>
          <w:p w14:paraId="42F89233">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2867125E">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焦作云台山潭瀑峡不老泉</w:t>
            </w:r>
          </w:p>
        </w:tc>
        <w:tc>
          <w:tcPr>
            <w:tcW w:w="1250" w:type="dxa"/>
            <w:tcBorders>
              <w:tl2br w:val="nil"/>
              <w:tr2bl w:val="nil"/>
            </w:tcBorders>
            <w:shd w:val="clear" w:color="auto" w:fill="auto"/>
            <w:noWrap/>
            <w:vAlign w:val="center"/>
          </w:tcPr>
          <w:p w14:paraId="22E9B5BF">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水域景观</w:t>
            </w:r>
          </w:p>
        </w:tc>
        <w:tc>
          <w:tcPr>
            <w:tcW w:w="1571" w:type="dxa"/>
            <w:tcBorders>
              <w:tl2br w:val="nil"/>
              <w:tr2bl w:val="nil"/>
            </w:tcBorders>
            <w:shd w:val="clear" w:color="auto" w:fill="auto"/>
            <w:noWrap/>
            <w:vAlign w:val="center"/>
          </w:tcPr>
          <w:p w14:paraId="2AAC5A6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地下水</w:t>
            </w:r>
          </w:p>
        </w:tc>
        <w:tc>
          <w:tcPr>
            <w:tcW w:w="1733" w:type="dxa"/>
            <w:tcBorders>
              <w:tl2br w:val="nil"/>
              <w:tr2bl w:val="nil"/>
            </w:tcBorders>
            <w:shd w:val="clear" w:color="auto" w:fill="auto"/>
            <w:noWrap/>
            <w:vAlign w:val="center"/>
          </w:tcPr>
          <w:p w14:paraId="725787F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泉</w:t>
            </w:r>
          </w:p>
        </w:tc>
      </w:tr>
      <w:tr w14:paraId="5E4A4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1949B36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891" w:type="dxa"/>
            <w:vMerge w:val="continue"/>
            <w:tcBorders>
              <w:tl2br w:val="nil"/>
              <w:tr2bl w:val="nil"/>
            </w:tcBorders>
            <w:shd w:val="clear" w:color="auto" w:fill="auto"/>
            <w:noWrap/>
            <w:vAlign w:val="center"/>
          </w:tcPr>
          <w:p w14:paraId="787CD83B">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02969532">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焦作云台山猕猴谷</w:t>
            </w:r>
          </w:p>
        </w:tc>
        <w:tc>
          <w:tcPr>
            <w:tcW w:w="1250" w:type="dxa"/>
            <w:tcBorders>
              <w:tl2br w:val="nil"/>
              <w:tr2bl w:val="nil"/>
            </w:tcBorders>
            <w:shd w:val="clear" w:color="auto" w:fill="auto"/>
            <w:noWrap/>
            <w:vAlign w:val="center"/>
          </w:tcPr>
          <w:p w14:paraId="151DB39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0B2A055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人文景观综合体</w:t>
            </w:r>
          </w:p>
        </w:tc>
        <w:tc>
          <w:tcPr>
            <w:tcW w:w="1733" w:type="dxa"/>
            <w:tcBorders>
              <w:tl2br w:val="nil"/>
              <w:tr2bl w:val="nil"/>
            </w:tcBorders>
            <w:shd w:val="clear" w:color="auto" w:fill="auto"/>
            <w:noWrap/>
            <w:vAlign w:val="center"/>
          </w:tcPr>
          <w:p w14:paraId="054777E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康体游乐休闲度假地</w:t>
            </w:r>
          </w:p>
        </w:tc>
      </w:tr>
      <w:tr w14:paraId="7C65A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23E0344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891" w:type="dxa"/>
            <w:vMerge w:val="continue"/>
            <w:tcBorders>
              <w:tl2br w:val="nil"/>
              <w:tr2bl w:val="nil"/>
            </w:tcBorders>
            <w:shd w:val="clear" w:color="auto" w:fill="auto"/>
            <w:noWrap/>
            <w:vAlign w:val="center"/>
          </w:tcPr>
          <w:p w14:paraId="77A88C7E">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E765079">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修武青龙峡游憩河段</w:t>
            </w:r>
          </w:p>
        </w:tc>
        <w:tc>
          <w:tcPr>
            <w:tcW w:w="1250" w:type="dxa"/>
            <w:tcBorders>
              <w:tl2br w:val="nil"/>
              <w:tr2bl w:val="nil"/>
            </w:tcBorders>
            <w:shd w:val="clear" w:color="auto" w:fill="auto"/>
            <w:noWrap/>
            <w:vAlign w:val="center"/>
          </w:tcPr>
          <w:p w14:paraId="0C2A6D3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水域景观</w:t>
            </w:r>
          </w:p>
        </w:tc>
        <w:tc>
          <w:tcPr>
            <w:tcW w:w="1571" w:type="dxa"/>
            <w:tcBorders>
              <w:tl2br w:val="nil"/>
              <w:tr2bl w:val="nil"/>
            </w:tcBorders>
            <w:shd w:val="clear" w:color="auto" w:fill="auto"/>
            <w:noWrap/>
            <w:vAlign w:val="center"/>
          </w:tcPr>
          <w:p w14:paraId="3FAA451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河系</w:t>
            </w:r>
          </w:p>
        </w:tc>
        <w:tc>
          <w:tcPr>
            <w:tcW w:w="1733" w:type="dxa"/>
            <w:tcBorders>
              <w:tl2br w:val="nil"/>
              <w:tr2bl w:val="nil"/>
            </w:tcBorders>
            <w:shd w:val="clear" w:color="auto" w:fill="auto"/>
            <w:noWrap/>
            <w:vAlign w:val="center"/>
          </w:tcPr>
          <w:p w14:paraId="7CD1C05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游憩河段</w:t>
            </w:r>
          </w:p>
        </w:tc>
      </w:tr>
      <w:tr w14:paraId="1FD83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562273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891" w:type="dxa"/>
            <w:vMerge w:val="continue"/>
            <w:tcBorders>
              <w:tl2br w:val="nil"/>
              <w:tr2bl w:val="nil"/>
            </w:tcBorders>
            <w:shd w:val="clear" w:color="auto" w:fill="auto"/>
            <w:noWrap/>
            <w:vAlign w:val="center"/>
          </w:tcPr>
          <w:p w14:paraId="644B42DA">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29B3297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焦作云台山泉瀑峡</w:t>
            </w:r>
          </w:p>
        </w:tc>
        <w:tc>
          <w:tcPr>
            <w:tcW w:w="1250" w:type="dxa"/>
            <w:tcBorders>
              <w:tl2br w:val="nil"/>
              <w:tr2bl w:val="nil"/>
            </w:tcBorders>
            <w:shd w:val="clear" w:color="auto" w:fill="auto"/>
            <w:noWrap/>
            <w:vAlign w:val="center"/>
          </w:tcPr>
          <w:p w14:paraId="7508F2D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3E829DC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自然景观综合体</w:t>
            </w:r>
          </w:p>
        </w:tc>
        <w:tc>
          <w:tcPr>
            <w:tcW w:w="1733" w:type="dxa"/>
            <w:tcBorders>
              <w:tl2br w:val="nil"/>
              <w:tr2bl w:val="nil"/>
            </w:tcBorders>
            <w:shd w:val="clear" w:color="auto" w:fill="auto"/>
            <w:noWrap/>
            <w:vAlign w:val="center"/>
          </w:tcPr>
          <w:p w14:paraId="418D19F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沟谷型景观</w:t>
            </w:r>
          </w:p>
        </w:tc>
      </w:tr>
      <w:tr w14:paraId="02443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76C2E23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891" w:type="dxa"/>
            <w:vMerge w:val="continue"/>
            <w:tcBorders>
              <w:tl2br w:val="nil"/>
              <w:tr2bl w:val="nil"/>
            </w:tcBorders>
            <w:shd w:val="clear" w:color="auto" w:fill="auto"/>
            <w:noWrap/>
            <w:vAlign w:val="center"/>
          </w:tcPr>
          <w:p w14:paraId="3BB6BD80">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21CDA975">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修武净影寺莲花山</w:t>
            </w:r>
          </w:p>
        </w:tc>
        <w:tc>
          <w:tcPr>
            <w:tcW w:w="1250" w:type="dxa"/>
            <w:tcBorders>
              <w:tl2br w:val="nil"/>
              <w:tr2bl w:val="nil"/>
            </w:tcBorders>
            <w:shd w:val="clear" w:color="auto" w:fill="auto"/>
            <w:noWrap/>
            <w:vAlign w:val="center"/>
          </w:tcPr>
          <w:p w14:paraId="004142B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08A152F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自然景观综合体</w:t>
            </w:r>
          </w:p>
        </w:tc>
        <w:tc>
          <w:tcPr>
            <w:tcW w:w="1733" w:type="dxa"/>
            <w:tcBorders>
              <w:tl2br w:val="nil"/>
              <w:tr2bl w:val="nil"/>
            </w:tcBorders>
            <w:shd w:val="clear" w:color="auto" w:fill="auto"/>
            <w:noWrap/>
            <w:vAlign w:val="center"/>
          </w:tcPr>
          <w:p w14:paraId="1594F96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山丘型景观</w:t>
            </w:r>
          </w:p>
        </w:tc>
      </w:tr>
      <w:tr w14:paraId="26E24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73F010B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891" w:type="dxa"/>
            <w:vMerge w:val="continue"/>
            <w:tcBorders>
              <w:tl2br w:val="nil"/>
              <w:tr2bl w:val="nil"/>
            </w:tcBorders>
            <w:shd w:val="clear" w:color="auto" w:fill="auto"/>
            <w:noWrap/>
            <w:vAlign w:val="center"/>
          </w:tcPr>
          <w:p w14:paraId="1B96E2F5">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2F83260">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焦作云台山天瀑峡</w:t>
            </w:r>
          </w:p>
        </w:tc>
        <w:tc>
          <w:tcPr>
            <w:tcW w:w="1250" w:type="dxa"/>
            <w:tcBorders>
              <w:tl2br w:val="nil"/>
              <w:tr2bl w:val="nil"/>
            </w:tcBorders>
            <w:shd w:val="clear" w:color="auto" w:fill="auto"/>
            <w:noWrap/>
            <w:vAlign w:val="center"/>
          </w:tcPr>
          <w:p w14:paraId="19DAADB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4D92528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自然景观综合体</w:t>
            </w:r>
          </w:p>
        </w:tc>
        <w:tc>
          <w:tcPr>
            <w:tcW w:w="1733" w:type="dxa"/>
            <w:tcBorders>
              <w:tl2br w:val="nil"/>
              <w:tr2bl w:val="nil"/>
            </w:tcBorders>
            <w:shd w:val="clear" w:color="auto" w:fill="auto"/>
            <w:noWrap/>
            <w:vAlign w:val="center"/>
          </w:tcPr>
          <w:p w14:paraId="63BE917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沟谷型景观</w:t>
            </w:r>
          </w:p>
        </w:tc>
      </w:tr>
      <w:tr w14:paraId="17D05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46811D9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891" w:type="dxa"/>
            <w:vMerge w:val="continue"/>
            <w:tcBorders>
              <w:tl2br w:val="nil"/>
              <w:tr2bl w:val="nil"/>
            </w:tcBorders>
            <w:shd w:val="clear" w:color="auto" w:fill="auto"/>
            <w:noWrap/>
            <w:vAlign w:val="center"/>
          </w:tcPr>
          <w:p w14:paraId="22C054CB">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188C353">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焦作云台山云溪谷</w:t>
            </w:r>
          </w:p>
        </w:tc>
        <w:tc>
          <w:tcPr>
            <w:tcW w:w="1250" w:type="dxa"/>
            <w:tcBorders>
              <w:tl2br w:val="nil"/>
              <w:tr2bl w:val="nil"/>
            </w:tcBorders>
            <w:shd w:val="clear" w:color="auto" w:fill="auto"/>
            <w:noWrap/>
            <w:vAlign w:val="center"/>
          </w:tcPr>
          <w:p w14:paraId="58FEFD29">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2E4A3CA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自然景观综合体</w:t>
            </w:r>
          </w:p>
        </w:tc>
        <w:tc>
          <w:tcPr>
            <w:tcW w:w="1733" w:type="dxa"/>
            <w:tcBorders>
              <w:tl2br w:val="nil"/>
              <w:tr2bl w:val="nil"/>
            </w:tcBorders>
            <w:shd w:val="clear" w:color="auto" w:fill="auto"/>
            <w:noWrap/>
            <w:vAlign w:val="center"/>
          </w:tcPr>
          <w:p w14:paraId="49F7371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沟谷型景观</w:t>
            </w:r>
          </w:p>
        </w:tc>
      </w:tr>
      <w:tr w14:paraId="0164A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5CEB48D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891" w:type="dxa"/>
            <w:vMerge w:val="continue"/>
            <w:tcBorders>
              <w:tl2br w:val="nil"/>
              <w:tr2bl w:val="nil"/>
            </w:tcBorders>
            <w:shd w:val="clear" w:color="auto" w:fill="auto"/>
            <w:noWrap/>
            <w:vAlign w:val="center"/>
          </w:tcPr>
          <w:p w14:paraId="4D3C183D">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3B887707">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焦作云台山峰林峡红叶</w:t>
            </w:r>
          </w:p>
        </w:tc>
        <w:tc>
          <w:tcPr>
            <w:tcW w:w="1250" w:type="dxa"/>
            <w:tcBorders>
              <w:tl2br w:val="nil"/>
              <w:tr2bl w:val="nil"/>
            </w:tcBorders>
            <w:shd w:val="clear" w:color="auto" w:fill="auto"/>
            <w:noWrap/>
            <w:vAlign w:val="center"/>
          </w:tcPr>
          <w:p w14:paraId="6358C1A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天象与气候景观</w:t>
            </w:r>
          </w:p>
        </w:tc>
        <w:tc>
          <w:tcPr>
            <w:tcW w:w="1571" w:type="dxa"/>
            <w:tcBorders>
              <w:tl2br w:val="nil"/>
              <w:tr2bl w:val="nil"/>
            </w:tcBorders>
            <w:shd w:val="clear" w:color="auto" w:fill="auto"/>
            <w:noWrap/>
            <w:vAlign w:val="center"/>
          </w:tcPr>
          <w:p w14:paraId="6B77F48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天气与气候现象</w:t>
            </w:r>
          </w:p>
        </w:tc>
        <w:tc>
          <w:tcPr>
            <w:tcW w:w="1733" w:type="dxa"/>
            <w:tcBorders>
              <w:tl2br w:val="nil"/>
              <w:tr2bl w:val="nil"/>
            </w:tcBorders>
            <w:shd w:val="clear" w:color="auto" w:fill="auto"/>
            <w:noWrap/>
            <w:vAlign w:val="center"/>
          </w:tcPr>
          <w:p w14:paraId="51729AE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物候景象</w:t>
            </w:r>
          </w:p>
        </w:tc>
      </w:tr>
      <w:tr w14:paraId="3294F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2895906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891" w:type="dxa"/>
            <w:vMerge w:val="continue"/>
            <w:tcBorders>
              <w:tl2br w:val="nil"/>
              <w:tr2bl w:val="nil"/>
            </w:tcBorders>
            <w:shd w:val="clear" w:color="auto" w:fill="auto"/>
            <w:noWrap/>
            <w:vAlign w:val="center"/>
          </w:tcPr>
          <w:p w14:paraId="03FAF60B">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51825D44">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焦作云台山百家岩孝女塔</w:t>
            </w:r>
          </w:p>
        </w:tc>
        <w:tc>
          <w:tcPr>
            <w:tcW w:w="1250" w:type="dxa"/>
            <w:tcBorders>
              <w:tl2br w:val="nil"/>
              <w:tr2bl w:val="nil"/>
            </w:tcBorders>
            <w:shd w:val="clear" w:color="auto" w:fill="auto"/>
            <w:noWrap/>
            <w:vAlign w:val="center"/>
          </w:tcPr>
          <w:p w14:paraId="049C37D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1DBB1E5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景观与小品建筑</w:t>
            </w:r>
          </w:p>
        </w:tc>
        <w:tc>
          <w:tcPr>
            <w:tcW w:w="1733" w:type="dxa"/>
            <w:tcBorders>
              <w:tl2br w:val="nil"/>
              <w:tr2bl w:val="nil"/>
            </w:tcBorders>
            <w:shd w:val="clear" w:color="auto" w:fill="auto"/>
            <w:noWrap/>
            <w:vAlign w:val="center"/>
          </w:tcPr>
          <w:p w14:paraId="2F97974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塔形建筑</w:t>
            </w:r>
          </w:p>
        </w:tc>
      </w:tr>
      <w:tr w14:paraId="0EBF0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594A1D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891" w:type="dxa"/>
            <w:vMerge w:val="continue"/>
            <w:tcBorders>
              <w:tl2br w:val="nil"/>
              <w:tr2bl w:val="nil"/>
            </w:tcBorders>
            <w:shd w:val="clear" w:color="auto" w:fill="auto"/>
            <w:noWrap/>
            <w:vAlign w:val="center"/>
          </w:tcPr>
          <w:p w14:paraId="1FBF9B64">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7F67DCD9">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焦作云台山小寨沟服务区游憩河段</w:t>
            </w:r>
          </w:p>
        </w:tc>
        <w:tc>
          <w:tcPr>
            <w:tcW w:w="1250" w:type="dxa"/>
            <w:tcBorders>
              <w:tl2br w:val="nil"/>
              <w:tr2bl w:val="nil"/>
            </w:tcBorders>
            <w:shd w:val="clear" w:color="auto" w:fill="auto"/>
            <w:noWrap/>
            <w:vAlign w:val="center"/>
          </w:tcPr>
          <w:p w14:paraId="31D29AD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水域景观</w:t>
            </w:r>
          </w:p>
        </w:tc>
        <w:tc>
          <w:tcPr>
            <w:tcW w:w="1571" w:type="dxa"/>
            <w:tcBorders>
              <w:tl2br w:val="nil"/>
              <w:tr2bl w:val="nil"/>
            </w:tcBorders>
            <w:shd w:val="clear" w:color="auto" w:fill="auto"/>
            <w:noWrap/>
            <w:vAlign w:val="center"/>
          </w:tcPr>
          <w:p w14:paraId="1ABAB1F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河系</w:t>
            </w:r>
          </w:p>
        </w:tc>
        <w:tc>
          <w:tcPr>
            <w:tcW w:w="1733" w:type="dxa"/>
            <w:tcBorders>
              <w:tl2br w:val="nil"/>
              <w:tr2bl w:val="nil"/>
            </w:tcBorders>
            <w:shd w:val="clear" w:color="auto" w:fill="auto"/>
            <w:noWrap/>
            <w:vAlign w:val="center"/>
          </w:tcPr>
          <w:p w14:paraId="01DDB07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游憩河段</w:t>
            </w:r>
          </w:p>
        </w:tc>
      </w:tr>
      <w:tr w14:paraId="5C8D1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54FC354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891" w:type="dxa"/>
            <w:vMerge w:val="continue"/>
            <w:tcBorders>
              <w:tl2br w:val="nil"/>
              <w:tr2bl w:val="nil"/>
            </w:tcBorders>
            <w:shd w:val="clear" w:color="auto" w:fill="auto"/>
            <w:noWrap/>
            <w:vAlign w:val="center"/>
          </w:tcPr>
          <w:p w14:paraId="7A17C1CC">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72B521F3">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焦作青龙峡日出</w:t>
            </w:r>
          </w:p>
        </w:tc>
        <w:tc>
          <w:tcPr>
            <w:tcW w:w="1250" w:type="dxa"/>
            <w:tcBorders>
              <w:tl2br w:val="nil"/>
              <w:tr2bl w:val="nil"/>
            </w:tcBorders>
            <w:shd w:val="clear" w:color="auto" w:fill="auto"/>
            <w:noWrap/>
            <w:vAlign w:val="center"/>
          </w:tcPr>
          <w:p w14:paraId="73C59674">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天象与气候景观</w:t>
            </w:r>
          </w:p>
        </w:tc>
        <w:tc>
          <w:tcPr>
            <w:tcW w:w="1571" w:type="dxa"/>
            <w:tcBorders>
              <w:tl2br w:val="nil"/>
              <w:tr2bl w:val="nil"/>
            </w:tcBorders>
            <w:shd w:val="clear" w:color="auto" w:fill="auto"/>
            <w:noWrap/>
            <w:vAlign w:val="center"/>
          </w:tcPr>
          <w:p w14:paraId="795F3A9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天象景观</w:t>
            </w:r>
          </w:p>
        </w:tc>
        <w:tc>
          <w:tcPr>
            <w:tcW w:w="1733" w:type="dxa"/>
            <w:tcBorders>
              <w:tl2br w:val="nil"/>
              <w:tr2bl w:val="nil"/>
            </w:tcBorders>
            <w:shd w:val="clear" w:color="auto" w:fill="auto"/>
            <w:noWrap/>
            <w:vAlign w:val="center"/>
          </w:tcPr>
          <w:p w14:paraId="2E6F17C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太空景象观赏地</w:t>
            </w:r>
          </w:p>
        </w:tc>
      </w:tr>
      <w:tr w14:paraId="223D2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53ACA5A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891" w:type="dxa"/>
            <w:vMerge w:val="continue"/>
            <w:tcBorders>
              <w:tl2br w:val="nil"/>
              <w:tr2bl w:val="nil"/>
            </w:tcBorders>
            <w:shd w:val="clear" w:color="auto" w:fill="auto"/>
            <w:noWrap/>
            <w:vAlign w:val="center"/>
          </w:tcPr>
          <w:p w14:paraId="385867FE">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34E124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焦作云台山红石峡万泉崖</w:t>
            </w:r>
          </w:p>
        </w:tc>
        <w:tc>
          <w:tcPr>
            <w:tcW w:w="1250" w:type="dxa"/>
            <w:tcBorders>
              <w:tl2br w:val="nil"/>
              <w:tr2bl w:val="nil"/>
            </w:tcBorders>
            <w:shd w:val="clear" w:color="auto" w:fill="auto"/>
            <w:noWrap/>
            <w:vAlign w:val="center"/>
          </w:tcPr>
          <w:p w14:paraId="0848474F">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0C3EFA4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地质与构造形迹</w:t>
            </w:r>
          </w:p>
        </w:tc>
        <w:tc>
          <w:tcPr>
            <w:tcW w:w="1733" w:type="dxa"/>
            <w:tcBorders>
              <w:tl2br w:val="nil"/>
              <w:tr2bl w:val="nil"/>
            </w:tcBorders>
            <w:shd w:val="clear" w:color="auto" w:fill="auto"/>
            <w:noWrap/>
            <w:vAlign w:val="center"/>
          </w:tcPr>
          <w:p w14:paraId="1BE9065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断裂景观</w:t>
            </w:r>
          </w:p>
        </w:tc>
      </w:tr>
      <w:tr w14:paraId="19719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5C6E6F9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891" w:type="dxa"/>
            <w:vMerge w:val="continue"/>
            <w:tcBorders>
              <w:tl2br w:val="nil"/>
              <w:tr2bl w:val="nil"/>
            </w:tcBorders>
            <w:shd w:val="clear" w:color="auto" w:fill="auto"/>
            <w:noWrap/>
            <w:vAlign w:val="center"/>
          </w:tcPr>
          <w:p w14:paraId="4F951E51">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346C2CC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焦作青龙峡五彩长崖</w:t>
            </w:r>
          </w:p>
        </w:tc>
        <w:tc>
          <w:tcPr>
            <w:tcW w:w="1250" w:type="dxa"/>
            <w:tcBorders>
              <w:tl2br w:val="nil"/>
              <w:tr2bl w:val="nil"/>
            </w:tcBorders>
            <w:shd w:val="clear" w:color="auto" w:fill="auto"/>
            <w:noWrap/>
            <w:vAlign w:val="center"/>
          </w:tcPr>
          <w:p w14:paraId="10A9E7F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59B82E0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地质与构造形迹</w:t>
            </w:r>
          </w:p>
        </w:tc>
        <w:tc>
          <w:tcPr>
            <w:tcW w:w="1733" w:type="dxa"/>
            <w:tcBorders>
              <w:tl2br w:val="nil"/>
              <w:tr2bl w:val="nil"/>
            </w:tcBorders>
            <w:shd w:val="clear" w:color="auto" w:fill="auto"/>
            <w:noWrap/>
            <w:vAlign w:val="center"/>
          </w:tcPr>
          <w:p w14:paraId="2BB889B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断裂景观</w:t>
            </w:r>
          </w:p>
        </w:tc>
      </w:tr>
      <w:tr w14:paraId="2AD6C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65A7841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891" w:type="dxa"/>
            <w:vMerge w:val="continue"/>
            <w:tcBorders>
              <w:tl2br w:val="nil"/>
              <w:tr2bl w:val="nil"/>
            </w:tcBorders>
            <w:shd w:val="clear" w:color="auto" w:fill="auto"/>
            <w:noWrap/>
            <w:vAlign w:val="center"/>
          </w:tcPr>
          <w:p w14:paraId="67273F49">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80BA2AF">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焦作青龙峡台地型景观</w:t>
            </w:r>
          </w:p>
        </w:tc>
        <w:tc>
          <w:tcPr>
            <w:tcW w:w="1250" w:type="dxa"/>
            <w:tcBorders>
              <w:tl2br w:val="nil"/>
              <w:tr2bl w:val="nil"/>
            </w:tcBorders>
            <w:shd w:val="clear" w:color="auto" w:fill="auto"/>
            <w:noWrap/>
            <w:vAlign w:val="center"/>
          </w:tcPr>
          <w:p w14:paraId="3A8E61F4">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5A55D62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自然景观综合体</w:t>
            </w:r>
          </w:p>
        </w:tc>
        <w:tc>
          <w:tcPr>
            <w:tcW w:w="1733" w:type="dxa"/>
            <w:tcBorders>
              <w:tl2br w:val="nil"/>
              <w:tr2bl w:val="nil"/>
            </w:tcBorders>
            <w:shd w:val="clear" w:color="auto" w:fill="auto"/>
            <w:noWrap/>
            <w:vAlign w:val="center"/>
          </w:tcPr>
          <w:p w14:paraId="22E09D7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台地型景观</w:t>
            </w:r>
          </w:p>
        </w:tc>
      </w:tr>
      <w:tr w14:paraId="7C7B4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69A0AA6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891" w:type="dxa"/>
            <w:vMerge w:val="continue"/>
            <w:tcBorders>
              <w:tl2br w:val="nil"/>
              <w:tr2bl w:val="nil"/>
            </w:tcBorders>
            <w:shd w:val="clear" w:color="auto" w:fill="auto"/>
            <w:noWrap/>
            <w:vAlign w:val="center"/>
          </w:tcPr>
          <w:p w14:paraId="68B3D8E3">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BFADC64">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修武一斗水村</w:t>
            </w:r>
          </w:p>
        </w:tc>
        <w:tc>
          <w:tcPr>
            <w:tcW w:w="1250" w:type="dxa"/>
            <w:tcBorders>
              <w:tl2br w:val="nil"/>
              <w:tr2bl w:val="nil"/>
            </w:tcBorders>
            <w:shd w:val="clear" w:color="auto" w:fill="auto"/>
            <w:noWrap/>
            <w:vAlign w:val="center"/>
          </w:tcPr>
          <w:p w14:paraId="22CF765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4E919D8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人文景观综合体</w:t>
            </w:r>
          </w:p>
        </w:tc>
        <w:tc>
          <w:tcPr>
            <w:tcW w:w="1733" w:type="dxa"/>
            <w:tcBorders>
              <w:tl2br w:val="nil"/>
              <w:tr2bl w:val="nil"/>
            </w:tcBorders>
            <w:shd w:val="clear" w:color="auto" w:fill="auto"/>
            <w:noWrap/>
            <w:vAlign w:val="center"/>
          </w:tcPr>
          <w:p w14:paraId="503F192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康体游乐休闲度假地</w:t>
            </w:r>
          </w:p>
        </w:tc>
      </w:tr>
      <w:tr w14:paraId="0DC92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F2D8D3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891" w:type="dxa"/>
            <w:vMerge w:val="continue"/>
            <w:tcBorders>
              <w:tl2br w:val="nil"/>
              <w:tr2bl w:val="nil"/>
            </w:tcBorders>
            <w:shd w:val="clear" w:color="auto" w:fill="auto"/>
            <w:noWrap/>
            <w:vAlign w:val="center"/>
          </w:tcPr>
          <w:p w14:paraId="282B2746">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00C584C2">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焦作云台山子房湖桃花水母栖息地</w:t>
            </w:r>
          </w:p>
        </w:tc>
        <w:tc>
          <w:tcPr>
            <w:tcW w:w="1250" w:type="dxa"/>
            <w:tcBorders>
              <w:tl2br w:val="nil"/>
              <w:tr2bl w:val="nil"/>
            </w:tcBorders>
            <w:shd w:val="clear" w:color="auto" w:fill="auto"/>
            <w:noWrap/>
            <w:vAlign w:val="center"/>
          </w:tcPr>
          <w:p w14:paraId="0D45730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生物景观</w:t>
            </w:r>
          </w:p>
        </w:tc>
        <w:tc>
          <w:tcPr>
            <w:tcW w:w="1571" w:type="dxa"/>
            <w:tcBorders>
              <w:tl2br w:val="nil"/>
              <w:tr2bl w:val="nil"/>
            </w:tcBorders>
            <w:shd w:val="clear" w:color="auto" w:fill="auto"/>
            <w:noWrap/>
            <w:vAlign w:val="center"/>
          </w:tcPr>
          <w:p w14:paraId="5AC2F2B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野生动物栖息地</w:t>
            </w:r>
          </w:p>
        </w:tc>
        <w:tc>
          <w:tcPr>
            <w:tcW w:w="1733" w:type="dxa"/>
            <w:tcBorders>
              <w:tl2br w:val="nil"/>
              <w:tr2bl w:val="nil"/>
            </w:tcBorders>
            <w:shd w:val="clear" w:color="auto" w:fill="auto"/>
            <w:noWrap/>
            <w:vAlign w:val="center"/>
          </w:tcPr>
          <w:p w14:paraId="0D1CF4C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水生动物栖息地</w:t>
            </w:r>
          </w:p>
        </w:tc>
      </w:tr>
      <w:tr w14:paraId="2107C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5D473B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891" w:type="dxa"/>
            <w:vMerge w:val="continue"/>
            <w:tcBorders>
              <w:tl2br w:val="nil"/>
              <w:tr2bl w:val="nil"/>
            </w:tcBorders>
            <w:shd w:val="clear" w:color="auto" w:fill="auto"/>
            <w:noWrap/>
            <w:vAlign w:val="center"/>
          </w:tcPr>
          <w:p w14:paraId="4E2E9B65">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2F53FF04">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焦作云台山百家岩玉皇顶</w:t>
            </w:r>
          </w:p>
        </w:tc>
        <w:tc>
          <w:tcPr>
            <w:tcW w:w="1250" w:type="dxa"/>
            <w:tcBorders>
              <w:tl2br w:val="nil"/>
              <w:tr2bl w:val="nil"/>
            </w:tcBorders>
            <w:shd w:val="clear" w:color="auto" w:fill="auto"/>
            <w:noWrap/>
            <w:vAlign w:val="center"/>
          </w:tcPr>
          <w:p w14:paraId="167D665F">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504639B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自然景观综合体</w:t>
            </w:r>
          </w:p>
        </w:tc>
        <w:tc>
          <w:tcPr>
            <w:tcW w:w="1733" w:type="dxa"/>
            <w:tcBorders>
              <w:tl2br w:val="nil"/>
              <w:tr2bl w:val="nil"/>
            </w:tcBorders>
            <w:shd w:val="clear" w:color="auto" w:fill="auto"/>
            <w:noWrap/>
            <w:vAlign w:val="center"/>
          </w:tcPr>
          <w:p w14:paraId="5846D1F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台地型景观</w:t>
            </w:r>
          </w:p>
        </w:tc>
      </w:tr>
      <w:tr w14:paraId="33C72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8A6BCF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891" w:type="dxa"/>
            <w:vMerge w:val="continue"/>
            <w:tcBorders>
              <w:tl2br w:val="nil"/>
              <w:tr2bl w:val="nil"/>
            </w:tcBorders>
            <w:shd w:val="clear" w:color="auto" w:fill="auto"/>
            <w:noWrap/>
            <w:vAlign w:val="center"/>
          </w:tcPr>
          <w:p w14:paraId="41C326DE">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2AC35FF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焦作云台山泉瀑峡孔雀泉</w:t>
            </w:r>
          </w:p>
        </w:tc>
        <w:tc>
          <w:tcPr>
            <w:tcW w:w="1250" w:type="dxa"/>
            <w:tcBorders>
              <w:tl2br w:val="nil"/>
              <w:tr2bl w:val="nil"/>
            </w:tcBorders>
            <w:shd w:val="clear" w:color="auto" w:fill="auto"/>
            <w:noWrap/>
            <w:vAlign w:val="center"/>
          </w:tcPr>
          <w:p w14:paraId="3E6BBAFB">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水域景观</w:t>
            </w:r>
          </w:p>
        </w:tc>
        <w:tc>
          <w:tcPr>
            <w:tcW w:w="1571" w:type="dxa"/>
            <w:tcBorders>
              <w:tl2br w:val="nil"/>
              <w:tr2bl w:val="nil"/>
            </w:tcBorders>
            <w:shd w:val="clear" w:color="auto" w:fill="auto"/>
            <w:noWrap/>
            <w:vAlign w:val="center"/>
          </w:tcPr>
          <w:p w14:paraId="24C5F97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地下水</w:t>
            </w:r>
          </w:p>
        </w:tc>
        <w:tc>
          <w:tcPr>
            <w:tcW w:w="1733" w:type="dxa"/>
            <w:tcBorders>
              <w:tl2br w:val="nil"/>
              <w:tr2bl w:val="nil"/>
            </w:tcBorders>
            <w:shd w:val="clear" w:color="auto" w:fill="auto"/>
            <w:noWrap/>
            <w:vAlign w:val="center"/>
          </w:tcPr>
          <w:p w14:paraId="3025FC5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泉</w:t>
            </w:r>
          </w:p>
        </w:tc>
      </w:tr>
      <w:tr w14:paraId="1E2C8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3FF6982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891" w:type="dxa"/>
            <w:vMerge w:val="continue"/>
            <w:tcBorders>
              <w:tl2br w:val="nil"/>
              <w:tr2bl w:val="nil"/>
            </w:tcBorders>
            <w:shd w:val="clear" w:color="auto" w:fill="auto"/>
            <w:noWrap/>
            <w:vAlign w:val="center"/>
          </w:tcPr>
          <w:p w14:paraId="6B54DD82">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3CA5FBA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焦作云台山旅游节</w:t>
            </w:r>
          </w:p>
        </w:tc>
        <w:tc>
          <w:tcPr>
            <w:tcW w:w="1250" w:type="dxa"/>
            <w:tcBorders>
              <w:tl2br w:val="nil"/>
              <w:tr2bl w:val="nil"/>
            </w:tcBorders>
            <w:shd w:val="clear" w:color="auto" w:fill="auto"/>
            <w:noWrap/>
            <w:vAlign w:val="center"/>
          </w:tcPr>
          <w:p w14:paraId="0EDF7EC4">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35DF667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岁时节令</w:t>
            </w:r>
          </w:p>
        </w:tc>
        <w:tc>
          <w:tcPr>
            <w:tcW w:w="1733" w:type="dxa"/>
            <w:tcBorders>
              <w:tl2br w:val="nil"/>
              <w:tr2bl w:val="nil"/>
            </w:tcBorders>
            <w:shd w:val="clear" w:color="auto" w:fill="auto"/>
            <w:noWrap/>
            <w:vAlign w:val="center"/>
          </w:tcPr>
          <w:p w14:paraId="64084C0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现代节庆</w:t>
            </w:r>
          </w:p>
        </w:tc>
      </w:tr>
      <w:tr w14:paraId="60F83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23C9EF7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891" w:type="dxa"/>
            <w:vMerge w:val="continue"/>
            <w:tcBorders>
              <w:tl2br w:val="nil"/>
              <w:tr2bl w:val="nil"/>
            </w:tcBorders>
            <w:shd w:val="clear" w:color="auto" w:fill="auto"/>
            <w:noWrap/>
            <w:vAlign w:val="center"/>
          </w:tcPr>
          <w:p w14:paraId="46E6D3AB">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733FF2E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焦作云台山红石峡游憩河段</w:t>
            </w:r>
          </w:p>
        </w:tc>
        <w:tc>
          <w:tcPr>
            <w:tcW w:w="1250" w:type="dxa"/>
            <w:tcBorders>
              <w:tl2br w:val="nil"/>
              <w:tr2bl w:val="nil"/>
            </w:tcBorders>
            <w:shd w:val="clear" w:color="auto" w:fill="auto"/>
            <w:noWrap/>
            <w:vAlign w:val="center"/>
          </w:tcPr>
          <w:p w14:paraId="281A28D3">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水域景观</w:t>
            </w:r>
          </w:p>
        </w:tc>
        <w:tc>
          <w:tcPr>
            <w:tcW w:w="1571" w:type="dxa"/>
            <w:tcBorders>
              <w:tl2br w:val="nil"/>
              <w:tr2bl w:val="nil"/>
            </w:tcBorders>
            <w:shd w:val="clear" w:color="auto" w:fill="auto"/>
            <w:noWrap/>
            <w:vAlign w:val="center"/>
          </w:tcPr>
          <w:p w14:paraId="0BC45C4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河系</w:t>
            </w:r>
          </w:p>
        </w:tc>
        <w:tc>
          <w:tcPr>
            <w:tcW w:w="1733" w:type="dxa"/>
            <w:tcBorders>
              <w:tl2br w:val="nil"/>
              <w:tr2bl w:val="nil"/>
            </w:tcBorders>
            <w:shd w:val="clear" w:color="auto" w:fill="auto"/>
            <w:noWrap/>
            <w:vAlign w:val="center"/>
          </w:tcPr>
          <w:p w14:paraId="28D70DB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游憩河段</w:t>
            </w:r>
          </w:p>
        </w:tc>
      </w:tr>
      <w:tr w14:paraId="6C8D1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4727879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891" w:type="dxa"/>
            <w:vMerge w:val="continue"/>
            <w:tcBorders>
              <w:tl2br w:val="nil"/>
              <w:tr2bl w:val="nil"/>
            </w:tcBorders>
            <w:shd w:val="clear" w:color="auto" w:fill="auto"/>
            <w:noWrap/>
            <w:vAlign w:val="center"/>
          </w:tcPr>
          <w:p w14:paraId="63780A31">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7321F893">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焦作云台山潭瀑峡游憩河段</w:t>
            </w:r>
          </w:p>
        </w:tc>
        <w:tc>
          <w:tcPr>
            <w:tcW w:w="1250" w:type="dxa"/>
            <w:tcBorders>
              <w:tl2br w:val="nil"/>
              <w:tr2bl w:val="nil"/>
            </w:tcBorders>
            <w:shd w:val="clear" w:color="auto" w:fill="auto"/>
            <w:noWrap/>
            <w:vAlign w:val="center"/>
          </w:tcPr>
          <w:p w14:paraId="621E755E">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水域景观</w:t>
            </w:r>
          </w:p>
        </w:tc>
        <w:tc>
          <w:tcPr>
            <w:tcW w:w="1571" w:type="dxa"/>
            <w:tcBorders>
              <w:tl2br w:val="nil"/>
              <w:tr2bl w:val="nil"/>
            </w:tcBorders>
            <w:shd w:val="clear" w:color="auto" w:fill="auto"/>
            <w:noWrap/>
            <w:vAlign w:val="center"/>
          </w:tcPr>
          <w:p w14:paraId="000D794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河系</w:t>
            </w:r>
          </w:p>
        </w:tc>
        <w:tc>
          <w:tcPr>
            <w:tcW w:w="1733" w:type="dxa"/>
            <w:tcBorders>
              <w:tl2br w:val="nil"/>
              <w:tr2bl w:val="nil"/>
            </w:tcBorders>
            <w:shd w:val="clear" w:color="auto" w:fill="auto"/>
            <w:noWrap/>
            <w:vAlign w:val="center"/>
          </w:tcPr>
          <w:p w14:paraId="37D605A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游憩河段</w:t>
            </w:r>
          </w:p>
        </w:tc>
      </w:tr>
      <w:tr w14:paraId="1B347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5064CD0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891" w:type="dxa"/>
            <w:vMerge w:val="continue"/>
            <w:tcBorders>
              <w:tl2br w:val="nil"/>
              <w:tr2bl w:val="nil"/>
            </w:tcBorders>
            <w:shd w:val="clear" w:color="auto" w:fill="auto"/>
            <w:noWrap/>
            <w:vAlign w:val="center"/>
          </w:tcPr>
          <w:p w14:paraId="06D354B5">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32B8DF39">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焦作云台山冰挂雾凇</w:t>
            </w:r>
          </w:p>
        </w:tc>
        <w:tc>
          <w:tcPr>
            <w:tcW w:w="1250" w:type="dxa"/>
            <w:tcBorders>
              <w:tl2br w:val="nil"/>
              <w:tr2bl w:val="nil"/>
            </w:tcBorders>
            <w:shd w:val="clear" w:color="auto" w:fill="auto"/>
            <w:noWrap/>
            <w:vAlign w:val="center"/>
          </w:tcPr>
          <w:p w14:paraId="393F7D27">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天象与气候景观</w:t>
            </w:r>
          </w:p>
        </w:tc>
        <w:tc>
          <w:tcPr>
            <w:tcW w:w="1571" w:type="dxa"/>
            <w:tcBorders>
              <w:tl2br w:val="nil"/>
              <w:tr2bl w:val="nil"/>
            </w:tcBorders>
            <w:shd w:val="clear" w:color="auto" w:fill="auto"/>
            <w:noWrap/>
            <w:vAlign w:val="center"/>
          </w:tcPr>
          <w:p w14:paraId="19FE96B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天气与气候现象</w:t>
            </w:r>
          </w:p>
        </w:tc>
        <w:tc>
          <w:tcPr>
            <w:tcW w:w="1733" w:type="dxa"/>
            <w:tcBorders>
              <w:tl2br w:val="nil"/>
              <w:tr2bl w:val="nil"/>
            </w:tcBorders>
            <w:shd w:val="clear" w:color="auto" w:fill="auto"/>
            <w:noWrap/>
            <w:vAlign w:val="center"/>
          </w:tcPr>
          <w:p w14:paraId="7FF5242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云雾多发区</w:t>
            </w:r>
          </w:p>
        </w:tc>
      </w:tr>
      <w:tr w14:paraId="42BE5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5C9E253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891" w:type="dxa"/>
            <w:vMerge w:val="continue"/>
            <w:tcBorders>
              <w:tl2br w:val="nil"/>
              <w:tr2bl w:val="nil"/>
            </w:tcBorders>
            <w:shd w:val="clear" w:color="auto" w:fill="auto"/>
            <w:noWrap/>
            <w:vAlign w:val="center"/>
          </w:tcPr>
          <w:p w14:paraId="7BAB38C1">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5CC3051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焦作青龙峡青龙瀑</w:t>
            </w:r>
          </w:p>
        </w:tc>
        <w:tc>
          <w:tcPr>
            <w:tcW w:w="1250" w:type="dxa"/>
            <w:tcBorders>
              <w:tl2br w:val="nil"/>
              <w:tr2bl w:val="nil"/>
            </w:tcBorders>
            <w:shd w:val="clear" w:color="auto" w:fill="auto"/>
            <w:noWrap/>
            <w:vAlign w:val="center"/>
          </w:tcPr>
          <w:p w14:paraId="46A2D370">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水域景观</w:t>
            </w:r>
          </w:p>
        </w:tc>
        <w:tc>
          <w:tcPr>
            <w:tcW w:w="1571" w:type="dxa"/>
            <w:tcBorders>
              <w:tl2br w:val="nil"/>
              <w:tr2bl w:val="nil"/>
            </w:tcBorders>
            <w:shd w:val="clear" w:color="auto" w:fill="auto"/>
            <w:noWrap/>
            <w:vAlign w:val="center"/>
          </w:tcPr>
          <w:p w14:paraId="56525EE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河系</w:t>
            </w:r>
          </w:p>
        </w:tc>
        <w:tc>
          <w:tcPr>
            <w:tcW w:w="1733" w:type="dxa"/>
            <w:tcBorders>
              <w:tl2br w:val="nil"/>
              <w:tr2bl w:val="nil"/>
            </w:tcBorders>
            <w:shd w:val="clear" w:color="auto" w:fill="auto"/>
            <w:noWrap/>
            <w:vAlign w:val="center"/>
          </w:tcPr>
          <w:p w14:paraId="6A03300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瀑布</w:t>
            </w:r>
          </w:p>
        </w:tc>
      </w:tr>
      <w:tr w14:paraId="0C7A5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620F7C8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891" w:type="dxa"/>
            <w:vMerge w:val="continue"/>
            <w:tcBorders>
              <w:tl2br w:val="nil"/>
              <w:tr2bl w:val="nil"/>
            </w:tcBorders>
            <w:shd w:val="clear" w:color="auto" w:fill="auto"/>
            <w:noWrap/>
            <w:vAlign w:val="center"/>
          </w:tcPr>
          <w:p w14:paraId="0CE6CCCB">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02C648B2">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焦作青龙峡九连瀑</w:t>
            </w:r>
          </w:p>
        </w:tc>
        <w:tc>
          <w:tcPr>
            <w:tcW w:w="1250" w:type="dxa"/>
            <w:tcBorders>
              <w:tl2br w:val="nil"/>
              <w:tr2bl w:val="nil"/>
            </w:tcBorders>
            <w:shd w:val="clear" w:color="auto" w:fill="auto"/>
            <w:noWrap/>
            <w:vAlign w:val="center"/>
          </w:tcPr>
          <w:p w14:paraId="06D970F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水域景观</w:t>
            </w:r>
          </w:p>
        </w:tc>
        <w:tc>
          <w:tcPr>
            <w:tcW w:w="1571" w:type="dxa"/>
            <w:tcBorders>
              <w:tl2br w:val="nil"/>
              <w:tr2bl w:val="nil"/>
            </w:tcBorders>
            <w:shd w:val="clear" w:color="auto" w:fill="auto"/>
            <w:noWrap/>
            <w:vAlign w:val="center"/>
          </w:tcPr>
          <w:p w14:paraId="1F871D0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河系</w:t>
            </w:r>
          </w:p>
        </w:tc>
        <w:tc>
          <w:tcPr>
            <w:tcW w:w="1733" w:type="dxa"/>
            <w:tcBorders>
              <w:tl2br w:val="nil"/>
              <w:tr2bl w:val="nil"/>
            </w:tcBorders>
            <w:shd w:val="clear" w:color="auto" w:fill="auto"/>
            <w:noWrap/>
            <w:vAlign w:val="center"/>
          </w:tcPr>
          <w:p w14:paraId="3D50F8F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瀑布</w:t>
            </w:r>
          </w:p>
        </w:tc>
      </w:tr>
      <w:tr w14:paraId="71698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4AB91AA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891" w:type="dxa"/>
            <w:vMerge w:val="continue"/>
            <w:tcBorders>
              <w:tl2br w:val="nil"/>
              <w:tr2bl w:val="nil"/>
            </w:tcBorders>
            <w:shd w:val="clear" w:color="auto" w:fill="auto"/>
            <w:noWrap/>
            <w:vAlign w:val="center"/>
          </w:tcPr>
          <w:p w14:paraId="139DC64D">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0BA9833">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焦作圆融寺</w:t>
            </w:r>
          </w:p>
        </w:tc>
        <w:tc>
          <w:tcPr>
            <w:tcW w:w="1250" w:type="dxa"/>
            <w:tcBorders>
              <w:tl2br w:val="nil"/>
              <w:tr2bl w:val="nil"/>
            </w:tcBorders>
            <w:shd w:val="clear" w:color="auto" w:fill="auto"/>
            <w:noWrap/>
            <w:vAlign w:val="center"/>
          </w:tcPr>
          <w:p w14:paraId="2A9B976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1A9879F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人文景观综合体</w:t>
            </w:r>
          </w:p>
        </w:tc>
        <w:tc>
          <w:tcPr>
            <w:tcW w:w="1733" w:type="dxa"/>
            <w:tcBorders>
              <w:tl2br w:val="nil"/>
              <w:tr2bl w:val="nil"/>
            </w:tcBorders>
            <w:shd w:val="clear" w:color="auto" w:fill="auto"/>
            <w:noWrap/>
            <w:vAlign w:val="center"/>
          </w:tcPr>
          <w:p w14:paraId="1D80E6C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宗教与祭祀活动场所</w:t>
            </w:r>
          </w:p>
        </w:tc>
      </w:tr>
      <w:tr w14:paraId="6401C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6E3C8CE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891" w:type="dxa"/>
            <w:vMerge w:val="continue"/>
            <w:tcBorders>
              <w:tl2br w:val="nil"/>
              <w:tr2bl w:val="nil"/>
            </w:tcBorders>
            <w:shd w:val="clear" w:color="auto" w:fill="auto"/>
            <w:noWrap/>
            <w:vAlign w:val="center"/>
          </w:tcPr>
          <w:p w14:paraId="6B44A602">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194C3C5">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焦作云台山黄楝沟佛掌峰</w:t>
            </w:r>
          </w:p>
        </w:tc>
        <w:tc>
          <w:tcPr>
            <w:tcW w:w="1250" w:type="dxa"/>
            <w:tcBorders>
              <w:tl2br w:val="nil"/>
              <w:tr2bl w:val="nil"/>
            </w:tcBorders>
            <w:shd w:val="clear" w:color="auto" w:fill="auto"/>
            <w:noWrap/>
            <w:vAlign w:val="center"/>
          </w:tcPr>
          <w:p w14:paraId="71BF700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63A6E2C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地表形态</w:t>
            </w:r>
          </w:p>
        </w:tc>
        <w:tc>
          <w:tcPr>
            <w:tcW w:w="1733" w:type="dxa"/>
            <w:tcBorders>
              <w:tl2br w:val="nil"/>
              <w:tr2bl w:val="nil"/>
            </w:tcBorders>
            <w:shd w:val="clear" w:color="auto" w:fill="auto"/>
            <w:noWrap/>
            <w:vAlign w:val="center"/>
          </w:tcPr>
          <w:p w14:paraId="44660E9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峰柱状地景</w:t>
            </w:r>
          </w:p>
        </w:tc>
      </w:tr>
      <w:tr w14:paraId="548EA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D975F3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891" w:type="dxa"/>
            <w:vMerge w:val="continue"/>
            <w:tcBorders>
              <w:tl2br w:val="nil"/>
              <w:tr2bl w:val="nil"/>
            </w:tcBorders>
            <w:shd w:val="clear" w:color="auto" w:fill="auto"/>
            <w:noWrap/>
            <w:vAlign w:val="center"/>
          </w:tcPr>
          <w:p w14:paraId="45B0AF4D">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4EE0485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修武汉献帝禅陵</w:t>
            </w:r>
          </w:p>
        </w:tc>
        <w:tc>
          <w:tcPr>
            <w:tcW w:w="1250" w:type="dxa"/>
            <w:tcBorders>
              <w:tl2br w:val="nil"/>
              <w:tr2bl w:val="nil"/>
            </w:tcBorders>
            <w:shd w:val="clear" w:color="auto" w:fill="auto"/>
            <w:noWrap/>
            <w:vAlign w:val="center"/>
          </w:tcPr>
          <w:p w14:paraId="08E291E7">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29975D0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实用建筑与核心设施</w:t>
            </w:r>
          </w:p>
        </w:tc>
        <w:tc>
          <w:tcPr>
            <w:tcW w:w="1733" w:type="dxa"/>
            <w:tcBorders>
              <w:tl2br w:val="nil"/>
              <w:tr2bl w:val="nil"/>
            </w:tcBorders>
            <w:shd w:val="clear" w:color="auto" w:fill="auto"/>
            <w:noWrap/>
            <w:vAlign w:val="center"/>
          </w:tcPr>
          <w:p w14:paraId="0B221C5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陵墓</w:t>
            </w:r>
          </w:p>
        </w:tc>
      </w:tr>
      <w:tr w14:paraId="3BA35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20A8A6D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891" w:type="dxa"/>
            <w:vMerge w:val="continue"/>
            <w:tcBorders>
              <w:tl2br w:val="nil"/>
              <w:tr2bl w:val="nil"/>
            </w:tcBorders>
            <w:shd w:val="clear" w:color="auto" w:fill="auto"/>
            <w:noWrap/>
            <w:vAlign w:val="center"/>
          </w:tcPr>
          <w:p w14:paraId="61BF909F">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57430ED2">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修武当阳峪瓷窑遗址</w:t>
            </w:r>
          </w:p>
        </w:tc>
        <w:tc>
          <w:tcPr>
            <w:tcW w:w="1250" w:type="dxa"/>
            <w:tcBorders>
              <w:tl2br w:val="nil"/>
              <w:tr2bl w:val="nil"/>
            </w:tcBorders>
            <w:shd w:val="clear" w:color="auto" w:fill="auto"/>
            <w:noWrap/>
            <w:vAlign w:val="center"/>
          </w:tcPr>
          <w:p w14:paraId="13B87B0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5EF4A63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物质类文化遗存</w:t>
            </w:r>
          </w:p>
        </w:tc>
        <w:tc>
          <w:tcPr>
            <w:tcW w:w="1733" w:type="dxa"/>
            <w:tcBorders>
              <w:tl2br w:val="nil"/>
              <w:tr2bl w:val="nil"/>
            </w:tcBorders>
            <w:shd w:val="clear" w:color="auto" w:fill="auto"/>
            <w:noWrap/>
            <w:vAlign w:val="center"/>
          </w:tcPr>
          <w:p w14:paraId="5025504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建筑遗迹</w:t>
            </w:r>
          </w:p>
        </w:tc>
      </w:tr>
      <w:tr w14:paraId="59CA5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19C2FC0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891" w:type="dxa"/>
            <w:vMerge w:val="continue"/>
            <w:tcBorders>
              <w:tl2br w:val="nil"/>
              <w:tr2bl w:val="nil"/>
            </w:tcBorders>
            <w:shd w:val="clear" w:color="auto" w:fill="auto"/>
            <w:noWrap/>
            <w:vAlign w:val="center"/>
          </w:tcPr>
          <w:p w14:paraId="14581002">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5AADAA78">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修武当阳峪绞胎瓷</w:t>
            </w:r>
          </w:p>
        </w:tc>
        <w:tc>
          <w:tcPr>
            <w:tcW w:w="1250" w:type="dxa"/>
            <w:tcBorders>
              <w:tl2br w:val="nil"/>
              <w:tr2bl w:val="nil"/>
            </w:tcBorders>
            <w:shd w:val="clear" w:color="auto" w:fill="auto"/>
            <w:noWrap/>
            <w:vAlign w:val="center"/>
          </w:tcPr>
          <w:p w14:paraId="1F9A4AF4">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旅游购品</w:t>
            </w:r>
          </w:p>
        </w:tc>
        <w:tc>
          <w:tcPr>
            <w:tcW w:w="1571" w:type="dxa"/>
            <w:tcBorders>
              <w:tl2br w:val="nil"/>
              <w:tr2bl w:val="nil"/>
            </w:tcBorders>
            <w:shd w:val="clear" w:color="auto" w:fill="auto"/>
            <w:noWrap/>
            <w:vAlign w:val="center"/>
          </w:tcPr>
          <w:p w14:paraId="7D99291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手工工艺品</w:t>
            </w:r>
          </w:p>
        </w:tc>
        <w:tc>
          <w:tcPr>
            <w:tcW w:w="1733" w:type="dxa"/>
            <w:tcBorders>
              <w:tl2br w:val="nil"/>
              <w:tr2bl w:val="nil"/>
            </w:tcBorders>
            <w:shd w:val="clear" w:color="auto" w:fill="auto"/>
            <w:noWrap/>
            <w:vAlign w:val="center"/>
          </w:tcPr>
          <w:p w14:paraId="21954D5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陶瓷</w:t>
            </w:r>
          </w:p>
        </w:tc>
      </w:tr>
      <w:tr w14:paraId="7576C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1C55C2A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891" w:type="dxa"/>
            <w:vMerge w:val="continue"/>
            <w:tcBorders>
              <w:tl2br w:val="nil"/>
              <w:tr2bl w:val="nil"/>
            </w:tcBorders>
            <w:shd w:val="clear" w:color="auto" w:fill="auto"/>
            <w:noWrap/>
            <w:vAlign w:val="center"/>
          </w:tcPr>
          <w:p w14:paraId="3570C28C">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70EA4AB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焦作云台山茱萸峰</w:t>
            </w:r>
          </w:p>
        </w:tc>
        <w:tc>
          <w:tcPr>
            <w:tcW w:w="1250" w:type="dxa"/>
            <w:tcBorders>
              <w:tl2br w:val="nil"/>
              <w:tr2bl w:val="nil"/>
            </w:tcBorders>
            <w:shd w:val="clear" w:color="auto" w:fill="auto"/>
            <w:noWrap/>
            <w:vAlign w:val="center"/>
          </w:tcPr>
          <w:p w14:paraId="0EAF2B78">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2AB600F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自然景观综合体</w:t>
            </w:r>
          </w:p>
        </w:tc>
        <w:tc>
          <w:tcPr>
            <w:tcW w:w="1733" w:type="dxa"/>
            <w:tcBorders>
              <w:tl2br w:val="nil"/>
              <w:tr2bl w:val="nil"/>
            </w:tcBorders>
            <w:shd w:val="clear" w:color="auto" w:fill="auto"/>
            <w:noWrap/>
            <w:vAlign w:val="center"/>
          </w:tcPr>
          <w:p w14:paraId="1D92E1B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台地型景观</w:t>
            </w:r>
          </w:p>
        </w:tc>
      </w:tr>
      <w:tr w14:paraId="0751C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30F93DD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891" w:type="dxa"/>
            <w:vMerge w:val="continue"/>
            <w:tcBorders>
              <w:tl2br w:val="nil"/>
              <w:tr2bl w:val="nil"/>
            </w:tcBorders>
            <w:shd w:val="clear" w:color="auto" w:fill="auto"/>
            <w:noWrap/>
            <w:vAlign w:val="center"/>
          </w:tcPr>
          <w:p w14:paraId="734FD784">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5A03028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焦作云台山红石峡</w:t>
            </w:r>
          </w:p>
        </w:tc>
        <w:tc>
          <w:tcPr>
            <w:tcW w:w="1250" w:type="dxa"/>
            <w:tcBorders>
              <w:tl2br w:val="nil"/>
              <w:tr2bl w:val="nil"/>
            </w:tcBorders>
            <w:shd w:val="clear" w:color="auto" w:fill="auto"/>
            <w:noWrap/>
            <w:vAlign w:val="center"/>
          </w:tcPr>
          <w:p w14:paraId="208F5F34">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13EAB45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自然景观综合体</w:t>
            </w:r>
          </w:p>
        </w:tc>
        <w:tc>
          <w:tcPr>
            <w:tcW w:w="1733" w:type="dxa"/>
            <w:tcBorders>
              <w:tl2br w:val="nil"/>
              <w:tr2bl w:val="nil"/>
            </w:tcBorders>
            <w:shd w:val="clear" w:color="auto" w:fill="auto"/>
            <w:noWrap/>
            <w:vAlign w:val="center"/>
          </w:tcPr>
          <w:p w14:paraId="40EAB0F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沟谷型景观</w:t>
            </w:r>
          </w:p>
        </w:tc>
      </w:tr>
      <w:tr w14:paraId="38B5A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66E7F71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891" w:type="dxa"/>
            <w:vMerge w:val="continue"/>
            <w:tcBorders>
              <w:tl2br w:val="nil"/>
              <w:tr2bl w:val="nil"/>
            </w:tcBorders>
            <w:shd w:val="clear" w:color="auto" w:fill="auto"/>
            <w:noWrap/>
            <w:vAlign w:val="center"/>
          </w:tcPr>
          <w:p w14:paraId="0DD47F5A">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48A2684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修武陪嫁妆村阿佤纳</w:t>
            </w:r>
            <w:r>
              <w:rPr>
                <w:rStyle w:val="23"/>
                <w:rFonts w:ascii="宋体" w:eastAsia="宋体"/>
                <w:sz w:val="20"/>
                <w:lang w:val="en-US" w:eastAsia="zh-CN" w:bidi="ar"/>
              </w:rPr>
              <w:t>•</w:t>
            </w:r>
            <w:r>
              <w:rPr>
                <w:rStyle w:val="24"/>
                <w:rFonts w:ascii="宋体" w:eastAsia="宋体"/>
                <w:sz w:val="20"/>
                <w:lang w:val="en-US" w:eastAsia="zh-CN" w:bidi="ar"/>
              </w:rPr>
              <w:t>随园</w:t>
            </w:r>
          </w:p>
        </w:tc>
        <w:tc>
          <w:tcPr>
            <w:tcW w:w="1250" w:type="dxa"/>
            <w:tcBorders>
              <w:tl2br w:val="nil"/>
              <w:tr2bl w:val="nil"/>
            </w:tcBorders>
            <w:shd w:val="clear" w:color="auto" w:fill="auto"/>
            <w:noWrap/>
            <w:vAlign w:val="center"/>
          </w:tcPr>
          <w:p w14:paraId="4E26F4C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2D8CD90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人文景观综合体</w:t>
            </w:r>
          </w:p>
        </w:tc>
        <w:tc>
          <w:tcPr>
            <w:tcW w:w="1733" w:type="dxa"/>
            <w:tcBorders>
              <w:tl2br w:val="nil"/>
              <w:tr2bl w:val="nil"/>
            </w:tcBorders>
            <w:shd w:val="clear" w:color="auto" w:fill="auto"/>
            <w:noWrap/>
            <w:vAlign w:val="center"/>
          </w:tcPr>
          <w:p w14:paraId="4DB2ED9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康体游乐休闲度假地</w:t>
            </w:r>
          </w:p>
        </w:tc>
      </w:tr>
      <w:tr w14:paraId="7BC2E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1322E0C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891" w:type="dxa"/>
            <w:vMerge w:val="continue"/>
            <w:tcBorders>
              <w:tl2br w:val="nil"/>
              <w:tr2bl w:val="nil"/>
            </w:tcBorders>
            <w:shd w:val="clear" w:color="auto" w:fill="auto"/>
            <w:noWrap/>
            <w:vAlign w:val="center"/>
          </w:tcPr>
          <w:p w14:paraId="27BB7348">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410B7663">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焦作青龙峡叠翠瀑</w:t>
            </w:r>
          </w:p>
        </w:tc>
        <w:tc>
          <w:tcPr>
            <w:tcW w:w="1250" w:type="dxa"/>
            <w:tcBorders>
              <w:tl2br w:val="nil"/>
              <w:tr2bl w:val="nil"/>
            </w:tcBorders>
            <w:shd w:val="clear" w:color="auto" w:fill="auto"/>
            <w:noWrap/>
            <w:vAlign w:val="center"/>
          </w:tcPr>
          <w:p w14:paraId="32D6E69B">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水域景观</w:t>
            </w:r>
          </w:p>
        </w:tc>
        <w:tc>
          <w:tcPr>
            <w:tcW w:w="1571" w:type="dxa"/>
            <w:tcBorders>
              <w:tl2br w:val="nil"/>
              <w:tr2bl w:val="nil"/>
            </w:tcBorders>
            <w:shd w:val="clear" w:color="auto" w:fill="auto"/>
            <w:noWrap/>
            <w:vAlign w:val="center"/>
          </w:tcPr>
          <w:p w14:paraId="465C9A4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河系</w:t>
            </w:r>
          </w:p>
        </w:tc>
        <w:tc>
          <w:tcPr>
            <w:tcW w:w="1733" w:type="dxa"/>
            <w:tcBorders>
              <w:tl2br w:val="nil"/>
              <w:tr2bl w:val="nil"/>
            </w:tcBorders>
            <w:shd w:val="clear" w:color="auto" w:fill="auto"/>
            <w:noWrap/>
            <w:vAlign w:val="center"/>
          </w:tcPr>
          <w:p w14:paraId="42AC1FE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瀑布</w:t>
            </w:r>
          </w:p>
        </w:tc>
      </w:tr>
      <w:tr w14:paraId="2A28A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3F0EB24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891" w:type="dxa"/>
            <w:vMerge w:val="continue"/>
            <w:tcBorders>
              <w:tl2br w:val="nil"/>
              <w:tr2bl w:val="nil"/>
            </w:tcBorders>
            <w:shd w:val="clear" w:color="auto" w:fill="auto"/>
            <w:noWrap/>
            <w:vAlign w:val="center"/>
          </w:tcPr>
          <w:p w14:paraId="2C10CB51">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7366B70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修武胜果寺塔</w:t>
            </w:r>
          </w:p>
        </w:tc>
        <w:tc>
          <w:tcPr>
            <w:tcW w:w="1250" w:type="dxa"/>
            <w:tcBorders>
              <w:tl2br w:val="nil"/>
              <w:tr2bl w:val="nil"/>
            </w:tcBorders>
            <w:shd w:val="clear" w:color="auto" w:fill="auto"/>
            <w:noWrap/>
            <w:vAlign w:val="center"/>
          </w:tcPr>
          <w:p w14:paraId="5C281108">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05BAE66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景观与小品建筑</w:t>
            </w:r>
          </w:p>
        </w:tc>
        <w:tc>
          <w:tcPr>
            <w:tcW w:w="1733" w:type="dxa"/>
            <w:tcBorders>
              <w:tl2br w:val="nil"/>
              <w:tr2bl w:val="nil"/>
            </w:tcBorders>
            <w:shd w:val="clear" w:color="auto" w:fill="auto"/>
            <w:noWrap/>
            <w:vAlign w:val="center"/>
          </w:tcPr>
          <w:p w14:paraId="5909A1F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塔形建筑</w:t>
            </w:r>
          </w:p>
        </w:tc>
      </w:tr>
      <w:tr w14:paraId="4171E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553E781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891" w:type="dxa"/>
            <w:vMerge w:val="continue"/>
            <w:tcBorders>
              <w:tl2br w:val="nil"/>
              <w:tr2bl w:val="nil"/>
            </w:tcBorders>
            <w:shd w:val="clear" w:color="auto" w:fill="auto"/>
            <w:noWrap/>
            <w:vAlign w:val="center"/>
          </w:tcPr>
          <w:p w14:paraId="53104758">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3F25EEBF">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修武岸上小镇</w:t>
            </w:r>
          </w:p>
        </w:tc>
        <w:tc>
          <w:tcPr>
            <w:tcW w:w="1250" w:type="dxa"/>
            <w:tcBorders>
              <w:tl2br w:val="nil"/>
              <w:tr2bl w:val="nil"/>
            </w:tcBorders>
            <w:shd w:val="clear" w:color="auto" w:fill="auto"/>
            <w:noWrap/>
            <w:vAlign w:val="center"/>
          </w:tcPr>
          <w:p w14:paraId="2CF43DA9">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29FF14D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人文景观综合体</w:t>
            </w:r>
          </w:p>
        </w:tc>
        <w:tc>
          <w:tcPr>
            <w:tcW w:w="1733" w:type="dxa"/>
            <w:tcBorders>
              <w:tl2br w:val="nil"/>
              <w:tr2bl w:val="nil"/>
            </w:tcBorders>
            <w:shd w:val="clear" w:color="auto" w:fill="auto"/>
            <w:noWrap/>
            <w:vAlign w:val="center"/>
          </w:tcPr>
          <w:p w14:paraId="16159FB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康体游乐休闲度假地</w:t>
            </w:r>
          </w:p>
        </w:tc>
      </w:tr>
      <w:tr w14:paraId="68AEA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26A0691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891" w:type="dxa"/>
            <w:vMerge w:val="continue"/>
            <w:tcBorders>
              <w:tl2br w:val="nil"/>
              <w:tr2bl w:val="nil"/>
            </w:tcBorders>
            <w:shd w:val="clear" w:color="auto" w:fill="auto"/>
            <w:noWrap/>
            <w:vAlign w:val="center"/>
          </w:tcPr>
          <w:p w14:paraId="44C67014">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2002DE3">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焦作青龙峡大峡谷</w:t>
            </w:r>
          </w:p>
        </w:tc>
        <w:tc>
          <w:tcPr>
            <w:tcW w:w="1250" w:type="dxa"/>
            <w:tcBorders>
              <w:tl2br w:val="nil"/>
              <w:tr2bl w:val="nil"/>
            </w:tcBorders>
            <w:shd w:val="clear" w:color="auto" w:fill="auto"/>
            <w:noWrap/>
            <w:vAlign w:val="center"/>
          </w:tcPr>
          <w:p w14:paraId="194BF967">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53501A0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自然景观综合体</w:t>
            </w:r>
          </w:p>
        </w:tc>
        <w:tc>
          <w:tcPr>
            <w:tcW w:w="1733" w:type="dxa"/>
            <w:tcBorders>
              <w:tl2br w:val="nil"/>
              <w:tr2bl w:val="nil"/>
            </w:tcBorders>
            <w:shd w:val="clear" w:color="auto" w:fill="auto"/>
            <w:noWrap/>
            <w:vAlign w:val="center"/>
          </w:tcPr>
          <w:p w14:paraId="1E80FDA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沟谷型景观</w:t>
            </w:r>
          </w:p>
        </w:tc>
      </w:tr>
      <w:tr w14:paraId="48B7A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32D0A8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891" w:type="dxa"/>
            <w:vMerge w:val="continue"/>
            <w:tcBorders>
              <w:tl2br w:val="nil"/>
              <w:tr2bl w:val="nil"/>
            </w:tcBorders>
            <w:shd w:val="clear" w:color="auto" w:fill="auto"/>
            <w:noWrap/>
            <w:vAlign w:val="center"/>
          </w:tcPr>
          <w:p w14:paraId="2A9A064D">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0521A03">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焦作青龙峡红叶</w:t>
            </w:r>
          </w:p>
        </w:tc>
        <w:tc>
          <w:tcPr>
            <w:tcW w:w="1250" w:type="dxa"/>
            <w:tcBorders>
              <w:tl2br w:val="nil"/>
              <w:tr2bl w:val="nil"/>
            </w:tcBorders>
            <w:shd w:val="clear" w:color="auto" w:fill="auto"/>
            <w:noWrap/>
            <w:vAlign w:val="center"/>
          </w:tcPr>
          <w:p w14:paraId="0BF420E0">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天象与气候景观</w:t>
            </w:r>
          </w:p>
        </w:tc>
        <w:tc>
          <w:tcPr>
            <w:tcW w:w="1571" w:type="dxa"/>
            <w:tcBorders>
              <w:tl2br w:val="nil"/>
              <w:tr2bl w:val="nil"/>
            </w:tcBorders>
            <w:shd w:val="clear" w:color="auto" w:fill="auto"/>
            <w:noWrap/>
            <w:vAlign w:val="center"/>
          </w:tcPr>
          <w:p w14:paraId="7E5362D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天气与气候现象</w:t>
            </w:r>
          </w:p>
        </w:tc>
        <w:tc>
          <w:tcPr>
            <w:tcW w:w="1733" w:type="dxa"/>
            <w:tcBorders>
              <w:tl2br w:val="nil"/>
              <w:tr2bl w:val="nil"/>
            </w:tcBorders>
            <w:shd w:val="clear" w:color="auto" w:fill="auto"/>
            <w:noWrap/>
            <w:vAlign w:val="center"/>
          </w:tcPr>
          <w:p w14:paraId="323C4D7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物候景象</w:t>
            </w:r>
          </w:p>
        </w:tc>
      </w:tr>
      <w:tr w14:paraId="292EF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A63C1E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891" w:type="dxa"/>
            <w:vMerge w:val="continue"/>
            <w:tcBorders>
              <w:tl2br w:val="nil"/>
              <w:tr2bl w:val="nil"/>
            </w:tcBorders>
            <w:shd w:val="clear" w:color="auto" w:fill="auto"/>
            <w:noWrap/>
            <w:vAlign w:val="center"/>
          </w:tcPr>
          <w:p w14:paraId="32022994">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2A1C716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焦作云台山黑龙王庙断层红石峡段</w:t>
            </w:r>
          </w:p>
        </w:tc>
        <w:tc>
          <w:tcPr>
            <w:tcW w:w="1250" w:type="dxa"/>
            <w:tcBorders>
              <w:tl2br w:val="nil"/>
              <w:tr2bl w:val="nil"/>
            </w:tcBorders>
            <w:shd w:val="clear" w:color="auto" w:fill="auto"/>
            <w:noWrap/>
            <w:vAlign w:val="center"/>
          </w:tcPr>
          <w:p w14:paraId="49F692A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477F9AF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地质与构造形迹</w:t>
            </w:r>
          </w:p>
        </w:tc>
        <w:tc>
          <w:tcPr>
            <w:tcW w:w="1733" w:type="dxa"/>
            <w:tcBorders>
              <w:tl2br w:val="nil"/>
              <w:tr2bl w:val="nil"/>
            </w:tcBorders>
            <w:shd w:val="clear" w:color="auto" w:fill="auto"/>
            <w:noWrap/>
            <w:vAlign w:val="center"/>
          </w:tcPr>
          <w:p w14:paraId="5D2B73B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断裂景观</w:t>
            </w:r>
          </w:p>
        </w:tc>
      </w:tr>
      <w:tr w14:paraId="45E32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2358444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891" w:type="dxa"/>
            <w:vMerge w:val="continue"/>
            <w:tcBorders>
              <w:tl2br w:val="nil"/>
              <w:tr2bl w:val="nil"/>
            </w:tcBorders>
            <w:shd w:val="clear" w:color="auto" w:fill="auto"/>
            <w:noWrap/>
            <w:vAlign w:val="center"/>
          </w:tcPr>
          <w:p w14:paraId="39B09692">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737FAF0">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焦作云台山红石峡一线天</w:t>
            </w:r>
          </w:p>
        </w:tc>
        <w:tc>
          <w:tcPr>
            <w:tcW w:w="1250" w:type="dxa"/>
            <w:tcBorders>
              <w:tl2br w:val="nil"/>
              <w:tr2bl w:val="nil"/>
            </w:tcBorders>
            <w:shd w:val="clear" w:color="auto" w:fill="auto"/>
            <w:noWrap/>
            <w:vAlign w:val="center"/>
          </w:tcPr>
          <w:p w14:paraId="42181B32">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18C85A5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地质与构造形迹</w:t>
            </w:r>
          </w:p>
        </w:tc>
        <w:tc>
          <w:tcPr>
            <w:tcW w:w="1733" w:type="dxa"/>
            <w:tcBorders>
              <w:tl2br w:val="nil"/>
              <w:tr2bl w:val="nil"/>
            </w:tcBorders>
            <w:shd w:val="clear" w:color="auto" w:fill="auto"/>
            <w:noWrap/>
            <w:vAlign w:val="center"/>
          </w:tcPr>
          <w:p w14:paraId="2B54B2A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断裂景观</w:t>
            </w:r>
          </w:p>
        </w:tc>
      </w:tr>
      <w:tr w14:paraId="73039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22AE7B2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891" w:type="dxa"/>
            <w:vMerge w:val="continue"/>
            <w:tcBorders>
              <w:tl2br w:val="nil"/>
              <w:tr2bl w:val="nil"/>
            </w:tcBorders>
            <w:shd w:val="clear" w:color="auto" w:fill="auto"/>
            <w:noWrap/>
            <w:vAlign w:val="center"/>
          </w:tcPr>
          <w:p w14:paraId="0A9CE749">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F94ABF3">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修武甲板创村荻池岭狮子岭</w:t>
            </w:r>
          </w:p>
        </w:tc>
        <w:tc>
          <w:tcPr>
            <w:tcW w:w="1250" w:type="dxa"/>
            <w:tcBorders>
              <w:tl2br w:val="nil"/>
              <w:tr2bl w:val="nil"/>
            </w:tcBorders>
            <w:shd w:val="clear" w:color="auto" w:fill="auto"/>
            <w:noWrap/>
            <w:vAlign w:val="center"/>
          </w:tcPr>
          <w:p w14:paraId="24CC454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586141B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地表形态</w:t>
            </w:r>
          </w:p>
        </w:tc>
        <w:tc>
          <w:tcPr>
            <w:tcW w:w="1733" w:type="dxa"/>
            <w:tcBorders>
              <w:tl2br w:val="nil"/>
              <w:tr2bl w:val="nil"/>
            </w:tcBorders>
            <w:shd w:val="clear" w:color="auto" w:fill="auto"/>
            <w:noWrap/>
            <w:vAlign w:val="center"/>
          </w:tcPr>
          <w:p w14:paraId="3EC75C5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垄岗状地景</w:t>
            </w:r>
          </w:p>
        </w:tc>
      </w:tr>
      <w:tr w14:paraId="289CE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24A8144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891" w:type="dxa"/>
            <w:vMerge w:val="continue"/>
            <w:tcBorders>
              <w:tl2br w:val="nil"/>
              <w:tr2bl w:val="nil"/>
            </w:tcBorders>
            <w:shd w:val="clear" w:color="auto" w:fill="auto"/>
            <w:noWrap/>
            <w:vAlign w:val="center"/>
          </w:tcPr>
          <w:p w14:paraId="6333EBCD">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40F92180">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修武云台冰菊</w:t>
            </w:r>
          </w:p>
        </w:tc>
        <w:tc>
          <w:tcPr>
            <w:tcW w:w="1250" w:type="dxa"/>
            <w:tcBorders>
              <w:tl2br w:val="nil"/>
              <w:tr2bl w:val="nil"/>
            </w:tcBorders>
            <w:shd w:val="clear" w:color="auto" w:fill="auto"/>
            <w:noWrap/>
            <w:vAlign w:val="center"/>
          </w:tcPr>
          <w:p w14:paraId="454379C5">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旅游购品</w:t>
            </w:r>
          </w:p>
        </w:tc>
        <w:tc>
          <w:tcPr>
            <w:tcW w:w="1571" w:type="dxa"/>
            <w:tcBorders>
              <w:tl2br w:val="nil"/>
              <w:tr2bl w:val="nil"/>
            </w:tcBorders>
            <w:shd w:val="clear" w:color="auto" w:fill="auto"/>
            <w:noWrap/>
            <w:vAlign w:val="center"/>
          </w:tcPr>
          <w:p w14:paraId="3F00567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农业产品</w:t>
            </w:r>
          </w:p>
        </w:tc>
        <w:tc>
          <w:tcPr>
            <w:tcW w:w="1733" w:type="dxa"/>
            <w:tcBorders>
              <w:tl2br w:val="nil"/>
              <w:tr2bl w:val="nil"/>
            </w:tcBorders>
            <w:shd w:val="clear" w:color="auto" w:fill="auto"/>
            <w:noWrap/>
            <w:vAlign w:val="center"/>
          </w:tcPr>
          <w:p w14:paraId="023963A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种植业产品及制品</w:t>
            </w:r>
          </w:p>
        </w:tc>
      </w:tr>
      <w:tr w14:paraId="47546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3C0227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891" w:type="dxa"/>
            <w:vMerge w:val="continue"/>
            <w:tcBorders>
              <w:tl2br w:val="nil"/>
              <w:tr2bl w:val="nil"/>
            </w:tcBorders>
            <w:shd w:val="clear" w:color="auto" w:fill="auto"/>
            <w:noWrap/>
            <w:vAlign w:val="center"/>
          </w:tcPr>
          <w:p w14:paraId="7996DA71">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D3F4F1B">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焦作峰林峡翡翠湖</w:t>
            </w:r>
          </w:p>
        </w:tc>
        <w:tc>
          <w:tcPr>
            <w:tcW w:w="1250" w:type="dxa"/>
            <w:tcBorders>
              <w:tl2br w:val="nil"/>
              <w:tr2bl w:val="nil"/>
            </w:tcBorders>
            <w:shd w:val="clear" w:color="auto" w:fill="auto"/>
            <w:noWrap/>
            <w:vAlign w:val="center"/>
          </w:tcPr>
          <w:p w14:paraId="32A7211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水域景观</w:t>
            </w:r>
          </w:p>
        </w:tc>
        <w:tc>
          <w:tcPr>
            <w:tcW w:w="1571" w:type="dxa"/>
            <w:tcBorders>
              <w:tl2br w:val="nil"/>
              <w:tr2bl w:val="nil"/>
            </w:tcBorders>
            <w:shd w:val="clear" w:color="auto" w:fill="auto"/>
            <w:noWrap/>
            <w:vAlign w:val="center"/>
          </w:tcPr>
          <w:p w14:paraId="3A2B578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湖沼</w:t>
            </w:r>
          </w:p>
        </w:tc>
        <w:tc>
          <w:tcPr>
            <w:tcW w:w="1733" w:type="dxa"/>
            <w:tcBorders>
              <w:tl2br w:val="nil"/>
              <w:tr2bl w:val="nil"/>
            </w:tcBorders>
            <w:shd w:val="clear" w:color="auto" w:fill="auto"/>
            <w:noWrap/>
            <w:vAlign w:val="center"/>
          </w:tcPr>
          <w:p w14:paraId="28DD64F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游憩湖区</w:t>
            </w:r>
          </w:p>
        </w:tc>
      </w:tr>
      <w:tr w14:paraId="76557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24A7C0A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891" w:type="dxa"/>
            <w:vMerge w:val="continue"/>
            <w:tcBorders>
              <w:tl2br w:val="nil"/>
              <w:tr2bl w:val="nil"/>
            </w:tcBorders>
            <w:shd w:val="clear" w:color="auto" w:fill="auto"/>
            <w:noWrap/>
            <w:vAlign w:val="center"/>
          </w:tcPr>
          <w:p w14:paraId="05FF18B9">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36522CB2">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焦作云台山百家岩天门瀑布</w:t>
            </w:r>
          </w:p>
        </w:tc>
        <w:tc>
          <w:tcPr>
            <w:tcW w:w="1250" w:type="dxa"/>
            <w:tcBorders>
              <w:tl2br w:val="nil"/>
              <w:tr2bl w:val="nil"/>
            </w:tcBorders>
            <w:shd w:val="clear" w:color="auto" w:fill="auto"/>
            <w:noWrap/>
            <w:vAlign w:val="center"/>
          </w:tcPr>
          <w:p w14:paraId="3FAE4A57">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水域景观</w:t>
            </w:r>
          </w:p>
        </w:tc>
        <w:tc>
          <w:tcPr>
            <w:tcW w:w="1571" w:type="dxa"/>
            <w:tcBorders>
              <w:tl2br w:val="nil"/>
              <w:tr2bl w:val="nil"/>
            </w:tcBorders>
            <w:shd w:val="clear" w:color="auto" w:fill="auto"/>
            <w:noWrap/>
            <w:vAlign w:val="center"/>
          </w:tcPr>
          <w:p w14:paraId="009A2A4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河系</w:t>
            </w:r>
          </w:p>
        </w:tc>
        <w:tc>
          <w:tcPr>
            <w:tcW w:w="1733" w:type="dxa"/>
            <w:tcBorders>
              <w:tl2br w:val="nil"/>
              <w:tr2bl w:val="nil"/>
            </w:tcBorders>
            <w:shd w:val="clear" w:color="auto" w:fill="auto"/>
            <w:noWrap/>
            <w:vAlign w:val="center"/>
          </w:tcPr>
          <w:p w14:paraId="718F4A4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瀑布</w:t>
            </w:r>
          </w:p>
        </w:tc>
      </w:tr>
      <w:tr w14:paraId="2DCF1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2E18A10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891" w:type="dxa"/>
            <w:vMerge w:val="continue"/>
            <w:tcBorders>
              <w:tl2br w:val="nil"/>
              <w:tr2bl w:val="nil"/>
            </w:tcBorders>
            <w:shd w:val="clear" w:color="auto" w:fill="auto"/>
            <w:noWrap/>
            <w:vAlign w:val="center"/>
          </w:tcPr>
          <w:p w14:paraId="7D73B1B6">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642EA30">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焦作云台山白龙瀑</w:t>
            </w:r>
          </w:p>
        </w:tc>
        <w:tc>
          <w:tcPr>
            <w:tcW w:w="1250" w:type="dxa"/>
            <w:tcBorders>
              <w:tl2br w:val="nil"/>
              <w:tr2bl w:val="nil"/>
            </w:tcBorders>
            <w:shd w:val="clear" w:color="auto" w:fill="auto"/>
            <w:noWrap/>
            <w:vAlign w:val="center"/>
          </w:tcPr>
          <w:p w14:paraId="04EDA61B">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水域景观</w:t>
            </w:r>
          </w:p>
        </w:tc>
        <w:tc>
          <w:tcPr>
            <w:tcW w:w="1571" w:type="dxa"/>
            <w:tcBorders>
              <w:tl2br w:val="nil"/>
              <w:tr2bl w:val="nil"/>
            </w:tcBorders>
            <w:shd w:val="clear" w:color="auto" w:fill="auto"/>
            <w:noWrap/>
            <w:vAlign w:val="center"/>
          </w:tcPr>
          <w:p w14:paraId="2FB4C7C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河系</w:t>
            </w:r>
          </w:p>
        </w:tc>
        <w:tc>
          <w:tcPr>
            <w:tcW w:w="1733" w:type="dxa"/>
            <w:tcBorders>
              <w:tl2br w:val="nil"/>
              <w:tr2bl w:val="nil"/>
            </w:tcBorders>
            <w:shd w:val="clear" w:color="auto" w:fill="auto"/>
            <w:noWrap/>
            <w:vAlign w:val="center"/>
          </w:tcPr>
          <w:p w14:paraId="32693E5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瀑布</w:t>
            </w:r>
          </w:p>
        </w:tc>
      </w:tr>
      <w:tr w14:paraId="6A7DC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1FCC59E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891" w:type="dxa"/>
            <w:vMerge w:val="continue"/>
            <w:tcBorders>
              <w:tl2br w:val="nil"/>
              <w:tr2bl w:val="nil"/>
            </w:tcBorders>
            <w:shd w:val="clear" w:color="auto" w:fill="auto"/>
            <w:noWrap/>
            <w:vAlign w:val="center"/>
          </w:tcPr>
          <w:p w14:paraId="64B19138">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4274844F">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焦作云台山红石峡首龙瀑</w:t>
            </w:r>
          </w:p>
        </w:tc>
        <w:tc>
          <w:tcPr>
            <w:tcW w:w="1250" w:type="dxa"/>
            <w:tcBorders>
              <w:tl2br w:val="nil"/>
              <w:tr2bl w:val="nil"/>
            </w:tcBorders>
            <w:shd w:val="clear" w:color="auto" w:fill="auto"/>
            <w:noWrap/>
            <w:vAlign w:val="center"/>
          </w:tcPr>
          <w:p w14:paraId="01E876BE">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水域景观</w:t>
            </w:r>
          </w:p>
        </w:tc>
        <w:tc>
          <w:tcPr>
            <w:tcW w:w="1571" w:type="dxa"/>
            <w:tcBorders>
              <w:tl2br w:val="nil"/>
              <w:tr2bl w:val="nil"/>
            </w:tcBorders>
            <w:shd w:val="clear" w:color="auto" w:fill="auto"/>
            <w:noWrap/>
            <w:vAlign w:val="center"/>
          </w:tcPr>
          <w:p w14:paraId="02AEA89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河系</w:t>
            </w:r>
          </w:p>
        </w:tc>
        <w:tc>
          <w:tcPr>
            <w:tcW w:w="1733" w:type="dxa"/>
            <w:tcBorders>
              <w:tl2br w:val="nil"/>
              <w:tr2bl w:val="nil"/>
            </w:tcBorders>
            <w:shd w:val="clear" w:color="auto" w:fill="auto"/>
            <w:noWrap/>
            <w:vAlign w:val="center"/>
          </w:tcPr>
          <w:p w14:paraId="28D2C21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瀑布</w:t>
            </w:r>
          </w:p>
        </w:tc>
      </w:tr>
      <w:tr w14:paraId="73ED0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16D626D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891" w:type="dxa"/>
            <w:vMerge w:val="continue"/>
            <w:tcBorders>
              <w:tl2br w:val="nil"/>
              <w:tr2bl w:val="nil"/>
            </w:tcBorders>
            <w:shd w:val="clear" w:color="auto" w:fill="auto"/>
            <w:noWrap/>
            <w:vAlign w:val="center"/>
          </w:tcPr>
          <w:p w14:paraId="6B2ACC8B">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BAD7CE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修武喜尖顶</w:t>
            </w:r>
          </w:p>
        </w:tc>
        <w:tc>
          <w:tcPr>
            <w:tcW w:w="1250" w:type="dxa"/>
            <w:tcBorders>
              <w:tl2br w:val="nil"/>
              <w:tr2bl w:val="nil"/>
            </w:tcBorders>
            <w:shd w:val="clear" w:color="auto" w:fill="auto"/>
            <w:noWrap/>
            <w:vAlign w:val="center"/>
          </w:tcPr>
          <w:p w14:paraId="0490E5EF">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335E6F0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地表形态</w:t>
            </w:r>
          </w:p>
        </w:tc>
        <w:tc>
          <w:tcPr>
            <w:tcW w:w="1733" w:type="dxa"/>
            <w:tcBorders>
              <w:tl2br w:val="nil"/>
              <w:tr2bl w:val="nil"/>
            </w:tcBorders>
            <w:shd w:val="clear" w:color="auto" w:fill="auto"/>
            <w:noWrap/>
            <w:vAlign w:val="center"/>
          </w:tcPr>
          <w:p w14:paraId="16B85AE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垄岗状地景</w:t>
            </w:r>
          </w:p>
        </w:tc>
      </w:tr>
      <w:tr w14:paraId="17486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75CF84F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891" w:type="dxa"/>
            <w:vMerge w:val="continue"/>
            <w:tcBorders>
              <w:tl2br w:val="nil"/>
              <w:tr2bl w:val="nil"/>
            </w:tcBorders>
            <w:shd w:val="clear" w:color="auto" w:fill="auto"/>
            <w:noWrap/>
            <w:vAlign w:val="center"/>
          </w:tcPr>
          <w:p w14:paraId="1D5E41B9">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775D300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焦作云台山云台天瀑</w:t>
            </w:r>
          </w:p>
        </w:tc>
        <w:tc>
          <w:tcPr>
            <w:tcW w:w="1250" w:type="dxa"/>
            <w:tcBorders>
              <w:tl2br w:val="nil"/>
              <w:tr2bl w:val="nil"/>
            </w:tcBorders>
            <w:shd w:val="clear" w:color="auto" w:fill="auto"/>
            <w:noWrap/>
            <w:vAlign w:val="center"/>
          </w:tcPr>
          <w:p w14:paraId="6B509837">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水域景观</w:t>
            </w:r>
          </w:p>
        </w:tc>
        <w:tc>
          <w:tcPr>
            <w:tcW w:w="1571" w:type="dxa"/>
            <w:tcBorders>
              <w:tl2br w:val="nil"/>
              <w:tr2bl w:val="nil"/>
            </w:tcBorders>
            <w:shd w:val="clear" w:color="auto" w:fill="auto"/>
            <w:noWrap/>
            <w:vAlign w:val="center"/>
          </w:tcPr>
          <w:p w14:paraId="5E8EDF8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河系</w:t>
            </w:r>
          </w:p>
        </w:tc>
        <w:tc>
          <w:tcPr>
            <w:tcW w:w="1733" w:type="dxa"/>
            <w:tcBorders>
              <w:tl2br w:val="nil"/>
              <w:tr2bl w:val="nil"/>
            </w:tcBorders>
            <w:shd w:val="clear" w:color="auto" w:fill="auto"/>
            <w:noWrap/>
            <w:vAlign w:val="center"/>
          </w:tcPr>
          <w:p w14:paraId="45CAE55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瀑布</w:t>
            </w:r>
          </w:p>
        </w:tc>
      </w:tr>
      <w:tr w14:paraId="1569A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1C6CC7F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891" w:type="dxa"/>
            <w:vMerge w:val="continue"/>
            <w:tcBorders>
              <w:tl2br w:val="nil"/>
              <w:tr2bl w:val="nil"/>
            </w:tcBorders>
            <w:shd w:val="clear" w:color="auto" w:fill="auto"/>
            <w:noWrap/>
            <w:vAlign w:val="center"/>
          </w:tcPr>
          <w:p w14:paraId="6B1C1FF5">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5CC90237">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焦作云台山红石峡赤壁丹崖</w:t>
            </w:r>
          </w:p>
        </w:tc>
        <w:tc>
          <w:tcPr>
            <w:tcW w:w="1250" w:type="dxa"/>
            <w:tcBorders>
              <w:tl2br w:val="nil"/>
              <w:tr2bl w:val="nil"/>
            </w:tcBorders>
            <w:shd w:val="clear" w:color="auto" w:fill="auto"/>
            <w:noWrap/>
            <w:vAlign w:val="center"/>
          </w:tcPr>
          <w:p w14:paraId="144374E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603F522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地质与构造形迹</w:t>
            </w:r>
          </w:p>
        </w:tc>
        <w:tc>
          <w:tcPr>
            <w:tcW w:w="1733" w:type="dxa"/>
            <w:tcBorders>
              <w:tl2br w:val="nil"/>
              <w:tr2bl w:val="nil"/>
            </w:tcBorders>
            <w:shd w:val="clear" w:color="auto" w:fill="auto"/>
            <w:noWrap/>
            <w:vAlign w:val="center"/>
          </w:tcPr>
          <w:p w14:paraId="011B67E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断裂景观</w:t>
            </w:r>
          </w:p>
        </w:tc>
      </w:tr>
      <w:tr w14:paraId="7F61F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43ED46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891" w:type="dxa"/>
            <w:vMerge w:val="continue"/>
            <w:tcBorders>
              <w:tl2br w:val="nil"/>
              <w:tr2bl w:val="nil"/>
            </w:tcBorders>
            <w:shd w:val="clear" w:color="auto" w:fill="auto"/>
            <w:noWrap/>
            <w:vAlign w:val="center"/>
          </w:tcPr>
          <w:p w14:paraId="65CC62E3">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4A8F88FF">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焦作峰林峡</w:t>
            </w:r>
          </w:p>
        </w:tc>
        <w:tc>
          <w:tcPr>
            <w:tcW w:w="1250" w:type="dxa"/>
            <w:tcBorders>
              <w:tl2br w:val="nil"/>
              <w:tr2bl w:val="nil"/>
            </w:tcBorders>
            <w:shd w:val="clear" w:color="auto" w:fill="auto"/>
            <w:noWrap/>
            <w:vAlign w:val="center"/>
          </w:tcPr>
          <w:p w14:paraId="34F6502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24E2238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自然景观综合体</w:t>
            </w:r>
          </w:p>
        </w:tc>
        <w:tc>
          <w:tcPr>
            <w:tcW w:w="1733" w:type="dxa"/>
            <w:tcBorders>
              <w:tl2br w:val="nil"/>
              <w:tr2bl w:val="nil"/>
            </w:tcBorders>
            <w:shd w:val="clear" w:color="auto" w:fill="auto"/>
            <w:noWrap/>
            <w:vAlign w:val="center"/>
          </w:tcPr>
          <w:p w14:paraId="56ADDF6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沟谷型景观</w:t>
            </w:r>
          </w:p>
        </w:tc>
      </w:tr>
      <w:tr w14:paraId="744C2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38BD753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891" w:type="dxa"/>
            <w:vMerge w:val="continue"/>
            <w:tcBorders>
              <w:tl2br w:val="nil"/>
              <w:tr2bl w:val="nil"/>
            </w:tcBorders>
            <w:shd w:val="clear" w:color="auto" w:fill="auto"/>
            <w:noWrap/>
            <w:vAlign w:val="center"/>
          </w:tcPr>
          <w:p w14:paraId="59CF0FC1">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F39B077">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修武云上院子</w:t>
            </w:r>
          </w:p>
        </w:tc>
        <w:tc>
          <w:tcPr>
            <w:tcW w:w="1250" w:type="dxa"/>
            <w:tcBorders>
              <w:tl2br w:val="nil"/>
              <w:tr2bl w:val="nil"/>
            </w:tcBorders>
            <w:shd w:val="clear" w:color="auto" w:fill="auto"/>
            <w:noWrap/>
            <w:vAlign w:val="center"/>
          </w:tcPr>
          <w:p w14:paraId="10AAB02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559CBC6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人文景观综合体</w:t>
            </w:r>
          </w:p>
        </w:tc>
        <w:tc>
          <w:tcPr>
            <w:tcW w:w="1733" w:type="dxa"/>
            <w:tcBorders>
              <w:tl2br w:val="nil"/>
              <w:tr2bl w:val="nil"/>
            </w:tcBorders>
            <w:shd w:val="clear" w:color="auto" w:fill="auto"/>
            <w:noWrap/>
            <w:vAlign w:val="center"/>
          </w:tcPr>
          <w:p w14:paraId="0A3C894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康体游乐休闲度假地</w:t>
            </w:r>
          </w:p>
        </w:tc>
      </w:tr>
      <w:tr w14:paraId="135FD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2F177EC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891" w:type="dxa"/>
            <w:vMerge w:val="restart"/>
            <w:tcBorders>
              <w:tl2br w:val="nil"/>
              <w:tr2bl w:val="nil"/>
            </w:tcBorders>
            <w:shd w:val="clear" w:color="auto" w:fill="auto"/>
            <w:noWrap/>
            <w:vAlign w:val="center"/>
          </w:tcPr>
          <w:p w14:paraId="45D0B7B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博爱县</w:t>
            </w:r>
          </w:p>
        </w:tc>
        <w:tc>
          <w:tcPr>
            <w:tcW w:w="2869" w:type="dxa"/>
            <w:tcBorders>
              <w:tl2br w:val="nil"/>
              <w:tr2bl w:val="nil"/>
            </w:tcBorders>
            <w:shd w:val="clear" w:color="auto" w:fill="auto"/>
            <w:noWrap/>
            <w:vAlign w:val="center"/>
          </w:tcPr>
          <w:p w14:paraId="7B3497E2">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博爱青天河靳家岭红叶</w:t>
            </w:r>
          </w:p>
        </w:tc>
        <w:tc>
          <w:tcPr>
            <w:tcW w:w="1250" w:type="dxa"/>
            <w:tcBorders>
              <w:tl2br w:val="nil"/>
              <w:tr2bl w:val="nil"/>
            </w:tcBorders>
            <w:shd w:val="clear" w:color="auto" w:fill="auto"/>
            <w:noWrap/>
            <w:vAlign w:val="center"/>
          </w:tcPr>
          <w:p w14:paraId="1298B0E4">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天象与气候景观</w:t>
            </w:r>
          </w:p>
        </w:tc>
        <w:tc>
          <w:tcPr>
            <w:tcW w:w="1571" w:type="dxa"/>
            <w:tcBorders>
              <w:tl2br w:val="nil"/>
              <w:tr2bl w:val="nil"/>
            </w:tcBorders>
            <w:shd w:val="clear" w:color="auto" w:fill="auto"/>
            <w:noWrap/>
            <w:vAlign w:val="center"/>
          </w:tcPr>
          <w:p w14:paraId="199B32E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天气与气候现象</w:t>
            </w:r>
          </w:p>
        </w:tc>
        <w:tc>
          <w:tcPr>
            <w:tcW w:w="1733" w:type="dxa"/>
            <w:tcBorders>
              <w:tl2br w:val="nil"/>
              <w:tr2bl w:val="nil"/>
            </w:tcBorders>
            <w:shd w:val="clear" w:color="auto" w:fill="auto"/>
            <w:noWrap/>
            <w:vAlign w:val="center"/>
          </w:tcPr>
          <w:p w14:paraId="72F60AC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物候景象</w:t>
            </w:r>
          </w:p>
        </w:tc>
      </w:tr>
      <w:tr w14:paraId="397E1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387FCEC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891" w:type="dxa"/>
            <w:vMerge w:val="continue"/>
            <w:tcBorders>
              <w:tl2br w:val="nil"/>
              <w:tr2bl w:val="nil"/>
            </w:tcBorders>
            <w:shd w:val="clear" w:color="auto" w:fill="auto"/>
            <w:noWrap/>
            <w:vAlign w:val="center"/>
          </w:tcPr>
          <w:p w14:paraId="30150640">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41D2AB0">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博爱磨头农场五七干校</w:t>
            </w:r>
          </w:p>
        </w:tc>
        <w:tc>
          <w:tcPr>
            <w:tcW w:w="1250" w:type="dxa"/>
            <w:tcBorders>
              <w:tl2br w:val="nil"/>
              <w:tr2bl w:val="nil"/>
            </w:tcBorders>
            <w:shd w:val="clear" w:color="auto" w:fill="auto"/>
            <w:noWrap/>
            <w:vAlign w:val="center"/>
          </w:tcPr>
          <w:p w14:paraId="71750022">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07D1E11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物质类文化遗存</w:t>
            </w:r>
          </w:p>
        </w:tc>
        <w:tc>
          <w:tcPr>
            <w:tcW w:w="1733" w:type="dxa"/>
            <w:tcBorders>
              <w:tl2br w:val="nil"/>
              <w:tr2bl w:val="nil"/>
            </w:tcBorders>
            <w:shd w:val="clear" w:color="auto" w:fill="auto"/>
            <w:noWrap/>
            <w:vAlign w:val="center"/>
          </w:tcPr>
          <w:p w14:paraId="3AE8503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建筑遗迹</w:t>
            </w:r>
          </w:p>
        </w:tc>
      </w:tr>
      <w:tr w14:paraId="637BB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6B433D9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891" w:type="dxa"/>
            <w:vMerge w:val="continue"/>
            <w:tcBorders>
              <w:tl2br w:val="nil"/>
              <w:tr2bl w:val="nil"/>
            </w:tcBorders>
            <w:shd w:val="clear" w:color="auto" w:fill="auto"/>
            <w:noWrap/>
            <w:vAlign w:val="center"/>
          </w:tcPr>
          <w:p w14:paraId="2076D8B9">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0346964">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博爱月山寺连环井</w:t>
            </w:r>
          </w:p>
        </w:tc>
        <w:tc>
          <w:tcPr>
            <w:tcW w:w="1250" w:type="dxa"/>
            <w:tcBorders>
              <w:tl2br w:val="nil"/>
              <w:tr2bl w:val="nil"/>
            </w:tcBorders>
            <w:shd w:val="clear" w:color="auto" w:fill="auto"/>
            <w:noWrap/>
            <w:vAlign w:val="center"/>
          </w:tcPr>
          <w:p w14:paraId="11BEC62F">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4A9D7E0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景观与小品建筑</w:t>
            </w:r>
          </w:p>
        </w:tc>
        <w:tc>
          <w:tcPr>
            <w:tcW w:w="1733" w:type="dxa"/>
            <w:tcBorders>
              <w:tl2br w:val="nil"/>
              <w:tr2bl w:val="nil"/>
            </w:tcBorders>
            <w:shd w:val="clear" w:color="auto" w:fill="auto"/>
            <w:noWrap/>
            <w:vAlign w:val="center"/>
          </w:tcPr>
          <w:p w14:paraId="597C15E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水井</w:t>
            </w:r>
          </w:p>
        </w:tc>
      </w:tr>
      <w:tr w14:paraId="7A045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297FB78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891" w:type="dxa"/>
            <w:vMerge w:val="continue"/>
            <w:tcBorders>
              <w:tl2br w:val="nil"/>
              <w:tr2bl w:val="nil"/>
            </w:tcBorders>
            <w:shd w:val="clear" w:color="auto" w:fill="auto"/>
            <w:noWrap/>
            <w:vAlign w:val="center"/>
          </w:tcPr>
          <w:p w14:paraId="06B0A82B">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5142C633">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博爱青天河游憩河段</w:t>
            </w:r>
          </w:p>
        </w:tc>
        <w:tc>
          <w:tcPr>
            <w:tcW w:w="1250" w:type="dxa"/>
            <w:tcBorders>
              <w:tl2br w:val="nil"/>
              <w:tr2bl w:val="nil"/>
            </w:tcBorders>
            <w:shd w:val="clear" w:color="auto" w:fill="auto"/>
            <w:noWrap/>
            <w:vAlign w:val="center"/>
          </w:tcPr>
          <w:p w14:paraId="27F46C9E">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水域景观</w:t>
            </w:r>
          </w:p>
        </w:tc>
        <w:tc>
          <w:tcPr>
            <w:tcW w:w="1571" w:type="dxa"/>
            <w:tcBorders>
              <w:tl2br w:val="nil"/>
              <w:tr2bl w:val="nil"/>
            </w:tcBorders>
            <w:shd w:val="clear" w:color="auto" w:fill="auto"/>
            <w:noWrap/>
            <w:vAlign w:val="center"/>
          </w:tcPr>
          <w:p w14:paraId="1B6C70B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河系</w:t>
            </w:r>
          </w:p>
        </w:tc>
        <w:tc>
          <w:tcPr>
            <w:tcW w:w="1733" w:type="dxa"/>
            <w:tcBorders>
              <w:tl2br w:val="nil"/>
              <w:tr2bl w:val="nil"/>
            </w:tcBorders>
            <w:shd w:val="clear" w:color="auto" w:fill="auto"/>
            <w:noWrap/>
            <w:vAlign w:val="center"/>
          </w:tcPr>
          <w:p w14:paraId="26EC213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游憩河段</w:t>
            </w:r>
          </w:p>
        </w:tc>
      </w:tr>
      <w:tr w14:paraId="21AE1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765CDF2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891" w:type="dxa"/>
            <w:vMerge w:val="continue"/>
            <w:tcBorders>
              <w:tl2br w:val="nil"/>
              <w:tr2bl w:val="nil"/>
            </w:tcBorders>
            <w:shd w:val="clear" w:color="auto" w:fill="auto"/>
            <w:noWrap/>
            <w:vAlign w:val="center"/>
          </w:tcPr>
          <w:p w14:paraId="0AEBC924">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7FC76C88">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博爱七层彩绘连阁式陶仓楼</w:t>
            </w:r>
          </w:p>
        </w:tc>
        <w:tc>
          <w:tcPr>
            <w:tcW w:w="1250" w:type="dxa"/>
            <w:tcBorders>
              <w:tl2br w:val="nil"/>
              <w:tr2bl w:val="nil"/>
            </w:tcBorders>
            <w:shd w:val="clear" w:color="auto" w:fill="auto"/>
            <w:noWrap/>
            <w:vAlign w:val="center"/>
          </w:tcPr>
          <w:p w14:paraId="796C647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1794BD8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物质类文化遗存</w:t>
            </w:r>
          </w:p>
        </w:tc>
        <w:tc>
          <w:tcPr>
            <w:tcW w:w="1733" w:type="dxa"/>
            <w:tcBorders>
              <w:tl2br w:val="nil"/>
              <w:tr2bl w:val="nil"/>
            </w:tcBorders>
            <w:shd w:val="clear" w:color="auto" w:fill="auto"/>
            <w:noWrap/>
            <w:vAlign w:val="center"/>
          </w:tcPr>
          <w:p w14:paraId="584ED43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可移动文物</w:t>
            </w:r>
          </w:p>
        </w:tc>
      </w:tr>
      <w:tr w14:paraId="7FCC9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5E0752A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891" w:type="dxa"/>
            <w:vMerge w:val="continue"/>
            <w:tcBorders>
              <w:tl2br w:val="nil"/>
              <w:tr2bl w:val="nil"/>
            </w:tcBorders>
            <w:shd w:val="clear" w:color="auto" w:fill="auto"/>
            <w:noWrap/>
            <w:vAlign w:val="center"/>
          </w:tcPr>
          <w:p w14:paraId="0B499787">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76E19EB9">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博爱丹河峡谷游憩河段</w:t>
            </w:r>
          </w:p>
        </w:tc>
        <w:tc>
          <w:tcPr>
            <w:tcW w:w="1250" w:type="dxa"/>
            <w:tcBorders>
              <w:tl2br w:val="nil"/>
              <w:tr2bl w:val="nil"/>
            </w:tcBorders>
            <w:shd w:val="clear" w:color="auto" w:fill="auto"/>
            <w:noWrap/>
            <w:vAlign w:val="center"/>
          </w:tcPr>
          <w:p w14:paraId="73281F2B">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水域景观</w:t>
            </w:r>
          </w:p>
        </w:tc>
        <w:tc>
          <w:tcPr>
            <w:tcW w:w="1571" w:type="dxa"/>
            <w:tcBorders>
              <w:tl2br w:val="nil"/>
              <w:tr2bl w:val="nil"/>
            </w:tcBorders>
            <w:shd w:val="clear" w:color="auto" w:fill="auto"/>
            <w:noWrap/>
            <w:vAlign w:val="center"/>
          </w:tcPr>
          <w:p w14:paraId="7F5BFE8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河系</w:t>
            </w:r>
          </w:p>
        </w:tc>
        <w:tc>
          <w:tcPr>
            <w:tcW w:w="1733" w:type="dxa"/>
            <w:tcBorders>
              <w:tl2br w:val="nil"/>
              <w:tr2bl w:val="nil"/>
            </w:tcBorders>
            <w:shd w:val="clear" w:color="auto" w:fill="auto"/>
            <w:noWrap/>
            <w:vAlign w:val="center"/>
          </w:tcPr>
          <w:p w14:paraId="0510936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游憩河段</w:t>
            </w:r>
          </w:p>
        </w:tc>
      </w:tr>
      <w:tr w14:paraId="1E563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7DAE15E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891" w:type="dxa"/>
            <w:vMerge w:val="continue"/>
            <w:tcBorders>
              <w:tl2br w:val="nil"/>
              <w:tr2bl w:val="nil"/>
            </w:tcBorders>
            <w:shd w:val="clear" w:color="auto" w:fill="auto"/>
            <w:noWrap/>
            <w:vAlign w:val="center"/>
          </w:tcPr>
          <w:p w14:paraId="16D99D25">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2F4A020E">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江泽民视察河南焦作博爱农场</w:t>
            </w:r>
            <w:r>
              <w:rPr>
                <w:rStyle w:val="23"/>
                <w:rFonts w:ascii="宋体" w:eastAsia="宋体"/>
                <w:sz w:val="20"/>
                <w:lang w:val="en-US" w:eastAsia="zh-CN" w:bidi="ar"/>
              </w:rPr>
              <w:t>(1996</w:t>
            </w:r>
            <w:r>
              <w:rPr>
                <w:rStyle w:val="24"/>
                <w:rFonts w:ascii="宋体" w:eastAsia="宋体"/>
                <w:sz w:val="20"/>
                <w:lang w:val="en-US" w:eastAsia="zh-CN" w:bidi="ar"/>
              </w:rPr>
              <w:t>年</w:t>
            </w:r>
            <w:r>
              <w:rPr>
                <w:rStyle w:val="23"/>
                <w:rFonts w:ascii="宋体" w:eastAsia="宋体"/>
                <w:sz w:val="20"/>
                <w:lang w:val="en-US" w:eastAsia="zh-CN" w:bidi="ar"/>
              </w:rPr>
              <w:t>)</w:t>
            </w:r>
          </w:p>
        </w:tc>
        <w:tc>
          <w:tcPr>
            <w:tcW w:w="1250" w:type="dxa"/>
            <w:tcBorders>
              <w:tl2br w:val="nil"/>
              <w:tr2bl w:val="nil"/>
            </w:tcBorders>
            <w:shd w:val="clear" w:color="auto" w:fill="auto"/>
            <w:noWrap/>
            <w:vAlign w:val="center"/>
          </w:tcPr>
          <w:p w14:paraId="69B3494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50A821D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6E5069B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地方事件</w:t>
            </w:r>
          </w:p>
        </w:tc>
      </w:tr>
      <w:tr w14:paraId="1107A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7BDA387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891" w:type="dxa"/>
            <w:vMerge w:val="continue"/>
            <w:tcBorders>
              <w:tl2br w:val="nil"/>
              <w:tr2bl w:val="nil"/>
            </w:tcBorders>
            <w:shd w:val="clear" w:color="auto" w:fill="auto"/>
            <w:noWrap/>
            <w:vAlign w:val="center"/>
          </w:tcPr>
          <w:p w14:paraId="6FFAEE96">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31C0D0F">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胡锦涛视察河南焦作博爱（</w:t>
            </w:r>
            <w:r>
              <w:rPr>
                <w:rStyle w:val="23"/>
                <w:rFonts w:ascii="宋体" w:eastAsia="宋体"/>
                <w:sz w:val="20"/>
                <w:lang w:val="en-US" w:eastAsia="zh-CN" w:bidi="ar"/>
              </w:rPr>
              <w:t>2008</w:t>
            </w:r>
            <w:r>
              <w:rPr>
                <w:rStyle w:val="24"/>
                <w:rFonts w:ascii="宋体" w:eastAsia="宋体"/>
                <w:sz w:val="20"/>
                <w:lang w:val="en-US" w:eastAsia="zh-CN" w:bidi="ar"/>
              </w:rPr>
              <w:t>年</w:t>
            </w:r>
            <w:r>
              <w:rPr>
                <w:rStyle w:val="23"/>
                <w:rFonts w:ascii="宋体" w:eastAsia="宋体"/>
                <w:sz w:val="20"/>
                <w:lang w:val="en-US" w:eastAsia="zh-CN" w:bidi="ar"/>
              </w:rPr>
              <w:t>)</w:t>
            </w:r>
          </w:p>
        </w:tc>
        <w:tc>
          <w:tcPr>
            <w:tcW w:w="1250" w:type="dxa"/>
            <w:tcBorders>
              <w:tl2br w:val="nil"/>
              <w:tr2bl w:val="nil"/>
            </w:tcBorders>
            <w:shd w:val="clear" w:color="auto" w:fill="auto"/>
            <w:noWrap/>
            <w:vAlign w:val="center"/>
          </w:tcPr>
          <w:p w14:paraId="5C8B8F03">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4C3CEE7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05C7004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地方事件</w:t>
            </w:r>
          </w:p>
        </w:tc>
      </w:tr>
      <w:tr w14:paraId="7CC28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7134DE2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891" w:type="dxa"/>
            <w:vMerge w:val="continue"/>
            <w:tcBorders>
              <w:tl2br w:val="nil"/>
              <w:tr2bl w:val="nil"/>
            </w:tcBorders>
            <w:shd w:val="clear" w:color="auto" w:fill="auto"/>
            <w:noWrap/>
            <w:vAlign w:val="center"/>
          </w:tcPr>
          <w:p w14:paraId="56E2F626">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719E165E">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博爱月山寺</w:t>
            </w:r>
          </w:p>
        </w:tc>
        <w:tc>
          <w:tcPr>
            <w:tcW w:w="1250" w:type="dxa"/>
            <w:tcBorders>
              <w:tl2br w:val="nil"/>
              <w:tr2bl w:val="nil"/>
            </w:tcBorders>
            <w:shd w:val="clear" w:color="auto" w:fill="auto"/>
            <w:noWrap/>
            <w:vAlign w:val="center"/>
          </w:tcPr>
          <w:p w14:paraId="779B2D50">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7BAFAE9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人文景观综合体</w:t>
            </w:r>
          </w:p>
        </w:tc>
        <w:tc>
          <w:tcPr>
            <w:tcW w:w="1733" w:type="dxa"/>
            <w:tcBorders>
              <w:tl2br w:val="nil"/>
              <w:tr2bl w:val="nil"/>
            </w:tcBorders>
            <w:shd w:val="clear" w:color="auto" w:fill="auto"/>
            <w:noWrap/>
            <w:vAlign w:val="center"/>
          </w:tcPr>
          <w:p w14:paraId="2EC83BF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宗教与祭祀活动场所</w:t>
            </w:r>
          </w:p>
        </w:tc>
      </w:tr>
      <w:tr w14:paraId="267AD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175555A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891" w:type="dxa"/>
            <w:vMerge w:val="continue"/>
            <w:tcBorders>
              <w:tl2br w:val="nil"/>
              <w:tr2bl w:val="nil"/>
            </w:tcBorders>
            <w:shd w:val="clear" w:color="auto" w:fill="auto"/>
            <w:noWrap/>
            <w:vAlign w:val="center"/>
          </w:tcPr>
          <w:p w14:paraId="1E34442A">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0966BB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博爱青天河观音峡游憩河段</w:t>
            </w:r>
          </w:p>
        </w:tc>
        <w:tc>
          <w:tcPr>
            <w:tcW w:w="1250" w:type="dxa"/>
            <w:tcBorders>
              <w:tl2br w:val="nil"/>
              <w:tr2bl w:val="nil"/>
            </w:tcBorders>
            <w:shd w:val="clear" w:color="auto" w:fill="auto"/>
            <w:noWrap/>
            <w:vAlign w:val="center"/>
          </w:tcPr>
          <w:p w14:paraId="38B0A400">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水域景观</w:t>
            </w:r>
          </w:p>
        </w:tc>
        <w:tc>
          <w:tcPr>
            <w:tcW w:w="1571" w:type="dxa"/>
            <w:tcBorders>
              <w:tl2br w:val="nil"/>
              <w:tr2bl w:val="nil"/>
            </w:tcBorders>
            <w:shd w:val="clear" w:color="auto" w:fill="auto"/>
            <w:noWrap/>
            <w:vAlign w:val="center"/>
          </w:tcPr>
          <w:p w14:paraId="2A14627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河系</w:t>
            </w:r>
          </w:p>
        </w:tc>
        <w:tc>
          <w:tcPr>
            <w:tcW w:w="1733" w:type="dxa"/>
            <w:tcBorders>
              <w:tl2br w:val="nil"/>
              <w:tr2bl w:val="nil"/>
            </w:tcBorders>
            <w:shd w:val="clear" w:color="auto" w:fill="auto"/>
            <w:noWrap/>
            <w:vAlign w:val="center"/>
          </w:tcPr>
          <w:p w14:paraId="7CE291F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游憩河段</w:t>
            </w:r>
          </w:p>
        </w:tc>
      </w:tr>
      <w:tr w14:paraId="60225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3331CD3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891" w:type="dxa"/>
            <w:vMerge w:val="continue"/>
            <w:tcBorders>
              <w:tl2br w:val="nil"/>
              <w:tr2bl w:val="nil"/>
            </w:tcBorders>
            <w:shd w:val="clear" w:color="auto" w:fill="auto"/>
            <w:noWrap/>
            <w:vAlign w:val="center"/>
          </w:tcPr>
          <w:p w14:paraId="1F26A634">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489B936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博爱三姑泉</w:t>
            </w:r>
          </w:p>
        </w:tc>
        <w:tc>
          <w:tcPr>
            <w:tcW w:w="1250" w:type="dxa"/>
            <w:tcBorders>
              <w:tl2br w:val="nil"/>
              <w:tr2bl w:val="nil"/>
            </w:tcBorders>
            <w:shd w:val="clear" w:color="auto" w:fill="auto"/>
            <w:noWrap/>
            <w:vAlign w:val="center"/>
          </w:tcPr>
          <w:p w14:paraId="08A891EB">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水域景观</w:t>
            </w:r>
          </w:p>
        </w:tc>
        <w:tc>
          <w:tcPr>
            <w:tcW w:w="1571" w:type="dxa"/>
            <w:tcBorders>
              <w:tl2br w:val="nil"/>
              <w:tr2bl w:val="nil"/>
            </w:tcBorders>
            <w:shd w:val="clear" w:color="auto" w:fill="auto"/>
            <w:noWrap/>
            <w:vAlign w:val="center"/>
          </w:tcPr>
          <w:p w14:paraId="31922CA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地下水</w:t>
            </w:r>
          </w:p>
        </w:tc>
        <w:tc>
          <w:tcPr>
            <w:tcW w:w="1733" w:type="dxa"/>
            <w:tcBorders>
              <w:tl2br w:val="nil"/>
              <w:tr2bl w:val="nil"/>
            </w:tcBorders>
            <w:shd w:val="clear" w:color="auto" w:fill="auto"/>
            <w:noWrap/>
            <w:vAlign w:val="center"/>
          </w:tcPr>
          <w:p w14:paraId="6E97D2E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泉</w:t>
            </w:r>
          </w:p>
        </w:tc>
      </w:tr>
      <w:tr w14:paraId="0136B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7391D22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891" w:type="dxa"/>
            <w:vMerge w:val="continue"/>
            <w:tcBorders>
              <w:tl2br w:val="nil"/>
              <w:tr2bl w:val="nil"/>
            </w:tcBorders>
            <w:shd w:val="clear" w:color="auto" w:fill="auto"/>
            <w:noWrap/>
            <w:vAlign w:val="center"/>
          </w:tcPr>
          <w:p w14:paraId="504B036F">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3FC46CE4">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博爱月山寺八极拳</w:t>
            </w:r>
          </w:p>
        </w:tc>
        <w:tc>
          <w:tcPr>
            <w:tcW w:w="1250" w:type="dxa"/>
            <w:tcBorders>
              <w:tl2br w:val="nil"/>
              <w:tr2bl w:val="nil"/>
            </w:tcBorders>
            <w:shd w:val="clear" w:color="auto" w:fill="auto"/>
            <w:noWrap/>
            <w:vAlign w:val="center"/>
          </w:tcPr>
          <w:p w14:paraId="66B85A03">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25E95C7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非物质类文化遗存</w:t>
            </w:r>
          </w:p>
        </w:tc>
        <w:tc>
          <w:tcPr>
            <w:tcW w:w="1733" w:type="dxa"/>
            <w:tcBorders>
              <w:tl2br w:val="nil"/>
              <w:tr2bl w:val="nil"/>
            </w:tcBorders>
            <w:shd w:val="clear" w:color="auto" w:fill="auto"/>
            <w:noWrap/>
            <w:vAlign w:val="center"/>
          </w:tcPr>
          <w:p w14:paraId="6CB64E0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传统武术</w:t>
            </w:r>
          </w:p>
        </w:tc>
      </w:tr>
      <w:tr w14:paraId="10139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6451FF5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891" w:type="dxa"/>
            <w:vMerge w:val="continue"/>
            <w:tcBorders>
              <w:tl2br w:val="nil"/>
              <w:tr2bl w:val="nil"/>
            </w:tcBorders>
            <w:shd w:val="clear" w:color="auto" w:fill="auto"/>
            <w:noWrap/>
            <w:vAlign w:val="center"/>
          </w:tcPr>
          <w:p w14:paraId="6C49EDB4">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2D5C489">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博爱竹林</w:t>
            </w:r>
          </w:p>
        </w:tc>
        <w:tc>
          <w:tcPr>
            <w:tcW w:w="1250" w:type="dxa"/>
            <w:tcBorders>
              <w:tl2br w:val="nil"/>
              <w:tr2bl w:val="nil"/>
            </w:tcBorders>
            <w:shd w:val="clear" w:color="auto" w:fill="auto"/>
            <w:noWrap/>
            <w:vAlign w:val="center"/>
          </w:tcPr>
          <w:p w14:paraId="182BB9C9">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生物景观</w:t>
            </w:r>
          </w:p>
        </w:tc>
        <w:tc>
          <w:tcPr>
            <w:tcW w:w="1571" w:type="dxa"/>
            <w:tcBorders>
              <w:tl2br w:val="nil"/>
              <w:tr2bl w:val="nil"/>
            </w:tcBorders>
            <w:shd w:val="clear" w:color="auto" w:fill="auto"/>
            <w:noWrap/>
            <w:vAlign w:val="center"/>
          </w:tcPr>
          <w:p w14:paraId="075B22E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植被景观</w:t>
            </w:r>
          </w:p>
        </w:tc>
        <w:tc>
          <w:tcPr>
            <w:tcW w:w="1733" w:type="dxa"/>
            <w:tcBorders>
              <w:tl2br w:val="nil"/>
              <w:tr2bl w:val="nil"/>
            </w:tcBorders>
            <w:shd w:val="clear" w:color="auto" w:fill="auto"/>
            <w:noWrap/>
            <w:vAlign w:val="center"/>
          </w:tcPr>
          <w:p w14:paraId="41AF0A7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林地</w:t>
            </w:r>
          </w:p>
        </w:tc>
      </w:tr>
      <w:tr w14:paraId="045C8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3135A73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891" w:type="dxa"/>
            <w:vMerge w:val="continue"/>
            <w:tcBorders>
              <w:tl2br w:val="nil"/>
              <w:tr2bl w:val="nil"/>
            </w:tcBorders>
            <w:shd w:val="clear" w:color="auto" w:fill="auto"/>
            <w:noWrap/>
            <w:vAlign w:val="center"/>
          </w:tcPr>
          <w:p w14:paraId="62390983">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F24E399">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博爱青天河鲸鱼湾游憩湖区</w:t>
            </w:r>
          </w:p>
        </w:tc>
        <w:tc>
          <w:tcPr>
            <w:tcW w:w="1250" w:type="dxa"/>
            <w:tcBorders>
              <w:tl2br w:val="nil"/>
              <w:tr2bl w:val="nil"/>
            </w:tcBorders>
            <w:shd w:val="clear" w:color="auto" w:fill="auto"/>
            <w:noWrap/>
            <w:vAlign w:val="center"/>
          </w:tcPr>
          <w:p w14:paraId="1FCAF0F8">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水域景观</w:t>
            </w:r>
          </w:p>
        </w:tc>
        <w:tc>
          <w:tcPr>
            <w:tcW w:w="1571" w:type="dxa"/>
            <w:tcBorders>
              <w:tl2br w:val="nil"/>
              <w:tr2bl w:val="nil"/>
            </w:tcBorders>
            <w:shd w:val="clear" w:color="auto" w:fill="auto"/>
            <w:noWrap/>
            <w:vAlign w:val="center"/>
          </w:tcPr>
          <w:p w14:paraId="20625CD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湖沼</w:t>
            </w:r>
          </w:p>
        </w:tc>
        <w:tc>
          <w:tcPr>
            <w:tcW w:w="1733" w:type="dxa"/>
            <w:tcBorders>
              <w:tl2br w:val="nil"/>
              <w:tr2bl w:val="nil"/>
            </w:tcBorders>
            <w:shd w:val="clear" w:color="auto" w:fill="auto"/>
            <w:noWrap/>
            <w:vAlign w:val="center"/>
          </w:tcPr>
          <w:p w14:paraId="1FC8BB5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游憩湖区</w:t>
            </w:r>
          </w:p>
        </w:tc>
      </w:tr>
      <w:tr w14:paraId="70B90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7E144D5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891" w:type="dxa"/>
            <w:vMerge w:val="continue"/>
            <w:tcBorders>
              <w:tl2br w:val="nil"/>
              <w:tr2bl w:val="nil"/>
            </w:tcBorders>
            <w:shd w:val="clear" w:color="auto" w:fill="auto"/>
            <w:noWrap/>
            <w:vAlign w:val="center"/>
          </w:tcPr>
          <w:p w14:paraId="7BD0CDEC">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579F76F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博爱许良于庄</w:t>
            </w:r>
          </w:p>
        </w:tc>
        <w:tc>
          <w:tcPr>
            <w:tcW w:w="1250" w:type="dxa"/>
            <w:tcBorders>
              <w:tl2br w:val="nil"/>
              <w:tr2bl w:val="nil"/>
            </w:tcBorders>
            <w:shd w:val="clear" w:color="auto" w:fill="auto"/>
            <w:noWrap/>
            <w:vAlign w:val="center"/>
          </w:tcPr>
          <w:p w14:paraId="4CCB185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7A67291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人文景观综合体</w:t>
            </w:r>
          </w:p>
        </w:tc>
        <w:tc>
          <w:tcPr>
            <w:tcW w:w="1733" w:type="dxa"/>
            <w:tcBorders>
              <w:tl2br w:val="nil"/>
              <w:tr2bl w:val="nil"/>
            </w:tcBorders>
            <w:shd w:val="clear" w:color="auto" w:fill="auto"/>
            <w:noWrap/>
            <w:vAlign w:val="center"/>
          </w:tcPr>
          <w:p w14:paraId="12D73EB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康体游乐休闲度假地</w:t>
            </w:r>
          </w:p>
        </w:tc>
      </w:tr>
      <w:tr w14:paraId="60CF6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5A98F7E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891" w:type="dxa"/>
            <w:vMerge w:val="continue"/>
            <w:tcBorders>
              <w:tl2br w:val="nil"/>
              <w:tr2bl w:val="nil"/>
            </w:tcBorders>
            <w:shd w:val="clear" w:color="auto" w:fill="auto"/>
            <w:noWrap/>
            <w:vAlign w:val="center"/>
          </w:tcPr>
          <w:p w14:paraId="4D4AEF76">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F412178">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博爱青天河大泉湖坝区段游憩湖区</w:t>
            </w:r>
          </w:p>
        </w:tc>
        <w:tc>
          <w:tcPr>
            <w:tcW w:w="1250" w:type="dxa"/>
            <w:tcBorders>
              <w:tl2br w:val="nil"/>
              <w:tr2bl w:val="nil"/>
            </w:tcBorders>
            <w:shd w:val="clear" w:color="auto" w:fill="auto"/>
            <w:noWrap/>
            <w:vAlign w:val="center"/>
          </w:tcPr>
          <w:p w14:paraId="0EF1A21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水域景观</w:t>
            </w:r>
          </w:p>
        </w:tc>
        <w:tc>
          <w:tcPr>
            <w:tcW w:w="1571" w:type="dxa"/>
            <w:tcBorders>
              <w:tl2br w:val="nil"/>
              <w:tr2bl w:val="nil"/>
            </w:tcBorders>
            <w:shd w:val="clear" w:color="auto" w:fill="auto"/>
            <w:noWrap/>
            <w:vAlign w:val="center"/>
          </w:tcPr>
          <w:p w14:paraId="0919FDF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湖沼</w:t>
            </w:r>
          </w:p>
        </w:tc>
        <w:tc>
          <w:tcPr>
            <w:tcW w:w="1733" w:type="dxa"/>
            <w:tcBorders>
              <w:tl2br w:val="nil"/>
              <w:tr2bl w:val="nil"/>
            </w:tcBorders>
            <w:shd w:val="clear" w:color="auto" w:fill="auto"/>
            <w:noWrap/>
            <w:vAlign w:val="center"/>
          </w:tcPr>
          <w:p w14:paraId="1B86BEA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游憩湖区</w:t>
            </w:r>
          </w:p>
        </w:tc>
      </w:tr>
      <w:tr w14:paraId="7FA32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2FBBC8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891" w:type="dxa"/>
            <w:vMerge w:val="continue"/>
            <w:tcBorders>
              <w:tl2br w:val="nil"/>
              <w:tr2bl w:val="nil"/>
            </w:tcBorders>
            <w:shd w:val="clear" w:color="auto" w:fill="auto"/>
            <w:noWrap/>
            <w:vAlign w:val="center"/>
          </w:tcPr>
          <w:p w14:paraId="7933E1E5">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049973B2">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博爱青天河峡谷</w:t>
            </w:r>
          </w:p>
        </w:tc>
        <w:tc>
          <w:tcPr>
            <w:tcW w:w="1250" w:type="dxa"/>
            <w:tcBorders>
              <w:tl2br w:val="nil"/>
              <w:tr2bl w:val="nil"/>
            </w:tcBorders>
            <w:shd w:val="clear" w:color="auto" w:fill="auto"/>
            <w:noWrap/>
            <w:vAlign w:val="center"/>
          </w:tcPr>
          <w:p w14:paraId="09521A48">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25C490F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自然景观综合体</w:t>
            </w:r>
          </w:p>
        </w:tc>
        <w:tc>
          <w:tcPr>
            <w:tcW w:w="1733" w:type="dxa"/>
            <w:tcBorders>
              <w:tl2br w:val="nil"/>
              <w:tr2bl w:val="nil"/>
            </w:tcBorders>
            <w:shd w:val="clear" w:color="auto" w:fill="auto"/>
            <w:noWrap/>
            <w:vAlign w:val="center"/>
          </w:tcPr>
          <w:p w14:paraId="47AC536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沟谷型景观</w:t>
            </w:r>
          </w:p>
        </w:tc>
      </w:tr>
      <w:tr w14:paraId="5FF73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E2E71C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891" w:type="dxa"/>
            <w:vMerge w:val="restart"/>
            <w:tcBorders>
              <w:tl2br w:val="nil"/>
              <w:tr2bl w:val="nil"/>
            </w:tcBorders>
            <w:shd w:val="clear" w:color="auto" w:fill="auto"/>
            <w:noWrap/>
            <w:vAlign w:val="center"/>
          </w:tcPr>
          <w:p w14:paraId="068DC74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武陟县</w:t>
            </w:r>
          </w:p>
        </w:tc>
        <w:tc>
          <w:tcPr>
            <w:tcW w:w="2869" w:type="dxa"/>
            <w:tcBorders>
              <w:tl2br w:val="nil"/>
              <w:tr2bl w:val="nil"/>
            </w:tcBorders>
            <w:shd w:val="clear" w:color="auto" w:fill="auto"/>
            <w:noWrap/>
            <w:vAlign w:val="center"/>
          </w:tcPr>
          <w:p w14:paraId="6D023DB4">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胡锦涛考察武陟县万亩玉米示范田</w:t>
            </w:r>
          </w:p>
        </w:tc>
        <w:tc>
          <w:tcPr>
            <w:tcW w:w="1250" w:type="dxa"/>
            <w:tcBorders>
              <w:tl2br w:val="nil"/>
              <w:tr2bl w:val="nil"/>
            </w:tcBorders>
            <w:shd w:val="clear" w:color="auto" w:fill="auto"/>
            <w:noWrap/>
            <w:vAlign w:val="center"/>
          </w:tcPr>
          <w:p w14:paraId="0107D442">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4150119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764FBC2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地方事件</w:t>
            </w:r>
          </w:p>
        </w:tc>
      </w:tr>
      <w:tr w14:paraId="38854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2BE2C74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891" w:type="dxa"/>
            <w:vMerge w:val="continue"/>
            <w:tcBorders>
              <w:tl2br w:val="nil"/>
              <w:tr2bl w:val="nil"/>
            </w:tcBorders>
            <w:shd w:val="clear" w:color="auto" w:fill="auto"/>
            <w:noWrap/>
            <w:vAlign w:val="center"/>
          </w:tcPr>
          <w:p w14:paraId="2AC06AF5">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242450B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董永</w:t>
            </w:r>
          </w:p>
        </w:tc>
        <w:tc>
          <w:tcPr>
            <w:tcW w:w="1250" w:type="dxa"/>
            <w:tcBorders>
              <w:tl2br w:val="nil"/>
              <w:tr2bl w:val="nil"/>
            </w:tcBorders>
            <w:shd w:val="clear" w:color="auto" w:fill="auto"/>
            <w:noWrap/>
            <w:vAlign w:val="center"/>
          </w:tcPr>
          <w:p w14:paraId="13005FC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6B241BE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2FE7E23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地方人物</w:t>
            </w:r>
          </w:p>
        </w:tc>
      </w:tr>
      <w:tr w14:paraId="03C90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442C81D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891" w:type="dxa"/>
            <w:vMerge w:val="continue"/>
            <w:tcBorders>
              <w:tl2br w:val="nil"/>
              <w:tr2bl w:val="nil"/>
            </w:tcBorders>
            <w:shd w:val="clear" w:color="auto" w:fill="auto"/>
            <w:noWrap/>
            <w:vAlign w:val="center"/>
          </w:tcPr>
          <w:p w14:paraId="3FCEDCA1">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77287B6B">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武陟砂锅</w:t>
            </w:r>
          </w:p>
        </w:tc>
        <w:tc>
          <w:tcPr>
            <w:tcW w:w="1250" w:type="dxa"/>
            <w:tcBorders>
              <w:tl2br w:val="nil"/>
              <w:tr2bl w:val="nil"/>
            </w:tcBorders>
            <w:shd w:val="clear" w:color="auto" w:fill="auto"/>
            <w:noWrap/>
            <w:vAlign w:val="center"/>
          </w:tcPr>
          <w:p w14:paraId="5AD50473">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旅游购品</w:t>
            </w:r>
          </w:p>
        </w:tc>
        <w:tc>
          <w:tcPr>
            <w:tcW w:w="1571" w:type="dxa"/>
            <w:tcBorders>
              <w:tl2br w:val="nil"/>
              <w:tr2bl w:val="nil"/>
            </w:tcBorders>
            <w:shd w:val="clear" w:color="auto" w:fill="auto"/>
            <w:noWrap/>
            <w:vAlign w:val="center"/>
          </w:tcPr>
          <w:p w14:paraId="29C6D80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特色饮食</w:t>
            </w:r>
          </w:p>
        </w:tc>
        <w:tc>
          <w:tcPr>
            <w:tcW w:w="1733" w:type="dxa"/>
            <w:tcBorders>
              <w:tl2br w:val="nil"/>
              <w:tr2bl w:val="nil"/>
            </w:tcBorders>
            <w:shd w:val="clear" w:color="auto" w:fill="auto"/>
            <w:noWrap/>
            <w:vAlign w:val="center"/>
          </w:tcPr>
          <w:p w14:paraId="792B492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特色美食</w:t>
            </w:r>
          </w:p>
        </w:tc>
      </w:tr>
      <w:tr w14:paraId="6E583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4CC2A2D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891" w:type="dxa"/>
            <w:vMerge w:val="continue"/>
            <w:tcBorders>
              <w:tl2br w:val="nil"/>
              <w:tr2bl w:val="nil"/>
            </w:tcBorders>
            <w:shd w:val="clear" w:color="auto" w:fill="auto"/>
            <w:noWrap/>
            <w:vAlign w:val="center"/>
          </w:tcPr>
          <w:p w14:paraId="3584F06D">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51AB093E">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黄河武陟悬河头游憩河段</w:t>
            </w:r>
          </w:p>
        </w:tc>
        <w:tc>
          <w:tcPr>
            <w:tcW w:w="1250" w:type="dxa"/>
            <w:tcBorders>
              <w:tl2br w:val="nil"/>
              <w:tr2bl w:val="nil"/>
            </w:tcBorders>
            <w:shd w:val="clear" w:color="auto" w:fill="auto"/>
            <w:noWrap/>
            <w:vAlign w:val="center"/>
          </w:tcPr>
          <w:p w14:paraId="3FE5FABE">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水域景观</w:t>
            </w:r>
          </w:p>
        </w:tc>
        <w:tc>
          <w:tcPr>
            <w:tcW w:w="1571" w:type="dxa"/>
            <w:tcBorders>
              <w:tl2br w:val="nil"/>
              <w:tr2bl w:val="nil"/>
            </w:tcBorders>
            <w:shd w:val="clear" w:color="auto" w:fill="auto"/>
            <w:noWrap/>
            <w:vAlign w:val="center"/>
          </w:tcPr>
          <w:p w14:paraId="723A30C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河系</w:t>
            </w:r>
          </w:p>
        </w:tc>
        <w:tc>
          <w:tcPr>
            <w:tcW w:w="1733" w:type="dxa"/>
            <w:tcBorders>
              <w:tl2br w:val="nil"/>
              <w:tr2bl w:val="nil"/>
            </w:tcBorders>
            <w:shd w:val="clear" w:color="auto" w:fill="auto"/>
            <w:noWrap/>
            <w:vAlign w:val="center"/>
          </w:tcPr>
          <w:p w14:paraId="5BC3E30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游憩河段</w:t>
            </w:r>
          </w:p>
        </w:tc>
      </w:tr>
      <w:tr w14:paraId="06561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44F6219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891" w:type="dxa"/>
            <w:vMerge w:val="continue"/>
            <w:tcBorders>
              <w:tl2br w:val="nil"/>
              <w:tr2bl w:val="nil"/>
            </w:tcBorders>
            <w:shd w:val="clear" w:color="auto" w:fill="auto"/>
            <w:noWrap/>
            <w:vAlign w:val="center"/>
          </w:tcPr>
          <w:p w14:paraId="2B5BA7DE">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3D649744">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武陟嘉应观</w:t>
            </w:r>
          </w:p>
        </w:tc>
        <w:tc>
          <w:tcPr>
            <w:tcW w:w="1250" w:type="dxa"/>
            <w:tcBorders>
              <w:tl2br w:val="nil"/>
              <w:tr2bl w:val="nil"/>
            </w:tcBorders>
            <w:shd w:val="clear" w:color="auto" w:fill="auto"/>
            <w:noWrap/>
            <w:vAlign w:val="center"/>
          </w:tcPr>
          <w:p w14:paraId="5976119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5A4C391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物质类文化遗存</w:t>
            </w:r>
          </w:p>
        </w:tc>
        <w:tc>
          <w:tcPr>
            <w:tcW w:w="1733" w:type="dxa"/>
            <w:tcBorders>
              <w:tl2br w:val="nil"/>
              <w:tr2bl w:val="nil"/>
            </w:tcBorders>
            <w:shd w:val="clear" w:color="auto" w:fill="auto"/>
            <w:noWrap/>
            <w:vAlign w:val="center"/>
          </w:tcPr>
          <w:p w14:paraId="51D42DC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建筑遗迹</w:t>
            </w:r>
          </w:p>
        </w:tc>
      </w:tr>
      <w:tr w14:paraId="3FA2B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6414B81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891" w:type="dxa"/>
            <w:vMerge w:val="continue"/>
            <w:tcBorders>
              <w:tl2br w:val="nil"/>
              <w:tr2bl w:val="nil"/>
            </w:tcBorders>
            <w:shd w:val="clear" w:color="auto" w:fill="auto"/>
            <w:noWrap/>
            <w:vAlign w:val="center"/>
          </w:tcPr>
          <w:p w14:paraId="6E586287">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584DD86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武陟妙乐寺塔</w:t>
            </w:r>
          </w:p>
        </w:tc>
        <w:tc>
          <w:tcPr>
            <w:tcW w:w="1250" w:type="dxa"/>
            <w:tcBorders>
              <w:tl2br w:val="nil"/>
              <w:tr2bl w:val="nil"/>
            </w:tcBorders>
            <w:shd w:val="clear" w:color="auto" w:fill="auto"/>
            <w:noWrap/>
            <w:vAlign w:val="center"/>
          </w:tcPr>
          <w:p w14:paraId="0DE66779">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1BA2343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景观与小品建筑</w:t>
            </w:r>
          </w:p>
        </w:tc>
        <w:tc>
          <w:tcPr>
            <w:tcW w:w="1733" w:type="dxa"/>
            <w:tcBorders>
              <w:tl2br w:val="nil"/>
              <w:tr2bl w:val="nil"/>
            </w:tcBorders>
            <w:shd w:val="clear" w:color="auto" w:fill="auto"/>
            <w:noWrap/>
            <w:vAlign w:val="center"/>
          </w:tcPr>
          <w:p w14:paraId="0F6C9B9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塔形建筑</w:t>
            </w:r>
          </w:p>
        </w:tc>
      </w:tr>
      <w:tr w14:paraId="0E144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5E649D1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891" w:type="dxa"/>
            <w:vMerge w:val="continue"/>
            <w:tcBorders>
              <w:tl2br w:val="nil"/>
              <w:tr2bl w:val="nil"/>
            </w:tcBorders>
            <w:shd w:val="clear" w:color="auto" w:fill="auto"/>
            <w:noWrap/>
            <w:vAlign w:val="center"/>
          </w:tcPr>
          <w:p w14:paraId="264F6BAD">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3B0CCAB">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武陟青龙宫</w:t>
            </w:r>
          </w:p>
        </w:tc>
        <w:tc>
          <w:tcPr>
            <w:tcW w:w="1250" w:type="dxa"/>
            <w:tcBorders>
              <w:tl2br w:val="nil"/>
              <w:tr2bl w:val="nil"/>
            </w:tcBorders>
            <w:shd w:val="clear" w:color="auto" w:fill="auto"/>
            <w:noWrap/>
            <w:vAlign w:val="center"/>
          </w:tcPr>
          <w:p w14:paraId="794883B3">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2829B39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人文景观综合体</w:t>
            </w:r>
          </w:p>
        </w:tc>
        <w:tc>
          <w:tcPr>
            <w:tcW w:w="1733" w:type="dxa"/>
            <w:tcBorders>
              <w:tl2br w:val="nil"/>
              <w:tr2bl w:val="nil"/>
            </w:tcBorders>
            <w:shd w:val="clear" w:color="auto" w:fill="auto"/>
            <w:noWrap/>
            <w:vAlign w:val="center"/>
          </w:tcPr>
          <w:p w14:paraId="27CBBEC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宗教与祭祀活动场所</w:t>
            </w:r>
          </w:p>
        </w:tc>
      </w:tr>
      <w:tr w14:paraId="13B13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2CEBC1B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891" w:type="dxa"/>
            <w:vMerge w:val="continue"/>
            <w:tcBorders>
              <w:tl2br w:val="nil"/>
              <w:tr2bl w:val="nil"/>
            </w:tcBorders>
            <w:shd w:val="clear" w:color="auto" w:fill="auto"/>
            <w:noWrap/>
            <w:vAlign w:val="center"/>
          </w:tcPr>
          <w:p w14:paraId="7DEA575F">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9B435F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黄河大鲤鱼</w:t>
            </w:r>
          </w:p>
        </w:tc>
        <w:tc>
          <w:tcPr>
            <w:tcW w:w="1250" w:type="dxa"/>
            <w:tcBorders>
              <w:tl2br w:val="nil"/>
              <w:tr2bl w:val="nil"/>
            </w:tcBorders>
            <w:shd w:val="clear" w:color="auto" w:fill="auto"/>
            <w:noWrap/>
            <w:vAlign w:val="center"/>
          </w:tcPr>
          <w:p w14:paraId="1F7501A3">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旅游购品</w:t>
            </w:r>
          </w:p>
        </w:tc>
        <w:tc>
          <w:tcPr>
            <w:tcW w:w="1571" w:type="dxa"/>
            <w:tcBorders>
              <w:tl2br w:val="nil"/>
              <w:tr2bl w:val="nil"/>
            </w:tcBorders>
            <w:shd w:val="clear" w:color="auto" w:fill="auto"/>
            <w:noWrap/>
            <w:vAlign w:val="center"/>
          </w:tcPr>
          <w:p w14:paraId="1A93268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农业产品</w:t>
            </w:r>
          </w:p>
        </w:tc>
        <w:tc>
          <w:tcPr>
            <w:tcW w:w="1733" w:type="dxa"/>
            <w:tcBorders>
              <w:tl2br w:val="nil"/>
              <w:tr2bl w:val="nil"/>
            </w:tcBorders>
            <w:shd w:val="clear" w:color="auto" w:fill="auto"/>
            <w:noWrap/>
            <w:vAlign w:val="center"/>
          </w:tcPr>
          <w:p w14:paraId="0F9C4AF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水产品及制品</w:t>
            </w:r>
          </w:p>
        </w:tc>
      </w:tr>
      <w:tr w14:paraId="70FBF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40EE4AB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891" w:type="dxa"/>
            <w:vMerge w:val="continue"/>
            <w:tcBorders>
              <w:tl2br w:val="nil"/>
              <w:tr2bl w:val="nil"/>
            </w:tcBorders>
            <w:shd w:val="clear" w:color="auto" w:fill="auto"/>
            <w:noWrap/>
            <w:vAlign w:val="center"/>
          </w:tcPr>
          <w:p w14:paraId="3594D0F2">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7226F3A9">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武陟油茶</w:t>
            </w:r>
          </w:p>
        </w:tc>
        <w:tc>
          <w:tcPr>
            <w:tcW w:w="1250" w:type="dxa"/>
            <w:tcBorders>
              <w:tl2br w:val="nil"/>
              <w:tr2bl w:val="nil"/>
            </w:tcBorders>
            <w:shd w:val="clear" w:color="auto" w:fill="auto"/>
            <w:noWrap/>
            <w:vAlign w:val="center"/>
          </w:tcPr>
          <w:p w14:paraId="31C4EC8E">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旅游购品</w:t>
            </w:r>
          </w:p>
        </w:tc>
        <w:tc>
          <w:tcPr>
            <w:tcW w:w="1571" w:type="dxa"/>
            <w:tcBorders>
              <w:tl2br w:val="nil"/>
              <w:tr2bl w:val="nil"/>
            </w:tcBorders>
            <w:shd w:val="clear" w:color="auto" w:fill="auto"/>
            <w:noWrap/>
            <w:vAlign w:val="center"/>
          </w:tcPr>
          <w:p w14:paraId="24BEE81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特色饮食</w:t>
            </w:r>
          </w:p>
        </w:tc>
        <w:tc>
          <w:tcPr>
            <w:tcW w:w="1733" w:type="dxa"/>
            <w:tcBorders>
              <w:tl2br w:val="nil"/>
              <w:tr2bl w:val="nil"/>
            </w:tcBorders>
            <w:shd w:val="clear" w:color="auto" w:fill="auto"/>
            <w:noWrap/>
            <w:vAlign w:val="center"/>
          </w:tcPr>
          <w:p w14:paraId="749B498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特色美食</w:t>
            </w:r>
          </w:p>
        </w:tc>
      </w:tr>
      <w:tr w14:paraId="16129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2554A55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891" w:type="dxa"/>
            <w:vMerge w:val="continue"/>
            <w:tcBorders>
              <w:tl2br w:val="nil"/>
              <w:tr2bl w:val="nil"/>
            </w:tcBorders>
            <w:shd w:val="clear" w:color="auto" w:fill="auto"/>
            <w:noWrap/>
            <w:vAlign w:val="center"/>
          </w:tcPr>
          <w:p w14:paraId="6BB04D1C">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081BA6E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武陟人民胜利渠渠首</w:t>
            </w:r>
          </w:p>
        </w:tc>
        <w:tc>
          <w:tcPr>
            <w:tcW w:w="1250" w:type="dxa"/>
            <w:tcBorders>
              <w:tl2br w:val="nil"/>
              <w:tr2bl w:val="nil"/>
            </w:tcBorders>
            <w:shd w:val="clear" w:color="auto" w:fill="auto"/>
            <w:noWrap/>
            <w:vAlign w:val="center"/>
          </w:tcPr>
          <w:p w14:paraId="77A7312D">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4250E38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实用建筑与核心设施</w:t>
            </w:r>
          </w:p>
        </w:tc>
        <w:tc>
          <w:tcPr>
            <w:tcW w:w="1733" w:type="dxa"/>
            <w:tcBorders>
              <w:tl2br w:val="nil"/>
              <w:tr2bl w:val="nil"/>
            </w:tcBorders>
            <w:shd w:val="clear" w:color="auto" w:fill="auto"/>
            <w:noWrap/>
            <w:vAlign w:val="center"/>
          </w:tcPr>
          <w:p w14:paraId="0FCBD8C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堤坝段落</w:t>
            </w:r>
          </w:p>
        </w:tc>
      </w:tr>
      <w:tr w14:paraId="6177D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5AE3837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891" w:type="dxa"/>
            <w:vMerge w:val="restart"/>
            <w:tcBorders>
              <w:tl2br w:val="nil"/>
              <w:tr2bl w:val="nil"/>
            </w:tcBorders>
            <w:shd w:val="clear" w:color="auto" w:fill="auto"/>
            <w:noWrap/>
            <w:vAlign w:val="center"/>
          </w:tcPr>
          <w:p w14:paraId="4F731B1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温县</w:t>
            </w:r>
          </w:p>
        </w:tc>
        <w:tc>
          <w:tcPr>
            <w:tcW w:w="2869" w:type="dxa"/>
            <w:tcBorders>
              <w:tl2br w:val="nil"/>
              <w:tr2bl w:val="nil"/>
            </w:tcBorders>
            <w:shd w:val="clear" w:color="auto" w:fill="auto"/>
            <w:noWrap/>
            <w:vAlign w:val="center"/>
          </w:tcPr>
          <w:p w14:paraId="2C861DF7">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胡锦涛视察河南温县（</w:t>
            </w:r>
            <w:r>
              <w:rPr>
                <w:rStyle w:val="23"/>
                <w:rFonts w:ascii="宋体" w:eastAsia="宋体"/>
                <w:sz w:val="20"/>
                <w:lang w:val="en-US" w:eastAsia="zh-CN" w:bidi="ar"/>
              </w:rPr>
              <w:t>2008</w:t>
            </w:r>
            <w:r>
              <w:rPr>
                <w:rStyle w:val="24"/>
                <w:rFonts w:ascii="宋体" w:eastAsia="宋体"/>
                <w:sz w:val="20"/>
                <w:lang w:val="en-US" w:eastAsia="zh-CN" w:bidi="ar"/>
              </w:rPr>
              <w:t>年）</w:t>
            </w:r>
          </w:p>
        </w:tc>
        <w:tc>
          <w:tcPr>
            <w:tcW w:w="1250" w:type="dxa"/>
            <w:tcBorders>
              <w:tl2br w:val="nil"/>
              <w:tr2bl w:val="nil"/>
            </w:tcBorders>
            <w:shd w:val="clear" w:color="auto" w:fill="auto"/>
            <w:noWrap/>
            <w:vAlign w:val="center"/>
          </w:tcPr>
          <w:p w14:paraId="1F6A27AD">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5A98A9D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2488650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地方事件</w:t>
            </w:r>
          </w:p>
        </w:tc>
      </w:tr>
      <w:tr w14:paraId="43D17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18AEA51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891" w:type="dxa"/>
            <w:vMerge w:val="continue"/>
            <w:tcBorders>
              <w:tl2br w:val="nil"/>
              <w:tr2bl w:val="nil"/>
            </w:tcBorders>
            <w:shd w:val="clear" w:color="auto" w:fill="auto"/>
            <w:noWrap/>
            <w:vAlign w:val="center"/>
          </w:tcPr>
          <w:p w14:paraId="21C29892">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0D46B7DD">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温县四大怀药</w:t>
            </w:r>
          </w:p>
        </w:tc>
        <w:tc>
          <w:tcPr>
            <w:tcW w:w="1250" w:type="dxa"/>
            <w:tcBorders>
              <w:tl2br w:val="nil"/>
              <w:tr2bl w:val="nil"/>
            </w:tcBorders>
            <w:shd w:val="clear" w:color="auto" w:fill="auto"/>
            <w:noWrap/>
            <w:vAlign w:val="center"/>
          </w:tcPr>
          <w:p w14:paraId="3A56052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旅游购品</w:t>
            </w:r>
          </w:p>
        </w:tc>
        <w:tc>
          <w:tcPr>
            <w:tcW w:w="1571" w:type="dxa"/>
            <w:tcBorders>
              <w:tl2br w:val="nil"/>
              <w:tr2bl w:val="nil"/>
            </w:tcBorders>
            <w:shd w:val="clear" w:color="auto" w:fill="auto"/>
            <w:noWrap/>
            <w:vAlign w:val="center"/>
          </w:tcPr>
          <w:p w14:paraId="170DA5A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农业产品</w:t>
            </w:r>
          </w:p>
        </w:tc>
        <w:tc>
          <w:tcPr>
            <w:tcW w:w="1733" w:type="dxa"/>
            <w:tcBorders>
              <w:tl2br w:val="nil"/>
              <w:tr2bl w:val="nil"/>
            </w:tcBorders>
            <w:shd w:val="clear" w:color="auto" w:fill="auto"/>
            <w:noWrap/>
            <w:vAlign w:val="center"/>
          </w:tcPr>
          <w:p w14:paraId="1B9F78B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种植业产品及制品</w:t>
            </w:r>
          </w:p>
        </w:tc>
      </w:tr>
      <w:tr w14:paraId="756CC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7EB637E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891" w:type="dxa"/>
            <w:vMerge w:val="continue"/>
            <w:tcBorders>
              <w:tl2br w:val="nil"/>
              <w:tr2bl w:val="nil"/>
            </w:tcBorders>
            <w:shd w:val="clear" w:color="auto" w:fill="auto"/>
            <w:noWrap/>
            <w:vAlign w:val="center"/>
          </w:tcPr>
          <w:p w14:paraId="76C59A1D">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2B31DB42">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陈小旺</w:t>
            </w:r>
          </w:p>
        </w:tc>
        <w:tc>
          <w:tcPr>
            <w:tcW w:w="1250" w:type="dxa"/>
            <w:tcBorders>
              <w:tl2br w:val="nil"/>
              <w:tr2bl w:val="nil"/>
            </w:tcBorders>
            <w:shd w:val="clear" w:color="auto" w:fill="auto"/>
            <w:noWrap/>
            <w:vAlign w:val="center"/>
          </w:tcPr>
          <w:p w14:paraId="7094ED33">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2E2E183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2288964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地方人物</w:t>
            </w:r>
          </w:p>
        </w:tc>
      </w:tr>
      <w:tr w14:paraId="2C26E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484E9AE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891" w:type="dxa"/>
            <w:vMerge w:val="continue"/>
            <w:tcBorders>
              <w:tl2br w:val="nil"/>
              <w:tr2bl w:val="nil"/>
            </w:tcBorders>
            <w:shd w:val="clear" w:color="auto" w:fill="auto"/>
            <w:noWrap/>
            <w:vAlign w:val="center"/>
          </w:tcPr>
          <w:p w14:paraId="0D108EB4">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4BC4F414">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郑小永</w:t>
            </w:r>
          </w:p>
        </w:tc>
        <w:tc>
          <w:tcPr>
            <w:tcW w:w="1250" w:type="dxa"/>
            <w:tcBorders>
              <w:tl2br w:val="nil"/>
              <w:tr2bl w:val="nil"/>
            </w:tcBorders>
            <w:shd w:val="clear" w:color="auto" w:fill="auto"/>
            <w:noWrap/>
            <w:vAlign w:val="center"/>
          </w:tcPr>
          <w:p w14:paraId="0A9820A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5343926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7CDCD8D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地方人物</w:t>
            </w:r>
          </w:p>
        </w:tc>
      </w:tr>
      <w:tr w14:paraId="18960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1D64C3D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891" w:type="dxa"/>
            <w:vMerge w:val="continue"/>
            <w:tcBorders>
              <w:tl2br w:val="nil"/>
              <w:tr2bl w:val="nil"/>
            </w:tcBorders>
            <w:shd w:val="clear" w:color="auto" w:fill="auto"/>
            <w:noWrap/>
            <w:vAlign w:val="center"/>
          </w:tcPr>
          <w:p w14:paraId="4440C458">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05CFF60E">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司马昭</w:t>
            </w:r>
          </w:p>
        </w:tc>
        <w:tc>
          <w:tcPr>
            <w:tcW w:w="1250" w:type="dxa"/>
            <w:tcBorders>
              <w:tl2br w:val="nil"/>
              <w:tr2bl w:val="nil"/>
            </w:tcBorders>
            <w:shd w:val="clear" w:color="auto" w:fill="auto"/>
            <w:noWrap/>
            <w:vAlign w:val="center"/>
          </w:tcPr>
          <w:p w14:paraId="3433F02E">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27728FB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1F59659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地方人物</w:t>
            </w:r>
          </w:p>
        </w:tc>
      </w:tr>
      <w:tr w14:paraId="429DE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2EBACFC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891" w:type="dxa"/>
            <w:vMerge w:val="continue"/>
            <w:tcBorders>
              <w:tl2br w:val="nil"/>
              <w:tr2bl w:val="nil"/>
            </w:tcBorders>
            <w:shd w:val="clear" w:color="auto" w:fill="auto"/>
            <w:noWrap/>
            <w:vAlign w:val="center"/>
          </w:tcPr>
          <w:p w14:paraId="2E092B3B">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51D6E29D">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温县沉浸式演出《印象</w:t>
            </w:r>
            <w:r>
              <w:rPr>
                <w:rStyle w:val="23"/>
                <w:rFonts w:ascii="宋体" w:eastAsia="宋体"/>
                <w:sz w:val="20"/>
                <w:lang w:val="en-US" w:eastAsia="zh-CN" w:bidi="ar"/>
              </w:rPr>
              <w:t>·</w:t>
            </w:r>
            <w:r>
              <w:rPr>
                <w:rStyle w:val="24"/>
                <w:rFonts w:ascii="宋体" w:eastAsia="宋体"/>
                <w:sz w:val="20"/>
                <w:lang w:val="en-US" w:eastAsia="zh-CN" w:bidi="ar"/>
              </w:rPr>
              <w:t>太极》</w:t>
            </w:r>
          </w:p>
        </w:tc>
        <w:tc>
          <w:tcPr>
            <w:tcW w:w="1250" w:type="dxa"/>
            <w:tcBorders>
              <w:tl2br w:val="nil"/>
              <w:tr2bl w:val="nil"/>
            </w:tcBorders>
            <w:shd w:val="clear" w:color="auto" w:fill="auto"/>
            <w:noWrap/>
            <w:vAlign w:val="center"/>
          </w:tcPr>
          <w:p w14:paraId="0F07E513">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0D6AE13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文艺活动</w:t>
            </w:r>
          </w:p>
        </w:tc>
        <w:tc>
          <w:tcPr>
            <w:tcW w:w="1733" w:type="dxa"/>
            <w:tcBorders>
              <w:tl2br w:val="nil"/>
              <w:tr2bl w:val="nil"/>
            </w:tcBorders>
            <w:shd w:val="clear" w:color="auto" w:fill="auto"/>
            <w:noWrap/>
            <w:vAlign w:val="center"/>
          </w:tcPr>
          <w:p w14:paraId="435EF22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现代演艺</w:t>
            </w:r>
          </w:p>
        </w:tc>
      </w:tr>
      <w:tr w14:paraId="65E06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60ED169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891" w:type="dxa"/>
            <w:vMerge w:val="continue"/>
            <w:tcBorders>
              <w:tl2br w:val="nil"/>
              <w:tr2bl w:val="nil"/>
            </w:tcBorders>
            <w:shd w:val="clear" w:color="auto" w:fill="auto"/>
            <w:noWrap/>
            <w:vAlign w:val="center"/>
          </w:tcPr>
          <w:p w14:paraId="573C50F5">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7091D713">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陈正雷</w:t>
            </w:r>
          </w:p>
        </w:tc>
        <w:tc>
          <w:tcPr>
            <w:tcW w:w="1250" w:type="dxa"/>
            <w:tcBorders>
              <w:tl2br w:val="nil"/>
              <w:tr2bl w:val="nil"/>
            </w:tcBorders>
            <w:shd w:val="clear" w:color="auto" w:fill="auto"/>
            <w:noWrap/>
            <w:vAlign w:val="center"/>
          </w:tcPr>
          <w:p w14:paraId="46DC438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39C24FF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2B9B6B0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地方人物</w:t>
            </w:r>
          </w:p>
        </w:tc>
      </w:tr>
      <w:tr w14:paraId="6F487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7744CEC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891" w:type="dxa"/>
            <w:vMerge w:val="continue"/>
            <w:tcBorders>
              <w:tl2br w:val="nil"/>
              <w:tr2bl w:val="nil"/>
            </w:tcBorders>
            <w:shd w:val="clear" w:color="auto" w:fill="auto"/>
            <w:noWrap/>
            <w:vAlign w:val="center"/>
          </w:tcPr>
          <w:p w14:paraId="23EF7680">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2AF005F9">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和有禄</w:t>
            </w:r>
          </w:p>
        </w:tc>
        <w:tc>
          <w:tcPr>
            <w:tcW w:w="1250" w:type="dxa"/>
            <w:tcBorders>
              <w:tl2br w:val="nil"/>
              <w:tr2bl w:val="nil"/>
            </w:tcBorders>
            <w:shd w:val="clear" w:color="auto" w:fill="auto"/>
            <w:noWrap/>
            <w:vAlign w:val="center"/>
          </w:tcPr>
          <w:p w14:paraId="5A25A922">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5C572AC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5A1FDE8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地方人物</w:t>
            </w:r>
          </w:p>
        </w:tc>
      </w:tr>
      <w:tr w14:paraId="0D786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47F4C41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891" w:type="dxa"/>
            <w:vMerge w:val="continue"/>
            <w:tcBorders>
              <w:tl2br w:val="nil"/>
              <w:tr2bl w:val="nil"/>
            </w:tcBorders>
            <w:shd w:val="clear" w:color="auto" w:fill="auto"/>
            <w:noWrap/>
            <w:vAlign w:val="center"/>
          </w:tcPr>
          <w:p w14:paraId="37B41E40">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8A96175">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朱天才</w:t>
            </w:r>
          </w:p>
        </w:tc>
        <w:tc>
          <w:tcPr>
            <w:tcW w:w="1250" w:type="dxa"/>
            <w:tcBorders>
              <w:tl2br w:val="nil"/>
              <w:tr2bl w:val="nil"/>
            </w:tcBorders>
            <w:shd w:val="clear" w:color="auto" w:fill="auto"/>
            <w:noWrap/>
            <w:vAlign w:val="center"/>
          </w:tcPr>
          <w:p w14:paraId="0127AFF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350C150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16B117C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地方人物</w:t>
            </w:r>
          </w:p>
        </w:tc>
      </w:tr>
      <w:tr w14:paraId="0F1E3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763027D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891" w:type="dxa"/>
            <w:vMerge w:val="continue"/>
            <w:tcBorders>
              <w:tl2br w:val="nil"/>
              <w:tr2bl w:val="nil"/>
            </w:tcBorders>
            <w:shd w:val="clear" w:color="auto" w:fill="auto"/>
            <w:noWrap/>
            <w:vAlign w:val="center"/>
          </w:tcPr>
          <w:p w14:paraId="29CFCA80">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207D89BE">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温县太极拳文化国际交流中心</w:t>
            </w:r>
          </w:p>
        </w:tc>
        <w:tc>
          <w:tcPr>
            <w:tcW w:w="1250" w:type="dxa"/>
            <w:tcBorders>
              <w:tl2br w:val="nil"/>
              <w:tr2bl w:val="nil"/>
            </w:tcBorders>
            <w:shd w:val="clear" w:color="auto" w:fill="auto"/>
            <w:noWrap/>
            <w:vAlign w:val="center"/>
          </w:tcPr>
          <w:p w14:paraId="0699628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7433F5D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人文景观综合体</w:t>
            </w:r>
          </w:p>
        </w:tc>
        <w:tc>
          <w:tcPr>
            <w:tcW w:w="1733" w:type="dxa"/>
            <w:tcBorders>
              <w:tl2br w:val="nil"/>
              <w:tr2bl w:val="nil"/>
            </w:tcBorders>
            <w:shd w:val="clear" w:color="auto" w:fill="auto"/>
            <w:noWrap/>
            <w:vAlign w:val="center"/>
          </w:tcPr>
          <w:p w14:paraId="3522061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文化活动场所</w:t>
            </w:r>
          </w:p>
        </w:tc>
      </w:tr>
      <w:tr w14:paraId="0BA24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4AC326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891" w:type="dxa"/>
            <w:vMerge w:val="continue"/>
            <w:tcBorders>
              <w:tl2br w:val="nil"/>
              <w:tr2bl w:val="nil"/>
            </w:tcBorders>
            <w:shd w:val="clear" w:color="auto" w:fill="auto"/>
            <w:noWrap/>
            <w:vAlign w:val="center"/>
          </w:tcPr>
          <w:p w14:paraId="51F3F8A7">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013E404">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温县怀菊花</w:t>
            </w:r>
          </w:p>
        </w:tc>
        <w:tc>
          <w:tcPr>
            <w:tcW w:w="1250" w:type="dxa"/>
            <w:tcBorders>
              <w:tl2br w:val="nil"/>
              <w:tr2bl w:val="nil"/>
            </w:tcBorders>
            <w:shd w:val="clear" w:color="auto" w:fill="auto"/>
            <w:noWrap/>
            <w:vAlign w:val="center"/>
          </w:tcPr>
          <w:p w14:paraId="56447BCB">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旅游购品</w:t>
            </w:r>
          </w:p>
        </w:tc>
        <w:tc>
          <w:tcPr>
            <w:tcW w:w="1571" w:type="dxa"/>
            <w:tcBorders>
              <w:tl2br w:val="nil"/>
              <w:tr2bl w:val="nil"/>
            </w:tcBorders>
            <w:shd w:val="clear" w:color="auto" w:fill="auto"/>
            <w:noWrap/>
            <w:vAlign w:val="center"/>
          </w:tcPr>
          <w:p w14:paraId="67A2001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农业产品</w:t>
            </w:r>
          </w:p>
        </w:tc>
        <w:tc>
          <w:tcPr>
            <w:tcW w:w="1733" w:type="dxa"/>
            <w:tcBorders>
              <w:tl2br w:val="nil"/>
              <w:tr2bl w:val="nil"/>
            </w:tcBorders>
            <w:shd w:val="clear" w:color="auto" w:fill="auto"/>
            <w:noWrap/>
            <w:vAlign w:val="center"/>
          </w:tcPr>
          <w:p w14:paraId="698A02E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种植业产品及制品</w:t>
            </w:r>
          </w:p>
        </w:tc>
      </w:tr>
      <w:tr w14:paraId="16A3C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17E2D91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891" w:type="dxa"/>
            <w:vMerge w:val="continue"/>
            <w:tcBorders>
              <w:tl2br w:val="nil"/>
              <w:tr2bl w:val="nil"/>
            </w:tcBorders>
            <w:shd w:val="clear" w:color="auto" w:fill="auto"/>
            <w:noWrap/>
            <w:vAlign w:val="center"/>
          </w:tcPr>
          <w:p w14:paraId="64DD2E3F">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403F7E3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温县铁棍山药</w:t>
            </w:r>
          </w:p>
        </w:tc>
        <w:tc>
          <w:tcPr>
            <w:tcW w:w="1250" w:type="dxa"/>
            <w:tcBorders>
              <w:tl2br w:val="nil"/>
              <w:tr2bl w:val="nil"/>
            </w:tcBorders>
            <w:shd w:val="clear" w:color="auto" w:fill="auto"/>
            <w:noWrap/>
            <w:vAlign w:val="center"/>
          </w:tcPr>
          <w:p w14:paraId="0F070C92">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旅游购品</w:t>
            </w:r>
          </w:p>
        </w:tc>
        <w:tc>
          <w:tcPr>
            <w:tcW w:w="1571" w:type="dxa"/>
            <w:tcBorders>
              <w:tl2br w:val="nil"/>
              <w:tr2bl w:val="nil"/>
            </w:tcBorders>
            <w:shd w:val="clear" w:color="auto" w:fill="auto"/>
            <w:noWrap/>
            <w:vAlign w:val="center"/>
          </w:tcPr>
          <w:p w14:paraId="75A3770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农业产品</w:t>
            </w:r>
          </w:p>
        </w:tc>
        <w:tc>
          <w:tcPr>
            <w:tcW w:w="1733" w:type="dxa"/>
            <w:tcBorders>
              <w:tl2br w:val="nil"/>
              <w:tr2bl w:val="nil"/>
            </w:tcBorders>
            <w:shd w:val="clear" w:color="auto" w:fill="auto"/>
            <w:noWrap/>
            <w:vAlign w:val="center"/>
          </w:tcPr>
          <w:p w14:paraId="30BB642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种植业产品及制品</w:t>
            </w:r>
          </w:p>
        </w:tc>
      </w:tr>
      <w:tr w14:paraId="3000B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184165E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891" w:type="dxa"/>
            <w:vMerge w:val="continue"/>
            <w:tcBorders>
              <w:tl2br w:val="nil"/>
              <w:tr2bl w:val="nil"/>
            </w:tcBorders>
            <w:shd w:val="clear" w:color="auto" w:fill="auto"/>
            <w:noWrap/>
            <w:vAlign w:val="center"/>
          </w:tcPr>
          <w:p w14:paraId="38653986">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4AE4D17E">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温县太极拳祖祠</w:t>
            </w:r>
          </w:p>
        </w:tc>
        <w:tc>
          <w:tcPr>
            <w:tcW w:w="1250" w:type="dxa"/>
            <w:tcBorders>
              <w:tl2br w:val="nil"/>
              <w:tr2bl w:val="nil"/>
            </w:tcBorders>
            <w:shd w:val="clear" w:color="auto" w:fill="auto"/>
            <w:noWrap/>
            <w:vAlign w:val="center"/>
          </w:tcPr>
          <w:p w14:paraId="34798F35">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1B5961C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人文景观综合体</w:t>
            </w:r>
          </w:p>
        </w:tc>
        <w:tc>
          <w:tcPr>
            <w:tcW w:w="1733" w:type="dxa"/>
            <w:tcBorders>
              <w:tl2br w:val="nil"/>
              <w:tr2bl w:val="nil"/>
            </w:tcBorders>
            <w:shd w:val="clear" w:color="auto" w:fill="auto"/>
            <w:noWrap/>
            <w:vAlign w:val="center"/>
          </w:tcPr>
          <w:p w14:paraId="7FE2F89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纪念地与纪念活动场所</w:t>
            </w:r>
          </w:p>
        </w:tc>
      </w:tr>
      <w:tr w14:paraId="01702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300C8F0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891" w:type="dxa"/>
            <w:vMerge w:val="continue"/>
            <w:tcBorders>
              <w:tl2br w:val="nil"/>
              <w:tr2bl w:val="nil"/>
            </w:tcBorders>
            <w:shd w:val="clear" w:color="auto" w:fill="auto"/>
            <w:noWrap/>
            <w:vAlign w:val="center"/>
          </w:tcPr>
          <w:p w14:paraId="2830E7C1">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750A9CF8">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温县蜜雪集团</w:t>
            </w:r>
            <w:r>
              <w:rPr>
                <w:rStyle w:val="23"/>
                <w:rFonts w:ascii="宋体" w:eastAsia="宋体"/>
                <w:sz w:val="20"/>
                <w:lang w:val="en-US" w:eastAsia="zh-CN" w:bidi="ar"/>
              </w:rPr>
              <w:t>·</w:t>
            </w:r>
            <w:r>
              <w:rPr>
                <w:rStyle w:val="24"/>
                <w:rFonts w:ascii="宋体" w:eastAsia="宋体"/>
                <w:sz w:val="20"/>
                <w:lang w:val="en-US" w:eastAsia="zh-CN" w:bidi="ar"/>
              </w:rPr>
              <w:t>大咖国际茶饮梦工厂</w:t>
            </w:r>
            <w:r>
              <w:rPr>
                <w:rStyle w:val="23"/>
                <w:rFonts w:ascii="宋体" w:eastAsia="宋体"/>
                <w:sz w:val="20"/>
                <w:lang w:val="en-US" w:eastAsia="zh-CN" w:bidi="ar"/>
              </w:rPr>
              <w:t xml:space="preserve"> </w:t>
            </w:r>
          </w:p>
        </w:tc>
        <w:tc>
          <w:tcPr>
            <w:tcW w:w="1250" w:type="dxa"/>
            <w:tcBorders>
              <w:tl2br w:val="nil"/>
              <w:tr2bl w:val="nil"/>
            </w:tcBorders>
            <w:shd w:val="clear" w:color="auto" w:fill="auto"/>
            <w:noWrap/>
            <w:vAlign w:val="center"/>
          </w:tcPr>
          <w:p w14:paraId="0E03A3D3">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72714ED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人文景观综合体</w:t>
            </w:r>
          </w:p>
        </w:tc>
        <w:tc>
          <w:tcPr>
            <w:tcW w:w="1733" w:type="dxa"/>
            <w:tcBorders>
              <w:tl2br w:val="nil"/>
              <w:tr2bl w:val="nil"/>
            </w:tcBorders>
            <w:shd w:val="clear" w:color="auto" w:fill="auto"/>
            <w:noWrap/>
            <w:vAlign w:val="center"/>
          </w:tcPr>
          <w:p w14:paraId="584920B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教学科研实验场所</w:t>
            </w:r>
          </w:p>
        </w:tc>
      </w:tr>
      <w:tr w14:paraId="19C70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417452B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891" w:type="dxa"/>
            <w:vMerge w:val="continue"/>
            <w:tcBorders>
              <w:tl2br w:val="nil"/>
              <w:tr2bl w:val="nil"/>
            </w:tcBorders>
            <w:shd w:val="clear" w:color="auto" w:fill="auto"/>
            <w:noWrap/>
            <w:vAlign w:val="center"/>
          </w:tcPr>
          <w:p w14:paraId="10CD2FB0">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4B26A6E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温县慈胜寺</w:t>
            </w:r>
          </w:p>
        </w:tc>
        <w:tc>
          <w:tcPr>
            <w:tcW w:w="1250" w:type="dxa"/>
            <w:tcBorders>
              <w:tl2br w:val="nil"/>
              <w:tr2bl w:val="nil"/>
            </w:tcBorders>
            <w:shd w:val="clear" w:color="auto" w:fill="auto"/>
            <w:noWrap/>
            <w:vAlign w:val="center"/>
          </w:tcPr>
          <w:p w14:paraId="4541F567">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3518F87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人文景观综合体</w:t>
            </w:r>
          </w:p>
        </w:tc>
        <w:tc>
          <w:tcPr>
            <w:tcW w:w="1733" w:type="dxa"/>
            <w:tcBorders>
              <w:tl2br w:val="nil"/>
              <w:tr2bl w:val="nil"/>
            </w:tcBorders>
            <w:shd w:val="clear" w:color="auto" w:fill="auto"/>
            <w:noWrap/>
            <w:vAlign w:val="center"/>
          </w:tcPr>
          <w:p w14:paraId="10069E7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宗教与祭祀活动场所</w:t>
            </w:r>
          </w:p>
        </w:tc>
      </w:tr>
      <w:tr w14:paraId="7105D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7ABC140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891" w:type="dxa"/>
            <w:vMerge w:val="continue"/>
            <w:tcBorders>
              <w:tl2br w:val="nil"/>
              <w:tr2bl w:val="nil"/>
            </w:tcBorders>
            <w:shd w:val="clear" w:color="auto" w:fill="auto"/>
            <w:noWrap/>
            <w:vAlign w:val="center"/>
          </w:tcPr>
          <w:p w14:paraId="071DB2A7">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A7E6EF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温县小麦博物馆</w:t>
            </w:r>
          </w:p>
        </w:tc>
        <w:tc>
          <w:tcPr>
            <w:tcW w:w="1250" w:type="dxa"/>
            <w:tcBorders>
              <w:tl2br w:val="nil"/>
              <w:tr2bl w:val="nil"/>
            </w:tcBorders>
            <w:shd w:val="clear" w:color="auto" w:fill="auto"/>
            <w:noWrap/>
            <w:vAlign w:val="center"/>
          </w:tcPr>
          <w:p w14:paraId="4F6750E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1D31FA6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人文景观综合体</w:t>
            </w:r>
          </w:p>
        </w:tc>
        <w:tc>
          <w:tcPr>
            <w:tcW w:w="1733" w:type="dxa"/>
            <w:tcBorders>
              <w:tl2br w:val="nil"/>
              <w:tr2bl w:val="nil"/>
            </w:tcBorders>
            <w:shd w:val="clear" w:color="auto" w:fill="auto"/>
            <w:noWrap/>
            <w:vAlign w:val="center"/>
          </w:tcPr>
          <w:p w14:paraId="49B38F7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文化活动场所</w:t>
            </w:r>
          </w:p>
        </w:tc>
      </w:tr>
      <w:tr w14:paraId="647D6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62F17B9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891" w:type="dxa"/>
            <w:vMerge w:val="continue"/>
            <w:tcBorders>
              <w:tl2br w:val="nil"/>
              <w:tr2bl w:val="nil"/>
            </w:tcBorders>
            <w:shd w:val="clear" w:color="auto" w:fill="auto"/>
            <w:noWrap/>
            <w:vAlign w:val="center"/>
          </w:tcPr>
          <w:p w14:paraId="5E6CF8E6">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389DDE7">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温县和式太极拳</w:t>
            </w:r>
          </w:p>
        </w:tc>
        <w:tc>
          <w:tcPr>
            <w:tcW w:w="1250" w:type="dxa"/>
            <w:tcBorders>
              <w:tl2br w:val="nil"/>
              <w:tr2bl w:val="nil"/>
            </w:tcBorders>
            <w:shd w:val="clear" w:color="auto" w:fill="auto"/>
            <w:noWrap/>
            <w:vAlign w:val="center"/>
          </w:tcPr>
          <w:p w14:paraId="07B6B91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57347E4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非物质类文化遗存</w:t>
            </w:r>
          </w:p>
        </w:tc>
        <w:tc>
          <w:tcPr>
            <w:tcW w:w="1733" w:type="dxa"/>
            <w:tcBorders>
              <w:tl2br w:val="nil"/>
              <w:tr2bl w:val="nil"/>
            </w:tcBorders>
            <w:shd w:val="clear" w:color="auto" w:fill="auto"/>
            <w:noWrap/>
            <w:vAlign w:val="center"/>
          </w:tcPr>
          <w:p w14:paraId="7F64D31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传统武术</w:t>
            </w:r>
          </w:p>
        </w:tc>
      </w:tr>
      <w:tr w14:paraId="722FA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6B2B210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891" w:type="dxa"/>
            <w:vMerge w:val="continue"/>
            <w:tcBorders>
              <w:tl2br w:val="nil"/>
              <w:tr2bl w:val="nil"/>
            </w:tcBorders>
            <w:shd w:val="clear" w:color="auto" w:fill="auto"/>
            <w:noWrap/>
            <w:vAlign w:val="center"/>
          </w:tcPr>
          <w:p w14:paraId="479661B2">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01BEE78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温县陈氏太极拳太极枪拳法</w:t>
            </w:r>
          </w:p>
        </w:tc>
        <w:tc>
          <w:tcPr>
            <w:tcW w:w="1250" w:type="dxa"/>
            <w:tcBorders>
              <w:tl2br w:val="nil"/>
              <w:tr2bl w:val="nil"/>
            </w:tcBorders>
            <w:shd w:val="clear" w:color="auto" w:fill="auto"/>
            <w:noWrap/>
            <w:vAlign w:val="center"/>
          </w:tcPr>
          <w:p w14:paraId="73050084">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44985AA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非物质类文化遗存</w:t>
            </w:r>
          </w:p>
        </w:tc>
        <w:tc>
          <w:tcPr>
            <w:tcW w:w="1733" w:type="dxa"/>
            <w:tcBorders>
              <w:tl2br w:val="nil"/>
              <w:tr2bl w:val="nil"/>
            </w:tcBorders>
            <w:shd w:val="clear" w:color="auto" w:fill="auto"/>
            <w:noWrap/>
            <w:vAlign w:val="center"/>
          </w:tcPr>
          <w:p w14:paraId="1F65D8F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传统武术</w:t>
            </w:r>
          </w:p>
        </w:tc>
      </w:tr>
      <w:tr w14:paraId="7894B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686AEC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891" w:type="dxa"/>
            <w:vMerge w:val="continue"/>
            <w:tcBorders>
              <w:tl2br w:val="nil"/>
              <w:tr2bl w:val="nil"/>
            </w:tcBorders>
            <w:shd w:val="clear" w:color="auto" w:fill="auto"/>
            <w:noWrap/>
            <w:vAlign w:val="center"/>
          </w:tcPr>
          <w:p w14:paraId="3B2F0444">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022DC22">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温县陈氏太极拳太极单剑拳法</w:t>
            </w:r>
          </w:p>
        </w:tc>
        <w:tc>
          <w:tcPr>
            <w:tcW w:w="1250" w:type="dxa"/>
            <w:tcBorders>
              <w:tl2br w:val="nil"/>
              <w:tr2bl w:val="nil"/>
            </w:tcBorders>
            <w:shd w:val="clear" w:color="auto" w:fill="auto"/>
            <w:noWrap/>
            <w:vAlign w:val="center"/>
          </w:tcPr>
          <w:p w14:paraId="4B731657">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1458D37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非物质类文化遗存</w:t>
            </w:r>
          </w:p>
        </w:tc>
        <w:tc>
          <w:tcPr>
            <w:tcW w:w="1733" w:type="dxa"/>
            <w:tcBorders>
              <w:tl2br w:val="nil"/>
              <w:tr2bl w:val="nil"/>
            </w:tcBorders>
            <w:shd w:val="clear" w:color="auto" w:fill="auto"/>
            <w:noWrap/>
            <w:vAlign w:val="center"/>
          </w:tcPr>
          <w:p w14:paraId="30E0A43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传统武术</w:t>
            </w:r>
          </w:p>
        </w:tc>
      </w:tr>
      <w:tr w14:paraId="7C7E6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28E184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891" w:type="dxa"/>
            <w:vMerge w:val="continue"/>
            <w:tcBorders>
              <w:tl2br w:val="nil"/>
              <w:tr2bl w:val="nil"/>
            </w:tcBorders>
            <w:shd w:val="clear" w:color="auto" w:fill="auto"/>
            <w:noWrap/>
            <w:vAlign w:val="center"/>
          </w:tcPr>
          <w:p w14:paraId="1985F77E">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2D85B09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温县陈氏太极拳忽雷架</w:t>
            </w:r>
          </w:p>
        </w:tc>
        <w:tc>
          <w:tcPr>
            <w:tcW w:w="1250" w:type="dxa"/>
            <w:tcBorders>
              <w:tl2br w:val="nil"/>
              <w:tr2bl w:val="nil"/>
            </w:tcBorders>
            <w:shd w:val="clear" w:color="auto" w:fill="auto"/>
            <w:noWrap/>
            <w:vAlign w:val="center"/>
          </w:tcPr>
          <w:p w14:paraId="59BF86F0">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0F0B962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非物质类文化遗存</w:t>
            </w:r>
          </w:p>
        </w:tc>
        <w:tc>
          <w:tcPr>
            <w:tcW w:w="1733" w:type="dxa"/>
            <w:tcBorders>
              <w:tl2br w:val="nil"/>
              <w:tr2bl w:val="nil"/>
            </w:tcBorders>
            <w:shd w:val="clear" w:color="auto" w:fill="auto"/>
            <w:noWrap/>
            <w:vAlign w:val="center"/>
          </w:tcPr>
          <w:p w14:paraId="422CC87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传统武术</w:t>
            </w:r>
          </w:p>
        </w:tc>
      </w:tr>
      <w:tr w14:paraId="17237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1983006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891" w:type="dxa"/>
            <w:vMerge w:val="continue"/>
            <w:tcBorders>
              <w:tl2br w:val="nil"/>
              <w:tr2bl w:val="nil"/>
            </w:tcBorders>
            <w:shd w:val="clear" w:color="auto" w:fill="auto"/>
            <w:noWrap/>
            <w:vAlign w:val="center"/>
          </w:tcPr>
          <w:p w14:paraId="0D471677">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25EA7B22">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温县陈氏太极拳小架</w:t>
            </w:r>
          </w:p>
        </w:tc>
        <w:tc>
          <w:tcPr>
            <w:tcW w:w="1250" w:type="dxa"/>
            <w:tcBorders>
              <w:tl2br w:val="nil"/>
              <w:tr2bl w:val="nil"/>
            </w:tcBorders>
            <w:shd w:val="clear" w:color="auto" w:fill="auto"/>
            <w:noWrap/>
            <w:vAlign w:val="center"/>
          </w:tcPr>
          <w:p w14:paraId="75E5CDD0">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200DF19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非物质类文化遗存</w:t>
            </w:r>
          </w:p>
        </w:tc>
        <w:tc>
          <w:tcPr>
            <w:tcW w:w="1733" w:type="dxa"/>
            <w:tcBorders>
              <w:tl2br w:val="nil"/>
              <w:tr2bl w:val="nil"/>
            </w:tcBorders>
            <w:shd w:val="clear" w:color="auto" w:fill="auto"/>
            <w:noWrap/>
            <w:vAlign w:val="center"/>
          </w:tcPr>
          <w:p w14:paraId="01F4E3C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传统武术</w:t>
            </w:r>
          </w:p>
        </w:tc>
      </w:tr>
      <w:tr w14:paraId="20AA3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5F7DFD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891" w:type="dxa"/>
            <w:vMerge w:val="continue"/>
            <w:tcBorders>
              <w:tl2br w:val="nil"/>
              <w:tr2bl w:val="nil"/>
            </w:tcBorders>
            <w:shd w:val="clear" w:color="auto" w:fill="auto"/>
            <w:noWrap/>
            <w:vAlign w:val="center"/>
          </w:tcPr>
          <w:p w14:paraId="1C83662C">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5CB64F8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温县陈氏太极拳新架</w:t>
            </w:r>
          </w:p>
        </w:tc>
        <w:tc>
          <w:tcPr>
            <w:tcW w:w="1250" w:type="dxa"/>
            <w:tcBorders>
              <w:tl2br w:val="nil"/>
              <w:tr2bl w:val="nil"/>
            </w:tcBorders>
            <w:shd w:val="clear" w:color="auto" w:fill="auto"/>
            <w:noWrap/>
            <w:vAlign w:val="center"/>
          </w:tcPr>
          <w:p w14:paraId="427D2CAE">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7D523CE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非物质类文化遗存</w:t>
            </w:r>
          </w:p>
        </w:tc>
        <w:tc>
          <w:tcPr>
            <w:tcW w:w="1733" w:type="dxa"/>
            <w:tcBorders>
              <w:tl2br w:val="nil"/>
              <w:tr2bl w:val="nil"/>
            </w:tcBorders>
            <w:shd w:val="clear" w:color="auto" w:fill="auto"/>
            <w:noWrap/>
            <w:vAlign w:val="center"/>
          </w:tcPr>
          <w:p w14:paraId="4FFA808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传统武术</w:t>
            </w:r>
          </w:p>
        </w:tc>
      </w:tr>
      <w:tr w14:paraId="513F9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17165C7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891" w:type="dxa"/>
            <w:vMerge w:val="continue"/>
            <w:tcBorders>
              <w:tl2br w:val="nil"/>
              <w:tr2bl w:val="nil"/>
            </w:tcBorders>
            <w:shd w:val="clear" w:color="auto" w:fill="auto"/>
            <w:noWrap/>
            <w:vAlign w:val="center"/>
          </w:tcPr>
          <w:p w14:paraId="491A2BEE">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3D841363">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温县陈氏太极拳推手</w:t>
            </w:r>
          </w:p>
        </w:tc>
        <w:tc>
          <w:tcPr>
            <w:tcW w:w="1250" w:type="dxa"/>
            <w:tcBorders>
              <w:tl2br w:val="nil"/>
              <w:tr2bl w:val="nil"/>
            </w:tcBorders>
            <w:shd w:val="clear" w:color="auto" w:fill="auto"/>
            <w:noWrap/>
            <w:vAlign w:val="center"/>
          </w:tcPr>
          <w:p w14:paraId="74BF6F8B">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403898C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非物质类文化遗存</w:t>
            </w:r>
          </w:p>
        </w:tc>
        <w:tc>
          <w:tcPr>
            <w:tcW w:w="1733" w:type="dxa"/>
            <w:tcBorders>
              <w:tl2br w:val="nil"/>
              <w:tr2bl w:val="nil"/>
            </w:tcBorders>
            <w:shd w:val="clear" w:color="auto" w:fill="auto"/>
            <w:noWrap/>
            <w:vAlign w:val="center"/>
          </w:tcPr>
          <w:p w14:paraId="488D727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传统武术</w:t>
            </w:r>
          </w:p>
        </w:tc>
      </w:tr>
      <w:tr w14:paraId="55004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6594274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891" w:type="dxa"/>
            <w:vMerge w:val="continue"/>
            <w:tcBorders>
              <w:tl2br w:val="nil"/>
              <w:tr2bl w:val="nil"/>
            </w:tcBorders>
            <w:shd w:val="clear" w:color="auto" w:fill="auto"/>
            <w:noWrap/>
            <w:vAlign w:val="center"/>
          </w:tcPr>
          <w:p w14:paraId="05D4B451">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37D32A5">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温县陈氏太极拳老架二路拳法</w:t>
            </w:r>
          </w:p>
        </w:tc>
        <w:tc>
          <w:tcPr>
            <w:tcW w:w="1250" w:type="dxa"/>
            <w:tcBorders>
              <w:tl2br w:val="nil"/>
              <w:tr2bl w:val="nil"/>
            </w:tcBorders>
            <w:shd w:val="clear" w:color="auto" w:fill="auto"/>
            <w:noWrap/>
            <w:vAlign w:val="center"/>
          </w:tcPr>
          <w:p w14:paraId="19597EDB">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1323AF7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非物质类文化遗存</w:t>
            </w:r>
          </w:p>
        </w:tc>
        <w:tc>
          <w:tcPr>
            <w:tcW w:w="1733" w:type="dxa"/>
            <w:tcBorders>
              <w:tl2br w:val="nil"/>
              <w:tr2bl w:val="nil"/>
            </w:tcBorders>
            <w:shd w:val="clear" w:color="auto" w:fill="auto"/>
            <w:noWrap/>
            <w:vAlign w:val="center"/>
          </w:tcPr>
          <w:p w14:paraId="7BEB246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传统武术</w:t>
            </w:r>
          </w:p>
        </w:tc>
      </w:tr>
      <w:tr w14:paraId="213DE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541A753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891" w:type="dxa"/>
            <w:vMerge w:val="continue"/>
            <w:tcBorders>
              <w:tl2br w:val="nil"/>
              <w:tr2bl w:val="nil"/>
            </w:tcBorders>
            <w:shd w:val="clear" w:color="auto" w:fill="auto"/>
            <w:noWrap/>
            <w:vAlign w:val="center"/>
          </w:tcPr>
          <w:p w14:paraId="428DA3AF">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3753E4E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温县陈氏太极拳老架一路拳法</w:t>
            </w:r>
          </w:p>
        </w:tc>
        <w:tc>
          <w:tcPr>
            <w:tcW w:w="1250" w:type="dxa"/>
            <w:tcBorders>
              <w:tl2br w:val="nil"/>
              <w:tr2bl w:val="nil"/>
            </w:tcBorders>
            <w:shd w:val="clear" w:color="auto" w:fill="auto"/>
            <w:noWrap/>
            <w:vAlign w:val="center"/>
          </w:tcPr>
          <w:p w14:paraId="65065875">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0103E6B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非物质类文化遗存</w:t>
            </w:r>
          </w:p>
        </w:tc>
        <w:tc>
          <w:tcPr>
            <w:tcW w:w="1733" w:type="dxa"/>
            <w:tcBorders>
              <w:tl2br w:val="nil"/>
              <w:tr2bl w:val="nil"/>
            </w:tcBorders>
            <w:shd w:val="clear" w:color="auto" w:fill="auto"/>
            <w:noWrap/>
            <w:vAlign w:val="center"/>
          </w:tcPr>
          <w:p w14:paraId="278D759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传统武术</w:t>
            </w:r>
          </w:p>
        </w:tc>
      </w:tr>
      <w:tr w14:paraId="59F61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366BBD4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891" w:type="dxa"/>
            <w:vMerge w:val="continue"/>
            <w:tcBorders>
              <w:tl2br w:val="nil"/>
              <w:tr2bl w:val="nil"/>
            </w:tcBorders>
            <w:shd w:val="clear" w:color="auto" w:fill="auto"/>
            <w:noWrap/>
            <w:vAlign w:val="center"/>
          </w:tcPr>
          <w:p w14:paraId="3FC6CF44">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0567650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温县陈氏太极拳</w:t>
            </w:r>
          </w:p>
        </w:tc>
        <w:tc>
          <w:tcPr>
            <w:tcW w:w="1250" w:type="dxa"/>
            <w:tcBorders>
              <w:tl2br w:val="nil"/>
              <w:tr2bl w:val="nil"/>
            </w:tcBorders>
            <w:shd w:val="clear" w:color="auto" w:fill="auto"/>
            <w:noWrap/>
            <w:vAlign w:val="center"/>
          </w:tcPr>
          <w:p w14:paraId="0ED403AF">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75D4BF7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非物质类文化遗存</w:t>
            </w:r>
          </w:p>
        </w:tc>
        <w:tc>
          <w:tcPr>
            <w:tcW w:w="1733" w:type="dxa"/>
            <w:tcBorders>
              <w:tl2br w:val="nil"/>
              <w:tr2bl w:val="nil"/>
            </w:tcBorders>
            <w:shd w:val="clear" w:color="auto" w:fill="auto"/>
            <w:noWrap/>
            <w:vAlign w:val="center"/>
          </w:tcPr>
          <w:p w14:paraId="641429C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传统武术</w:t>
            </w:r>
          </w:p>
        </w:tc>
      </w:tr>
      <w:tr w14:paraId="5CD14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32E5720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891" w:type="dxa"/>
            <w:vMerge w:val="continue"/>
            <w:tcBorders>
              <w:tl2br w:val="nil"/>
              <w:tr2bl w:val="nil"/>
            </w:tcBorders>
            <w:shd w:val="clear" w:color="auto" w:fill="auto"/>
            <w:noWrap/>
            <w:vAlign w:val="center"/>
          </w:tcPr>
          <w:p w14:paraId="34267678">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DA2EB6E">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太极拳</w:t>
            </w:r>
          </w:p>
        </w:tc>
        <w:tc>
          <w:tcPr>
            <w:tcW w:w="1250" w:type="dxa"/>
            <w:tcBorders>
              <w:tl2br w:val="nil"/>
              <w:tr2bl w:val="nil"/>
            </w:tcBorders>
            <w:shd w:val="clear" w:color="auto" w:fill="auto"/>
            <w:noWrap/>
            <w:vAlign w:val="center"/>
          </w:tcPr>
          <w:p w14:paraId="6D775B8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093757F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非物质类文化遗存</w:t>
            </w:r>
          </w:p>
        </w:tc>
        <w:tc>
          <w:tcPr>
            <w:tcW w:w="1733" w:type="dxa"/>
            <w:tcBorders>
              <w:tl2br w:val="nil"/>
              <w:tr2bl w:val="nil"/>
            </w:tcBorders>
            <w:shd w:val="clear" w:color="auto" w:fill="auto"/>
            <w:noWrap/>
            <w:vAlign w:val="center"/>
          </w:tcPr>
          <w:p w14:paraId="34B4A19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传统武术</w:t>
            </w:r>
          </w:p>
        </w:tc>
      </w:tr>
      <w:tr w14:paraId="4721B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9C1F41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891" w:type="dxa"/>
            <w:vMerge w:val="continue"/>
            <w:tcBorders>
              <w:tl2br w:val="nil"/>
              <w:tr2bl w:val="nil"/>
            </w:tcBorders>
            <w:shd w:val="clear" w:color="auto" w:fill="auto"/>
            <w:noWrap/>
            <w:vAlign w:val="center"/>
          </w:tcPr>
          <w:p w14:paraId="1DFDF23F">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BAE2483">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陈王廷</w:t>
            </w:r>
          </w:p>
        </w:tc>
        <w:tc>
          <w:tcPr>
            <w:tcW w:w="1250" w:type="dxa"/>
            <w:tcBorders>
              <w:tl2br w:val="nil"/>
              <w:tr2bl w:val="nil"/>
            </w:tcBorders>
            <w:shd w:val="clear" w:color="auto" w:fill="auto"/>
            <w:noWrap/>
            <w:vAlign w:val="center"/>
          </w:tcPr>
          <w:p w14:paraId="77B5325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1630A42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0397819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地方人物</w:t>
            </w:r>
          </w:p>
        </w:tc>
      </w:tr>
      <w:tr w14:paraId="4A864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6EE8C51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891" w:type="dxa"/>
            <w:vMerge w:val="continue"/>
            <w:tcBorders>
              <w:tl2br w:val="nil"/>
              <w:tr2bl w:val="nil"/>
            </w:tcBorders>
            <w:shd w:val="clear" w:color="auto" w:fill="auto"/>
            <w:noWrap/>
            <w:vAlign w:val="center"/>
          </w:tcPr>
          <w:p w14:paraId="76583A7B">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44AFA9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司马懿</w:t>
            </w:r>
          </w:p>
        </w:tc>
        <w:tc>
          <w:tcPr>
            <w:tcW w:w="1250" w:type="dxa"/>
            <w:tcBorders>
              <w:tl2br w:val="nil"/>
              <w:tr2bl w:val="nil"/>
            </w:tcBorders>
            <w:shd w:val="clear" w:color="auto" w:fill="auto"/>
            <w:noWrap/>
            <w:vAlign w:val="center"/>
          </w:tcPr>
          <w:p w14:paraId="0D98B74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2EC07FC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4C7F5D6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地方人物</w:t>
            </w:r>
          </w:p>
        </w:tc>
      </w:tr>
      <w:tr w14:paraId="799B9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3F85595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891" w:type="dxa"/>
            <w:vMerge w:val="continue"/>
            <w:tcBorders>
              <w:tl2br w:val="nil"/>
              <w:tr2bl w:val="nil"/>
            </w:tcBorders>
            <w:shd w:val="clear" w:color="auto" w:fill="auto"/>
            <w:noWrap/>
            <w:vAlign w:val="center"/>
          </w:tcPr>
          <w:p w14:paraId="1720A57C">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5B6BF3D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温县怀牛膝</w:t>
            </w:r>
            <w:r>
              <w:rPr>
                <w:rStyle w:val="23"/>
                <w:rFonts w:ascii="宋体" w:eastAsia="宋体"/>
                <w:sz w:val="20"/>
                <w:lang w:val="en-US" w:eastAsia="zh-CN" w:bidi="ar"/>
              </w:rPr>
              <w:t xml:space="preserve"> </w:t>
            </w:r>
          </w:p>
        </w:tc>
        <w:tc>
          <w:tcPr>
            <w:tcW w:w="1250" w:type="dxa"/>
            <w:tcBorders>
              <w:tl2br w:val="nil"/>
              <w:tr2bl w:val="nil"/>
            </w:tcBorders>
            <w:shd w:val="clear" w:color="auto" w:fill="auto"/>
            <w:noWrap/>
            <w:vAlign w:val="center"/>
          </w:tcPr>
          <w:p w14:paraId="706E3FA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旅游购品</w:t>
            </w:r>
          </w:p>
        </w:tc>
        <w:tc>
          <w:tcPr>
            <w:tcW w:w="1571" w:type="dxa"/>
            <w:tcBorders>
              <w:tl2br w:val="nil"/>
              <w:tr2bl w:val="nil"/>
            </w:tcBorders>
            <w:shd w:val="clear" w:color="auto" w:fill="auto"/>
            <w:noWrap/>
            <w:vAlign w:val="center"/>
          </w:tcPr>
          <w:p w14:paraId="18771A3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农业产品</w:t>
            </w:r>
          </w:p>
        </w:tc>
        <w:tc>
          <w:tcPr>
            <w:tcW w:w="1733" w:type="dxa"/>
            <w:tcBorders>
              <w:tl2br w:val="nil"/>
              <w:tr2bl w:val="nil"/>
            </w:tcBorders>
            <w:shd w:val="clear" w:color="auto" w:fill="auto"/>
            <w:noWrap/>
            <w:vAlign w:val="center"/>
          </w:tcPr>
          <w:p w14:paraId="17E2D19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种植业产品及制品</w:t>
            </w:r>
          </w:p>
        </w:tc>
      </w:tr>
      <w:tr w14:paraId="1B452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48C95F0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891" w:type="dxa"/>
            <w:vMerge w:val="continue"/>
            <w:tcBorders>
              <w:tl2br w:val="nil"/>
              <w:tr2bl w:val="nil"/>
            </w:tcBorders>
            <w:shd w:val="clear" w:color="auto" w:fill="auto"/>
            <w:noWrap/>
            <w:vAlign w:val="center"/>
          </w:tcPr>
          <w:p w14:paraId="74177318">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C4FD440">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温县怀地黄</w:t>
            </w:r>
          </w:p>
        </w:tc>
        <w:tc>
          <w:tcPr>
            <w:tcW w:w="1250" w:type="dxa"/>
            <w:tcBorders>
              <w:tl2br w:val="nil"/>
              <w:tr2bl w:val="nil"/>
            </w:tcBorders>
            <w:shd w:val="clear" w:color="auto" w:fill="auto"/>
            <w:noWrap/>
            <w:vAlign w:val="center"/>
          </w:tcPr>
          <w:p w14:paraId="76612245">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旅游购品</w:t>
            </w:r>
          </w:p>
        </w:tc>
        <w:tc>
          <w:tcPr>
            <w:tcW w:w="1571" w:type="dxa"/>
            <w:tcBorders>
              <w:tl2br w:val="nil"/>
              <w:tr2bl w:val="nil"/>
            </w:tcBorders>
            <w:shd w:val="clear" w:color="auto" w:fill="auto"/>
            <w:noWrap/>
            <w:vAlign w:val="center"/>
          </w:tcPr>
          <w:p w14:paraId="0A417CA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农业产品</w:t>
            </w:r>
          </w:p>
        </w:tc>
        <w:tc>
          <w:tcPr>
            <w:tcW w:w="1733" w:type="dxa"/>
            <w:tcBorders>
              <w:tl2br w:val="nil"/>
              <w:tr2bl w:val="nil"/>
            </w:tcBorders>
            <w:shd w:val="clear" w:color="auto" w:fill="auto"/>
            <w:noWrap/>
            <w:vAlign w:val="center"/>
          </w:tcPr>
          <w:p w14:paraId="178D640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种植业产品及制品</w:t>
            </w:r>
          </w:p>
        </w:tc>
      </w:tr>
      <w:tr w14:paraId="35DB9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19C6E1C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891" w:type="dxa"/>
            <w:vMerge w:val="continue"/>
            <w:tcBorders>
              <w:tl2br w:val="nil"/>
              <w:tr2bl w:val="nil"/>
            </w:tcBorders>
            <w:shd w:val="clear" w:color="auto" w:fill="auto"/>
            <w:noWrap/>
            <w:vAlign w:val="center"/>
          </w:tcPr>
          <w:p w14:paraId="0F9BAC14">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5940010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温县怀山药</w:t>
            </w:r>
          </w:p>
        </w:tc>
        <w:tc>
          <w:tcPr>
            <w:tcW w:w="1250" w:type="dxa"/>
            <w:tcBorders>
              <w:tl2br w:val="nil"/>
              <w:tr2bl w:val="nil"/>
            </w:tcBorders>
            <w:shd w:val="clear" w:color="auto" w:fill="auto"/>
            <w:noWrap/>
            <w:vAlign w:val="center"/>
          </w:tcPr>
          <w:p w14:paraId="6498AFDE">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旅游购品</w:t>
            </w:r>
          </w:p>
        </w:tc>
        <w:tc>
          <w:tcPr>
            <w:tcW w:w="1571" w:type="dxa"/>
            <w:tcBorders>
              <w:tl2br w:val="nil"/>
              <w:tr2bl w:val="nil"/>
            </w:tcBorders>
            <w:shd w:val="clear" w:color="auto" w:fill="auto"/>
            <w:noWrap/>
            <w:vAlign w:val="center"/>
          </w:tcPr>
          <w:p w14:paraId="23A8587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农业产品</w:t>
            </w:r>
          </w:p>
        </w:tc>
        <w:tc>
          <w:tcPr>
            <w:tcW w:w="1733" w:type="dxa"/>
            <w:tcBorders>
              <w:tl2br w:val="nil"/>
              <w:tr2bl w:val="nil"/>
            </w:tcBorders>
            <w:shd w:val="clear" w:color="auto" w:fill="auto"/>
            <w:noWrap/>
            <w:vAlign w:val="center"/>
          </w:tcPr>
          <w:p w14:paraId="2694578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种植业产品及制品</w:t>
            </w:r>
          </w:p>
        </w:tc>
      </w:tr>
      <w:tr w14:paraId="6CA61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196F339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891" w:type="dxa"/>
            <w:vMerge w:val="continue"/>
            <w:tcBorders>
              <w:tl2br w:val="nil"/>
              <w:tr2bl w:val="nil"/>
            </w:tcBorders>
            <w:shd w:val="clear" w:color="auto" w:fill="auto"/>
            <w:noWrap/>
            <w:vAlign w:val="center"/>
          </w:tcPr>
          <w:p w14:paraId="25B4DF9B">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7F0FD60F">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温县陈家沟村</w:t>
            </w:r>
          </w:p>
        </w:tc>
        <w:tc>
          <w:tcPr>
            <w:tcW w:w="1250" w:type="dxa"/>
            <w:tcBorders>
              <w:tl2br w:val="nil"/>
              <w:tr2bl w:val="nil"/>
            </w:tcBorders>
            <w:shd w:val="clear" w:color="auto" w:fill="auto"/>
            <w:noWrap/>
            <w:vAlign w:val="center"/>
          </w:tcPr>
          <w:p w14:paraId="2ACA5D24">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66D697D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人文景观综合体</w:t>
            </w:r>
          </w:p>
        </w:tc>
        <w:tc>
          <w:tcPr>
            <w:tcW w:w="1733" w:type="dxa"/>
            <w:tcBorders>
              <w:tl2br w:val="nil"/>
              <w:tr2bl w:val="nil"/>
            </w:tcBorders>
            <w:shd w:val="clear" w:color="auto" w:fill="auto"/>
            <w:noWrap/>
            <w:vAlign w:val="center"/>
          </w:tcPr>
          <w:p w14:paraId="4EB50D1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康体游乐休闲度假地</w:t>
            </w:r>
          </w:p>
        </w:tc>
      </w:tr>
      <w:tr w14:paraId="37ABB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23D40A4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891" w:type="dxa"/>
            <w:vMerge w:val="restart"/>
            <w:tcBorders>
              <w:tl2br w:val="nil"/>
              <w:tr2bl w:val="nil"/>
            </w:tcBorders>
            <w:shd w:val="clear" w:color="auto" w:fill="auto"/>
            <w:noWrap/>
            <w:vAlign w:val="center"/>
          </w:tcPr>
          <w:p w14:paraId="6E5FC01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沁阳市</w:t>
            </w:r>
          </w:p>
        </w:tc>
        <w:tc>
          <w:tcPr>
            <w:tcW w:w="2869" w:type="dxa"/>
            <w:tcBorders>
              <w:tl2br w:val="nil"/>
              <w:tr2bl w:val="nil"/>
            </w:tcBorders>
            <w:shd w:val="clear" w:color="auto" w:fill="auto"/>
            <w:noWrap/>
            <w:vAlign w:val="center"/>
          </w:tcPr>
          <w:p w14:paraId="65C80D1D">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江泽民视察河南沁阳</w:t>
            </w:r>
          </w:p>
        </w:tc>
        <w:tc>
          <w:tcPr>
            <w:tcW w:w="1250" w:type="dxa"/>
            <w:tcBorders>
              <w:tl2br w:val="nil"/>
              <w:tr2bl w:val="nil"/>
            </w:tcBorders>
            <w:shd w:val="clear" w:color="auto" w:fill="auto"/>
            <w:noWrap/>
            <w:vAlign w:val="center"/>
          </w:tcPr>
          <w:p w14:paraId="44FE86E7">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30A5955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395A33D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地方事件</w:t>
            </w:r>
          </w:p>
        </w:tc>
      </w:tr>
      <w:tr w14:paraId="22A8D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C03C6B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891" w:type="dxa"/>
            <w:vMerge w:val="continue"/>
            <w:tcBorders>
              <w:tl2br w:val="nil"/>
              <w:tr2bl w:val="nil"/>
            </w:tcBorders>
            <w:shd w:val="clear" w:color="auto" w:fill="auto"/>
            <w:noWrap/>
            <w:vAlign w:val="center"/>
          </w:tcPr>
          <w:p w14:paraId="537A63A7">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20886B4B">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李金海</w:t>
            </w:r>
          </w:p>
        </w:tc>
        <w:tc>
          <w:tcPr>
            <w:tcW w:w="1250" w:type="dxa"/>
            <w:tcBorders>
              <w:tl2br w:val="nil"/>
              <w:tr2bl w:val="nil"/>
            </w:tcBorders>
            <w:shd w:val="clear" w:color="auto" w:fill="auto"/>
            <w:noWrap/>
            <w:vAlign w:val="center"/>
          </w:tcPr>
          <w:p w14:paraId="1DCEBC8B">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176D5FF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52E390B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地方人物</w:t>
            </w:r>
          </w:p>
        </w:tc>
      </w:tr>
      <w:tr w14:paraId="2D69F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5AE5FDE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891" w:type="dxa"/>
            <w:vMerge w:val="continue"/>
            <w:tcBorders>
              <w:tl2br w:val="nil"/>
              <w:tr2bl w:val="nil"/>
            </w:tcBorders>
            <w:shd w:val="clear" w:color="auto" w:fill="auto"/>
            <w:noWrap/>
            <w:vAlign w:val="center"/>
          </w:tcPr>
          <w:p w14:paraId="3A71F2D9">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4BC7167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贺德义</w:t>
            </w:r>
          </w:p>
        </w:tc>
        <w:tc>
          <w:tcPr>
            <w:tcW w:w="1250" w:type="dxa"/>
            <w:tcBorders>
              <w:tl2br w:val="nil"/>
              <w:tr2bl w:val="nil"/>
            </w:tcBorders>
            <w:shd w:val="clear" w:color="auto" w:fill="auto"/>
            <w:noWrap/>
            <w:vAlign w:val="center"/>
          </w:tcPr>
          <w:p w14:paraId="22EEED98">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29FCB8C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5392759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地方人物</w:t>
            </w:r>
          </w:p>
        </w:tc>
      </w:tr>
      <w:tr w14:paraId="14367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2E4B8B2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891" w:type="dxa"/>
            <w:vMerge w:val="continue"/>
            <w:tcBorders>
              <w:tl2br w:val="nil"/>
              <w:tr2bl w:val="nil"/>
            </w:tcBorders>
            <w:shd w:val="clear" w:color="auto" w:fill="auto"/>
            <w:noWrap/>
            <w:vAlign w:val="center"/>
          </w:tcPr>
          <w:p w14:paraId="336FA9E0">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76EC57E">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赵玉清</w:t>
            </w:r>
          </w:p>
        </w:tc>
        <w:tc>
          <w:tcPr>
            <w:tcW w:w="1250" w:type="dxa"/>
            <w:tcBorders>
              <w:tl2br w:val="nil"/>
              <w:tr2bl w:val="nil"/>
            </w:tcBorders>
            <w:shd w:val="clear" w:color="auto" w:fill="auto"/>
            <w:noWrap/>
            <w:vAlign w:val="center"/>
          </w:tcPr>
          <w:p w14:paraId="28FE8725">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1037BC2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0ED4472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地方人物</w:t>
            </w:r>
          </w:p>
        </w:tc>
      </w:tr>
      <w:tr w14:paraId="5045C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4318E56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891" w:type="dxa"/>
            <w:vMerge w:val="continue"/>
            <w:tcBorders>
              <w:tl2br w:val="nil"/>
              <w:tr2bl w:val="nil"/>
            </w:tcBorders>
            <w:shd w:val="clear" w:color="auto" w:fill="auto"/>
            <w:noWrap/>
            <w:vAlign w:val="center"/>
          </w:tcPr>
          <w:p w14:paraId="275D422C">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A070469">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卫平均</w:t>
            </w:r>
          </w:p>
        </w:tc>
        <w:tc>
          <w:tcPr>
            <w:tcW w:w="1250" w:type="dxa"/>
            <w:tcBorders>
              <w:tl2br w:val="nil"/>
              <w:tr2bl w:val="nil"/>
            </w:tcBorders>
            <w:shd w:val="clear" w:color="auto" w:fill="auto"/>
            <w:noWrap/>
            <w:vAlign w:val="center"/>
          </w:tcPr>
          <w:p w14:paraId="53CDFA2D">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594BB36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2BB09FC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地方人物</w:t>
            </w:r>
          </w:p>
        </w:tc>
      </w:tr>
      <w:tr w14:paraId="0953D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38C2803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891" w:type="dxa"/>
            <w:vMerge w:val="continue"/>
            <w:tcBorders>
              <w:tl2br w:val="nil"/>
              <w:tr2bl w:val="nil"/>
            </w:tcBorders>
            <w:shd w:val="clear" w:color="auto" w:fill="auto"/>
            <w:noWrap/>
            <w:vAlign w:val="center"/>
          </w:tcPr>
          <w:p w14:paraId="7C32D17D">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08654CA4">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沁阳神农山白松岭白皮松群</w:t>
            </w:r>
          </w:p>
        </w:tc>
        <w:tc>
          <w:tcPr>
            <w:tcW w:w="1250" w:type="dxa"/>
            <w:tcBorders>
              <w:tl2br w:val="nil"/>
              <w:tr2bl w:val="nil"/>
            </w:tcBorders>
            <w:shd w:val="clear" w:color="auto" w:fill="auto"/>
            <w:noWrap/>
            <w:vAlign w:val="center"/>
          </w:tcPr>
          <w:p w14:paraId="67B4D1A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生物景观</w:t>
            </w:r>
          </w:p>
        </w:tc>
        <w:tc>
          <w:tcPr>
            <w:tcW w:w="1571" w:type="dxa"/>
            <w:tcBorders>
              <w:tl2br w:val="nil"/>
              <w:tr2bl w:val="nil"/>
            </w:tcBorders>
            <w:shd w:val="clear" w:color="auto" w:fill="auto"/>
            <w:noWrap/>
            <w:vAlign w:val="center"/>
          </w:tcPr>
          <w:p w14:paraId="4B2B115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植被景观</w:t>
            </w:r>
          </w:p>
        </w:tc>
        <w:tc>
          <w:tcPr>
            <w:tcW w:w="1733" w:type="dxa"/>
            <w:tcBorders>
              <w:tl2br w:val="nil"/>
              <w:tr2bl w:val="nil"/>
            </w:tcBorders>
            <w:shd w:val="clear" w:color="auto" w:fill="auto"/>
            <w:noWrap/>
            <w:vAlign w:val="center"/>
          </w:tcPr>
          <w:p w14:paraId="58D9D45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独树与丛树</w:t>
            </w:r>
          </w:p>
        </w:tc>
      </w:tr>
      <w:tr w14:paraId="0CC10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5C6E2C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891" w:type="dxa"/>
            <w:vMerge w:val="continue"/>
            <w:tcBorders>
              <w:tl2br w:val="nil"/>
              <w:tr2bl w:val="nil"/>
            </w:tcBorders>
            <w:shd w:val="clear" w:color="auto" w:fill="auto"/>
            <w:noWrap/>
            <w:vAlign w:val="center"/>
          </w:tcPr>
          <w:p w14:paraId="3AEE31D1">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58E30D7E">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沁阳丹河峡谷九渡村</w:t>
            </w:r>
          </w:p>
        </w:tc>
        <w:tc>
          <w:tcPr>
            <w:tcW w:w="1250" w:type="dxa"/>
            <w:tcBorders>
              <w:tl2br w:val="nil"/>
              <w:tr2bl w:val="nil"/>
            </w:tcBorders>
            <w:shd w:val="clear" w:color="auto" w:fill="auto"/>
            <w:noWrap/>
            <w:vAlign w:val="center"/>
          </w:tcPr>
          <w:p w14:paraId="564412F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4E999B1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人文景观综合体</w:t>
            </w:r>
          </w:p>
        </w:tc>
        <w:tc>
          <w:tcPr>
            <w:tcW w:w="1733" w:type="dxa"/>
            <w:tcBorders>
              <w:tl2br w:val="nil"/>
              <w:tr2bl w:val="nil"/>
            </w:tcBorders>
            <w:shd w:val="clear" w:color="auto" w:fill="auto"/>
            <w:noWrap/>
            <w:vAlign w:val="center"/>
          </w:tcPr>
          <w:p w14:paraId="5BC58B6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康体游乐休闲度假地</w:t>
            </w:r>
          </w:p>
        </w:tc>
      </w:tr>
      <w:tr w14:paraId="44ECD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7427EA4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w:t>
            </w:r>
          </w:p>
        </w:tc>
        <w:tc>
          <w:tcPr>
            <w:tcW w:w="891" w:type="dxa"/>
            <w:vMerge w:val="continue"/>
            <w:tcBorders>
              <w:tl2br w:val="nil"/>
              <w:tr2bl w:val="nil"/>
            </w:tcBorders>
            <w:shd w:val="clear" w:color="auto" w:fill="auto"/>
            <w:noWrap/>
            <w:vAlign w:val="center"/>
          </w:tcPr>
          <w:p w14:paraId="69D74187">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4E627D8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沁阳神农山紫金顶龙首台</w:t>
            </w:r>
          </w:p>
        </w:tc>
        <w:tc>
          <w:tcPr>
            <w:tcW w:w="1250" w:type="dxa"/>
            <w:tcBorders>
              <w:tl2br w:val="nil"/>
              <w:tr2bl w:val="nil"/>
            </w:tcBorders>
            <w:shd w:val="clear" w:color="auto" w:fill="auto"/>
            <w:noWrap/>
            <w:vAlign w:val="center"/>
          </w:tcPr>
          <w:p w14:paraId="026D1E4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5F82BA1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地表形态</w:t>
            </w:r>
          </w:p>
        </w:tc>
        <w:tc>
          <w:tcPr>
            <w:tcW w:w="1733" w:type="dxa"/>
            <w:tcBorders>
              <w:tl2br w:val="nil"/>
              <w:tr2bl w:val="nil"/>
            </w:tcBorders>
            <w:shd w:val="clear" w:color="auto" w:fill="auto"/>
            <w:noWrap/>
            <w:vAlign w:val="center"/>
          </w:tcPr>
          <w:p w14:paraId="393650E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台丘状地景</w:t>
            </w:r>
          </w:p>
        </w:tc>
      </w:tr>
      <w:tr w14:paraId="6AED6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6A3C1F0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w:t>
            </w:r>
          </w:p>
        </w:tc>
        <w:tc>
          <w:tcPr>
            <w:tcW w:w="891" w:type="dxa"/>
            <w:vMerge w:val="continue"/>
            <w:tcBorders>
              <w:tl2br w:val="nil"/>
              <w:tr2bl w:val="nil"/>
            </w:tcBorders>
            <w:shd w:val="clear" w:color="auto" w:fill="auto"/>
            <w:noWrap/>
            <w:vAlign w:val="center"/>
          </w:tcPr>
          <w:p w14:paraId="6DF535F4">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51FFA2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沁阳神农山紫金顶神农坛台地</w:t>
            </w:r>
          </w:p>
        </w:tc>
        <w:tc>
          <w:tcPr>
            <w:tcW w:w="1250" w:type="dxa"/>
            <w:tcBorders>
              <w:tl2br w:val="nil"/>
              <w:tr2bl w:val="nil"/>
            </w:tcBorders>
            <w:shd w:val="clear" w:color="auto" w:fill="auto"/>
            <w:noWrap/>
            <w:vAlign w:val="center"/>
          </w:tcPr>
          <w:p w14:paraId="059711D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76FA5E5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自然景观综合体</w:t>
            </w:r>
          </w:p>
        </w:tc>
        <w:tc>
          <w:tcPr>
            <w:tcW w:w="1733" w:type="dxa"/>
            <w:tcBorders>
              <w:tl2br w:val="nil"/>
              <w:tr2bl w:val="nil"/>
            </w:tcBorders>
            <w:shd w:val="clear" w:color="auto" w:fill="auto"/>
            <w:noWrap/>
            <w:vAlign w:val="center"/>
          </w:tcPr>
          <w:p w14:paraId="6B833BD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台地型景观</w:t>
            </w:r>
          </w:p>
        </w:tc>
      </w:tr>
      <w:tr w14:paraId="72218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278DFF3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891" w:type="dxa"/>
            <w:vMerge w:val="continue"/>
            <w:tcBorders>
              <w:tl2br w:val="nil"/>
              <w:tr2bl w:val="nil"/>
            </w:tcBorders>
            <w:shd w:val="clear" w:color="auto" w:fill="auto"/>
            <w:noWrap/>
            <w:vAlign w:val="center"/>
          </w:tcPr>
          <w:p w14:paraId="2B03BD77">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43005B2B">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沁阳神农山仙神谷峰柱林</w:t>
            </w:r>
          </w:p>
        </w:tc>
        <w:tc>
          <w:tcPr>
            <w:tcW w:w="1250" w:type="dxa"/>
            <w:tcBorders>
              <w:tl2br w:val="nil"/>
              <w:tr2bl w:val="nil"/>
            </w:tcBorders>
            <w:shd w:val="clear" w:color="auto" w:fill="auto"/>
            <w:noWrap/>
            <w:vAlign w:val="center"/>
          </w:tcPr>
          <w:p w14:paraId="1B44D1DE">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3C9A5CB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地表形态</w:t>
            </w:r>
          </w:p>
        </w:tc>
        <w:tc>
          <w:tcPr>
            <w:tcW w:w="1733" w:type="dxa"/>
            <w:tcBorders>
              <w:tl2br w:val="nil"/>
              <w:tr2bl w:val="nil"/>
            </w:tcBorders>
            <w:shd w:val="clear" w:color="auto" w:fill="auto"/>
            <w:noWrap/>
            <w:vAlign w:val="center"/>
          </w:tcPr>
          <w:p w14:paraId="35FBA01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峰柱状地景</w:t>
            </w:r>
          </w:p>
        </w:tc>
      </w:tr>
      <w:tr w14:paraId="13C34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5B33E2D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w:t>
            </w:r>
          </w:p>
        </w:tc>
        <w:tc>
          <w:tcPr>
            <w:tcW w:w="891" w:type="dxa"/>
            <w:vMerge w:val="continue"/>
            <w:tcBorders>
              <w:tl2br w:val="nil"/>
              <w:tr2bl w:val="nil"/>
            </w:tcBorders>
            <w:shd w:val="clear" w:color="auto" w:fill="auto"/>
            <w:noWrap/>
            <w:vAlign w:val="center"/>
          </w:tcPr>
          <w:p w14:paraId="27EBCA43">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2F241DD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沁阳神农山红叶</w:t>
            </w:r>
          </w:p>
        </w:tc>
        <w:tc>
          <w:tcPr>
            <w:tcW w:w="1250" w:type="dxa"/>
            <w:tcBorders>
              <w:tl2br w:val="nil"/>
              <w:tr2bl w:val="nil"/>
            </w:tcBorders>
            <w:shd w:val="clear" w:color="auto" w:fill="auto"/>
            <w:noWrap/>
            <w:vAlign w:val="center"/>
          </w:tcPr>
          <w:p w14:paraId="4087F6F9">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天象与气候景观</w:t>
            </w:r>
          </w:p>
        </w:tc>
        <w:tc>
          <w:tcPr>
            <w:tcW w:w="1571" w:type="dxa"/>
            <w:tcBorders>
              <w:tl2br w:val="nil"/>
              <w:tr2bl w:val="nil"/>
            </w:tcBorders>
            <w:shd w:val="clear" w:color="auto" w:fill="auto"/>
            <w:noWrap/>
            <w:vAlign w:val="center"/>
          </w:tcPr>
          <w:p w14:paraId="5701496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天气与气候现象</w:t>
            </w:r>
          </w:p>
        </w:tc>
        <w:tc>
          <w:tcPr>
            <w:tcW w:w="1733" w:type="dxa"/>
            <w:tcBorders>
              <w:tl2br w:val="nil"/>
              <w:tr2bl w:val="nil"/>
            </w:tcBorders>
            <w:shd w:val="clear" w:color="auto" w:fill="auto"/>
            <w:noWrap/>
            <w:vAlign w:val="center"/>
          </w:tcPr>
          <w:p w14:paraId="167B79B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物候景象</w:t>
            </w:r>
          </w:p>
        </w:tc>
      </w:tr>
      <w:tr w14:paraId="5541A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42B76EB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891" w:type="dxa"/>
            <w:vMerge w:val="continue"/>
            <w:tcBorders>
              <w:tl2br w:val="nil"/>
              <w:tr2bl w:val="nil"/>
            </w:tcBorders>
            <w:shd w:val="clear" w:color="auto" w:fill="auto"/>
            <w:noWrap/>
            <w:vAlign w:val="center"/>
          </w:tcPr>
          <w:p w14:paraId="5602CA1C">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7669D959">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沁阳太行陉</w:t>
            </w:r>
          </w:p>
        </w:tc>
        <w:tc>
          <w:tcPr>
            <w:tcW w:w="1250" w:type="dxa"/>
            <w:tcBorders>
              <w:tl2br w:val="nil"/>
              <w:tr2bl w:val="nil"/>
            </w:tcBorders>
            <w:shd w:val="clear" w:color="auto" w:fill="auto"/>
            <w:noWrap/>
            <w:vAlign w:val="center"/>
          </w:tcPr>
          <w:p w14:paraId="5AF7FAA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3DDD3DE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物质类文化遗存</w:t>
            </w:r>
          </w:p>
        </w:tc>
        <w:tc>
          <w:tcPr>
            <w:tcW w:w="1733" w:type="dxa"/>
            <w:tcBorders>
              <w:tl2br w:val="nil"/>
              <w:tr2bl w:val="nil"/>
            </w:tcBorders>
            <w:shd w:val="clear" w:color="auto" w:fill="auto"/>
            <w:noWrap/>
            <w:vAlign w:val="center"/>
          </w:tcPr>
          <w:p w14:paraId="74F68C4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建筑遗迹</w:t>
            </w:r>
          </w:p>
        </w:tc>
      </w:tr>
      <w:tr w14:paraId="55DF7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3531A3D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891" w:type="dxa"/>
            <w:vMerge w:val="continue"/>
            <w:tcBorders>
              <w:tl2br w:val="nil"/>
              <w:tr2bl w:val="nil"/>
            </w:tcBorders>
            <w:shd w:val="clear" w:color="auto" w:fill="auto"/>
            <w:noWrap/>
            <w:vAlign w:val="center"/>
          </w:tcPr>
          <w:p w14:paraId="374B463D">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0CA6B3B3">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沁阳怀府闹汤驴肉</w:t>
            </w:r>
          </w:p>
        </w:tc>
        <w:tc>
          <w:tcPr>
            <w:tcW w:w="1250" w:type="dxa"/>
            <w:tcBorders>
              <w:tl2br w:val="nil"/>
              <w:tr2bl w:val="nil"/>
            </w:tcBorders>
            <w:shd w:val="clear" w:color="auto" w:fill="auto"/>
            <w:noWrap/>
            <w:vAlign w:val="center"/>
          </w:tcPr>
          <w:p w14:paraId="377C8618">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旅游购品</w:t>
            </w:r>
          </w:p>
        </w:tc>
        <w:tc>
          <w:tcPr>
            <w:tcW w:w="1571" w:type="dxa"/>
            <w:tcBorders>
              <w:tl2br w:val="nil"/>
              <w:tr2bl w:val="nil"/>
            </w:tcBorders>
            <w:shd w:val="clear" w:color="auto" w:fill="auto"/>
            <w:noWrap/>
            <w:vAlign w:val="center"/>
          </w:tcPr>
          <w:p w14:paraId="220660B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特色饮食</w:t>
            </w:r>
          </w:p>
        </w:tc>
        <w:tc>
          <w:tcPr>
            <w:tcW w:w="1733" w:type="dxa"/>
            <w:tcBorders>
              <w:tl2br w:val="nil"/>
              <w:tr2bl w:val="nil"/>
            </w:tcBorders>
            <w:shd w:val="clear" w:color="auto" w:fill="auto"/>
            <w:noWrap/>
            <w:vAlign w:val="center"/>
          </w:tcPr>
          <w:p w14:paraId="5368DD3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特色美食</w:t>
            </w:r>
          </w:p>
        </w:tc>
      </w:tr>
      <w:tr w14:paraId="70718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6F9C43D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w:t>
            </w:r>
          </w:p>
        </w:tc>
        <w:tc>
          <w:tcPr>
            <w:tcW w:w="891" w:type="dxa"/>
            <w:vMerge w:val="continue"/>
            <w:tcBorders>
              <w:tl2br w:val="nil"/>
              <w:tr2bl w:val="nil"/>
            </w:tcBorders>
            <w:shd w:val="clear" w:color="auto" w:fill="auto"/>
            <w:noWrap/>
            <w:vAlign w:val="center"/>
          </w:tcPr>
          <w:p w14:paraId="03BADCE9">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02437D38">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沁阳北大寺</w:t>
            </w:r>
          </w:p>
        </w:tc>
        <w:tc>
          <w:tcPr>
            <w:tcW w:w="1250" w:type="dxa"/>
            <w:tcBorders>
              <w:tl2br w:val="nil"/>
              <w:tr2bl w:val="nil"/>
            </w:tcBorders>
            <w:shd w:val="clear" w:color="auto" w:fill="auto"/>
            <w:noWrap/>
            <w:vAlign w:val="center"/>
          </w:tcPr>
          <w:p w14:paraId="1C7738B0">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2CC500A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人文景观综合体</w:t>
            </w:r>
          </w:p>
        </w:tc>
        <w:tc>
          <w:tcPr>
            <w:tcW w:w="1733" w:type="dxa"/>
            <w:tcBorders>
              <w:tl2br w:val="nil"/>
              <w:tr2bl w:val="nil"/>
            </w:tcBorders>
            <w:shd w:val="clear" w:color="auto" w:fill="auto"/>
            <w:noWrap/>
            <w:vAlign w:val="center"/>
          </w:tcPr>
          <w:p w14:paraId="6C2492D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宗教与祭祀活动场所</w:t>
            </w:r>
          </w:p>
        </w:tc>
      </w:tr>
      <w:tr w14:paraId="7BBBC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7CADB3C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w:t>
            </w:r>
          </w:p>
        </w:tc>
        <w:tc>
          <w:tcPr>
            <w:tcW w:w="891" w:type="dxa"/>
            <w:vMerge w:val="continue"/>
            <w:tcBorders>
              <w:tl2br w:val="nil"/>
              <w:tr2bl w:val="nil"/>
            </w:tcBorders>
            <w:shd w:val="clear" w:color="auto" w:fill="auto"/>
            <w:noWrap/>
            <w:vAlign w:val="center"/>
          </w:tcPr>
          <w:p w14:paraId="690B2DE1">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8244F8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沁阳博物馆天宁寺三圣塔</w:t>
            </w:r>
          </w:p>
        </w:tc>
        <w:tc>
          <w:tcPr>
            <w:tcW w:w="1250" w:type="dxa"/>
            <w:tcBorders>
              <w:tl2br w:val="nil"/>
              <w:tr2bl w:val="nil"/>
            </w:tcBorders>
            <w:shd w:val="clear" w:color="auto" w:fill="auto"/>
            <w:noWrap/>
            <w:vAlign w:val="center"/>
          </w:tcPr>
          <w:p w14:paraId="70C84159">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2713BCC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景观与小品建筑</w:t>
            </w:r>
          </w:p>
        </w:tc>
        <w:tc>
          <w:tcPr>
            <w:tcW w:w="1733" w:type="dxa"/>
            <w:tcBorders>
              <w:tl2br w:val="nil"/>
              <w:tr2bl w:val="nil"/>
            </w:tcBorders>
            <w:shd w:val="clear" w:color="auto" w:fill="auto"/>
            <w:noWrap/>
            <w:vAlign w:val="center"/>
          </w:tcPr>
          <w:p w14:paraId="2D15961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塔形建筑</w:t>
            </w:r>
          </w:p>
        </w:tc>
      </w:tr>
      <w:tr w14:paraId="33C2C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A16601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891" w:type="dxa"/>
            <w:vMerge w:val="continue"/>
            <w:tcBorders>
              <w:tl2br w:val="nil"/>
              <w:tr2bl w:val="nil"/>
            </w:tcBorders>
            <w:shd w:val="clear" w:color="auto" w:fill="auto"/>
            <w:noWrap/>
            <w:vAlign w:val="center"/>
          </w:tcPr>
          <w:p w14:paraId="6D611F68">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4EEA3428">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沁阳博物馆王铎《延香馆帖》刻石</w:t>
            </w:r>
          </w:p>
        </w:tc>
        <w:tc>
          <w:tcPr>
            <w:tcW w:w="1250" w:type="dxa"/>
            <w:tcBorders>
              <w:tl2br w:val="nil"/>
              <w:tr2bl w:val="nil"/>
            </w:tcBorders>
            <w:shd w:val="clear" w:color="auto" w:fill="auto"/>
            <w:noWrap/>
            <w:vAlign w:val="center"/>
          </w:tcPr>
          <w:p w14:paraId="7E3DD90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1985CEC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物质类文化遗存</w:t>
            </w:r>
          </w:p>
        </w:tc>
        <w:tc>
          <w:tcPr>
            <w:tcW w:w="1733" w:type="dxa"/>
            <w:tcBorders>
              <w:tl2br w:val="nil"/>
              <w:tr2bl w:val="nil"/>
            </w:tcBorders>
            <w:shd w:val="clear" w:color="auto" w:fill="auto"/>
            <w:noWrap/>
            <w:vAlign w:val="center"/>
          </w:tcPr>
          <w:p w14:paraId="7F7B12D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可移动文物</w:t>
            </w:r>
          </w:p>
        </w:tc>
      </w:tr>
      <w:tr w14:paraId="778D4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6FBDCAD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w:t>
            </w:r>
          </w:p>
        </w:tc>
        <w:tc>
          <w:tcPr>
            <w:tcW w:w="891" w:type="dxa"/>
            <w:vMerge w:val="continue"/>
            <w:tcBorders>
              <w:tl2br w:val="nil"/>
              <w:tr2bl w:val="nil"/>
            </w:tcBorders>
            <w:shd w:val="clear" w:color="auto" w:fill="auto"/>
            <w:noWrap/>
            <w:vAlign w:val="center"/>
          </w:tcPr>
          <w:p w14:paraId="1320D6C1">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13CB29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沁阳神农山窄涧谷太平摩崖石窟</w:t>
            </w:r>
          </w:p>
        </w:tc>
        <w:tc>
          <w:tcPr>
            <w:tcW w:w="1250" w:type="dxa"/>
            <w:tcBorders>
              <w:tl2br w:val="nil"/>
              <w:tr2bl w:val="nil"/>
            </w:tcBorders>
            <w:shd w:val="clear" w:color="auto" w:fill="auto"/>
            <w:noWrap/>
            <w:vAlign w:val="center"/>
          </w:tcPr>
          <w:p w14:paraId="7E381710">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7C4B9C8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实用建筑与核心设施</w:t>
            </w:r>
          </w:p>
        </w:tc>
        <w:tc>
          <w:tcPr>
            <w:tcW w:w="1733" w:type="dxa"/>
            <w:tcBorders>
              <w:tl2br w:val="nil"/>
              <w:tr2bl w:val="nil"/>
            </w:tcBorders>
            <w:shd w:val="clear" w:color="auto" w:fill="auto"/>
            <w:noWrap/>
            <w:vAlign w:val="center"/>
          </w:tcPr>
          <w:p w14:paraId="25F2880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洞窟</w:t>
            </w:r>
          </w:p>
        </w:tc>
      </w:tr>
      <w:tr w14:paraId="6817E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4DCF9FB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891" w:type="dxa"/>
            <w:vMerge w:val="continue"/>
            <w:tcBorders>
              <w:tl2br w:val="nil"/>
              <w:tr2bl w:val="nil"/>
            </w:tcBorders>
            <w:shd w:val="clear" w:color="auto" w:fill="auto"/>
            <w:noWrap/>
            <w:vAlign w:val="center"/>
          </w:tcPr>
          <w:p w14:paraId="7615FCC2">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80EB847">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沁阳神农山神女峡</w:t>
            </w:r>
          </w:p>
        </w:tc>
        <w:tc>
          <w:tcPr>
            <w:tcW w:w="1250" w:type="dxa"/>
            <w:tcBorders>
              <w:tl2br w:val="nil"/>
              <w:tr2bl w:val="nil"/>
            </w:tcBorders>
            <w:shd w:val="clear" w:color="auto" w:fill="auto"/>
            <w:noWrap/>
            <w:vAlign w:val="center"/>
          </w:tcPr>
          <w:p w14:paraId="34588095">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23D1A0C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自然景观综合体</w:t>
            </w:r>
          </w:p>
        </w:tc>
        <w:tc>
          <w:tcPr>
            <w:tcW w:w="1733" w:type="dxa"/>
            <w:tcBorders>
              <w:tl2br w:val="nil"/>
              <w:tr2bl w:val="nil"/>
            </w:tcBorders>
            <w:shd w:val="clear" w:color="auto" w:fill="auto"/>
            <w:noWrap/>
            <w:vAlign w:val="center"/>
          </w:tcPr>
          <w:p w14:paraId="0C4AD98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沟谷型景观</w:t>
            </w:r>
          </w:p>
        </w:tc>
      </w:tr>
      <w:tr w14:paraId="0A704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418D3B5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w:t>
            </w:r>
          </w:p>
        </w:tc>
        <w:tc>
          <w:tcPr>
            <w:tcW w:w="891" w:type="dxa"/>
            <w:vMerge w:val="continue"/>
            <w:tcBorders>
              <w:tl2br w:val="nil"/>
              <w:tr2bl w:val="nil"/>
            </w:tcBorders>
            <w:shd w:val="clear" w:color="auto" w:fill="auto"/>
            <w:noWrap/>
            <w:vAlign w:val="center"/>
          </w:tcPr>
          <w:p w14:paraId="14393F85">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39B530B4">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沁阳神农山龙脊长城</w:t>
            </w:r>
          </w:p>
        </w:tc>
        <w:tc>
          <w:tcPr>
            <w:tcW w:w="1250" w:type="dxa"/>
            <w:tcBorders>
              <w:tl2br w:val="nil"/>
              <w:tr2bl w:val="nil"/>
            </w:tcBorders>
            <w:shd w:val="clear" w:color="auto" w:fill="auto"/>
            <w:noWrap/>
            <w:vAlign w:val="center"/>
          </w:tcPr>
          <w:p w14:paraId="01B55BD0">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4C18677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地表形态</w:t>
            </w:r>
          </w:p>
        </w:tc>
        <w:tc>
          <w:tcPr>
            <w:tcW w:w="1733" w:type="dxa"/>
            <w:tcBorders>
              <w:tl2br w:val="nil"/>
              <w:tr2bl w:val="nil"/>
            </w:tcBorders>
            <w:shd w:val="clear" w:color="auto" w:fill="auto"/>
            <w:noWrap/>
            <w:vAlign w:val="center"/>
          </w:tcPr>
          <w:p w14:paraId="01AC6B6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垄岗状地景</w:t>
            </w:r>
          </w:p>
        </w:tc>
      </w:tr>
      <w:tr w14:paraId="74B2F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60D07FB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c>
          <w:tcPr>
            <w:tcW w:w="891" w:type="dxa"/>
            <w:vMerge w:val="continue"/>
            <w:tcBorders>
              <w:tl2br w:val="nil"/>
              <w:tr2bl w:val="nil"/>
            </w:tcBorders>
            <w:shd w:val="clear" w:color="auto" w:fill="auto"/>
            <w:noWrap/>
            <w:vAlign w:val="center"/>
          </w:tcPr>
          <w:p w14:paraId="5B0FB69F">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B9A55F5">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沁阳神农山龙子门</w:t>
            </w:r>
          </w:p>
        </w:tc>
        <w:tc>
          <w:tcPr>
            <w:tcW w:w="1250" w:type="dxa"/>
            <w:tcBorders>
              <w:tl2br w:val="nil"/>
              <w:tr2bl w:val="nil"/>
            </w:tcBorders>
            <w:shd w:val="clear" w:color="auto" w:fill="auto"/>
            <w:noWrap/>
            <w:vAlign w:val="center"/>
          </w:tcPr>
          <w:p w14:paraId="4E21ABE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地文景观</w:t>
            </w:r>
          </w:p>
        </w:tc>
        <w:tc>
          <w:tcPr>
            <w:tcW w:w="1571" w:type="dxa"/>
            <w:tcBorders>
              <w:tl2br w:val="nil"/>
              <w:tr2bl w:val="nil"/>
            </w:tcBorders>
            <w:shd w:val="clear" w:color="auto" w:fill="auto"/>
            <w:noWrap/>
            <w:vAlign w:val="center"/>
          </w:tcPr>
          <w:p w14:paraId="281FD70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地表形态</w:t>
            </w:r>
          </w:p>
        </w:tc>
        <w:tc>
          <w:tcPr>
            <w:tcW w:w="1733" w:type="dxa"/>
            <w:tcBorders>
              <w:tl2br w:val="nil"/>
              <w:tr2bl w:val="nil"/>
            </w:tcBorders>
            <w:shd w:val="clear" w:color="auto" w:fill="auto"/>
            <w:noWrap/>
            <w:vAlign w:val="center"/>
          </w:tcPr>
          <w:p w14:paraId="44BA6C7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沟壑与洞穴</w:t>
            </w:r>
          </w:p>
        </w:tc>
      </w:tr>
      <w:tr w14:paraId="452C2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DCCB21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w:t>
            </w:r>
          </w:p>
        </w:tc>
        <w:tc>
          <w:tcPr>
            <w:tcW w:w="891" w:type="dxa"/>
            <w:vMerge w:val="continue"/>
            <w:tcBorders>
              <w:tl2br w:val="nil"/>
              <w:tr2bl w:val="nil"/>
            </w:tcBorders>
            <w:shd w:val="clear" w:color="auto" w:fill="auto"/>
            <w:noWrap/>
            <w:vAlign w:val="center"/>
          </w:tcPr>
          <w:p w14:paraId="55212587">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5EA64A90">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沁阳神农山白松岭长寿松</w:t>
            </w:r>
          </w:p>
        </w:tc>
        <w:tc>
          <w:tcPr>
            <w:tcW w:w="1250" w:type="dxa"/>
            <w:tcBorders>
              <w:tl2br w:val="nil"/>
              <w:tr2bl w:val="nil"/>
            </w:tcBorders>
            <w:shd w:val="clear" w:color="auto" w:fill="auto"/>
            <w:noWrap/>
            <w:vAlign w:val="center"/>
          </w:tcPr>
          <w:p w14:paraId="47DFF39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生物景观</w:t>
            </w:r>
          </w:p>
        </w:tc>
        <w:tc>
          <w:tcPr>
            <w:tcW w:w="1571" w:type="dxa"/>
            <w:tcBorders>
              <w:tl2br w:val="nil"/>
              <w:tr2bl w:val="nil"/>
            </w:tcBorders>
            <w:shd w:val="clear" w:color="auto" w:fill="auto"/>
            <w:noWrap/>
            <w:vAlign w:val="center"/>
          </w:tcPr>
          <w:p w14:paraId="5C586E2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植被景观</w:t>
            </w:r>
          </w:p>
        </w:tc>
        <w:tc>
          <w:tcPr>
            <w:tcW w:w="1733" w:type="dxa"/>
            <w:tcBorders>
              <w:tl2br w:val="nil"/>
              <w:tr2bl w:val="nil"/>
            </w:tcBorders>
            <w:shd w:val="clear" w:color="auto" w:fill="auto"/>
            <w:noWrap/>
            <w:vAlign w:val="center"/>
          </w:tcPr>
          <w:p w14:paraId="37CD15D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独树与丛树</w:t>
            </w:r>
          </w:p>
        </w:tc>
      </w:tr>
      <w:tr w14:paraId="60D8B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29AFBC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w:t>
            </w:r>
          </w:p>
        </w:tc>
        <w:tc>
          <w:tcPr>
            <w:tcW w:w="891" w:type="dxa"/>
            <w:vMerge w:val="continue"/>
            <w:tcBorders>
              <w:tl2br w:val="nil"/>
              <w:tr2bl w:val="nil"/>
            </w:tcBorders>
            <w:shd w:val="clear" w:color="auto" w:fill="auto"/>
            <w:noWrap/>
            <w:vAlign w:val="center"/>
          </w:tcPr>
          <w:p w14:paraId="632B2F45">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580640FB">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沁阳神农山白松岭帝王松</w:t>
            </w:r>
          </w:p>
        </w:tc>
        <w:tc>
          <w:tcPr>
            <w:tcW w:w="1250" w:type="dxa"/>
            <w:tcBorders>
              <w:tl2br w:val="nil"/>
              <w:tr2bl w:val="nil"/>
            </w:tcBorders>
            <w:shd w:val="clear" w:color="auto" w:fill="auto"/>
            <w:noWrap/>
            <w:vAlign w:val="center"/>
          </w:tcPr>
          <w:p w14:paraId="7E4876C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生物景观</w:t>
            </w:r>
          </w:p>
        </w:tc>
        <w:tc>
          <w:tcPr>
            <w:tcW w:w="1571" w:type="dxa"/>
            <w:tcBorders>
              <w:tl2br w:val="nil"/>
              <w:tr2bl w:val="nil"/>
            </w:tcBorders>
            <w:shd w:val="clear" w:color="auto" w:fill="auto"/>
            <w:noWrap/>
            <w:vAlign w:val="center"/>
          </w:tcPr>
          <w:p w14:paraId="50136E8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植被景观</w:t>
            </w:r>
          </w:p>
        </w:tc>
        <w:tc>
          <w:tcPr>
            <w:tcW w:w="1733" w:type="dxa"/>
            <w:tcBorders>
              <w:tl2br w:val="nil"/>
              <w:tr2bl w:val="nil"/>
            </w:tcBorders>
            <w:shd w:val="clear" w:color="auto" w:fill="auto"/>
            <w:noWrap/>
            <w:vAlign w:val="center"/>
          </w:tcPr>
          <w:p w14:paraId="3DB64F8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独树与丛树</w:t>
            </w:r>
          </w:p>
        </w:tc>
      </w:tr>
      <w:tr w14:paraId="26E19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597AF2D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w:t>
            </w:r>
          </w:p>
        </w:tc>
        <w:tc>
          <w:tcPr>
            <w:tcW w:w="891" w:type="dxa"/>
            <w:vMerge w:val="continue"/>
            <w:tcBorders>
              <w:tl2br w:val="nil"/>
              <w:tr2bl w:val="nil"/>
            </w:tcBorders>
            <w:shd w:val="clear" w:color="auto" w:fill="auto"/>
            <w:noWrap/>
            <w:vAlign w:val="center"/>
          </w:tcPr>
          <w:p w14:paraId="6335E63D">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4E4F61B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许衡</w:t>
            </w:r>
          </w:p>
        </w:tc>
        <w:tc>
          <w:tcPr>
            <w:tcW w:w="1250" w:type="dxa"/>
            <w:tcBorders>
              <w:tl2br w:val="nil"/>
              <w:tr2bl w:val="nil"/>
            </w:tcBorders>
            <w:shd w:val="clear" w:color="auto" w:fill="auto"/>
            <w:noWrap/>
            <w:vAlign w:val="center"/>
          </w:tcPr>
          <w:p w14:paraId="3D6DB2E5">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7B081B6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36DC89D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地方人物</w:t>
            </w:r>
          </w:p>
        </w:tc>
      </w:tr>
      <w:tr w14:paraId="65CE8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124C82C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w:t>
            </w:r>
          </w:p>
        </w:tc>
        <w:tc>
          <w:tcPr>
            <w:tcW w:w="891" w:type="dxa"/>
            <w:vMerge w:val="continue"/>
            <w:tcBorders>
              <w:tl2br w:val="nil"/>
              <w:tr2bl w:val="nil"/>
            </w:tcBorders>
            <w:shd w:val="clear" w:color="auto" w:fill="auto"/>
            <w:noWrap/>
            <w:vAlign w:val="center"/>
          </w:tcPr>
          <w:p w14:paraId="024E89E6">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249A4617">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沁阳高抬火轿</w:t>
            </w:r>
          </w:p>
        </w:tc>
        <w:tc>
          <w:tcPr>
            <w:tcW w:w="1250" w:type="dxa"/>
            <w:tcBorders>
              <w:tl2br w:val="nil"/>
              <w:tr2bl w:val="nil"/>
            </w:tcBorders>
            <w:shd w:val="clear" w:color="auto" w:fill="auto"/>
            <w:noWrap/>
            <w:vAlign w:val="center"/>
          </w:tcPr>
          <w:p w14:paraId="309E7039">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5476CB3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非物质类文化遗存</w:t>
            </w:r>
          </w:p>
        </w:tc>
        <w:tc>
          <w:tcPr>
            <w:tcW w:w="1733" w:type="dxa"/>
            <w:tcBorders>
              <w:tl2br w:val="nil"/>
              <w:tr2bl w:val="nil"/>
            </w:tcBorders>
            <w:shd w:val="clear" w:color="auto" w:fill="auto"/>
            <w:noWrap/>
            <w:vAlign w:val="center"/>
          </w:tcPr>
          <w:p w14:paraId="36EB778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传统演艺</w:t>
            </w:r>
          </w:p>
        </w:tc>
      </w:tr>
      <w:tr w14:paraId="0E4D1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61625B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c>
          <w:tcPr>
            <w:tcW w:w="891" w:type="dxa"/>
            <w:vMerge w:val="continue"/>
            <w:tcBorders>
              <w:tl2br w:val="nil"/>
              <w:tr2bl w:val="nil"/>
            </w:tcBorders>
            <w:shd w:val="clear" w:color="auto" w:fill="auto"/>
            <w:noWrap/>
            <w:vAlign w:val="center"/>
          </w:tcPr>
          <w:p w14:paraId="5722EB7C">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084AAB68">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沁阳唢呐艺术</w:t>
            </w:r>
          </w:p>
        </w:tc>
        <w:tc>
          <w:tcPr>
            <w:tcW w:w="1250" w:type="dxa"/>
            <w:tcBorders>
              <w:tl2br w:val="nil"/>
              <w:tr2bl w:val="nil"/>
            </w:tcBorders>
            <w:shd w:val="clear" w:color="auto" w:fill="auto"/>
            <w:noWrap/>
            <w:vAlign w:val="center"/>
          </w:tcPr>
          <w:p w14:paraId="78D97D4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0BD4E05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非物质类文化遗存</w:t>
            </w:r>
          </w:p>
        </w:tc>
        <w:tc>
          <w:tcPr>
            <w:tcW w:w="1733" w:type="dxa"/>
            <w:tcBorders>
              <w:tl2br w:val="nil"/>
              <w:tr2bl w:val="nil"/>
            </w:tcBorders>
            <w:shd w:val="clear" w:color="auto" w:fill="auto"/>
            <w:noWrap/>
            <w:vAlign w:val="center"/>
          </w:tcPr>
          <w:p w14:paraId="6CD8601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传统演艺</w:t>
            </w:r>
          </w:p>
        </w:tc>
      </w:tr>
      <w:tr w14:paraId="5E208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1A6066A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891" w:type="dxa"/>
            <w:vMerge w:val="continue"/>
            <w:tcBorders>
              <w:tl2br w:val="nil"/>
              <w:tr2bl w:val="nil"/>
            </w:tcBorders>
            <w:shd w:val="clear" w:color="auto" w:fill="auto"/>
            <w:noWrap/>
            <w:vAlign w:val="center"/>
          </w:tcPr>
          <w:p w14:paraId="5DE4DD00">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287BAEF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沁阳怀梆</w:t>
            </w:r>
          </w:p>
        </w:tc>
        <w:tc>
          <w:tcPr>
            <w:tcW w:w="1250" w:type="dxa"/>
            <w:tcBorders>
              <w:tl2br w:val="nil"/>
              <w:tr2bl w:val="nil"/>
            </w:tcBorders>
            <w:shd w:val="clear" w:color="auto" w:fill="auto"/>
            <w:noWrap/>
            <w:vAlign w:val="center"/>
          </w:tcPr>
          <w:p w14:paraId="43785325">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780DC4A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非物质类文化遗存</w:t>
            </w:r>
          </w:p>
        </w:tc>
        <w:tc>
          <w:tcPr>
            <w:tcW w:w="1733" w:type="dxa"/>
            <w:tcBorders>
              <w:tl2br w:val="nil"/>
              <w:tr2bl w:val="nil"/>
            </w:tcBorders>
            <w:shd w:val="clear" w:color="auto" w:fill="auto"/>
            <w:noWrap/>
            <w:vAlign w:val="center"/>
          </w:tcPr>
          <w:p w14:paraId="7FEA0C6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传统演艺</w:t>
            </w:r>
          </w:p>
        </w:tc>
      </w:tr>
      <w:tr w14:paraId="4B59B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52CC069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w:t>
            </w:r>
          </w:p>
        </w:tc>
        <w:tc>
          <w:tcPr>
            <w:tcW w:w="891" w:type="dxa"/>
            <w:vMerge w:val="continue"/>
            <w:tcBorders>
              <w:tl2br w:val="nil"/>
              <w:tr2bl w:val="nil"/>
            </w:tcBorders>
            <w:shd w:val="clear" w:color="auto" w:fill="auto"/>
            <w:noWrap/>
            <w:vAlign w:val="center"/>
          </w:tcPr>
          <w:p w14:paraId="22B5DC1E">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246F837D">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沁阳言状老虎</w:t>
            </w:r>
          </w:p>
        </w:tc>
        <w:tc>
          <w:tcPr>
            <w:tcW w:w="1250" w:type="dxa"/>
            <w:tcBorders>
              <w:tl2br w:val="nil"/>
              <w:tr2bl w:val="nil"/>
            </w:tcBorders>
            <w:shd w:val="clear" w:color="auto" w:fill="auto"/>
            <w:noWrap/>
            <w:vAlign w:val="center"/>
          </w:tcPr>
          <w:p w14:paraId="698B8674">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5815CA3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非物质类文化遗存</w:t>
            </w:r>
          </w:p>
        </w:tc>
        <w:tc>
          <w:tcPr>
            <w:tcW w:w="1733" w:type="dxa"/>
            <w:tcBorders>
              <w:tl2br w:val="nil"/>
              <w:tr2bl w:val="nil"/>
            </w:tcBorders>
            <w:shd w:val="clear" w:color="auto" w:fill="auto"/>
            <w:noWrap/>
            <w:vAlign w:val="center"/>
          </w:tcPr>
          <w:p w14:paraId="639DC6C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传统演艺</w:t>
            </w:r>
          </w:p>
        </w:tc>
      </w:tr>
      <w:tr w14:paraId="60DB8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831AE3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w:t>
            </w:r>
          </w:p>
        </w:tc>
        <w:tc>
          <w:tcPr>
            <w:tcW w:w="891" w:type="dxa"/>
            <w:vMerge w:val="continue"/>
            <w:tcBorders>
              <w:tl2br w:val="nil"/>
              <w:tr2bl w:val="nil"/>
            </w:tcBorders>
            <w:shd w:val="clear" w:color="auto" w:fill="auto"/>
            <w:noWrap/>
            <w:vAlign w:val="center"/>
          </w:tcPr>
          <w:p w14:paraId="27158C46">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1B77B1E5">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李商隐</w:t>
            </w:r>
          </w:p>
        </w:tc>
        <w:tc>
          <w:tcPr>
            <w:tcW w:w="1250" w:type="dxa"/>
            <w:tcBorders>
              <w:tl2br w:val="nil"/>
              <w:tr2bl w:val="nil"/>
            </w:tcBorders>
            <w:shd w:val="clear" w:color="auto" w:fill="auto"/>
            <w:noWrap/>
            <w:vAlign w:val="center"/>
          </w:tcPr>
          <w:p w14:paraId="1586E6C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5373AF1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20ED39B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地方人物</w:t>
            </w:r>
          </w:p>
        </w:tc>
      </w:tr>
      <w:tr w14:paraId="76F7C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90" w:hRule="atLeast"/>
          <w:jc w:val="center"/>
        </w:trPr>
        <w:tc>
          <w:tcPr>
            <w:tcW w:w="648" w:type="dxa"/>
            <w:tcBorders>
              <w:tl2br w:val="nil"/>
              <w:tr2bl w:val="nil"/>
            </w:tcBorders>
            <w:shd w:val="clear" w:color="auto" w:fill="auto"/>
            <w:noWrap/>
            <w:vAlign w:val="center"/>
          </w:tcPr>
          <w:p w14:paraId="6CD2670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w:t>
            </w:r>
          </w:p>
        </w:tc>
        <w:tc>
          <w:tcPr>
            <w:tcW w:w="891" w:type="dxa"/>
            <w:vMerge w:val="continue"/>
            <w:tcBorders>
              <w:tl2br w:val="nil"/>
              <w:tr2bl w:val="nil"/>
            </w:tcBorders>
            <w:shd w:val="clear" w:color="auto" w:fill="auto"/>
            <w:noWrap/>
            <w:vAlign w:val="center"/>
          </w:tcPr>
          <w:p w14:paraId="67D2C690">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2D2EC640">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曹谨</w:t>
            </w:r>
          </w:p>
        </w:tc>
        <w:tc>
          <w:tcPr>
            <w:tcW w:w="1250" w:type="dxa"/>
            <w:tcBorders>
              <w:tl2br w:val="nil"/>
              <w:tr2bl w:val="nil"/>
            </w:tcBorders>
            <w:shd w:val="clear" w:color="auto" w:fill="auto"/>
            <w:noWrap/>
            <w:vAlign w:val="center"/>
          </w:tcPr>
          <w:p w14:paraId="673E8BF8">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53B11BE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460513E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地方人物</w:t>
            </w:r>
          </w:p>
        </w:tc>
      </w:tr>
      <w:tr w14:paraId="259F4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7CE663D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891" w:type="dxa"/>
            <w:vMerge w:val="continue"/>
            <w:tcBorders>
              <w:tl2br w:val="nil"/>
              <w:tr2bl w:val="nil"/>
            </w:tcBorders>
            <w:shd w:val="clear" w:color="auto" w:fill="auto"/>
            <w:noWrap/>
            <w:vAlign w:val="center"/>
          </w:tcPr>
          <w:p w14:paraId="0889356F">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D01B54A">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朱载堉</w:t>
            </w:r>
          </w:p>
        </w:tc>
        <w:tc>
          <w:tcPr>
            <w:tcW w:w="1250" w:type="dxa"/>
            <w:tcBorders>
              <w:tl2br w:val="nil"/>
              <w:tr2bl w:val="nil"/>
            </w:tcBorders>
            <w:shd w:val="clear" w:color="auto" w:fill="auto"/>
            <w:noWrap/>
            <w:vAlign w:val="center"/>
          </w:tcPr>
          <w:p w14:paraId="5E7D04EB">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7D2F32E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4915B3D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地方人物</w:t>
            </w:r>
          </w:p>
        </w:tc>
      </w:tr>
      <w:tr w14:paraId="6BEC4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360D9C9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181</w:t>
            </w:r>
          </w:p>
        </w:tc>
        <w:tc>
          <w:tcPr>
            <w:tcW w:w="891" w:type="dxa"/>
            <w:vMerge w:val="continue"/>
            <w:tcBorders>
              <w:tl2br w:val="nil"/>
              <w:tr2bl w:val="nil"/>
            </w:tcBorders>
            <w:shd w:val="clear" w:color="auto" w:fill="auto"/>
            <w:noWrap/>
            <w:vAlign w:val="center"/>
          </w:tcPr>
          <w:p w14:paraId="1E70A8C6">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D2923AB">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沁阳太行山猕猴栖息地</w:t>
            </w:r>
          </w:p>
        </w:tc>
        <w:tc>
          <w:tcPr>
            <w:tcW w:w="1250" w:type="dxa"/>
            <w:tcBorders>
              <w:tl2br w:val="nil"/>
              <w:tr2bl w:val="nil"/>
            </w:tcBorders>
            <w:shd w:val="clear" w:color="auto" w:fill="auto"/>
            <w:noWrap/>
            <w:vAlign w:val="center"/>
          </w:tcPr>
          <w:p w14:paraId="5AF5E7B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生物景观</w:t>
            </w:r>
          </w:p>
        </w:tc>
        <w:tc>
          <w:tcPr>
            <w:tcW w:w="1571" w:type="dxa"/>
            <w:tcBorders>
              <w:tl2br w:val="nil"/>
              <w:tr2bl w:val="nil"/>
            </w:tcBorders>
            <w:shd w:val="clear" w:color="auto" w:fill="auto"/>
            <w:noWrap/>
            <w:vAlign w:val="center"/>
          </w:tcPr>
          <w:p w14:paraId="047A59B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野生动物栖息地</w:t>
            </w:r>
          </w:p>
        </w:tc>
        <w:tc>
          <w:tcPr>
            <w:tcW w:w="1733" w:type="dxa"/>
            <w:tcBorders>
              <w:tl2br w:val="nil"/>
              <w:tr2bl w:val="nil"/>
            </w:tcBorders>
            <w:shd w:val="clear" w:color="auto" w:fill="auto"/>
            <w:noWrap/>
            <w:vAlign w:val="center"/>
          </w:tcPr>
          <w:p w14:paraId="0088774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陆地动物栖息地</w:t>
            </w:r>
          </w:p>
        </w:tc>
      </w:tr>
      <w:tr w14:paraId="7F7BF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607059E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w:t>
            </w:r>
          </w:p>
        </w:tc>
        <w:tc>
          <w:tcPr>
            <w:tcW w:w="891" w:type="dxa"/>
            <w:vMerge w:val="restart"/>
            <w:tcBorders>
              <w:tl2br w:val="nil"/>
              <w:tr2bl w:val="nil"/>
            </w:tcBorders>
            <w:shd w:val="clear" w:color="auto" w:fill="auto"/>
            <w:noWrap/>
            <w:vAlign w:val="center"/>
          </w:tcPr>
          <w:p w14:paraId="02014B2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孟州市</w:t>
            </w:r>
          </w:p>
        </w:tc>
        <w:tc>
          <w:tcPr>
            <w:tcW w:w="2869" w:type="dxa"/>
            <w:tcBorders>
              <w:tl2br w:val="nil"/>
              <w:tr2bl w:val="nil"/>
            </w:tcBorders>
            <w:shd w:val="clear" w:color="auto" w:fill="auto"/>
            <w:noWrap/>
            <w:vAlign w:val="center"/>
          </w:tcPr>
          <w:p w14:paraId="40232EC3">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胡锦涛视察河南焦作桑坡村（</w:t>
            </w:r>
            <w:r>
              <w:rPr>
                <w:rStyle w:val="23"/>
                <w:rFonts w:ascii="宋体" w:eastAsia="宋体"/>
                <w:sz w:val="20"/>
                <w:lang w:val="en-US" w:eastAsia="zh-CN" w:bidi="ar"/>
              </w:rPr>
              <w:t>2008</w:t>
            </w:r>
            <w:r>
              <w:rPr>
                <w:rStyle w:val="24"/>
                <w:rFonts w:ascii="宋体" w:eastAsia="宋体"/>
                <w:sz w:val="20"/>
                <w:lang w:val="en-US" w:eastAsia="zh-CN" w:bidi="ar"/>
              </w:rPr>
              <w:t>年）</w:t>
            </w:r>
          </w:p>
        </w:tc>
        <w:tc>
          <w:tcPr>
            <w:tcW w:w="1250" w:type="dxa"/>
            <w:tcBorders>
              <w:tl2br w:val="nil"/>
              <w:tr2bl w:val="nil"/>
            </w:tcBorders>
            <w:shd w:val="clear" w:color="auto" w:fill="auto"/>
            <w:noWrap/>
            <w:vAlign w:val="center"/>
          </w:tcPr>
          <w:p w14:paraId="3BFCFBB9">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08C5323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0708384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地方事件</w:t>
            </w:r>
          </w:p>
        </w:tc>
      </w:tr>
      <w:tr w14:paraId="27500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0387EF9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w:t>
            </w:r>
          </w:p>
        </w:tc>
        <w:tc>
          <w:tcPr>
            <w:tcW w:w="891" w:type="dxa"/>
            <w:vMerge w:val="continue"/>
            <w:tcBorders>
              <w:tl2br w:val="nil"/>
              <w:tr2bl w:val="nil"/>
            </w:tcBorders>
            <w:shd w:val="clear" w:color="auto" w:fill="auto"/>
            <w:noWrap/>
            <w:vAlign w:val="center"/>
          </w:tcPr>
          <w:p w14:paraId="40AE350D">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5FC83043">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江泽民视察河南孟州市韩园（</w:t>
            </w:r>
            <w:r>
              <w:rPr>
                <w:rStyle w:val="23"/>
                <w:rFonts w:ascii="宋体" w:eastAsia="宋体"/>
                <w:sz w:val="20"/>
                <w:lang w:val="en-US" w:eastAsia="zh-CN" w:bidi="ar"/>
              </w:rPr>
              <w:t>1996</w:t>
            </w:r>
            <w:r>
              <w:rPr>
                <w:rStyle w:val="24"/>
                <w:rFonts w:ascii="宋体" w:eastAsia="宋体"/>
                <w:sz w:val="20"/>
                <w:lang w:val="en-US" w:eastAsia="zh-CN" w:bidi="ar"/>
              </w:rPr>
              <w:t>年）</w:t>
            </w:r>
          </w:p>
        </w:tc>
        <w:tc>
          <w:tcPr>
            <w:tcW w:w="1250" w:type="dxa"/>
            <w:tcBorders>
              <w:tl2br w:val="nil"/>
              <w:tr2bl w:val="nil"/>
            </w:tcBorders>
            <w:shd w:val="clear" w:color="auto" w:fill="auto"/>
            <w:noWrap/>
            <w:vAlign w:val="center"/>
          </w:tcPr>
          <w:p w14:paraId="580688E5">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719D540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09F9309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地方事件</w:t>
            </w:r>
          </w:p>
        </w:tc>
      </w:tr>
      <w:tr w14:paraId="256A5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3C2B01D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w:t>
            </w:r>
          </w:p>
        </w:tc>
        <w:tc>
          <w:tcPr>
            <w:tcW w:w="891" w:type="dxa"/>
            <w:vMerge w:val="continue"/>
            <w:tcBorders>
              <w:tl2br w:val="nil"/>
              <w:tr2bl w:val="nil"/>
            </w:tcBorders>
            <w:shd w:val="clear" w:color="auto" w:fill="auto"/>
            <w:noWrap/>
            <w:vAlign w:val="center"/>
          </w:tcPr>
          <w:p w14:paraId="4CC06C2A">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0405E4D9">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郝同州</w:t>
            </w:r>
          </w:p>
        </w:tc>
        <w:tc>
          <w:tcPr>
            <w:tcW w:w="1250" w:type="dxa"/>
            <w:tcBorders>
              <w:tl2br w:val="nil"/>
              <w:tr2bl w:val="nil"/>
            </w:tcBorders>
            <w:shd w:val="clear" w:color="auto" w:fill="auto"/>
            <w:noWrap/>
            <w:vAlign w:val="center"/>
          </w:tcPr>
          <w:p w14:paraId="4FE3599F">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2205C83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26C277C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地方人物</w:t>
            </w:r>
          </w:p>
        </w:tc>
      </w:tr>
      <w:tr w14:paraId="62233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10CFC42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w:t>
            </w:r>
          </w:p>
        </w:tc>
        <w:tc>
          <w:tcPr>
            <w:tcW w:w="891" w:type="dxa"/>
            <w:vMerge w:val="continue"/>
            <w:tcBorders>
              <w:tl2br w:val="nil"/>
              <w:tr2bl w:val="nil"/>
            </w:tcBorders>
            <w:shd w:val="clear" w:color="auto" w:fill="auto"/>
            <w:noWrap/>
            <w:vAlign w:val="center"/>
          </w:tcPr>
          <w:p w14:paraId="29BECFEE">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37FA18A6">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孟州桑坡村</w:t>
            </w:r>
          </w:p>
        </w:tc>
        <w:tc>
          <w:tcPr>
            <w:tcW w:w="1250" w:type="dxa"/>
            <w:tcBorders>
              <w:tl2br w:val="nil"/>
              <w:tr2bl w:val="nil"/>
            </w:tcBorders>
            <w:shd w:val="clear" w:color="auto" w:fill="auto"/>
            <w:noWrap/>
            <w:vAlign w:val="center"/>
          </w:tcPr>
          <w:p w14:paraId="29936F2C">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369A0FB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人文景观综合体</w:t>
            </w:r>
          </w:p>
        </w:tc>
        <w:tc>
          <w:tcPr>
            <w:tcW w:w="1733" w:type="dxa"/>
            <w:tcBorders>
              <w:tl2br w:val="nil"/>
              <w:tr2bl w:val="nil"/>
            </w:tcBorders>
            <w:shd w:val="clear" w:color="auto" w:fill="auto"/>
            <w:noWrap/>
            <w:vAlign w:val="center"/>
          </w:tcPr>
          <w:p w14:paraId="3A32AEE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康体游乐休闲度假地</w:t>
            </w:r>
          </w:p>
        </w:tc>
      </w:tr>
      <w:tr w14:paraId="2A84B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106ACCB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w:t>
            </w:r>
          </w:p>
        </w:tc>
        <w:tc>
          <w:tcPr>
            <w:tcW w:w="891" w:type="dxa"/>
            <w:vMerge w:val="continue"/>
            <w:tcBorders>
              <w:tl2br w:val="nil"/>
              <w:tr2bl w:val="nil"/>
            </w:tcBorders>
            <w:shd w:val="clear" w:color="auto" w:fill="auto"/>
            <w:noWrap/>
            <w:vAlign w:val="center"/>
          </w:tcPr>
          <w:p w14:paraId="1FEBF281">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004ECE57">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孟州黄河滩区野生动物鸟类栖息地</w:t>
            </w:r>
          </w:p>
        </w:tc>
        <w:tc>
          <w:tcPr>
            <w:tcW w:w="1250" w:type="dxa"/>
            <w:tcBorders>
              <w:tl2br w:val="nil"/>
              <w:tr2bl w:val="nil"/>
            </w:tcBorders>
            <w:shd w:val="clear" w:color="auto" w:fill="auto"/>
            <w:noWrap/>
            <w:vAlign w:val="center"/>
          </w:tcPr>
          <w:p w14:paraId="1C866D47">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生物景观</w:t>
            </w:r>
          </w:p>
        </w:tc>
        <w:tc>
          <w:tcPr>
            <w:tcW w:w="1571" w:type="dxa"/>
            <w:tcBorders>
              <w:tl2br w:val="nil"/>
              <w:tr2bl w:val="nil"/>
            </w:tcBorders>
            <w:shd w:val="clear" w:color="auto" w:fill="auto"/>
            <w:noWrap/>
            <w:vAlign w:val="center"/>
          </w:tcPr>
          <w:p w14:paraId="5EEA8B2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野生动物栖息地</w:t>
            </w:r>
          </w:p>
        </w:tc>
        <w:tc>
          <w:tcPr>
            <w:tcW w:w="1733" w:type="dxa"/>
            <w:tcBorders>
              <w:tl2br w:val="nil"/>
              <w:tr2bl w:val="nil"/>
            </w:tcBorders>
            <w:shd w:val="clear" w:color="auto" w:fill="auto"/>
            <w:noWrap/>
            <w:vAlign w:val="center"/>
          </w:tcPr>
          <w:p w14:paraId="0D8914D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鸟类栖息地</w:t>
            </w:r>
          </w:p>
        </w:tc>
      </w:tr>
      <w:tr w14:paraId="1941D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57F76F7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w:t>
            </w:r>
          </w:p>
        </w:tc>
        <w:tc>
          <w:tcPr>
            <w:tcW w:w="891" w:type="dxa"/>
            <w:vMerge w:val="continue"/>
            <w:tcBorders>
              <w:tl2br w:val="nil"/>
              <w:tr2bl w:val="nil"/>
            </w:tcBorders>
            <w:shd w:val="clear" w:color="auto" w:fill="auto"/>
            <w:noWrap/>
            <w:vAlign w:val="center"/>
          </w:tcPr>
          <w:p w14:paraId="445753A5">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014DE218">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韩愈</w:t>
            </w:r>
          </w:p>
        </w:tc>
        <w:tc>
          <w:tcPr>
            <w:tcW w:w="1250" w:type="dxa"/>
            <w:tcBorders>
              <w:tl2br w:val="nil"/>
              <w:tr2bl w:val="nil"/>
            </w:tcBorders>
            <w:shd w:val="clear" w:color="auto" w:fill="auto"/>
            <w:noWrap/>
            <w:vAlign w:val="center"/>
          </w:tcPr>
          <w:p w14:paraId="7BBAAF62">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人文活动</w:t>
            </w:r>
          </w:p>
        </w:tc>
        <w:tc>
          <w:tcPr>
            <w:tcW w:w="1571" w:type="dxa"/>
            <w:tcBorders>
              <w:tl2br w:val="nil"/>
              <w:tr2bl w:val="nil"/>
            </w:tcBorders>
            <w:shd w:val="clear" w:color="auto" w:fill="auto"/>
            <w:noWrap/>
            <w:vAlign w:val="center"/>
          </w:tcPr>
          <w:p w14:paraId="5F5AAB3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人事活动记录</w:t>
            </w:r>
          </w:p>
        </w:tc>
        <w:tc>
          <w:tcPr>
            <w:tcW w:w="1733" w:type="dxa"/>
            <w:tcBorders>
              <w:tl2br w:val="nil"/>
              <w:tr2bl w:val="nil"/>
            </w:tcBorders>
            <w:shd w:val="clear" w:color="auto" w:fill="auto"/>
            <w:noWrap/>
            <w:vAlign w:val="center"/>
          </w:tcPr>
          <w:p w14:paraId="4176D75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地方人物</w:t>
            </w:r>
          </w:p>
        </w:tc>
      </w:tr>
      <w:tr w14:paraId="6B630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3880ECA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w:t>
            </w:r>
          </w:p>
        </w:tc>
        <w:tc>
          <w:tcPr>
            <w:tcW w:w="891" w:type="dxa"/>
            <w:vMerge w:val="continue"/>
            <w:tcBorders>
              <w:tl2br w:val="nil"/>
              <w:tr2bl w:val="nil"/>
            </w:tcBorders>
            <w:shd w:val="clear" w:color="auto" w:fill="auto"/>
            <w:noWrap/>
            <w:vAlign w:val="center"/>
          </w:tcPr>
          <w:p w14:paraId="267BB821">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60E71197">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孟州火龙舞</w:t>
            </w:r>
          </w:p>
        </w:tc>
        <w:tc>
          <w:tcPr>
            <w:tcW w:w="1250" w:type="dxa"/>
            <w:tcBorders>
              <w:tl2br w:val="nil"/>
              <w:tr2bl w:val="nil"/>
            </w:tcBorders>
            <w:shd w:val="clear" w:color="auto" w:fill="auto"/>
            <w:noWrap/>
            <w:vAlign w:val="center"/>
          </w:tcPr>
          <w:p w14:paraId="03121440">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历史遗迹</w:t>
            </w:r>
          </w:p>
        </w:tc>
        <w:tc>
          <w:tcPr>
            <w:tcW w:w="1571" w:type="dxa"/>
            <w:tcBorders>
              <w:tl2br w:val="nil"/>
              <w:tr2bl w:val="nil"/>
            </w:tcBorders>
            <w:shd w:val="clear" w:color="auto" w:fill="auto"/>
            <w:noWrap/>
            <w:vAlign w:val="center"/>
          </w:tcPr>
          <w:p w14:paraId="7B7DFF7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非物质类文化遗存</w:t>
            </w:r>
          </w:p>
        </w:tc>
        <w:tc>
          <w:tcPr>
            <w:tcW w:w="1733" w:type="dxa"/>
            <w:tcBorders>
              <w:tl2br w:val="nil"/>
              <w:tr2bl w:val="nil"/>
            </w:tcBorders>
            <w:shd w:val="clear" w:color="auto" w:fill="auto"/>
            <w:noWrap/>
            <w:vAlign w:val="center"/>
          </w:tcPr>
          <w:p w14:paraId="15BDE7F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传统演艺</w:t>
            </w:r>
          </w:p>
        </w:tc>
      </w:tr>
      <w:tr w14:paraId="05A5D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648" w:type="dxa"/>
            <w:tcBorders>
              <w:tl2br w:val="nil"/>
              <w:tr2bl w:val="nil"/>
            </w:tcBorders>
            <w:shd w:val="clear" w:color="auto" w:fill="auto"/>
            <w:noWrap/>
            <w:vAlign w:val="center"/>
          </w:tcPr>
          <w:p w14:paraId="6678B96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891" w:type="dxa"/>
            <w:vMerge w:val="continue"/>
            <w:tcBorders>
              <w:tl2br w:val="nil"/>
              <w:tr2bl w:val="nil"/>
            </w:tcBorders>
            <w:shd w:val="clear" w:color="auto" w:fill="auto"/>
            <w:noWrap/>
            <w:vAlign w:val="center"/>
          </w:tcPr>
          <w:p w14:paraId="7EAB7BDE">
            <w:pPr>
              <w:snapToGrid w:val="0"/>
              <w:jc w:val="center"/>
              <w:rPr>
                <w:rFonts w:hint="eastAsia" w:ascii="宋体" w:hAnsi="宋体" w:eastAsia="宋体" w:cs="宋体"/>
                <w:i w:val="0"/>
                <w:iCs w:val="0"/>
                <w:color w:val="000000"/>
                <w:sz w:val="20"/>
                <w:szCs w:val="20"/>
                <w:u w:val="none"/>
              </w:rPr>
            </w:pPr>
          </w:p>
        </w:tc>
        <w:tc>
          <w:tcPr>
            <w:tcW w:w="2869" w:type="dxa"/>
            <w:tcBorders>
              <w:tl2br w:val="nil"/>
              <w:tr2bl w:val="nil"/>
            </w:tcBorders>
            <w:shd w:val="clear" w:color="auto" w:fill="auto"/>
            <w:noWrap/>
            <w:vAlign w:val="center"/>
          </w:tcPr>
          <w:p w14:paraId="22886BE0">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孟州韩愈墓</w:t>
            </w:r>
          </w:p>
        </w:tc>
        <w:tc>
          <w:tcPr>
            <w:tcW w:w="1250" w:type="dxa"/>
            <w:tcBorders>
              <w:tl2br w:val="nil"/>
              <w:tr2bl w:val="nil"/>
            </w:tcBorders>
            <w:shd w:val="clear" w:color="auto" w:fill="auto"/>
            <w:noWrap/>
            <w:vAlign w:val="center"/>
          </w:tcPr>
          <w:p w14:paraId="18137C51">
            <w:pPr>
              <w:keepNext w:val="0"/>
              <w:keepLines w:val="0"/>
              <w:widowControl/>
              <w:suppressLineNumbers w:val="0"/>
              <w:snapToGrid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建筑与设施</w:t>
            </w:r>
          </w:p>
        </w:tc>
        <w:tc>
          <w:tcPr>
            <w:tcW w:w="1571" w:type="dxa"/>
            <w:tcBorders>
              <w:tl2br w:val="nil"/>
              <w:tr2bl w:val="nil"/>
            </w:tcBorders>
            <w:shd w:val="clear" w:color="auto" w:fill="auto"/>
            <w:noWrap/>
            <w:vAlign w:val="center"/>
          </w:tcPr>
          <w:p w14:paraId="526B368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实用建筑与核心设施</w:t>
            </w:r>
          </w:p>
        </w:tc>
        <w:tc>
          <w:tcPr>
            <w:tcW w:w="1733" w:type="dxa"/>
            <w:tcBorders>
              <w:tl2br w:val="nil"/>
              <w:tr2bl w:val="nil"/>
            </w:tcBorders>
            <w:shd w:val="clear" w:color="auto" w:fill="auto"/>
            <w:noWrap/>
            <w:vAlign w:val="center"/>
          </w:tcPr>
          <w:p w14:paraId="0728469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陵墓</w:t>
            </w:r>
          </w:p>
        </w:tc>
      </w:tr>
    </w:tbl>
    <w:p w14:paraId="16E748C2">
      <w:pPr>
        <w:rPr>
          <w:rFonts w:hint="default"/>
          <w:b/>
          <w:bCs/>
          <w:color w:val="auto"/>
          <w:sz w:val="28"/>
          <w:szCs w:val="28"/>
          <w:lang w:val="en-US" w:eastAsia="zh-CN"/>
        </w:rPr>
      </w:pPr>
    </w:p>
    <w:p w14:paraId="0B6E75C8">
      <w:pPr>
        <w:rPr>
          <w:rFonts w:hint="default"/>
          <w:b/>
          <w:bCs/>
          <w:color w:val="auto"/>
          <w:sz w:val="28"/>
          <w:szCs w:val="28"/>
          <w:lang w:val="en-US" w:eastAsia="zh-CN"/>
        </w:rPr>
      </w:pPr>
    </w:p>
    <w:p w14:paraId="634FEAAC">
      <w:pPr>
        <w:rPr>
          <w:rFonts w:hint="eastAsia"/>
          <w:b/>
          <w:bCs/>
          <w:color w:val="auto"/>
          <w:sz w:val="24"/>
          <w:szCs w:val="24"/>
          <w:lang w:val="en-US" w:eastAsia="zh-CN"/>
        </w:rPr>
      </w:pPr>
    </w:p>
    <w:p w14:paraId="6221C7F6">
      <w:pPr>
        <w:rPr>
          <w:rFonts w:hint="eastAsia"/>
          <w:b/>
          <w:bCs/>
          <w:color w:val="auto"/>
          <w:sz w:val="24"/>
          <w:szCs w:val="24"/>
          <w:lang w:val="en-US" w:eastAsia="zh-CN"/>
        </w:rPr>
      </w:pPr>
    </w:p>
    <w:p w14:paraId="3A46D4C5">
      <w:pPr>
        <w:rPr>
          <w:rFonts w:hint="eastAsia"/>
          <w:b/>
          <w:bCs/>
          <w:color w:val="auto"/>
          <w:sz w:val="24"/>
          <w:szCs w:val="24"/>
          <w:lang w:val="en-US" w:eastAsia="zh-CN"/>
        </w:rPr>
      </w:pPr>
    </w:p>
    <w:p w14:paraId="51B55E9D">
      <w:pPr>
        <w:rPr>
          <w:rFonts w:hint="eastAsia"/>
          <w:b/>
          <w:bCs/>
          <w:color w:val="auto"/>
          <w:sz w:val="24"/>
          <w:szCs w:val="24"/>
          <w:lang w:val="en-US" w:eastAsia="zh-CN"/>
        </w:rPr>
      </w:pPr>
    </w:p>
    <w:p w14:paraId="6E6EE9FA">
      <w:pPr>
        <w:rPr>
          <w:rFonts w:hint="eastAsia"/>
          <w:b/>
          <w:bCs/>
          <w:color w:val="auto"/>
          <w:sz w:val="24"/>
          <w:szCs w:val="24"/>
          <w:lang w:val="en-US" w:eastAsia="zh-CN"/>
        </w:rPr>
      </w:pPr>
    </w:p>
    <w:p w14:paraId="48BF7A64">
      <w:pPr>
        <w:rPr>
          <w:rFonts w:hint="eastAsia"/>
          <w:b/>
          <w:bCs/>
          <w:color w:val="auto"/>
          <w:sz w:val="24"/>
          <w:szCs w:val="24"/>
          <w:lang w:val="en-US" w:eastAsia="zh-CN"/>
        </w:rPr>
      </w:pPr>
    </w:p>
    <w:p w14:paraId="37852546">
      <w:pPr>
        <w:rPr>
          <w:rFonts w:hint="eastAsia"/>
          <w:b/>
          <w:bCs/>
          <w:color w:val="auto"/>
          <w:sz w:val="24"/>
          <w:szCs w:val="24"/>
          <w:lang w:val="en-US" w:eastAsia="zh-CN"/>
        </w:rPr>
      </w:pPr>
    </w:p>
    <w:p w14:paraId="40DE59FB">
      <w:pPr>
        <w:rPr>
          <w:rFonts w:hint="eastAsia"/>
          <w:b/>
          <w:bCs/>
          <w:color w:val="auto"/>
          <w:sz w:val="24"/>
          <w:szCs w:val="24"/>
          <w:lang w:val="en-US" w:eastAsia="zh-CN"/>
        </w:rPr>
      </w:pPr>
    </w:p>
    <w:p w14:paraId="335AB5D0">
      <w:pPr>
        <w:rPr>
          <w:rFonts w:hint="eastAsia"/>
          <w:b/>
          <w:bCs/>
          <w:color w:val="auto"/>
          <w:sz w:val="24"/>
          <w:szCs w:val="24"/>
          <w:lang w:val="en-US" w:eastAsia="zh-CN"/>
        </w:rPr>
      </w:pPr>
    </w:p>
    <w:p w14:paraId="153D5756">
      <w:pPr>
        <w:rPr>
          <w:rFonts w:hint="eastAsia"/>
          <w:b/>
          <w:bCs/>
          <w:color w:val="auto"/>
          <w:sz w:val="24"/>
          <w:szCs w:val="24"/>
          <w:lang w:val="en-US" w:eastAsia="zh-CN"/>
        </w:rPr>
      </w:pPr>
    </w:p>
    <w:p w14:paraId="5145D9A2">
      <w:pPr>
        <w:rPr>
          <w:rFonts w:hint="eastAsia"/>
          <w:b/>
          <w:bCs/>
          <w:color w:val="auto"/>
          <w:sz w:val="24"/>
          <w:szCs w:val="24"/>
          <w:lang w:val="en-US" w:eastAsia="zh-CN"/>
        </w:rPr>
      </w:pPr>
    </w:p>
    <w:p w14:paraId="14D4AAC4">
      <w:pPr>
        <w:rPr>
          <w:rFonts w:hint="eastAsia"/>
          <w:b/>
          <w:bCs/>
          <w:color w:val="auto"/>
          <w:sz w:val="24"/>
          <w:szCs w:val="24"/>
          <w:lang w:val="en-US" w:eastAsia="zh-CN"/>
        </w:rPr>
      </w:pPr>
    </w:p>
    <w:p w14:paraId="76D1BEBB">
      <w:pPr>
        <w:rPr>
          <w:rFonts w:hint="eastAsia"/>
          <w:b/>
          <w:bCs/>
          <w:color w:val="auto"/>
          <w:sz w:val="24"/>
          <w:szCs w:val="24"/>
          <w:lang w:val="en-US" w:eastAsia="zh-CN"/>
        </w:rPr>
      </w:pPr>
    </w:p>
    <w:p w14:paraId="3F53E785">
      <w:pPr>
        <w:rPr>
          <w:rFonts w:hint="eastAsia"/>
          <w:b/>
          <w:bCs/>
          <w:color w:val="auto"/>
          <w:sz w:val="24"/>
          <w:szCs w:val="24"/>
          <w:lang w:val="en-US" w:eastAsia="zh-CN"/>
        </w:rPr>
      </w:pPr>
    </w:p>
    <w:p w14:paraId="0BA2668E">
      <w:pPr>
        <w:rPr>
          <w:rFonts w:hint="eastAsia"/>
          <w:b/>
          <w:bCs/>
          <w:color w:val="auto"/>
          <w:sz w:val="24"/>
          <w:szCs w:val="24"/>
          <w:lang w:val="en-US" w:eastAsia="zh-CN"/>
        </w:rPr>
      </w:pPr>
    </w:p>
    <w:p w14:paraId="36BE4331">
      <w:pPr>
        <w:rPr>
          <w:rFonts w:hint="eastAsia"/>
          <w:b/>
          <w:bCs/>
          <w:color w:val="auto"/>
          <w:sz w:val="24"/>
          <w:szCs w:val="24"/>
          <w:lang w:val="en-US" w:eastAsia="zh-CN"/>
        </w:rPr>
      </w:pPr>
    </w:p>
    <w:p w14:paraId="7CC4B284">
      <w:pPr>
        <w:rPr>
          <w:rFonts w:hint="eastAsia"/>
          <w:b/>
          <w:bCs/>
          <w:color w:val="auto"/>
          <w:sz w:val="24"/>
          <w:szCs w:val="24"/>
          <w:lang w:val="en-US" w:eastAsia="zh-CN"/>
        </w:rPr>
      </w:pPr>
    </w:p>
    <w:p w14:paraId="595CBC4D">
      <w:pPr>
        <w:rPr>
          <w:rFonts w:hint="eastAsia"/>
          <w:b/>
          <w:bCs/>
          <w:color w:val="auto"/>
          <w:sz w:val="24"/>
          <w:szCs w:val="24"/>
          <w:lang w:val="en-US" w:eastAsia="zh-CN"/>
        </w:rPr>
      </w:pPr>
    </w:p>
    <w:p w14:paraId="71F8FC25">
      <w:pPr>
        <w:rPr>
          <w:rFonts w:hint="eastAsia"/>
          <w:b/>
          <w:bCs/>
          <w:color w:val="auto"/>
          <w:sz w:val="24"/>
          <w:szCs w:val="24"/>
          <w:lang w:val="en-US" w:eastAsia="zh-CN"/>
        </w:rPr>
      </w:pPr>
    </w:p>
    <w:p w14:paraId="3E1FBC38">
      <w:pPr>
        <w:rPr>
          <w:rFonts w:hint="eastAsia"/>
          <w:b/>
          <w:bCs/>
          <w:color w:val="auto"/>
          <w:sz w:val="24"/>
          <w:szCs w:val="24"/>
          <w:lang w:val="en-US" w:eastAsia="zh-CN"/>
        </w:rPr>
      </w:pPr>
    </w:p>
    <w:p w14:paraId="1C5040F8">
      <w:pPr>
        <w:rPr>
          <w:rFonts w:hint="eastAsia"/>
          <w:b/>
          <w:bCs/>
          <w:color w:val="auto"/>
          <w:sz w:val="24"/>
          <w:szCs w:val="24"/>
          <w:lang w:val="en-US" w:eastAsia="zh-CN"/>
        </w:rPr>
      </w:pPr>
    </w:p>
    <w:p w14:paraId="2DDD6B64">
      <w:pPr>
        <w:rPr>
          <w:rFonts w:hint="eastAsia"/>
          <w:b/>
          <w:bCs/>
          <w:color w:val="auto"/>
          <w:sz w:val="24"/>
          <w:szCs w:val="24"/>
          <w:lang w:val="en-US" w:eastAsia="zh-CN"/>
        </w:rPr>
      </w:pPr>
    </w:p>
    <w:p w14:paraId="1F5C8A89">
      <w:pPr>
        <w:rPr>
          <w:rFonts w:hint="eastAsia"/>
          <w:b/>
          <w:bCs/>
          <w:color w:val="auto"/>
          <w:sz w:val="24"/>
          <w:szCs w:val="24"/>
          <w:lang w:val="en-US" w:eastAsia="zh-CN"/>
        </w:rPr>
      </w:pPr>
    </w:p>
    <w:p w14:paraId="0A3B68A7">
      <w:pPr>
        <w:rPr>
          <w:rFonts w:hint="eastAsia"/>
          <w:b/>
          <w:bCs/>
          <w:color w:val="auto"/>
          <w:sz w:val="24"/>
          <w:szCs w:val="24"/>
          <w:lang w:val="en-US" w:eastAsia="zh-CN"/>
        </w:rPr>
      </w:pPr>
    </w:p>
    <w:p w14:paraId="5399C5F7">
      <w:pPr>
        <w:rPr>
          <w:rFonts w:hint="eastAsia"/>
          <w:b/>
          <w:bCs/>
          <w:color w:val="auto"/>
          <w:sz w:val="24"/>
          <w:szCs w:val="24"/>
          <w:lang w:val="en-US" w:eastAsia="zh-CN"/>
        </w:rPr>
      </w:pPr>
    </w:p>
    <w:p w14:paraId="2F7E19C3">
      <w:pPr>
        <w:rPr>
          <w:rFonts w:hint="eastAsia"/>
          <w:b/>
          <w:bCs/>
          <w:color w:val="auto"/>
          <w:sz w:val="24"/>
          <w:szCs w:val="24"/>
          <w:lang w:val="en-US" w:eastAsia="zh-CN"/>
        </w:rPr>
      </w:pPr>
    </w:p>
    <w:p w14:paraId="5D618089">
      <w:pPr>
        <w:rPr>
          <w:rFonts w:hint="eastAsia"/>
          <w:b/>
          <w:bCs/>
          <w:color w:val="auto"/>
          <w:sz w:val="24"/>
          <w:szCs w:val="24"/>
          <w:lang w:val="en-US" w:eastAsia="zh-CN"/>
        </w:rPr>
      </w:pPr>
    </w:p>
    <w:p w14:paraId="4B663B20">
      <w:pPr>
        <w:rPr>
          <w:rFonts w:hint="eastAsia"/>
          <w:b/>
          <w:bCs/>
          <w:color w:val="auto"/>
          <w:sz w:val="24"/>
          <w:szCs w:val="24"/>
          <w:lang w:val="en-US" w:eastAsia="zh-CN"/>
        </w:rPr>
      </w:pPr>
    </w:p>
    <w:p w14:paraId="7B1ECE3D">
      <w:pPr>
        <w:rPr>
          <w:rFonts w:hint="eastAsia"/>
          <w:b/>
          <w:bCs/>
          <w:color w:val="auto"/>
          <w:sz w:val="24"/>
          <w:szCs w:val="24"/>
          <w:lang w:val="en-US" w:eastAsia="zh-CN"/>
        </w:rPr>
      </w:pPr>
    </w:p>
    <w:p w14:paraId="17476811">
      <w:pPr>
        <w:rPr>
          <w:rFonts w:hint="eastAsia"/>
          <w:b/>
          <w:bCs/>
          <w:color w:val="auto"/>
          <w:sz w:val="24"/>
          <w:szCs w:val="24"/>
          <w:lang w:val="en-US" w:eastAsia="zh-CN"/>
        </w:rPr>
      </w:pPr>
    </w:p>
    <w:p w14:paraId="6C8C592A">
      <w:pPr>
        <w:rPr>
          <w:rFonts w:hint="eastAsia"/>
          <w:b/>
          <w:bCs/>
          <w:color w:val="auto"/>
          <w:sz w:val="24"/>
          <w:szCs w:val="24"/>
          <w:lang w:val="en-US" w:eastAsia="zh-CN"/>
        </w:rPr>
      </w:pPr>
    </w:p>
    <w:p w14:paraId="423187F4">
      <w:pPr>
        <w:rPr>
          <w:rFonts w:hint="eastAsia"/>
          <w:b/>
          <w:bCs/>
          <w:color w:val="auto"/>
          <w:sz w:val="24"/>
          <w:szCs w:val="24"/>
          <w:lang w:val="en-US" w:eastAsia="zh-CN"/>
        </w:rPr>
      </w:pPr>
    </w:p>
    <w:p w14:paraId="395B0EA3">
      <w:pPr>
        <w:rPr>
          <w:rFonts w:hint="eastAsia"/>
          <w:b/>
          <w:bCs/>
          <w:color w:val="auto"/>
          <w:sz w:val="24"/>
          <w:szCs w:val="24"/>
          <w:lang w:val="en-US" w:eastAsia="zh-CN"/>
        </w:rPr>
      </w:pPr>
    </w:p>
    <w:p w14:paraId="63BF398F">
      <w:pPr>
        <w:rPr>
          <w:rFonts w:hint="eastAsia"/>
          <w:b/>
          <w:bCs/>
          <w:color w:val="auto"/>
          <w:sz w:val="24"/>
          <w:szCs w:val="24"/>
          <w:lang w:val="en-US" w:eastAsia="zh-CN"/>
        </w:rPr>
      </w:pPr>
    </w:p>
    <w:p w14:paraId="3D71C517">
      <w:pPr>
        <w:rPr>
          <w:rFonts w:hint="eastAsia"/>
          <w:b/>
          <w:bCs/>
          <w:color w:val="auto"/>
          <w:sz w:val="24"/>
          <w:szCs w:val="24"/>
          <w:lang w:val="en-US" w:eastAsia="zh-CN"/>
        </w:rPr>
      </w:pPr>
    </w:p>
    <w:p w14:paraId="25158B17">
      <w:pPr>
        <w:rPr>
          <w:rFonts w:hint="eastAsia"/>
          <w:b/>
          <w:bCs/>
          <w:color w:val="auto"/>
          <w:sz w:val="24"/>
          <w:szCs w:val="24"/>
          <w:lang w:val="en-US" w:eastAsia="zh-CN"/>
        </w:rPr>
      </w:pPr>
    </w:p>
    <w:p w14:paraId="5E3DC22C">
      <w:pPr>
        <w:rPr>
          <w:rFonts w:hint="eastAsia"/>
          <w:b/>
          <w:bCs/>
          <w:color w:val="auto"/>
          <w:sz w:val="24"/>
          <w:szCs w:val="24"/>
          <w:lang w:val="en-US" w:eastAsia="zh-CN"/>
        </w:rPr>
      </w:pPr>
    </w:p>
    <w:p w14:paraId="55643F00">
      <w:pPr>
        <w:rPr>
          <w:rFonts w:hint="eastAsia"/>
          <w:b/>
          <w:bCs/>
          <w:color w:val="auto"/>
          <w:sz w:val="24"/>
          <w:szCs w:val="24"/>
          <w:lang w:val="en-US" w:eastAsia="zh-CN"/>
        </w:rPr>
      </w:pPr>
    </w:p>
    <w:p w14:paraId="459EFDB2">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0"/>
        <w:rPr>
          <w:rFonts w:hint="eastAsia" w:ascii="Times New Roman" w:hAnsi="Times New Roman" w:cs="Times New Roman"/>
          <w:b/>
          <w:bCs w:val="0"/>
          <w:color w:val="auto"/>
          <w:kern w:val="2"/>
          <w:sz w:val="24"/>
          <w:szCs w:val="24"/>
          <w:lang w:val="en-US" w:eastAsia="zh-CN" w:bidi="ar-SA"/>
        </w:rPr>
      </w:pPr>
      <w:bookmarkStart w:id="155" w:name="_Toc22267"/>
      <w:r>
        <w:rPr>
          <w:rFonts w:hint="eastAsia" w:ascii="Times New Roman" w:hAnsi="Times New Roman" w:cs="Times New Roman"/>
          <w:b/>
          <w:bCs w:val="0"/>
          <w:color w:val="auto"/>
          <w:kern w:val="2"/>
          <w:sz w:val="24"/>
          <w:szCs w:val="24"/>
          <w:lang w:val="en-US" w:eastAsia="zh-CN" w:bidi="ar-SA"/>
        </w:rPr>
        <w:t>附表3 焦作市四级旅游资源汇总表</w:t>
      </w:r>
      <w:bookmarkEnd w:id="155"/>
    </w:p>
    <w:tbl>
      <w:tblPr>
        <w:tblStyle w:val="15"/>
        <w:tblW w:w="8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32" w:type="dxa"/>
          <w:left w:w="64" w:type="dxa"/>
          <w:bottom w:w="32" w:type="dxa"/>
          <w:right w:w="64" w:type="dxa"/>
        </w:tblCellMar>
      </w:tblPr>
      <w:tblGrid>
        <w:gridCol w:w="506"/>
        <w:gridCol w:w="874"/>
        <w:gridCol w:w="3438"/>
        <w:gridCol w:w="1265"/>
        <w:gridCol w:w="1241"/>
        <w:gridCol w:w="1614"/>
      </w:tblGrid>
      <w:tr w14:paraId="670E9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32" w:type="dxa"/>
            <w:left w:w="64" w:type="dxa"/>
            <w:bottom w:w="32" w:type="dxa"/>
            <w:right w:w="64" w:type="dxa"/>
          </w:tblCellMar>
        </w:tblPrEx>
        <w:trPr>
          <w:trHeight w:val="0" w:hRule="atLeast"/>
          <w:tblHeader/>
          <w:jc w:val="center"/>
        </w:trPr>
        <w:tc>
          <w:tcPr>
            <w:tcW w:w="506" w:type="dxa"/>
            <w:tcBorders>
              <w:tl2br w:val="nil"/>
              <w:tr2bl w:val="nil"/>
            </w:tcBorders>
            <w:shd w:val="clear" w:color="auto" w:fill="auto"/>
            <w:vAlign w:val="center"/>
          </w:tcPr>
          <w:p w14:paraId="5A09E5B3">
            <w:pPr>
              <w:keepNext w:val="0"/>
              <w:keepLines w:val="0"/>
              <w:widowControl/>
              <w:suppressLineNumbers w:val="0"/>
              <w:snapToGrid w:val="0"/>
              <w:jc w:val="center"/>
              <w:textAlignment w:val="center"/>
              <w:rPr>
                <w:rFonts w:hint="eastAsia" w:asciiTheme="minorEastAsia" w:hAnsiTheme="minorEastAsia" w:eastAsiaTheme="minorEastAsia" w:cstheme="minorEastAsia"/>
                <w:b/>
                <w:bCs/>
                <w:i w:val="0"/>
                <w:iCs w:val="0"/>
                <w:color w:val="000000"/>
                <w:sz w:val="20"/>
                <w:szCs w:val="20"/>
                <w:u w:val="none"/>
                <w:lang w:eastAsia="zh-CN"/>
              </w:rPr>
            </w:pPr>
          </w:p>
        </w:tc>
        <w:tc>
          <w:tcPr>
            <w:tcW w:w="874" w:type="dxa"/>
            <w:tcBorders>
              <w:tl2br w:val="nil"/>
              <w:tr2bl w:val="nil"/>
            </w:tcBorders>
            <w:shd w:val="clear" w:color="auto" w:fill="auto"/>
            <w:vAlign w:val="center"/>
          </w:tcPr>
          <w:p w14:paraId="1E5E6284">
            <w:pPr>
              <w:keepNext w:val="0"/>
              <w:keepLines w:val="0"/>
              <w:widowControl/>
              <w:suppressLineNumbers w:val="0"/>
              <w:snapToGrid w:val="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县市区</w:t>
            </w:r>
          </w:p>
        </w:tc>
        <w:tc>
          <w:tcPr>
            <w:tcW w:w="3438" w:type="dxa"/>
            <w:tcBorders>
              <w:tl2br w:val="nil"/>
              <w:tr2bl w:val="nil"/>
            </w:tcBorders>
            <w:shd w:val="clear" w:color="auto" w:fill="auto"/>
            <w:vAlign w:val="center"/>
          </w:tcPr>
          <w:p w14:paraId="6FC3E0DB">
            <w:pPr>
              <w:keepNext w:val="0"/>
              <w:keepLines w:val="0"/>
              <w:widowControl/>
              <w:suppressLineNumbers w:val="0"/>
              <w:snapToGrid w:val="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资源名称</w:t>
            </w:r>
          </w:p>
        </w:tc>
        <w:tc>
          <w:tcPr>
            <w:tcW w:w="1265" w:type="dxa"/>
            <w:tcBorders>
              <w:tl2br w:val="nil"/>
              <w:tr2bl w:val="nil"/>
            </w:tcBorders>
            <w:shd w:val="clear" w:color="auto" w:fill="auto"/>
            <w:vAlign w:val="center"/>
          </w:tcPr>
          <w:p w14:paraId="5D86451B">
            <w:pPr>
              <w:keepNext w:val="0"/>
              <w:keepLines w:val="0"/>
              <w:widowControl/>
              <w:suppressLineNumbers w:val="0"/>
              <w:snapToGrid w:val="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资源主类</w:t>
            </w:r>
          </w:p>
        </w:tc>
        <w:tc>
          <w:tcPr>
            <w:tcW w:w="1241" w:type="dxa"/>
            <w:tcBorders>
              <w:tl2br w:val="nil"/>
              <w:tr2bl w:val="nil"/>
            </w:tcBorders>
            <w:shd w:val="clear" w:color="auto" w:fill="auto"/>
            <w:vAlign w:val="center"/>
          </w:tcPr>
          <w:p w14:paraId="221959D4">
            <w:pPr>
              <w:keepNext w:val="0"/>
              <w:keepLines w:val="0"/>
              <w:widowControl/>
              <w:suppressLineNumbers w:val="0"/>
              <w:snapToGrid w:val="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资源亚类</w:t>
            </w:r>
          </w:p>
        </w:tc>
        <w:tc>
          <w:tcPr>
            <w:tcW w:w="1614" w:type="dxa"/>
            <w:tcBorders>
              <w:tl2br w:val="nil"/>
              <w:tr2bl w:val="nil"/>
            </w:tcBorders>
            <w:shd w:val="clear" w:color="auto" w:fill="auto"/>
            <w:vAlign w:val="center"/>
          </w:tcPr>
          <w:p w14:paraId="44A297A1">
            <w:pPr>
              <w:keepNext w:val="0"/>
              <w:keepLines w:val="0"/>
              <w:widowControl/>
              <w:suppressLineNumbers w:val="0"/>
              <w:snapToGrid w:val="0"/>
              <w:jc w:val="center"/>
              <w:textAlignment w:val="center"/>
              <w:rPr>
                <w:rFonts w:hint="eastAsia" w:asciiTheme="minorEastAsia" w:hAnsiTheme="minorEastAsia" w:eastAsiaTheme="minorEastAsia" w:cstheme="minorEastAsia"/>
                <w:b/>
                <w:bCs/>
                <w:i w:val="0"/>
                <w:iCs w:val="0"/>
                <w:color w:val="000000"/>
                <w:sz w:val="20"/>
                <w:szCs w:val="20"/>
                <w:u w:val="none"/>
              </w:rPr>
            </w:pPr>
            <w:r>
              <w:rPr>
                <w:rFonts w:hint="eastAsia" w:asciiTheme="minorEastAsia" w:hAnsiTheme="minorEastAsia" w:eastAsiaTheme="minorEastAsia" w:cstheme="minorEastAsia"/>
                <w:b/>
                <w:bCs/>
                <w:i w:val="0"/>
                <w:iCs w:val="0"/>
                <w:color w:val="000000"/>
                <w:kern w:val="0"/>
                <w:sz w:val="20"/>
                <w:szCs w:val="20"/>
                <w:u w:val="none"/>
                <w:lang w:val="en-US" w:eastAsia="zh-CN" w:bidi="ar"/>
              </w:rPr>
              <w:t>资源基本类型</w:t>
            </w:r>
          </w:p>
        </w:tc>
      </w:tr>
      <w:tr w14:paraId="68676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2151FB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01</w:t>
            </w:r>
          </w:p>
        </w:tc>
        <w:tc>
          <w:tcPr>
            <w:tcW w:w="874" w:type="dxa"/>
            <w:vMerge w:val="restart"/>
            <w:tcBorders>
              <w:tl2br w:val="nil"/>
              <w:tr2bl w:val="nil"/>
            </w:tcBorders>
            <w:shd w:val="clear" w:color="auto" w:fill="auto"/>
            <w:vAlign w:val="center"/>
          </w:tcPr>
          <w:p w14:paraId="284C1F3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解放区</w:t>
            </w:r>
          </w:p>
        </w:tc>
        <w:tc>
          <w:tcPr>
            <w:tcW w:w="3438" w:type="dxa"/>
            <w:tcBorders>
              <w:tl2br w:val="nil"/>
              <w:tr2bl w:val="nil"/>
            </w:tcBorders>
            <w:shd w:val="clear" w:color="auto" w:fill="auto"/>
            <w:vAlign w:val="center"/>
          </w:tcPr>
          <w:p w14:paraId="0D4AFEE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焦作老电厂</w:t>
            </w:r>
          </w:p>
        </w:tc>
        <w:tc>
          <w:tcPr>
            <w:tcW w:w="1265" w:type="dxa"/>
            <w:tcBorders>
              <w:tl2br w:val="nil"/>
              <w:tr2bl w:val="nil"/>
            </w:tcBorders>
            <w:shd w:val="clear" w:color="auto" w:fill="auto"/>
            <w:vAlign w:val="center"/>
          </w:tcPr>
          <w:p w14:paraId="7220369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1ABF110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62E8B95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建设工程与生产地</w:t>
            </w:r>
          </w:p>
        </w:tc>
      </w:tr>
      <w:tr w14:paraId="00F94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A67D3B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02</w:t>
            </w:r>
          </w:p>
        </w:tc>
        <w:tc>
          <w:tcPr>
            <w:tcW w:w="874" w:type="dxa"/>
            <w:vMerge w:val="continue"/>
            <w:tcBorders>
              <w:tl2br w:val="nil"/>
              <w:tr2bl w:val="nil"/>
            </w:tcBorders>
            <w:shd w:val="clear" w:color="auto" w:fill="auto"/>
            <w:vAlign w:val="center"/>
          </w:tcPr>
          <w:p w14:paraId="51EEF372">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CD0F72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焦作三维戴斯酒店</w:t>
            </w:r>
          </w:p>
        </w:tc>
        <w:tc>
          <w:tcPr>
            <w:tcW w:w="1265" w:type="dxa"/>
            <w:tcBorders>
              <w:tl2br w:val="nil"/>
              <w:tr2bl w:val="nil"/>
            </w:tcBorders>
            <w:shd w:val="clear" w:color="auto" w:fill="auto"/>
            <w:vAlign w:val="center"/>
          </w:tcPr>
          <w:p w14:paraId="49015B5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669ED45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55EC196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7539E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49D7C6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03</w:t>
            </w:r>
          </w:p>
        </w:tc>
        <w:tc>
          <w:tcPr>
            <w:tcW w:w="874" w:type="dxa"/>
            <w:vMerge w:val="continue"/>
            <w:tcBorders>
              <w:tl2br w:val="nil"/>
              <w:tr2bl w:val="nil"/>
            </w:tcBorders>
            <w:shd w:val="clear" w:color="auto" w:fill="auto"/>
            <w:vAlign w:val="center"/>
          </w:tcPr>
          <w:p w14:paraId="5DDFEDB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BE5B3F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焦作解放小剧场演艺</w:t>
            </w:r>
          </w:p>
        </w:tc>
        <w:tc>
          <w:tcPr>
            <w:tcW w:w="1265" w:type="dxa"/>
            <w:tcBorders>
              <w:tl2br w:val="nil"/>
              <w:tr2bl w:val="nil"/>
            </w:tcBorders>
            <w:shd w:val="clear" w:color="auto" w:fill="auto"/>
            <w:vAlign w:val="center"/>
          </w:tcPr>
          <w:p w14:paraId="01BBE08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24D2287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文艺活动</w:t>
            </w:r>
          </w:p>
        </w:tc>
        <w:tc>
          <w:tcPr>
            <w:tcW w:w="1614" w:type="dxa"/>
            <w:tcBorders>
              <w:tl2br w:val="nil"/>
              <w:tr2bl w:val="nil"/>
            </w:tcBorders>
            <w:shd w:val="clear" w:color="auto" w:fill="auto"/>
            <w:vAlign w:val="center"/>
          </w:tcPr>
          <w:p w14:paraId="2FA0573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现代演艺</w:t>
            </w:r>
          </w:p>
        </w:tc>
      </w:tr>
      <w:tr w14:paraId="3DB6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27BF4B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04</w:t>
            </w:r>
          </w:p>
        </w:tc>
        <w:tc>
          <w:tcPr>
            <w:tcW w:w="874" w:type="dxa"/>
            <w:vMerge w:val="continue"/>
            <w:tcBorders>
              <w:tl2br w:val="nil"/>
              <w:tr2bl w:val="nil"/>
            </w:tcBorders>
            <w:shd w:val="clear" w:color="auto" w:fill="auto"/>
            <w:vAlign w:val="center"/>
          </w:tcPr>
          <w:p w14:paraId="4B14C538">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8B87C3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焦作南水北调盾构机</w:t>
            </w:r>
          </w:p>
        </w:tc>
        <w:tc>
          <w:tcPr>
            <w:tcW w:w="1265" w:type="dxa"/>
            <w:tcBorders>
              <w:tl2br w:val="nil"/>
              <w:tr2bl w:val="nil"/>
            </w:tcBorders>
            <w:shd w:val="clear" w:color="auto" w:fill="auto"/>
            <w:vAlign w:val="center"/>
          </w:tcPr>
          <w:p w14:paraId="08E088B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7F1FDED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景观与小品建筑</w:t>
            </w:r>
          </w:p>
        </w:tc>
        <w:tc>
          <w:tcPr>
            <w:tcW w:w="1614" w:type="dxa"/>
            <w:tcBorders>
              <w:tl2br w:val="nil"/>
              <w:tr2bl w:val="nil"/>
            </w:tcBorders>
            <w:shd w:val="clear" w:color="auto" w:fill="auto"/>
            <w:vAlign w:val="center"/>
          </w:tcPr>
          <w:p w14:paraId="4880884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形象标志物</w:t>
            </w:r>
          </w:p>
        </w:tc>
      </w:tr>
      <w:tr w14:paraId="0A768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7A07A4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05</w:t>
            </w:r>
          </w:p>
        </w:tc>
        <w:tc>
          <w:tcPr>
            <w:tcW w:w="874" w:type="dxa"/>
            <w:vMerge w:val="continue"/>
            <w:tcBorders>
              <w:tl2br w:val="nil"/>
              <w:tr2bl w:val="nil"/>
            </w:tcBorders>
            <w:shd w:val="clear" w:color="auto" w:fill="auto"/>
            <w:vAlign w:val="center"/>
          </w:tcPr>
          <w:p w14:paraId="301DF29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50947A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闹汤驴肉制作技艺</w:t>
            </w:r>
          </w:p>
        </w:tc>
        <w:tc>
          <w:tcPr>
            <w:tcW w:w="1265" w:type="dxa"/>
            <w:tcBorders>
              <w:tl2br w:val="nil"/>
              <w:tr2bl w:val="nil"/>
            </w:tcBorders>
            <w:shd w:val="clear" w:color="auto" w:fill="auto"/>
            <w:vAlign w:val="center"/>
          </w:tcPr>
          <w:p w14:paraId="19816ED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6F4CAEA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农业产品</w:t>
            </w:r>
          </w:p>
        </w:tc>
        <w:tc>
          <w:tcPr>
            <w:tcW w:w="1614" w:type="dxa"/>
            <w:tcBorders>
              <w:tl2br w:val="nil"/>
              <w:tr2bl w:val="nil"/>
            </w:tcBorders>
            <w:shd w:val="clear" w:color="auto" w:fill="auto"/>
            <w:vAlign w:val="center"/>
          </w:tcPr>
          <w:p w14:paraId="1267F47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畜牧业产品与制品</w:t>
            </w:r>
          </w:p>
        </w:tc>
      </w:tr>
      <w:tr w14:paraId="6C808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C550BA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06</w:t>
            </w:r>
          </w:p>
        </w:tc>
        <w:tc>
          <w:tcPr>
            <w:tcW w:w="874" w:type="dxa"/>
            <w:vMerge w:val="continue"/>
            <w:tcBorders>
              <w:tl2br w:val="nil"/>
              <w:tr2bl w:val="nil"/>
            </w:tcBorders>
            <w:shd w:val="clear" w:color="auto" w:fill="auto"/>
            <w:vAlign w:val="center"/>
          </w:tcPr>
          <w:p w14:paraId="66D15C86">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FBC856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南太行浅山旅游片区（解放段）</w:t>
            </w:r>
          </w:p>
        </w:tc>
        <w:tc>
          <w:tcPr>
            <w:tcW w:w="1265" w:type="dxa"/>
            <w:tcBorders>
              <w:tl2br w:val="nil"/>
              <w:tr2bl w:val="nil"/>
            </w:tcBorders>
            <w:shd w:val="clear" w:color="auto" w:fill="auto"/>
            <w:vAlign w:val="center"/>
          </w:tcPr>
          <w:p w14:paraId="273B858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1253208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0CF7F0D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3124D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EA655F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07</w:t>
            </w:r>
          </w:p>
        </w:tc>
        <w:tc>
          <w:tcPr>
            <w:tcW w:w="874" w:type="dxa"/>
            <w:vMerge w:val="continue"/>
            <w:tcBorders>
              <w:tl2br w:val="nil"/>
              <w:tr2bl w:val="nil"/>
            </w:tcBorders>
            <w:shd w:val="clear" w:color="auto" w:fill="auto"/>
            <w:vAlign w:val="center"/>
          </w:tcPr>
          <w:p w14:paraId="26BEABC5">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49ECD8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焦作烈士陵园</w:t>
            </w:r>
          </w:p>
        </w:tc>
        <w:tc>
          <w:tcPr>
            <w:tcW w:w="1265" w:type="dxa"/>
            <w:tcBorders>
              <w:tl2br w:val="nil"/>
              <w:tr2bl w:val="nil"/>
            </w:tcBorders>
            <w:shd w:val="clear" w:color="auto" w:fill="auto"/>
            <w:vAlign w:val="center"/>
          </w:tcPr>
          <w:p w14:paraId="6E8D795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3D9C708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34AB817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纪念地与纪念活动场所</w:t>
            </w:r>
          </w:p>
        </w:tc>
      </w:tr>
      <w:tr w14:paraId="57F17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302121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08</w:t>
            </w:r>
          </w:p>
        </w:tc>
        <w:tc>
          <w:tcPr>
            <w:tcW w:w="874" w:type="dxa"/>
            <w:vMerge w:val="continue"/>
            <w:tcBorders>
              <w:tl2br w:val="nil"/>
              <w:tr2bl w:val="nil"/>
            </w:tcBorders>
            <w:shd w:val="clear" w:color="auto" w:fill="auto"/>
            <w:vAlign w:val="center"/>
          </w:tcPr>
          <w:p w14:paraId="04D2D05C">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6A9D24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焦作煤矿工人大罢工</w:t>
            </w:r>
          </w:p>
        </w:tc>
        <w:tc>
          <w:tcPr>
            <w:tcW w:w="1265" w:type="dxa"/>
            <w:tcBorders>
              <w:tl2br w:val="nil"/>
              <w:tr2bl w:val="nil"/>
            </w:tcBorders>
            <w:shd w:val="clear" w:color="auto" w:fill="auto"/>
            <w:vAlign w:val="center"/>
          </w:tcPr>
          <w:p w14:paraId="44AAAB5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1054BBB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人事活动记录</w:t>
            </w:r>
          </w:p>
        </w:tc>
        <w:tc>
          <w:tcPr>
            <w:tcW w:w="1614" w:type="dxa"/>
            <w:tcBorders>
              <w:tl2br w:val="nil"/>
              <w:tr2bl w:val="nil"/>
            </w:tcBorders>
            <w:shd w:val="clear" w:color="auto" w:fill="auto"/>
            <w:vAlign w:val="center"/>
          </w:tcPr>
          <w:p w14:paraId="46D5BD9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地方事件</w:t>
            </w:r>
          </w:p>
        </w:tc>
      </w:tr>
      <w:tr w14:paraId="23C2C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87D67A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09</w:t>
            </w:r>
          </w:p>
        </w:tc>
        <w:tc>
          <w:tcPr>
            <w:tcW w:w="874" w:type="dxa"/>
            <w:vMerge w:val="continue"/>
            <w:tcBorders>
              <w:tl2br w:val="nil"/>
              <w:tr2bl w:val="nil"/>
            </w:tcBorders>
            <w:shd w:val="clear" w:color="auto" w:fill="auto"/>
            <w:vAlign w:val="center"/>
          </w:tcPr>
          <w:p w14:paraId="6D79489D">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A5DA19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崔长永</w:t>
            </w:r>
          </w:p>
        </w:tc>
        <w:tc>
          <w:tcPr>
            <w:tcW w:w="1265" w:type="dxa"/>
            <w:tcBorders>
              <w:tl2br w:val="nil"/>
              <w:tr2bl w:val="nil"/>
            </w:tcBorders>
            <w:shd w:val="clear" w:color="auto" w:fill="auto"/>
            <w:vAlign w:val="center"/>
          </w:tcPr>
          <w:p w14:paraId="5B23C2B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6FA0395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人事活动记录</w:t>
            </w:r>
          </w:p>
        </w:tc>
        <w:tc>
          <w:tcPr>
            <w:tcW w:w="1614" w:type="dxa"/>
            <w:tcBorders>
              <w:tl2br w:val="nil"/>
              <w:tr2bl w:val="nil"/>
            </w:tcBorders>
            <w:shd w:val="clear" w:color="auto" w:fill="auto"/>
            <w:vAlign w:val="center"/>
          </w:tcPr>
          <w:p w14:paraId="09EF67F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地方人物</w:t>
            </w:r>
          </w:p>
        </w:tc>
      </w:tr>
      <w:tr w14:paraId="0572F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189FBE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10</w:t>
            </w:r>
          </w:p>
        </w:tc>
        <w:tc>
          <w:tcPr>
            <w:tcW w:w="874" w:type="dxa"/>
            <w:vMerge w:val="continue"/>
            <w:tcBorders>
              <w:tl2br w:val="nil"/>
              <w:tr2bl w:val="nil"/>
            </w:tcBorders>
            <w:shd w:val="clear" w:color="auto" w:fill="auto"/>
            <w:vAlign w:val="center"/>
          </w:tcPr>
          <w:p w14:paraId="536BF6D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70D2AC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焦作解放区平东里</w:t>
            </w:r>
          </w:p>
        </w:tc>
        <w:tc>
          <w:tcPr>
            <w:tcW w:w="1265" w:type="dxa"/>
            <w:tcBorders>
              <w:tl2br w:val="nil"/>
              <w:tr2bl w:val="nil"/>
            </w:tcBorders>
            <w:shd w:val="clear" w:color="auto" w:fill="auto"/>
            <w:vAlign w:val="center"/>
          </w:tcPr>
          <w:p w14:paraId="0FBFE50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198938E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2C25431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56EA2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ECAA9D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11</w:t>
            </w:r>
          </w:p>
        </w:tc>
        <w:tc>
          <w:tcPr>
            <w:tcW w:w="874" w:type="dxa"/>
            <w:vMerge w:val="continue"/>
            <w:tcBorders>
              <w:tl2br w:val="nil"/>
              <w:tr2bl w:val="nil"/>
            </w:tcBorders>
            <w:shd w:val="clear" w:color="auto" w:fill="auto"/>
            <w:vAlign w:val="center"/>
          </w:tcPr>
          <w:p w14:paraId="0E9EBC66">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9733D1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焦作南水北调天河公园解放区段</w:t>
            </w:r>
          </w:p>
        </w:tc>
        <w:tc>
          <w:tcPr>
            <w:tcW w:w="1265" w:type="dxa"/>
            <w:tcBorders>
              <w:tl2br w:val="nil"/>
              <w:tr2bl w:val="nil"/>
            </w:tcBorders>
            <w:shd w:val="clear" w:color="auto" w:fill="auto"/>
            <w:vAlign w:val="center"/>
          </w:tcPr>
          <w:p w14:paraId="57DF236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44C277E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5210F8A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4F04C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467309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12</w:t>
            </w:r>
          </w:p>
        </w:tc>
        <w:tc>
          <w:tcPr>
            <w:tcW w:w="874" w:type="dxa"/>
            <w:vMerge w:val="continue"/>
            <w:tcBorders>
              <w:tl2br w:val="nil"/>
              <w:tr2bl w:val="nil"/>
            </w:tcBorders>
            <w:shd w:val="clear" w:color="auto" w:fill="auto"/>
            <w:vAlign w:val="center"/>
          </w:tcPr>
          <w:p w14:paraId="5FA307AC">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F9D093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焦作缝山针公园森林</w:t>
            </w:r>
          </w:p>
        </w:tc>
        <w:tc>
          <w:tcPr>
            <w:tcW w:w="1265" w:type="dxa"/>
            <w:tcBorders>
              <w:tl2br w:val="nil"/>
              <w:tr2bl w:val="nil"/>
            </w:tcBorders>
            <w:shd w:val="clear" w:color="auto" w:fill="auto"/>
            <w:vAlign w:val="center"/>
          </w:tcPr>
          <w:p w14:paraId="494C569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生物景观</w:t>
            </w:r>
          </w:p>
        </w:tc>
        <w:tc>
          <w:tcPr>
            <w:tcW w:w="1241" w:type="dxa"/>
            <w:tcBorders>
              <w:tl2br w:val="nil"/>
              <w:tr2bl w:val="nil"/>
            </w:tcBorders>
            <w:shd w:val="clear" w:color="auto" w:fill="auto"/>
            <w:vAlign w:val="center"/>
          </w:tcPr>
          <w:p w14:paraId="2736B1B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植被景观</w:t>
            </w:r>
          </w:p>
        </w:tc>
        <w:tc>
          <w:tcPr>
            <w:tcW w:w="1614" w:type="dxa"/>
            <w:tcBorders>
              <w:tl2br w:val="nil"/>
              <w:tr2bl w:val="nil"/>
            </w:tcBorders>
            <w:shd w:val="clear" w:color="auto" w:fill="auto"/>
            <w:vAlign w:val="center"/>
          </w:tcPr>
          <w:p w14:paraId="443DB19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林地</w:t>
            </w:r>
          </w:p>
        </w:tc>
      </w:tr>
      <w:tr w14:paraId="60D72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35583F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13</w:t>
            </w:r>
          </w:p>
        </w:tc>
        <w:tc>
          <w:tcPr>
            <w:tcW w:w="874" w:type="dxa"/>
            <w:vMerge w:val="continue"/>
            <w:tcBorders>
              <w:tl2br w:val="nil"/>
              <w:tr2bl w:val="nil"/>
            </w:tcBorders>
            <w:shd w:val="clear" w:color="auto" w:fill="auto"/>
            <w:vAlign w:val="center"/>
          </w:tcPr>
          <w:p w14:paraId="67AE04A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785ADD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焦作国家方志馆南水北调分馆</w:t>
            </w:r>
          </w:p>
        </w:tc>
        <w:tc>
          <w:tcPr>
            <w:tcW w:w="1265" w:type="dxa"/>
            <w:tcBorders>
              <w:tl2br w:val="nil"/>
              <w:tr2bl w:val="nil"/>
            </w:tcBorders>
            <w:shd w:val="clear" w:color="auto" w:fill="auto"/>
            <w:vAlign w:val="center"/>
          </w:tcPr>
          <w:p w14:paraId="486DC15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43D0C29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2866BA2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文化活动场所</w:t>
            </w:r>
          </w:p>
        </w:tc>
      </w:tr>
      <w:tr w14:paraId="5653F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16CABB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14</w:t>
            </w:r>
          </w:p>
        </w:tc>
        <w:tc>
          <w:tcPr>
            <w:tcW w:w="874" w:type="dxa"/>
            <w:vMerge w:val="continue"/>
            <w:tcBorders>
              <w:tl2br w:val="nil"/>
              <w:tr2bl w:val="nil"/>
            </w:tcBorders>
            <w:shd w:val="clear" w:color="auto" w:fill="auto"/>
            <w:vAlign w:val="center"/>
          </w:tcPr>
          <w:p w14:paraId="7ADD7557">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14F348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焦作王忠殿事迹陈列馆</w:t>
            </w:r>
          </w:p>
        </w:tc>
        <w:tc>
          <w:tcPr>
            <w:tcW w:w="1265" w:type="dxa"/>
            <w:tcBorders>
              <w:tl2br w:val="nil"/>
              <w:tr2bl w:val="nil"/>
            </w:tcBorders>
            <w:shd w:val="clear" w:color="auto" w:fill="auto"/>
            <w:vAlign w:val="center"/>
          </w:tcPr>
          <w:p w14:paraId="27C1666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31A9261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42CE9BF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独立厅、室、馆</w:t>
            </w:r>
          </w:p>
        </w:tc>
      </w:tr>
      <w:tr w14:paraId="6DED3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646EC8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15</w:t>
            </w:r>
          </w:p>
        </w:tc>
        <w:tc>
          <w:tcPr>
            <w:tcW w:w="874" w:type="dxa"/>
            <w:vMerge w:val="continue"/>
            <w:tcBorders>
              <w:tl2br w:val="nil"/>
              <w:tr2bl w:val="nil"/>
            </w:tcBorders>
            <w:shd w:val="clear" w:color="auto" w:fill="auto"/>
            <w:vAlign w:val="center"/>
          </w:tcPr>
          <w:p w14:paraId="4F2BF4A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586EA1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河南数字动漫产业园</w:t>
            </w:r>
          </w:p>
        </w:tc>
        <w:tc>
          <w:tcPr>
            <w:tcW w:w="1265" w:type="dxa"/>
            <w:tcBorders>
              <w:tl2br w:val="nil"/>
              <w:tr2bl w:val="nil"/>
            </w:tcBorders>
            <w:shd w:val="clear" w:color="auto" w:fill="auto"/>
            <w:vAlign w:val="center"/>
          </w:tcPr>
          <w:p w14:paraId="4FFC479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097A2E1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5031C44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建设工程与生产地</w:t>
            </w:r>
          </w:p>
        </w:tc>
      </w:tr>
      <w:tr w14:paraId="2BF16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5FB434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16</w:t>
            </w:r>
          </w:p>
        </w:tc>
        <w:tc>
          <w:tcPr>
            <w:tcW w:w="874" w:type="dxa"/>
            <w:vMerge w:val="continue"/>
            <w:tcBorders>
              <w:tl2br w:val="nil"/>
              <w:tr2bl w:val="nil"/>
            </w:tcBorders>
            <w:shd w:val="clear" w:color="auto" w:fill="auto"/>
            <w:vAlign w:val="center"/>
          </w:tcPr>
          <w:p w14:paraId="0EB4F8C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F17D4F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焦作怀庆老董家酒楼</w:t>
            </w:r>
          </w:p>
        </w:tc>
        <w:tc>
          <w:tcPr>
            <w:tcW w:w="1265" w:type="dxa"/>
            <w:tcBorders>
              <w:tl2br w:val="nil"/>
              <w:tr2bl w:val="nil"/>
            </w:tcBorders>
            <w:shd w:val="clear" w:color="auto" w:fill="auto"/>
            <w:vAlign w:val="center"/>
          </w:tcPr>
          <w:p w14:paraId="366C3EF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571DAFA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448C563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特色店铺</w:t>
            </w:r>
          </w:p>
        </w:tc>
      </w:tr>
      <w:tr w14:paraId="2DFA7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953430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17</w:t>
            </w:r>
          </w:p>
        </w:tc>
        <w:tc>
          <w:tcPr>
            <w:tcW w:w="874" w:type="dxa"/>
            <w:vMerge w:val="continue"/>
            <w:tcBorders>
              <w:tl2br w:val="nil"/>
              <w:tr2bl w:val="nil"/>
            </w:tcBorders>
            <w:shd w:val="clear" w:color="auto" w:fill="auto"/>
            <w:vAlign w:val="center"/>
          </w:tcPr>
          <w:p w14:paraId="1FA47C15">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174B82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焦作月季花园酒店</w:t>
            </w:r>
          </w:p>
        </w:tc>
        <w:tc>
          <w:tcPr>
            <w:tcW w:w="1265" w:type="dxa"/>
            <w:tcBorders>
              <w:tl2br w:val="nil"/>
              <w:tr2bl w:val="nil"/>
            </w:tcBorders>
            <w:shd w:val="clear" w:color="auto" w:fill="auto"/>
            <w:vAlign w:val="center"/>
          </w:tcPr>
          <w:p w14:paraId="6ADFE2E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7330A92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73AE6CE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089A0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CEF6D4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18</w:t>
            </w:r>
          </w:p>
        </w:tc>
        <w:tc>
          <w:tcPr>
            <w:tcW w:w="874" w:type="dxa"/>
            <w:vMerge w:val="continue"/>
            <w:tcBorders>
              <w:tl2br w:val="nil"/>
              <w:tr2bl w:val="nil"/>
            </w:tcBorders>
            <w:shd w:val="clear" w:color="auto" w:fill="auto"/>
            <w:vAlign w:val="center"/>
          </w:tcPr>
          <w:p w14:paraId="16667552">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D5F236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焦作猫岔民俗村</w:t>
            </w:r>
          </w:p>
        </w:tc>
        <w:tc>
          <w:tcPr>
            <w:tcW w:w="1265" w:type="dxa"/>
            <w:tcBorders>
              <w:tl2br w:val="nil"/>
              <w:tr2bl w:val="nil"/>
            </w:tcBorders>
            <w:shd w:val="clear" w:color="auto" w:fill="auto"/>
            <w:vAlign w:val="center"/>
          </w:tcPr>
          <w:p w14:paraId="2225CE7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3CD5CBC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0F44036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0B933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0586F4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19</w:t>
            </w:r>
          </w:p>
        </w:tc>
        <w:tc>
          <w:tcPr>
            <w:tcW w:w="874" w:type="dxa"/>
            <w:vMerge w:val="continue"/>
            <w:tcBorders>
              <w:tl2br w:val="nil"/>
              <w:tr2bl w:val="nil"/>
            </w:tcBorders>
            <w:shd w:val="clear" w:color="auto" w:fill="auto"/>
            <w:vAlign w:val="center"/>
          </w:tcPr>
          <w:p w14:paraId="4295D347">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1BC4BF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焦作道清铁路遗址</w:t>
            </w:r>
          </w:p>
        </w:tc>
        <w:tc>
          <w:tcPr>
            <w:tcW w:w="1265" w:type="dxa"/>
            <w:tcBorders>
              <w:tl2br w:val="nil"/>
              <w:tr2bl w:val="nil"/>
            </w:tcBorders>
            <w:shd w:val="clear" w:color="auto" w:fill="auto"/>
            <w:vAlign w:val="center"/>
          </w:tcPr>
          <w:p w14:paraId="61076D2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1A25AB1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103810F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20055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786219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20</w:t>
            </w:r>
          </w:p>
        </w:tc>
        <w:tc>
          <w:tcPr>
            <w:tcW w:w="874" w:type="dxa"/>
            <w:vMerge w:val="continue"/>
            <w:tcBorders>
              <w:tl2br w:val="nil"/>
              <w:tr2bl w:val="nil"/>
            </w:tcBorders>
            <w:shd w:val="clear" w:color="auto" w:fill="auto"/>
            <w:vAlign w:val="center"/>
          </w:tcPr>
          <w:p w14:paraId="7D74010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0D10BE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焦作英福公司电工房旧址</w:t>
            </w:r>
          </w:p>
        </w:tc>
        <w:tc>
          <w:tcPr>
            <w:tcW w:w="1265" w:type="dxa"/>
            <w:tcBorders>
              <w:tl2br w:val="nil"/>
              <w:tr2bl w:val="nil"/>
            </w:tcBorders>
            <w:shd w:val="clear" w:color="auto" w:fill="auto"/>
            <w:vAlign w:val="center"/>
          </w:tcPr>
          <w:p w14:paraId="32A48C7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652D34B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3948EA6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2CB74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D14C3E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21</w:t>
            </w:r>
          </w:p>
        </w:tc>
        <w:tc>
          <w:tcPr>
            <w:tcW w:w="874" w:type="dxa"/>
            <w:vMerge w:val="continue"/>
            <w:tcBorders>
              <w:tl2br w:val="nil"/>
              <w:tr2bl w:val="nil"/>
            </w:tcBorders>
            <w:shd w:val="clear" w:color="auto" w:fill="auto"/>
            <w:vAlign w:val="center"/>
          </w:tcPr>
          <w:p w14:paraId="115058E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76E570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焦作英福公司发电机房旧址</w:t>
            </w:r>
          </w:p>
        </w:tc>
        <w:tc>
          <w:tcPr>
            <w:tcW w:w="1265" w:type="dxa"/>
            <w:tcBorders>
              <w:tl2br w:val="nil"/>
              <w:tr2bl w:val="nil"/>
            </w:tcBorders>
            <w:shd w:val="clear" w:color="auto" w:fill="auto"/>
            <w:vAlign w:val="center"/>
          </w:tcPr>
          <w:p w14:paraId="7C05CF2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5ECF258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7E0C8BB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27E6D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F8AC7B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22</w:t>
            </w:r>
          </w:p>
        </w:tc>
        <w:tc>
          <w:tcPr>
            <w:tcW w:w="874" w:type="dxa"/>
            <w:vMerge w:val="continue"/>
            <w:tcBorders>
              <w:tl2br w:val="nil"/>
              <w:tr2bl w:val="nil"/>
            </w:tcBorders>
            <w:shd w:val="clear" w:color="auto" w:fill="auto"/>
            <w:vAlign w:val="center"/>
          </w:tcPr>
          <w:p w14:paraId="25743B0C">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927625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焦作英福公司3号井井台、井架旧址</w:t>
            </w:r>
          </w:p>
        </w:tc>
        <w:tc>
          <w:tcPr>
            <w:tcW w:w="1265" w:type="dxa"/>
            <w:tcBorders>
              <w:tl2br w:val="nil"/>
              <w:tr2bl w:val="nil"/>
            </w:tcBorders>
            <w:shd w:val="clear" w:color="auto" w:fill="auto"/>
            <w:vAlign w:val="center"/>
          </w:tcPr>
          <w:p w14:paraId="2E8F278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1B05BF7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6301BD2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7A0C2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5F7990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23</w:t>
            </w:r>
          </w:p>
        </w:tc>
        <w:tc>
          <w:tcPr>
            <w:tcW w:w="874" w:type="dxa"/>
            <w:vMerge w:val="continue"/>
            <w:tcBorders>
              <w:tl2br w:val="nil"/>
              <w:tr2bl w:val="nil"/>
            </w:tcBorders>
            <w:shd w:val="clear" w:color="auto" w:fill="auto"/>
            <w:vAlign w:val="center"/>
          </w:tcPr>
          <w:p w14:paraId="47697253">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1F6229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焦作英福公司1、2号井井台、井架旧址</w:t>
            </w:r>
          </w:p>
        </w:tc>
        <w:tc>
          <w:tcPr>
            <w:tcW w:w="1265" w:type="dxa"/>
            <w:tcBorders>
              <w:tl2br w:val="nil"/>
              <w:tr2bl w:val="nil"/>
            </w:tcBorders>
            <w:shd w:val="clear" w:color="auto" w:fill="auto"/>
            <w:vAlign w:val="center"/>
          </w:tcPr>
          <w:p w14:paraId="7D4006E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62E2F68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18FCE0D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02569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7543BF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24</w:t>
            </w:r>
          </w:p>
        </w:tc>
        <w:tc>
          <w:tcPr>
            <w:tcW w:w="874" w:type="dxa"/>
            <w:vMerge w:val="continue"/>
            <w:tcBorders>
              <w:tl2br w:val="nil"/>
              <w:tr2bl w:val="nil"/>
            </w:tcBorders>
            <w:shd w:val="clear" w:color="auto" w:fill="auto"/>
            <w:vAlign w:val="center"/>
          </w:tcPr>
          <w:p w14:paraId="76C2401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EB1075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焦作英福公司职员住宅旧址</w:t>
            </w:r>
          </w:p>
        </w:tc>
        <w:tc>
          <w:tcPr>
            <w:tcW w:w="1265" w:type="dxa"/>
            <w:tcBorders>
              <w:tl2br w:val="nil"/>
              <w:tr2bl w:val="nil"/>
            </w:tcBorders>
            <w:shd w:val="clear" w:color="auto" w:fill="auto"/>
            <w:vAlign w:val="center"/>
          </w:tcPr>
          <w:p w14:paraId="068533F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67C834C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06AB956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2E56F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7D6D54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25</w:t>
            </w:r>
          </w:p>
        </w:tc>
        <w:tc>
          <w:tcPr>
            <w:tcW w:w="874" w:type="dxa"/>
            <w:vMerge w:val="continue"/>
            <w:tcBorders>
              <w:tl2br w:val="nil"/>
              <w:tr2bl w:val="nil"/>
            </w:tcBorders>
            <w:shd w:val="clear" w:color="auto" w:fill="auto"/>
            <w:vAlign w:val="center"/>
          </w:tcPr>
          <w:p w14:paraId="5728CF70">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91599E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焦作英福公司钱庄旧址</w:t>
            </w:r>
          </w:p>
        </w:tc>
        <w:tc>
          <w:tcPr>
            <w:tcW w:w="1265" w:type="dxa"/>
            <w:tcBorders>
              <w:tl2br w:val="nil"/>
              <w:tr2bl w:val="nil"/>
            </w:tcBorders>
            <w:shd w:val="clear" w:color="auto" w:fill="auto"/>
            <w:vAlign w:val="center"/>
          </w:tcPr>
          <w:p w14:paraId="578FFD1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03047AB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22FD3C6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50E9F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96D863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26</w:t>
            </w:r>
          </w:p>
        </w:tc>
        <w:tc>
          <w:tcPr>
            <w:tcW w:w="874" w:type="dxa"/>
            <w:vMerge w:val="continue"/>
            <w:tcBorders>
              <w:tl2br w:val="nil"/>
              <w:tr2bl w:val="nil"/>
            </w:tcBorders>
            <w:shd w:val="clear" w:color="auto" w:fill="auto"/>
            <w:vAlign w:val="center"/>
          </w:tcPr>
          <w:p w14:paraId="7BAA89C8">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9036F6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焦作私立焦作工学院工程馆旧址</w:t>
            </w:r>
          </w:p>
        </w:tc>
        <w:tc>
          <w:tcPr>
            <w:tcW w:w="1265" w:type="dxa"/>
            <w:tcBorders>
              <w:tl2br w:val="nil"/>
              <w:tr2bl w:val="nil"/>
            </w:tcBorders>
            <w:shd w:val="clear" w:color="auto" w:fill="auto"/>
            <w:vAlign w:val="center"/>
          </w:tcPr>
          <w:p w14:paraId="3BFA0AC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2F23F88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1349CB5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56E8D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E364E0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27</w:t>
            </w:r>
          </w:p>
        </w:tc>
        <w:tc>
          <w:tcPr>
            <w:tcW w:w="874" w:type="dxa"/>
            <w:vMerge w:val="continue"/>
            <w:tcBorders>
              <w:tl2br w:val="nil"/>
              <w:tr2bl w:val="nil"/>
            </w:tcBorders>
            <w:shd w:val="clear" w:color="auto" w:fill="auto"/>
            <w:vAlign w:val="center"/>
          </w:tcPr>
          <w:p w14:paraId="2E948B86">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5E31C8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焦作英福公司总办事处旧址</w:t>
            </w:r>
          </w:p>
        </w:tc>
        <w:tc>
          <w:tcPr>
            <w:tcW w:w="1265" w:type="dxa"/>
            <w:tcBorders>
              <w:tl2br w:val="nil"/>
              <w:tr2bl w:val="nil"/>
            </w:tcBorders>
            <w:shd w:val="clear" w:color="auto" w:fill="auto"/>
            <w:vAlign w:val="center"/>
          </w:tcPr>
          <w:p w14:paraId="630F9EA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4EEDA14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56BFE53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7DC0F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0293B5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28</w:t>
            </w:r>
          </w:p>
        </w:tc>
        <w:tc>
          <w:tcPr>
            <w:tcW w:w="874" w:type="dxa"/>
            <w:vMerge w:val="continue"/>
            <w:tcBorders>
              <w:tl2br w:val="nil"/>
              <w:tr2bl w:val="nil"/>
            </w:tcBorders>
            <w:shd w:val="clear" w:color="auto" w:fill="auto"/>
            <w:vAlign w:val="center"/>
          </w:tcPr>
          <w:p w14:paraId="6CF37713">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6804DA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焦作英福公司医院旧址</w:t>
            </w:r>
          </w:p>
        </w:tc>
        <w:tc>
          <w:tcPr>
            <w:tcW w:w="1265" w:type="dxa"/>
            <w:tcBorders>
              <w:tl2br w:val="nil"/>
              <w:tr2bl w:val="nil"/>
            </w:tcBorders>
            <w:shd w:val="clear" w:color="auto" w:fill="auto"/>
            <w:vAlign w:val="center"/>
          </w:tcPr>
          <w:p w14:paraId="266C8D2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7F13931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462B0CE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04D0C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4BC67F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29</w:t>
            </w:r>
          </w:p>
        </w:tc>
        <w:tc>
          <w:tcPr>
            <w:tcW w:w="874" w:type="dxa"/>
            <w:vMerge w:val="continue"/>
            <w:tcBorders>
              <w:tl2br w:val="nil"/>
              <w:tr2bl w:val="nil"/>
            </w:tcBorders>
            <w:shd w:val="clear" w:color="auto" w:fill="auto"/>
            <w:vAlign w:val="center"/>
          </w:tcPr>
          <w:p w14:paraId="3B3E6792">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D443C0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焦作煤矿工人罢工指挥部旧址</w:t>
            </w:r>
          </w:p>
        </w:tc>
        <w:tc>
          <w:tcPr>
            <w:tcW w:w="1265" w:type="dxa"/>
            <w:tcBorders>
              <w:tl2br w:val="nil"/>
              <w:tr2bl w:val="nil"/>
            </w:tcBorders>
            <w:shd w:val="clear" w:color="auto" w:fill="auto"/>
            <w:vAlign w:val="center"/>
          </w:tcPr>
          <w:p w14:paraId="700A73C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16FDA2D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6A350C9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6946A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C8299A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30</w:t>
            </w:r>
          </w:p>
        </w:tc>
        <w:tc>
          <w:tcPr>
            <w:tcW w:w="874" w:type="dxa"/>
            <w:vMerge w:val="continue"/>
            <w:tcBorders>
              <w:tl2br w:val="nil"/>
              <w:tr2bl w:val="nil"/>
            </w:tcBorders>
            <w:shd w:val="clear" w:color="auto" w:fill="auto"/>
            <w:vAlign w:val="center"/>
          </w:tcPr>
          <w:p w14:paraId="0745F05C">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82F991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焦作市森林动物园</w:t>
            </w:r>
          </w:p>
        </w:tc>
        <w:tc>
          <w:tcPr>
            <w:tcW w:w="1265" w:type="dxa"/>
            <w:tcBorders>
              <w:tl2br w:val="nil"/>
              <w:tr2bl w:val="nil"/>
            </w:tcBorders>
            <w:shd w:val="clear" w:color="auto" w:fill="auto"/>
            <w:vAlign w:val="center"/>
          </w:tcPr>
          <w:p w14:paraId="719ABF9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1A14B59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42B593D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34EB3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B26F2D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31</w:t>
            </w:r>
          </w:p>
        </w:tc>
        <w:tc>
          <w:tcPr>
            <w:tcW w:w="874" w:type="dxa"/>
            <w:vMerge w:val="continue"/>
            <w:tcBorders>
              <w:tl2br w:val="nil"/>
              <w:tr2bl w:val="nil"/>
            </w:tcBorders>
            <w:shd w:val="clear" w:color="auto" w:fill="auto"/>
            <w:vAlign w:val="center"/>
          </w:tcPr>
          <w:p w14:paraId="24E7CF43">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1403F2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军调处新乡执行小组焦作谈判旧址</w:t>
            </w:r>
          </w:p>
        </w:tc>
        <w:tc>
          <w:tcPr>
            <w:tcW w:w="1265" w:type="dxa"/>
            <w:tcBorders>
              <w:tl2br w:val="nil"/>
              <w:tr2bl w:val="nil"/>
            </w:tcBorders>
            <w:shd w:val="clear" w:color="auto" w:fill="auto"/>
            <w:vAlign w:val="center"/>
          </w:tcPr>
          <w:p w14:paraId="60E6927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26C237C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7CC0FA8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2C395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3D343C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32</w:t>
            </w:r>
          </w:p>
        </w:tc>
        <w:tc>
          <w:tcPr>
            <w:tcW w:w="874" w:type="dxa"/>
            <w:vMerge w:val="continue"/>
            <w:tcBorders>
              <w:tl2br w:val="nil"/>
              <w:tr2bl w:val="nil"/>
            </w:tcBorders>
            <w:shd w:val="clear" w:color="auto" w:fill="auto"/>
            <w:vAlign w:val="center"/>
          </w:tcPr>
          <w:p w14:paraId="7523D1C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DB23E8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焦作四大怀药膳食</w:t>
            </w:r>
          </w:p>
        </w:tc>
        <w:tc>
          <w:tcPr>
            <w:tcW w:w="1265" w:type="dxa"/>
            <w:tcBorders>
              <w:tl2br w:val="nil"/>
              <w:tr2bl w:val="nil"/>
            </w:tcBorders>
            <w:shd w:val="clear" w:color="auto" w:fill="auto"/>
            <w:vAlign w:val="center"/>
          </w:tcPr>
          <w:p w14:paraId="512A117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6DF9D22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特色饮食</w:t>
            </w:r>
          </w:p>
        </w:tc>
        <w:tc>
          <w:tcPr>
            <w:tcW w:w="1614" w:type="dxa"/>
            <w:tcBorders>
              <w:tl2br w:val="nil"/>
              <w:tr2bl w:val="nil"/>
            </w:tcBorders>
            <w:shd w:val="clear" w:color="auto" w:fill="auto"/>
            <w:vAlign w:val="center"/>
          </w:tcPr>
          <w:p w14:paraId="6B75D47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特色美食</w:t>
            </w:r>
          </w:p>
        </w:tc>
      </w:tr>
      <w:tr w14:paraId="33E41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135BA0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33</w:t>
            </w:r>
          </w:p>
        </w:tc>
        <w:tc>
          <w:tcPr>
            <w:tcW w:w="874" w:type="dxa"/>
            <w:vMerge w:val="continue"/>
            <w:tcBorders>
              <w:tl2br w:val="nil"/>
              <w:tr2bl w:val="nil"/>
            </w:tcBorders>
            <w:shd w:val="clear" w:color="auto" w:fill="auto"/>
            <w:vAlign w:val="center"/>
          </w:tcPr>
          <w:p w14:paraId="3C13C8D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166D67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焦作卢氏两儀拳</w:t>
            </w:r>
          </w:p>
        </w:tc>
        <w:tc>
          <w:tcPr>
            <w:tcW w:w="1265" w:type="dxa"/>
            <w:tcBorders>
              <w:tl2br w:val="nil"/>
              <w:tr2bl w:val="nil"/>
            </w:tcBorders>
            <w:shd w:val="clear" w:color="auto" w:fill="auto"/>
            <w:vAlign w:val="center"/>
          </w:tcPr>
          <w:p w14:paraId="0AE6850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307A6E4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非物质类文化遗存</w:t>
            </w:r>
          </w:p>
        </w:tc>
        <w:tc>
          <w:tcPr>
            <w:tcW w:w="1614" w:type="dxa"/>
            <w:tcBorders>
              <w:tl2br w:val="nil"/>
              <w:tr2bl w:val="nil"/>
            </w:tcBorders>
            <w:shd w:val="clear" w:color="auto" w:fill="auto"/>
            <w:vAlign w:val="center"/>
          </w:tcPr>
          <w:p w14:paraId="37BA663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传统武术</w:t>
            </w:r>
          </w:p>
        </w:tc>
      </w:tr>
      <w:tr w14:paraId="102F7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DB7851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w:t>
            </w:r>
          </w:p>
        </w:tc>
        <w:tc>
          <w:tcPr>
            <w:tcW w:w="874" w:type="dxa"/>
            <w:vMerge w:val="continue"/>
            <w:tcBorders>
              <w:tl2br w:val="nil"/>
              <w:tr2bl w:val="nil"/>
            </w:tcBorders>
            <w:shd w:val="clear" w:color="auto" w:fill="auto"/>
            <w:vAlign w:val="center"/>
          </w:tcPr>
          <w:p w14:paraId="73011D02">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26F1A6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焦作云氏小儿化积散</w:t>
            </w:r>
          </w:p>
        </w:tc>
        <w:tc>
          <w:tcPr>
            <w:tcW w:w="1265" w:type="dxa"/>
            <w:tcBorders>
              <w:tl2br w:val="nil"/>
              <w:tr2bl w:val="nil"/>
            </w:tcBorders>
            <w:shd w:val="clear" w:color="auto" w:fill="auto"/>
            <w:vAlign w:val="center"/>
          </w:tcPr>
          <w:p w14:paraId="5540464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4DC3CCE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非物质类文化遗存</w:t>
            </w:r>
          </w:p>
        </w:tc>
        <w:tc>
          <w:tcPr>
            <w:tcW w:w="1614" w:type="dxa"/>
            <w:tcBorders>
              <w:tl2br w:val="nil"/>
              <w:tr2bl w:val="nil"/>
            </w:tcBorders>
            <w:shd w:val="clear" w:color="auto" w:fill="auto"/>
            <w:vAlign w:val="center"/>
          </w:tcPr>
          <w:p w14:paraId="00FD9D8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传统医药</w:t>
            </w:r>
          </w:p>
        </w:tc>
      </w:tr>
      <w:tr w14:paraId="1FD46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B59A63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35</w:t>
            </w:r>
          </w:p>
        </w:tc>
        <w:tc>
          <w:tcPr>
            <w:tcW w:w="874" w:type="dxa"/>
            <w:vMerge w:val="continue"/>
            <w:tcBorders>
              <w:tl2br w:val="nil"/>
              <w:tr2bl w:val="nil"/>
            </w:tcBorders>
            <w:shd w:val="clear" w:color="auto" w:fill="auto"/>
            <w:vAlign w:val="center"/>
          </w:tcPr>
          <w:p w14:paraId="42380EF2">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434096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河南坠子</w:t>
            </w:r>
          </w:p>
        </w:tc>
        <w:tc>
          <w:tcPr>
            <w:tcW w:w="1265" w:type="dxa"/>
            <w:tcBorders>
              <w:tl2br w:val="nil"/>
              <w:tr2bl w:val="nil"/>
            </w:tcBorders>
            <w:shd w:val="clear" w:color="auto" w:fill="auto"/>
            <w:vAlign w:val="center"/>
          </w:tcPr>
          <w:p w14:paraId="5E6EFB0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3079310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非物质类文化遗存</w:t>
            </w:r>
          </w:p>
        </w:tc>
        <w:tc>
          <w:tcPr>
            <w:tcW w:w="1614" w:type="dxa"/>
            <w:tcBorders>
              <w:tl2br w:val="nil"/>
              <w:tr2bl w:val="nil"/>
            </w:tcBorders>
            <w:shd w:val="clear" w:color="auto" w:fill="auto"/>
            <w:vAlign w:val="center"/>
          </w:tcPr>
          <w:p w14:paraId="1CDF494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传统演艺</w:t>
            </w:r>
          </w:p>
        </w:tc>
      </w:tr>
      <w:tr w14:paraId="0AFB7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48143A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w:t>
            </w:r>
          </w:p>
        </w:tc>
        <w:tc>
          <w:tcPr>
            <w:tcW w:w="874" w:type="dxa"/>
            <w:vMerge w:val="continue"/>
            <w:tcBorders>
              <w:tl2br w:val="nil"/>
              <w:tr2bl w:val="nil"/>
            </w:tcBorders>
            <w:shd w:val="clear" w:color="auto" w:fill="auto"/>
            <w:vAlign w:val="center"/>
          </w:tcPr>
          <w:p w14:paraId="5A092E82">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54A593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焦作小蜗牛文化旅游休闲街区</w:t>
            </w:r>
          </w:p>
        </w:tc>
        <w:tc>
          <w:tcPr>
            <w:tcW w:w="1265" w:type="dxa"/>
            <w:tcBorders>
              <w:tl2br w:val="nil"/>
              <w:tr2bl w:val="nil"/>
            </w:tcBorders>
            <w:shd w:val="clear" w:color="auto" w:fill="auto"/>
            <w:vAlign w:val="center"/>
          </w:tcPr>
          <w:p w14:paraId="2C97E73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52DFF03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3A261A9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特色街区</w:t>
            </w:r>
          </w:p>
        </w:tc>
      </w:tr>
      <w:tr w14:paraId="6D19B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07E38D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37</w:t>
            </w:r>
          </w:p>
        </w:tc>
        <w:tc>
          <w:tcPr>
            <w:tcW w:w="874" w:type="dxa"/>
            <w:vMerge w:val="continue"/>
            <w:tcBorders>
              <w:tl2br w:val="nil"/>
              <w:tr2bl w:val="nil"/>
            </w:tcBorders>
            <w:shd w:val="clear" w:color="auto" w:fill="auto"/>
            <w:vAlign w:val="center"/>
          </w:tcPr>
          <w:p w14:paraId="0B61C507">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23EECD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焦作太极庄四大怀药</w:t>
            </w:r>
          </w:p>
        </w:tc>
        <w:tc>
          <w:tcPr>
            <w:tcW w:w="1265" w:type="dxa"/>
            <w:tcBorders>
              <w:tl2br w:val="nil"/>
              <w:tr2bl w:val="nil"/>
            </w:tcBorders>
            <w:shd w:val="clear" w:color="auto" w:fill="auto"/>
            <w:vAlign w:val="center"/>
          </w:tcPr>
          <w:p w14:paraId="1301ED4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55DFF6E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农业产品</w:t>
            </w:r>
          </w:p>
        </w:tc>
        <w:tc>
          <w:tcPr>
            <w:tcW w:w="1614" w:type="dxa"/>
            <w:tcBorders>
              <w:tl2br w:val="nil"/>
              <w:tr2bl w:val="nil"/>
            </w:tcBorders>
            <w:shd w:val="clear" w:color="auto" w:fill="auto"/>
            <w:vAlign w:val="center"/>
          </w:tcPr>
          <w:p w14:paraId="6B1C976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种植业产品及制品</w:t>
            </w:r>
          </w:p>
        </w:tc>
      </w:tr>
      <w:tr w14:paraId="0CFA8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DFB394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38</w:t>
            </w:r>
          </w:p>
        </w:tc>
        <w:tc>
          <w:tcPr>
            <w:tcW w:w="874" w:type="dxa"/>
            <w:vMerge w:val="continue"/>
            <w:tcBorders>
              <w:tl2br w:val="nil"/>
              <w:tr2bl w:val="nil"/>
            </w:tcBorders>
            <w:shd w:val="clear" w:color="auto" w:fill="auto"/>
            <w:vAlign w:val="center"/>
          </w:tcPr>
          <w:p w14:paraId="6D22F1E8">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80750E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焦作解放区云氏针灸</w:t>
            </w:r>
          </w:p>
        </w:tc>
        <w:tc>
          <w:tcPr>
            <w:tcW w:w="1265" w:type="dxa"/>
            <w:tcBorders>
              <w:tl2br w:val="nil"/>
              <w:tr2bl w:val="nil"/>
            </w:tcBorders>
            <w:shd w:val="clear" w:color="auto" w:fill="auto"/>
            <w:vAlign w:val="center"/>
          </w:tcPr>
          <w:p w14:paraId="6AF3A1F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479AB6B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非物质类文化遗存</w:t>
            </w:r>
          </w:p>
        </w:tc>
        <w:tc>
          <w:tcPr>
            <w:tcW w:w="1614" w:type="dxa"/>
            <w:tcBorders>
              <w:tl2br w:val="nil"/>
              <w:tr2bl w:val="nil"/>
            </w:tcBorders>
            <w:shd w:val="clear" w:color="auto" w:fill="auto"/>
            <w:vAlign w:val="center"/>
          </w:tcPr>
          <w:p w14:paraId="1406A91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传统医药</w:t>
            </w:r>
          </w:p>
        </w:tc>
      </w:tr>
      <w:tr w14:paraId="291B6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DAE0BC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39</w:t>
            </w:r>
          </w:p>
        </w:tc>
        <w:tc>
          <w:tcPr>
            <w:tcW w:w="874" w:type="dxa"/>
            <w:vMerge w:val="continue"/>
            <w:tcBorders>
              <w:tl2br w:val="nil"/>
              <w:tr2bl w:val="nil"/>
            </w:tcBorders>
            <w:shd w:val="clear" w:color="auto" w:fill="auto"/>
            <w:vAlign w:val="center"/>
          </w:tcPr>
          <w:p w14:paraId="098D7E09">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89DED4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焦作老董家全驴宴</w:t>
            </w:r>
          </w:p>
        </w:tc>
        <w:tc>
          <w:tcPr>
            <w:tcW w:w="1265" w:type="dxa"/>
            <w:tcBorders>
              <w:tl2br w:val="nil"/>
              <w:tr2bl w:val="nil"/>
            </w:tcBorders>
            <w:shd w:val="clear" w:color="auto" w:fill="auto"/>
            <w:vAlign w:val="center"/>
          </w:tcPr>
          <w:p w14:paraId="2EB2865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13920F1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特色饮食</w:t>
            </w:r>
          </w:p>
        </w:tc>
        <w:tc>
          <w:tcPr>
            <w:tcW w:w="1614" w:type="dxa"/>
            <w:tcBorders>
              <w:tl2br w:val="nil"/>
              <w:tr2bl w:val="nil"/>
            </w:tcBorders>
            <w:shd w:val="clear" w:color="auto" w:fill="auto"/>
            <w:vAlign w:val="center"/>
          </w:tcPr>
          <w:p w14:paraId="4F33ABB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特色美食</w:t>
            </w:r>
          </w:p>
        </w:tc>
      </w:tr>
      <w:tr w14:paraId="0EDF5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9325ED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40</w:t>
            </w:r>
          </w:p>
        </w:tc>
        <w:tc>
          <w:tcPr>
            <w:tcW w:w="874" w:type="dxa"/>
            <w:vMerge w:val="continue"/>
            <w:tcBorders>
              <w:tl2br w:val="nil"/>
              <w:tr2bl w:val="nil"/>
            </w:tcBorders>
            <w:shd w:val="clear" w:color="auto" w:fill="auto"/>
            <w:vAlign w:val="center"/>
          </w:tcPr>
          <w:p w14:paraId="61968DB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E82ADB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焦作龙佰国际康养城</w:t>
            </w:r>
          </w:p>
        </w:tc>
        <w:tc>
          <w:tcPr>
            <w:tcW w:w="1265" w:type="dxa"/>
            <w:tcBorders>
              <w:tl2br w:val="nil"/>
              <w:tr2bl w:val="nil"/>
            </w:tcBorders>
            <w:shd w:val="clear" w:color="auto" w:fill="auto"/>
            <w:vAlign w:val="center"/>
          </w:tcPr>
          <w:p w14:paraId="430FBA5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5A024A0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53617FA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2726C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CB8197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41</w:t>
            </w:r>
          </w:p>
        </w:tc>
        <w:tc>
          <w:tcPr>
            <w:tcW w:w="874" w:type="dxa"/>
            <w:vMerge w:val="continue"/>
            <w:tcBorders>
              <w:tl2br w:val="nil"/>
              <w:tr2bl w:val="nil"/>
            </w:tcBorders>
            <w:shd w:val="clear" w:color="auto" w:fill="auto"/>
            <w:vAlign w:val="center"/>
          </w:tcPr>
          <w:p w14:paraId="4535459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A14270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当阳峪绞胎瓷</w:t>
            </w:r>
          </w:p>
        </w:tc>
        <w:tc>
          <w:tcPr>
            <w:tcW w:w="1265" w:type="dxa"/>
            <w:tcBorders>
              <w:tl2br w:val="nil"/>
              <w:tr2bl w:val="nil"/>
            </w:tcBorders>
            <w:shd w:val="clear" w:color="auto" w:fill="auto"/>
            <w:vAlign w:val="center"/>
          </w:tcPr>
          <w:p w14:paraId="1E74868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7BE21AC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手工工艺品</w:t>
            </w:r>
          </w:p>
        </w:tc>
        <w:tc>
          <w:tcPr>
            <w:tcW w:w="1614" w:type="dxa"/>
            <w:tcBorders>
              <w:tl2br w:val="nil"/>
              <w:tr2bl w:val="nil"/>
            </w:tcBorders>
            <w:shd w:val="clear" w:color="auto" w:fill="auto"/>
            <w:vAlign w:val="center"/>
          </w:tcPr>
          <w:p w14:paraId="5306C31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陶瓷</w:t>
            </w:r>
          </w:p>
        </w:tc>
      </w:tr>
      <w:tr w14:paraId="6B4EC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132AF6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42</w:t>
            </w:r>
          </w:p>
        </w:tc>
        <w:tc>
          <w:tcPr>
            <w:tcW w:w="874" w:type="dxa"/>
            <w:vMerge w:val="continue"/>
            <w:tcBorders>
              <w:tl2br w:val="nil"/>
              <w:tr2bl w:val="nil"/>
            </w:tcBorders>
            <w:shd w:val="clear" w:color="auto" w:fill="auto"/>
            <w:vAlign w:val="center"/>
          </w:tcPr>
          <w:p w14:paraId="2C4F805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D2F077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焦作老董家闹汤驴肉</w:t>
            </w:r>
          </w:p>
        </w:tc>
        <w:tc>
          <w:tcPr>
            <w:tcW w:w="1265" w:type="dxa"/>
            <w:tcBorders>
              <w:tl2br w:val="nil"/>
              <w:tr2bl w:val="nil"/>
            </w:tcBorders>
            <w:shd w:val="clear" w:color="auto" w:fill="auto"/>
            <w:vAlign w:val="center"/>
          </w:tcPr>
          <w:p w14:paraId="1D994D0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514E63F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特色饮食</w:t>
            </w:r>
          </w:p>
        </w:tc>
        <w:tc>
          <w:tcPr>
            <w:tcW w:w="1614" w:type="dxa"/>
            <w:tcBorders>
              <w:tl2br w:val="nil"/>
              <w:tr2bl w:val="nil"/>
            </w:tcBorders>
            <w:shd w:val="clear" w:color="auto" w:fill="auto"/>
            <w:vAlign w:val="center"/>
          </w:tcPr>
          <w:p w14:paraId="3CEF3B6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特色美食</w:t>
            </w:r>
          </w:p>
        </w:tc>
      </w:tr>
      <w:tr w14:paraId="18EAC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3B6F28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43</w:t>
            </w:r>
          </w:p>
        </w:tc>
        <w:tc>
          <w:tcPr>
            <w:tcW w:w="874" w:type="dxa"/>
            <w:vMerge w:val="continue"/>
            <w:tcBorders>
              <w:tl2br w:val="nil"/>
              <w:tr2bl w:val="nil"/>
            </w:tcBorders>
            <w:shd w:val="clear" w:color="auto" w:fill="auto"/>
            <w:vAlign w:val="center"/>
          </w:tcPr>
          <w:p w14:paraId="6D34AD42">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26BE8C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焦作·国际首创高塔实景演出</w:t>
            </w:r>
          </w:p>
        </w:tc>
        <w:tc>
          <w:tcPr>
            <w:tcW w:w="1265" w:type="dxa"/>
            <w:tcBorders>
              <w:tl2br w:val="nil"/>
              <w:tr2bl w:val="nil"/>
            </w:tcBorders>
            <w:shd w:val="clear" w:color="auto" w:fill="auto"/>
            <w:vAlign w:val="center"/>
          </w:tcPr>
          <w:p w14:paraId="57664B2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6B9CF05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文艺活动</w:t>
            </w:r>
          </w:p>
        </w:tc>
        <w:tc>
          <w:tcPr>
            <w:tcW w:w="1614" w:type="dxa"/>
            <w:tcBorders>
              <w:tl2br w:val="nil"/>
              <w:tr2bl w:val="nil"/>
            </w:tcBorders>
            <w:shd w:val="clear" w:color="auto" w:fill="auto"/>
            <w:vAlign w:val="center"/>
          </w:tcPr>
          <w:p w14:paraId="39F1F39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现代演艺</w:t>
            </w:r>
          </w:p>
        </w:tc>
      </w:tr>
      <w:tr w14:paraId="005F3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84684C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44</w:t>
            </w:r>
          </w:p>
        </w:tc>
        <w:tc>
          <w:tcPr>
            <w:tcW w:w="874" w:type="dxa"/>
            <w:vMerge w:val="continue"/>
            <w:tcBorders>
              <w:tl2br w:val="nil"/>
              <w:tr2bl w:val="nil"/>
            </w:tcBorders>
            <w:shd w:val="clear" w:color="auto" w:fill="auto"/>
            <w:vAlign w:val="center"/>
          </w:tcPr>
          <w:p w14:paraId="2C1CC88C">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D4F55C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焦作老电厂3号冷却塔</w:t>
            </w:r>
          </w:p>
        </w:tc>
        <w:tc>
          <w:tcPr>
            <w:tcW w:w="1265" w:type="dxa"/>
            <w:tcBorders>
              <w:tl2br w:val="nil"/>
              <w:tr2bl w:val="nil"/>
            </w:tcBorders>
            <w:shd w:val="clear" w:color="auto" w:fill="auto"/>
            <w:vAlign w:val="center"/>
          </w:tcPr>
          <w:p w14:paraId="075F980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28BCC57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景观与小品建筑</w:t>
            </w:r>
          </w:p>
        </w:tc>
        <w:tc>
          <w:tcPr>
            <w:tcW w:w="1614" w:type="dxa"/>
            <w:tcBorders>
              <w:tl2br w:val="nil"/>
              <w:tr2bl w:val="nil"/>
            </w:tcBorders>
            <w:shd w:val="clear" w:color="auto" w:fill="auto"/>
            <w:vAlign w:val="center"/>
          </w:tcPr>
          <w:p w14:paraId="0EBBB58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塔形建筑</w:t>
            </w:r>
          </w:p>
        </w:tc>
      </w:tr>
      <w:tr w14:paraId="292BE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A9B85D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45</w:t>
            </w:r>
          </w:p>
        </w:tc>
        <w:tc>
          <w:tcPr>
            <w:tcW w:w="874" w:type="dxa"/>
            <w:vMerge w:val="continue"/>
            <w:tcBorders>
              <w:tl2br w:val="nil"/>
              <w:tr2bl w:val="nil"/>
            </w:tcBorders>
            <w:shd w:val="clear" w:color="auto" w:fill="auto"/>
            <w:vAlign w:val="center"/>
          </w:tcPr>
          <w:p w14:paraId="2697EE0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347390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焦作老电厂4号冷却塔</w:t>
            </w:r>
          </w:p>
        </w:tc>
        <w:tc>
          <w:tcPr>
            <w:tcW w:w="1265" w:type="dxa"/>
            <w:tcBorders>
              <w:tl2br w:val="nil"/>
              <w:tr2bl w:val="nil"/>
            </w:tcBorders>
            <w:shd w:val="clear" w:color="auto" w:fill="auto"/>
            <w:vAlign w:val="center"/>
          </w:tcPr>
          <w:p w14:paraId="235CEC8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4D4B614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景观与小品建筑</w:t>
            </w:r>
          </w:p>
        </w:tc>
        <w:tc>
          <w:tcPr>
            <w:tcW w:w="1614" w:type="dxa"/>
            <w:tcBorders>
              <w:tl2br w:val="nil"/>
              <w:tr2bl w:val="nil"/>
            </w:tcBorders>
            <w:shd w:val="clear" w:color="auto" w:fill="auto"/>
            <w:vAlign w:val="center"/>
          </w:tcPr>
          <w:p w14:paraId="06D9AA4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塔形建筑</w:t>
            </w:r>
          </w:p>
        </w:tc>
      </w:tr>
      <w:tr w14:paraId="08693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644839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46</w:t>
            </w:r>
          </w:p>
        </w:tc>
        <w:tc>
          <w:tcPr>
            <w:tcW w:w="874" w:type="dxa"/>
            <w:vMerge w:val="continue"/>
            <w:tcBorders>
              <w:tl2br w:val="nil"/>
              <w:tr2bl w:val="nil"/>
            </w:tcBorders>
            <w:shd w:val="clear" w:color="auto" w:fill="auto"/>
            <w:vAlign w:val="center"/>
          </w:tcPr>
          <w:p w14:paraId="6E9B017D">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590680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焦作影视城</w:t>
            </w:r>
          </w:p>
        </w:tc>
        <w:tc>
          <w:tcPr>
            <w:tcW w:w="1265" w:type="dxa"/>
            <w:tcBorders>
              <w:tl2br w:val="nil"/>
              <w:tr2bl w:val="nil"/>
            </w:tcBorders>
            <w:shd w:val="clear" w:color="auto" w:fill="auto"/>
            <w:vAlign w:val="center"/>
          </w:tcPr>
          <w:p w14:paraId="05F7E51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60D7329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08F3453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10C58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7B9B71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47</w:t>
            </w:r>
          </w:p>
        </w:tc>
        <w:tc>
          <w:tcPr>
            <w:tcW w:w="874" w:type="dxa"/>
            <w:vMerge w:val="continue"/>
            <w:tcBorders>
              <w:tl2br w:val="nil"/>
              <w:tr2bl w:val="nil"/>
            </w:tcBorders>
            <w:shd w:val="clear" w:color="auto" w:fill="auto"/>
            <w:vAlign w:val="center"/>
          </w:tcPr>
          <w:p w14:paraId="210CC955">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96D42B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焦作南太行花海公园</w:t>
            </w:r>
          </w:p>
        </w:tc>
        <w:tc>
          <w:tcPr>
            <w:tcW w:w="1265" w:type="dxa"/>
            <w:tcBorders>
              <w:tl2br w:val="nil"/>
              <w:tr2bl w:val="nil"/>
            </w:tcBorders>
            <w:shd w:val="clear" w:color="auto" w:fill="auto"/>
            <w:vAlign w:val="center"/>
          </w:tcPr>
          <w:p w14:paraId="6A5E255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320E59C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景观与小品建筑</w:t>
            </w:r>
          </w:p>
        </w:tc>
        <w:tc>
          <w:tcPr>
            <w:tcW w:w="1614" w:type="dxa"/>
            <w:tcBorders>
              <w:tl2br w:val="nil"/>
              <w:tr2bl w:val="nil"/>
            </w:tcBorders>
            <w:shd w:val="clear" w:color="auto" w:fill="auto"/>
            <w:vAlign w:val="center"/>
          </w:tcPr>
          <w:p w14:paraId="5AAA959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花草坪</w:t>
            </w:r>
          </w:p>
        </w:tc>
      </w:tr>
      <w:tr w14:paraId="19292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540060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48</w:t>
            </w:r>
          </w:p>
        </w:tc>
        <w:tc>
          <w:tcPr>
            <w:tcW w:w="874" w:type="dxa"/>
            <w:vMerge w:val="continue"/>
            <w:tcBorders>
              <w:tl2br w:val="nil"/>
              <w:tr2bl w:val="nil"/>
            </w:tcBorders>
            <w:shd w:val="clear" w:color="auto" w:fill="auto"/>
            <w:vAlign w:val="center"/>
          </w:tcPr>
          <w:p w14:paraId="6D0C4CEB">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1680B3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南水北调中线工程解放区段</w:t>
            </w:r>
          </w:p>
        </w:tc>
        <w:tc>
          <w:tcPr>
            <w:tcW w:w="1265" w:type="dxa"/>
            <w:tcBorders>
              <w:tl2br w:val="nil"/>
              <w:tr2bl w:val="nil"/>
            </w:tcBorders>
            <w:shd w:val="clear" w:color="auto" w:fill="auto"/>
            <w:vAlign w:val="center"/>
          </w:tcPr>
          <w:p w14:paraId="7A03D9D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0BA68FF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705721E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游憩河段</w:t>
            </w:r>
          </w:p>
        </w:tc>
      </w:tr>
      <w:tr w14:paraId="776C5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57011E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49</w:t>
            </w:r>
          </w:p>
        </w:tc>
        <w:tc>
          <w:tcPr>
            <w:tcW w:w="874" w:type="dxa"/>
            <w:vMerge w:val="continue"/>
            <w:tcBorders>
              <w:tl2br w:val="nil"/>
              <w:tr2bl w:val="nil"/>
            </w:tcBorders>
            <w:shd w:val="clear" w:color="auto" w:fill="auto"/>
            <w:vAlign w:val="center"/>
          </w:tcPr>
          <w:p w14:paraId="2DD49CE7">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9F6542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w:t>
            </w:r>
            <w:r>
              <w:rPr>
                <w:rStyle w:val="25"/>
                <w:rFonts w:hint="eastAsia" w:asciiTheme="minorEastAsia" w:hAnsiTheme="minorEastAsia" w:eastAsiaTheme="minorEastAsia" w:cstheme="minorEastAsia"/>
                <w:sz w:val="20"/>
                <w:szCs w:val="20"/>
                <w:lang w:val="en-US" w:eastAsia="zh-CN" w:bidi="ar"/>
              </w:rPr>
              <w:t>·</w:t>
            </w:r>
            <w:r>
              <w:rPr>
                <w:rFonts w:hint="eastAsia" w:asciiTheme="minorEastAsia" w:hAnsiTheme="minorEastAsia" w:eastAsiaTheme="minorEastAsia" w:cstheme="minorEastAsia"/>
                <w:i w:val="0"/>
                <w:iCs w:val="0"/>
                <w:color w:val="000000"/>
                <w:kern w:val="0"/>
                <w:sz w:val="20"/>
                <w:szCs w:val="20"/>
                <w:u w:val="none"/>
                <w:lang w:val="en-US" w:eastAsia="zh-CN" w:bidi="ar"/>
              </w:rPr>
              <w:t>百年矿业遗址公园暨黄河大运河非物质文化遗产展示中心</w:t>
            </w:r>
          </w:p>
        </w:tc>
        <w:tc>
          <w:tcPr>
            <w:tcW w:w="1265" w:type="dxa"/>
            <w:tcBorders>
              <w:tl2br w:val="nil"/>
              <w:tr2bl w:val="nil"/>
            </w:tcBorders>
            <w:shd w:val="clear" w:color="auto" w:fill="auto"/>
            <w:vAlign w:val="center"/>
          </w:tcPr>
          <w:p w14:paraId="6AD667F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5C266A1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228AE0F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文化活动场所</w:t>
            </w:r>
          </w:p>
        </w:tc>
      </w:tr>
      <w:tr w14:paraId="40EDC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153E6E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50</w:t>
            </w:r>
          </w:p>
        </w:tc>
        <w:tc>
          <w:tcPr>
            <w:tcW w:w="874" w:type="dxa"/>
            <w:vMerge w:val="restart"/>
            <w:tcBorders>
              <w:tl2br w:val="nil"/>
              <w:tr2bl w:val="nil"/>
            </w:tcBorders>
            <w:shd w:val="clear" w:color="auto" w:fill="auto"/>
            <w:vAlign w:val="center"/>
          </w:tcPr>
          <w:p w14:paraId="555EB7C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中站区</w:t>
            </w:r>
          </w:p>
        </w:tc>
        <w:tc>
          <w:tcPr>
            <w:tcW w:w="3438" w:type="dxa"/>
            <w:tcBorders>
              <w:tl2br w:val="nil"/>
              <w:tr2bl w:val="nil"/>
            </w:tcBorders>
            <w:shd w:val="clear" w:color="auto" w:fill="auto"/>
            <w:vAlign w:val="center"/>
          </w:tcPr>
          <w:p w14:paraId="2D12D12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焦作龙翔山孤山湖水库</w:t>
            </w:r>
          </w:p>
        </w:tc>
        <w:tc>
          <w:tcPr>
            <w:tcW w:w="1265" w:type="dxa"/>
            <w:tcBorders>
              <w:tl2br w:val="nil"/>
              <w:tr2bl w:val="nil"/>
            </w:tcBorders>
            <w:shd w:val="clear" w:color="auto" w:fill="auto"/>
            <w:vAlign w:val="center"/>
          </w:tcPr>
          <w:p w14:paraId="7D2CF7B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56F144E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湖沼</w:t>
            </w:r>
          </w:p>
        </w:tc>
        <w:tc>
          <w:tcPr>
            <w:tcW w:w="1614" w:type="dxa"/>
            <w:tcBorders>
              <w:tl2br w:val="nil"/>
              <w:tr2bl w:val="nil"/>
            </w:tcBorders>
            <w:shd w:val="clear" w:color="auto" w:fill="auto"/>
            <w:vAlign w:val="center"/>
          </w:tcPr>
          <w:p w14:paraId="05F2DE2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游憩湖区</w:t>
            </w:r>
          </w:p>
        </w:tc>
      </w:tr>
      <w:tr w14:paraId="72F62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901276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51</w:t>
            </w:r>
          </w:p>
        </w:tc>
        <w:tc>
          <w:tcPr>
            <w:tcW w:w="874" w:type="dxa"/>
            <w:vMerge w:val="continue"/>
            <w:tcBorders>
              <w:tl2br w:val="nil"/>
              <w:tr2bl w:val="nil"/>
            </w:tcBorders>
            <w:shd w:val="clear" w:color="auto" w:fill="auto"/>
            <w:vAlign w:val="center"/>
          </w:tcPr>
          <w:p w14:paraId="3444C3AB">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647A53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焦作栗井村</w:t>
            </w:r>
          </w:p>
        </w:tc>
        <w:tc>
          <w:tcPr>
            <w:tcW w:w="1265" w:type="dxa"/>
            <w:tcBorders>
              <w:tl2br w:val="nil"/>
              <w:tr2bl w:val="nil"/>
            </w:tcBorders>
            <w:shd w:val="clear" w:color="auto" w:fill="auto"/>
            <w:vAlign w:val="center"/>
          </w:tcPr>
          <w:p w14:paraId="39F2DFB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5E3A31F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418C392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4B873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081025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52</w:t>
            </w:r>
          </w:p>
        </w:tc>
        <w:tc>
          <w:tcPr>
            <w:tcW w:w="874" w:type="dxa"/>
            <w:vMerge w:val="continue"/>
            <w:tcBorders>
              <w:tl2br w:val="nil"/>
              <w:tr2bl w:val="nil"/>
            </w:tcBorders>
            <w:shd w:val="clear" w:color="auto" w:fill="auto"/>
            <w:vAlign w:val="center"/>
          </w:tcPr>
          <w:p w14:paraId="14FF3A96">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7A27A0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焦作北业村</w:t>
            </w:r>
          </w:p>
        </w:tc>
        <w:tc>
          <w:tcPr>
            <w:tcW w:w="1265" w:type="dxa"/>
            <w:tcBorders>
              <w:tl2br w:val="nil"/>
              <w:tr2bl w:val="nil"/>
            </w:tcBorders>
            <w:shd w:val="clear" w:color="auto" w:fill="auto"/>
            <w:vAlign w:val="center"/>
          </w:tcPr>
          <w:p w14:paraId="4153E80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4D132A5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1155FE3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3BD06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23382C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53</w:t>
            </w:r>
          </w:p>
        </w:tc>
        <w:tc>
          <w:tcPr>
            <w:tcW w:w="874" w:type="dxa"/>
            <w:vMerge w:val="continue"/>
            <w:tcBorders>
              <w:tl2br w:val="nil"/>
              <w:tr2bl w:val="nil"/>
            </w:tcBorders>
            <w:shd w:val="clear" w:color="auto" w:fill="auto"/>
            <w:vAlign w:val="center"/>
          </w:tcPr>
          <w:p w14:paraId="2CC8FF5C">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453597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焦作栗井山居</w:t>
            </w:r>
          </w:p>
        </w:tc>
        <w:tc>
          <w:tcPr>
            <w:tcW w:w="1265" w:type="dxa"/>
            <w:tcBorders>
              <w:tl2br w:val="nil"/>
              <w:tr2bl w:val="nil"/>
            </w:tcBorders>
            <w:shd w:val="clear" w:color="auto" w:fill="auto"/>
            <w:vAlign w:val="center"/>
          </w:tcPr>
          <w:p w14:paraId="315928C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3DC440E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7C07BA7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1FC10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1A31E1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54</w:t>
            </w:r>
          </w:p>
        </w:tc>
        <w:tc>
          <w:tcPr>
            <w:tcW w:w="874" w:type="dxa"/>
            <w:vMerge w:val="continue"/>
            <w:tcBorders>
              <w:tl2br w:val="nil"/>
              <w:tr2bl w:val="nil"/>
            </w:tcBorders>
            <w:shd w:val="clear" w:color="auto" w:fill="auto"/>
            <w:vAlign w:val="center"/>
          </w:tcPr>
          <w:p w14:paraId="65FC35F9">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C385AE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焦作太行第四专区及焦作市党政军机关旧址</w:t>
            </w:r>
          </w:p>
        </w:tc>
        <w:tc>
          <w:tcPr>
            <w:tcW w:w="1265" w:type="dxa"/>
            <w:tcBorders>
              <w:tl2br w:val="nil"/>
              <w:tr2bl w:val="nil"/>
            </w:tcBorders>
            <w:shd w:val="clear" w:color="auto" w:fill="auto"/>
            <w:vAlign w:val="center"/>
          </w:tcPr>
          <w:p w14:paraId="2D6FAF6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227952B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55BAC38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5E500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C56535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55</w:t>
            </w:r>
          </w:p>
        </w:tc>
        <w:tc>
          <w:tcPr>
            <w:tcW w:w="874" w:type="dxa"/>
            <w:vMerge w:val="continue"/>
            <w:tcBorders>
              <w:tl2br w:val="nil"/>
              <w:tr2bl w:val="nil"/>
            </w:tcBorders>
            <w:shd w:val="clear" w:color="auto" w:fill="auto"/>
            <w:vAlign w:val="center"/>
          </w:tcPr>
          <w:p w14:paraId="5E9BC422">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CAF40A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焦作府城遗址</w:t>
            </w:r>
          </w:p>
        </w:tc>
        <w:tc>
          <w:tcPr>
            <w:tcW w:w="1265" w:type="dxa"/>
            <w:tcBorders>
              <w:tl2br w:val="nil"/>
              <w:tr2bl w:val="nil"/>
            </w:tcBorders>
            <w:shd w:val="clear" w:color="auto" w:fill="auto"/>
            <w:vAlign w:val="center"/>
          </w:tcPr>
          <w:p w14:paraId="4037C33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462E365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2F72599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早期文明遗存</w:t>
            </w:r>
          </w:p>
        </w:tc>
      </w:tr>
      <w:tr w14:paraId="1B75C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14704C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56</w:t>
            </w:r>
          </w:p>
        </w:tc>
        <w:tc>
          <w:tcPr>
            <w:tcW w:w="874" w:type="dxa"/>
            <w:vMerge w:val="continue"/>
            <w:tcBorders>
              <w:tl2br w:val="nil"/>
              <w:tr2bl w:val="nil"/>
            </w:tcBorders>
            <w:shd w:val="clear" w:color="auto" w:fill="auto"/>
            <w:vAlign w:val="center"/>
          </w:tcPr>
          <w:p w14:paraId="15B00343">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78FB5F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焦作盘古洞百松顶</w:t>
            </w:r>
          </w:p>
        </w:tc>
        <w:tc>
          <w:tcPr>
            <w:tcW w:w="1265" w:type="dxa"/>
            <w:tcBorders>
              <w:tl2br w:val="nil"/>
              <w:tr2bl w:val="nil"/>
            </w:tcBorders>
            <w:shd w:val="clear" w:color="auto" w:fill="auto"/>
            <w:vAlign w:val="center"/>
          </w:tcPr>
          <w:p w14:paraId="068E22E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2C85F3D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32362A5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奇特与象形山石</w:t>
            </w:r>
          </w:p>
        </w:tc>
      </w:tr>
      <w:tr w14:paraId="287CF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F3364E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57</w:t>
            </w:r>
          </w:p>
        </w:tc>
        <w:tc>
          <w:tcPr>
            <w:tcW w:w="874" w:type="dxa"/>
            <w:vMerge w:val="continue"/>
            <w:tcBorders>
              <w:tl2br w:val="nil"/>
              <w:tr2bl w:val="nil"/>
            </w:tcBorders>
            <w:shd w:val="clear" w:color="auto" w:fill="auto"/>
            <w:vAlign w:val="center"/>
          </w:tcPr>
          <w:p w14:paraId="429E629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9A3A02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焦作北业盘古洞</w:t>
            </w:r>
          </w:p>
        </w:tc>
        <w:tc>
          <w:tcPr>
            <w:tcW w:w="1265" w:type="dxa"/>
            <w:tcBorders>
              <w:tl2br w:val="nil"/>
              <w:tr2bl w:val="nil"/>
            </w:tcBorders>
            <w:shd w:val="clear" w:color="auto" w:fill="auto"/>
            <w:vAlign w:val="center"/>
          </w:tcPr>
          <w:p w14:paraId="5A9388D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3A0BB47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34A750A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沟壑与洞穴</w:t>
            </w:r>
          </w:p>
        </w:tc>
      </w:tr>
      <w:tr w14:paraId="04BA2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E22CE6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58</w:t>
            </w:r>
          </w:p>
        </w:tc>
        <w:tc>
          <w:tcPr>
            <w:tcW w:w="874" w:type="dxa"/>
            <w:tcBorders>
              <w:tl2br w:val="nil"/>
              <w:tr2bl w:val="nil"/>
            </w:tcBorders>
            <w:shd w:val="clear" w:color="auto" w:fill="auto"/>
            <w:vAlign w:val="center"/>
          </w:tcPr>
          <w:p w14:paraId="3E848AE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马村区</w:t>
            </w:r>
          </w:p>
        </w:tc>
        <w:tc>
          <w:tcPr>
            <w:tcW w:w="3438" w:type="dxa"/>
            <w:tcBorders>
              <w:tl2br w:val="nil"/>
              <w:tr2bl w:val="nil"/>
            </w:tcBorders>
            <w:shd w:val="clear" w:color="auto" w:fill="auto"/>
            <w:vAlign w:val="center"/>
          </w:tcPr>
          <w:p w14:paraId="33492D8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焦作陆村天齐庙</w:t>
            </w:r>
          </w:p>
        </w:tc>
        <w:tc>
          <w:tcPr>
            <w:tcW w:w="1265" w:type="dxa"/>
            <w:tcBorders>
              <w:tl2br w:val="nil"/>
              <w:tr2bl w:val="nil"/>
            </w:tcBorders>
            <w:shd w:val="clear" w:color="auto" w:fill="auto"/>
            <w:vAlign w:val="center"/>
          </w:tcPr>
          <w:p w14:paraId="3C599B8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4CD4066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28D9761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宗教与祭祀活动场所</w:t>
            </w:r>
          </w:p>
        </w:tc>
      </w:tr>
      <w:tr w14:paraId="241DF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715827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59</w:t>
            </w:r>
          </w:p>
        </w:tc>
        <w:tc>
          <w:tcPr>
            <w:tcW w:w="874" w:type="dxa"/>
            <w:vMerge w:val="restart"/>
            <w:tcBorders>
              <w:tl2br w:val="nil"/>
              <w:tr2bl w:val="nil"/>
            </w:tcBorders>
            <w:shd w:val="clear" w:color="auto" w:fill="auto"/>
            <w:vAlign w:val="center"/>
          </w:tcPr>
          <w:p w14:paraId="70E17D9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山阳区</w:t>
            </w:r>
          </w:p>
        </w:tc>
        <w:tc>
          <w:tcPr>
            <w:tcW w:w="3438" w:type="dxa"/>
            <w:tcBorders>
              <w:tl2br w:val="nil"/>
              <w:tr2bl w:val="nil"/>
            </w:tcBorders>
            <w:shd w:val="clear" w:color="auto" w:fill="auto"/>
            <w:vAlign w:val="center"/>
          </w:tcPr>
          <w:p w14:paraId="1BCD8B0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焦作篮球文化节</w:t>
            </w:r>
          </w:p>
        </w:tc>
        <w:tc>
          <w:tcPr>
            <w:tcW w:w="1265" w:type="dxa"/>
            <w:tcBorders>
              <w:tl2br w:val="nil"/>
              <w:tr2bl w:val="nil"/>
            </w:tcBorders>
            <w:shd w:val="clear" w:color="auto" w:fill="auto"/>
            <w:vAlign w:val="center"/>
          </w:tcPr>
          <w:p w14:paraId="1075813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146E595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岁时节令</w:t>
            </w:r>
          </w:p>
        </w:tc>
        <w:tc>
          <w:tcPr>
            <w:tcW w:w="1614" w:type="dxa"/>
            <w:tcBorders>
              <w:tl2br w:val="nil"/>
              <w:tr2bl w:val="nil"/>
            </w:tcBorders>
            <w:shd w:val="clear" w:color="auto" w:fill="auto"/>
            <w:vAlign w:val="center"/>
          </w:tcPr>
          <w:p w14:paraId="327BADB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现代节庆</w:t>
            </w:r>
          </w:p>
        </w:tc>
      </w:tr>
      <w:tr w14:paraId="1EB40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8A96CC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60</w:t>
            </w:r>
          </w:p>
        </w:tc>
        <w:tc>
          <w:tcPr>
            <w:tcW w:w="874" w:type="dxa"/>
            <w:vMerge w:val="continue"/>
            <w:tcBorders>
              <w:tl2br w:val="nil"/>
              <w:tr2bl w:val="nil"/>
            </w:tcBorders>
            <w:shd w:val="clear" w:color="auto" w:fill="auto"/>
            <w:vAlign w:val="center"/>
          </w:tcPr>
          <w:p w14:paraId="23A96380">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B2819C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焦作药王祖庭</w:t>
            </w:r>
          </w:p>
        </w:tc>
        <w:tc>
          <w:tcPr>
            <w:tcW w:w="1265" w:type="dxa"/>
            <w:tcBorders>
              <w:tl2br w:val="nil"/>
              <w:tr2bl w:val="nil"/>
            </w:tcBorders>
            <w:shd w:val="clear" w:color="auto" w:fill="auto"/>
            <w:vAlign w:val="center"/>
          </w:tcPr>
          <w:p w14:paraId="79EB39E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67D1518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6F638C2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宗教与祭祀活动场所</w:t>
            </w:r>
          </w:p>
        </w:tc>
      </w:tr>
      <w:tr w14:paraId="7B8F8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499574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61</w:t>
            </w:r>
          </w:p>
        </w:tc>
        <w:tc>
          <w:tcPr>
            <w:tcW w:w="874" w:type="dxa"/>
            <w:vMerge w:val="continue"/>
            <w:tcBorders>
              <w:tl2br w:val="nil"/>
              <w:tr2bl w:val="nil"/>
            </w:tcBorders>
            <w:shd w:val="clear" w:color="auto" w:fill="auto"/>
            <w:vAlign w:val="center"/>
          </w:tcPr>
          <w:p w14:paraId="23F331E3">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D3BB41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焦作市博物馆陶建筑明器</w:t>
            </w:r>
          </w:p>
        </w:tc>
        <w:tc>
          <w:tcPr>
            <w:tcW w:w="1265" w:type="dxa"/>
            <w:tcBorders>
              <w:tl2br w:val="nil"/>
              <w:tr2bl w:val="nil"/>
            </w:tcBorders>
            <w:shd w:val="clear" w:color="auto" w:fill="auto"/>
            <w:vAlign w:val="center"/>
          </w:tcPr>
          <w:p w14:paraId="5E5A308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513BA13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354B56F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可移动文物</w:t>
            </w:r>
          </w:p>
        </w:tc>
      </w:tr>
      <w:tr w14:paraId="19539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0A8540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62</w:t>
            </w:r>
          </w:p>
        </w:tc>
        <w:tc>
          <w:tcPr>
            <w:tcW w:w="874" w:type="dxa"/>
            <w:vMerge w:val="continue"/>
            <w:tcBorders>
              <w:tl2br w:val="nil"/>
              <w:tr2bl w:val="nil"/>
            </w:tcBorders>
            <w:shd w:val="clear" w:color="auto" w:fill="auto"/>
            <w:vAlign w:val="center"/>
          </w:tcPr>
          <w:p w14:paraId="32A6543D">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4C1978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焦作黄庄大辫戏</w:t>
            </w:r>
          </w:p>
        </w:tc>
        <w:tc>
          <w:tcPr>
            <w:tcW w:w="1265" w:type="dxa"/>
            <w:tcBorders>
              <w:tl2br w:val="nil"/>
              <w:tr2bl w:val="nil"/>
            </w:tcBorders>
            <w:shd w:val="clear" w:color="auto" w:fill="auto"/>
            <w:vAlign w:val="center"/>
          </w:tcPr>
          <w:p w14:paraId="3941773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34280D4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非物质类文化遗存</w:t>
            </w:r>
          </w:p>
        </w:tc>
        <w:tc>
          <w:tcPr>
            <w:tcW w:w="1614" w:type="dxa"/>
            <w:tcBorders>
              <w:tl2br w:val="nil"/>
              <w:tr2bl w:val="nil"/>
            </w:tcBorders>
            <w:shd w:val="clear" w:color="auto" w:fill="auto"/>
            <w:vAlign w:val="center"/>
          </w:tcPr>
          <w:p w14:paraId="0A552D9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传统演艺</w:t>
            </w:r>
          </w:p>
        </w:tc>
      </w:tr>
      <w:tr w14:paraId="6CB78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290276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63</w:t>
            </w:r>
          </w:p>
        </w:tc>
        <w:tc>
          <w:tcPr>
            <w:tcW w:w="874" w:type="dxa"/>
            <w:vMerge w:val="continue"/>
            <w:tcBorders>
              <w:tl2br w:val="nil"/>
              <w:tr2bl w:val="nil"/>
            </w:tcBorders>
            <w:shd w:val="clear" w:color="auto" w:fill="auto"/>
            <w:vAlign w:val="center"/>
          </w:tcPr>
          <w:p w14:paraId="5558D273">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E5DA46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焦作大沙河生态公园</w:t>
            </w:r>
          </w:p>
        </w:tc>
        <w:tc>
          <w:tcPr>
            <w:tcW w:w="1265" w:type="dxa"/>
            <w:tcBorders>
              <w:tl2br w:val="nil"/>
              <w:tr2bl w:val="nil"/>
            </w:tcBorders>
            <w:shd w:val="clear" w:color="auto" w:fill="auto"/>
            <w:vAlign w:val="center"/>
          </w:tcPr>
          <w:p w14:paraId="4BBF17A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165CB98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1E2DDAE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56373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7C61F6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64</w:t>
            </w:r>
          </w:p>
        </w:tc>
        <w:tc>
          <w:tcPr>
            <w:tcW w:w="874" w:type="dxa"/>
            <w:vMerge w:val="continue"/>
            <w:tcBorders>
              <w:tl2br w:val="nil"/>
              <w:tr2bl w:val="nil"/>
            </w:tcBorders>
            <w:shd w:val="clear" w:color="auto" w:fill="auto"/>
            <w:vAlign w:val="center"/>
          </w:tcPr>
          <w:p w14:paraId="15F1B752">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C46299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焦作蒙牛乳业工业展厅</w:t>
            </w:r>
          </w:p>
        </w:tc>
        <w:tc>
          <w:tcPr>
            <w:tcW w:w="1265" w:type="dxa"/>
            <w:tcBorders>
              <w:tl2br w:val="nil"/>
              <w:tr2bl w:val="nil"/>
            </w:tcBorders>
            <w:shd w:val="clear" w:color="auto" w:fill="auto"/>
            <w:vAlign w:val="center"/>
          </w:tcPr>
          <w:p w14:paraId="7D02D78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5A8AF95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4FE53EC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独立厅、室、馆</w:t>
            </w:r>
          </w:p>
        </w:tc>
      </w:tr>
      <w:tr w14:paraId="44B2D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EA55F7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65</w:t>
            </w:r>
          </w:p>
        </w:tc>
        <w:tc>
          <w:tcPr>
            <w:tcW w:w="874" w:type="dxa"/>
            <w:vMerge w:val="continue"/>
            <w:tcBorders>
              <w:tl2br w:val="nil"/>
              <w:tr2bl w:val="nil"/>
            </w:tcBorders>
            <w:shd w:val="clear" w:color="auto" w:fill="auto"/>
            <w:vAlign w:val="center"/>
          </w:tcPr>
          <w:p w14:paraId="344F27D6">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BA4DE1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焦作迎宾馆</w:t>
            </w:r>
          </w:p>
        </w:tc>
        <w:tc>
          <w:tcPr>
            <w:tcW w:w="1265" w:type="dxa"/>
            <w:tcBorders>
              <w:tl2br w:val="nil"/>
              <w:tr2bl w:val="nil"/>
            </w:tcBorders>
            <w:shd w:val="clear" w:color="auto" w:fill="auto"/>
            <w:vAlign w:val="center"/>
          </w:tcPr>
          <w:p w14:paraId="0CE9E60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3AC01A4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613EE70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11447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DE9643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66</w:t>
            </w:r>
          </w:p>
        </w:tc>
        <w:tc>
          <w:tcPr>
            <w:tcW w:w="874" w:type="dxa"/>
            <w:vMerge w:val="continue"/>
            <w:tcBorders>
              <w:tl2br w:val="nil"/>
              <w:tr2bl w:val="nil"/>
            </w:tcBorders>
            <w:shd w:val="clear" w:color="auto" w:fill="auto"/>
            <w:vAlign w:val="center"/>
          </w:tcPr>
          <w:p w14:paraId="71FA4C67">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C1C622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焦作陈氏叶雕</w:t>
            </w:r>
          </w:p>
        </w:tc>
        <w:tc>
          <w:tcPr>
            <w:tcW w:w="1265" w:type="dxa"/>
            <w:tcBorders>
              <w:tl2br w:val="nil"/>
              <w:tr2bl w:val="nil"/>
            </w:tcBorders>
            <w:shd w:val="clear" w:color="auto" w:fill="auto"/>
            <w:vAlign w:val="center"/>
          </w:tcPr>
          <w:p w14:paraId="0C29056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2244457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手工工艺品</w:t>
            </w:r>
          </w:p>
        </w:tc>
        <w:tc>
          <w:tcPr>
            <w:tcW w:w="1614" w:type="dxa"/>
            <w:tcBorders>
              <w:tl2br w:val="nil"/>
              <w:tr2bl w:val="nil"/>
            </w:tcBorders>
            <w:shd w:val="clear" w:color="auto" w:fill="auto"/>
            <w:vAlign w:val="center"/>
          </w:tcPr>
          <w:p w14:paraId="327CFA0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金石雕刻、雕塑制品</w:t>
            </w:r>
          </w:p>
        </w:tc>
      </w:tr>
      <w:tr w14:paraId="273ED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719E13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67</w:t>
            </w:r>
          </w:p>
        </w:tc>
        <w:tc>
          <w:tcPr>
            <w:tcW w:w="874" w:type="dxa"/>
            <w:vMerge w:val="continue"/>
            <w:tcBorders>
              <w:tl2br w:val="nil"/>
              <w:tr2bl w:val="nil"/>
            </w:tcBorders>
            <w:shd w:val="clear" w:color="auto" w:fill="auto"/>
            <w:vAlign w:val="center"/>
          </w:tcPr>
          <w:p w14:paraId="2C3391F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A7133F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焦作寨卜昌第九纵队纪念馆</w:t>
            </w:r>
          </w:p>
        </w:tc>
        <w:tc>
          <w:tcPr>
            <w:tcW w:w="1265" w:type="dxa"/>
            <w:tcBorders>
              <w:tl2br w:val="nil"/>
              <w:tr2bl w:val="nil"/>
            </w:tcBorders>
            <w:shd w:val="clear" w:color="auto" w:fill="auto"/>
            <w:vAlign w:val="center"/>
          </w:tcPr>
          <w:p w14:paraId="396841C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7A426A9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5DD6DD6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文化活动场所</w:t>
            </w:r>
          </w:p>
        </w:tc>
      </w:tr>
      <w:tr w14:paraId="78DA3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8EF74B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68</w:t>
            </w:r>
          </w:p>
        </w:tc>
        <w:tc>
          <w:tcPr>
            <w:tcW w:w="874" w:type="dxa"/>
            <w:vMerge w:val="continue"/>
            <w:tcBorders>
              <w:tl2br w:val="nil"/>
              <w:tr2bl w:val="nil"/>
            </w:tcBorders>
            <w:shd w:val="clear" w:color="auto" w:fill="auto"/>
            <w:vAlign w:val="center"/>
          </w:tcPr>
          <w:p w14:paraId="1A33868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08D3B5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焦作老君庙戏楼</w:t>
            </w:r>
          </w:p>
        </w:tc>
        <w:tc>
          <w:tcPr>
            <w:tcW w:w="1265" w:type="dxa"/>
            <w:tcBorders>
              <w:tl2br w:val="nil"/>
              <w:tr2bl w:val="nil"/>
            </w:tcBorders>
            <w:shd w:val="clear" w:color="auto" w:fill="auto"/>
            <w:vAlign w:val="center"/>
          </w:tcPr>
          <w:p w14:paraId="2BC53A4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783B6FC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597FAB8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宗教与祭祀活动场所</w:t>
            </w:r>
          </w:p>
        </w:tc>
      </w:tr>
      <w:tr w14:paraId="45978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B2296E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69</w:t>
            </w:r>
          </w:p>
        </w:tc>
        <w:tc>
          <w:tcPr>
            <w:tcW w:w="874" w:type="dxa"/>
            <w:vMerge w:val="continue"/>
            <w:tcBorders>
              <w:tl2br w:val="nil"/>
              <w:tr2bl w:val="nil"/>
            </w:tcBorders>
            <w:shd w:val="clear" w:color="auto" w:fill="auto"/>
            <w:vAlign w:val="center"/>
          </w:tcPr>
          <w:p w14:paraId="7CB2DD1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586F28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焦作市博物馆</w:t>
            </w:r>
          </w:p>
        </w:tc>
        <w:tc>
          <w:tcPr>
            <w:tcW w:w="1265" w:type="dxa"/>
            <w:tcBorders>
              <w:tl2br w:val="nil"/>
              <w:tr2bl w:val="nil"/>
            </w:tcBorders>
            <w:shd w:val="clear" w:color="auto" w:fill="auto"/>
            <w:vAlign w:val="center"/>
          </w:tcPr>
          <w:p w14:paraId="58589A9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7F37CEC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4C4B8D0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文化活动场所</w:t>
            </w:r>
          </w:p>
        </w:tc>
      </w:tr>
      <w:tr w14:paraId="6FA6F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6FFD98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70</w:t>
            </w:r>
          </w:p>
        </w:tc>
        <w:tc>
          <w:tcPr>
            <w:tcW w:w="874" w:type="dxa"/>
            <w:vMerge w:val="continue"/>
            <w:tcBorders>
              <w:tl2br w:val="nil"/>
              <w:tr2bl w:val="nil"/>
            </w:tcBorders>
            <w:shd w:val="clear" w:color="auto" w:fill="auto"/>
            <w:vAlign w:val="center"/>
          </w:tcPr>
          <w:p w14:paraId="1E3A7142">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A230E5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焦作市科技馆</w:t>
            </w:r>
          </w:p>
        </w:tc>
        <w:tc>
          <w:tcPr>
            <w:tcW w:w="1265" w:type="dxa"/>
            <w:tcBorders>
              <w:tl2br w:val="nil"/>
              <w:tr2bl w:val="nil"/>
            </w:tcBorders>
            <w:shd w:val="clear" w:color="auto" w:fill="auto"/>
            <w:vAlign w:val="center"/>
          </w:tcPr>
          <w:p w14:paraId="5CC22BE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77B8FEB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4BF5FA7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文化活动场所</w:t>
            </w:r>
          </w:p>
        </w:tc>
      </w:tr>
      <w:tr w14:paraId="0FE1A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A3DEBD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71</w:t>
            </w:r>
          </w:p>
        </w:tc>
        <w:tc>
          <w:tcPr>
            <w:tcW w:w="874" w:type="dxa"/>
            <w:vMerge w:val="continue"/>
            <w:tcBorders>
              <w:tl2br w:val="nil"/>
              <w:tr2bl w:val="nil"/>
            </w:tcBorders>
            <w:shd w:val="clear" w:color="auto" w:fill="auto"/>
            <w:vAlign w:val="center"/>
          </w:tcPr>
          <w:p w14:paraId="1492188C">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E9F65C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焦作龙源湖公园</w:t>
            </w:r>
          </w:p>
        </w:tc>
        <w:tc>
          <w:tcPr>
            <w:tcW w:w="1265" w:type="dxa"/>
            <w:tcBorders>
              <w:tl2br w:val="nil"/>
              <w:tr2bl w:val="nil"/>
            </w:tcBorders>
            <w:shd w:val="clear" w:color="auto" w:fill="auto"/>
            <w:vAlign w:val="center"/>
          </w:tcPr>
          <w:p w14:paraId="0DB80FD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5B9779E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7B1FAF8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10193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EC3C47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72</w:t>
            </w:r>
          </w:p>
        </w:tc>
        <w:tc>
          <w:tcPr>
            <w:tcW w:w="874" w:type="dxa"/>
            <w:vMerge w:val="continue"/>
            <w:tcBorders>
              <w:tl2br w:val="nil"/>
              <w:tr2bl w:val="nil"/>
            </w:tcBorders>
            <w:shd w:val="clear" w:color="auto" w:fill="auto"/>
            <w:vAlign w:val="center"/>
          </w:tcPr>
          <w:p w14:paraId="71F7BD76">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E16C99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焦作市南水北调天河公园山阳区段</w:t>
            </w:r>
          </w:p>
        </w:tc>
        <w:tc>
          <w:tcPr>
            <w:tcW w:w="1265" w:type="dxa"/>
            <w:tcBorders>
              <w:tl2br w:val="nil"/>
              <w:tr2bl w:val="nil"/>
            </w:tcBorders>
            <w:shd w:val="clear" w:color="auto" w:fill="auto"/>
            <w:vAlign w:val="center"/>
          </w:tcPr>
          <w:p w14:paraId="0F685F1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6C26955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03A84C5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638F0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FC967C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73</w:t>
            </w:r>
          </w:p>
        </w:tc>
        <w:tc>
          <w:tcPr>
            <w:tcW w:w="874" w:type="dxa"/>
            <w:vMerge w:val="continue"/>
            <w:tcBorders>
              <w:tl2br w:val="nil"/>
              <w:tr2bl w:val="nil"/>
            </w:tcBorders>
            <w:shd w:val="clear" w:color="auto" w:fill="auto"/>
            <w:vAlign w:val="center"/>
          </w:tcPr>
          <w:p w14:paraId="2F03B2AD">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9E2257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焦作市太极体育中心</w:t>
            </w:r>
          </w:p>
        </w:tc>
        <w:tc>
          <w:tcPr>
            <w:tcW w:w="1265" w:type="dxa"/>
            <w:tcBorders>
              <w:tl2br w:val="nil"/>
              <w:tr2bl w:val="nil"/>
            </w:tcBorders>
            <w:shd w:val="clear" w:color="auto" w:fill="auto"/>
            <w:vAlign w:val="center"/>
          </w:tcPr>
          <w:p w14:paraId="33D4F6C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1953C21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3C24454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独立场、所</w:t>
            </w:r>
          </w:p>
        </w:tc>
      </w:tr>
      <w:tr w14:paraId="560A4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8C37C2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74</w:t>
            </w:r>
          </w:p>
        </w:tc>
        <w:tc>
          <w:tcPr>
            <w:tcW w:w="874" w:type="dxa"/>
            <w:vMerge w:val="continue"/>
            <w:tcBorders>
              <w:tl2br w:val="nil"/>
              <w:tr2bl w:val="nil"/>
            </w:tcBorders>
            <w:shd w:val="clear" w:color="auto" w:fill="auto"/>
            <w:vAlign w:val="center"/>
          </w:tcPr>
          <w:p w14:paraId="2426AB5D">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A9886B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焦作南水北调第一楼</w:t>
            </w:r>
          </w:p>
        </w:tc>
        <w:tc>
          <w:tcPr>
            <w:tcW w:w="1265" w:type="dxa"/>
            <w:tcBorders>
              <w:tl2br w:val="nil"/>
              <w:tr2bl w:val="nil"/>
            </w:tcBorders>
            <w:shd w:val="clear" w:color="auto" w:fill="auto"/>
            <w:vAlign w:val="center"/>
          </w:tcPr>
          <w:p w14:paraId="51EF22E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253D4F0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景观与小品建筑</w:t>
            </w:r>
          </w:p>
        </w:tc>
        <w:tc>
          <w:tcPr>
            <w:tcW w:w="1614" w:type="dxa"/>
            <w:tcBorders>
              <w:tl2br w:val="nil"/>
              <w:tr2bl w:val="nil"/>
            </w:tcBorders>
            <w:shd w:val="clear" w:color="auto" w:fill="auto"/>
            <w:vAlign w:val="center"/>
          </w:tcPr>
          <w:p w14:paraId="35FD1BD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形象标志物</w:t>
            </w:r>
          </w:p>
        </w:tc>
      </w:tr>
      <w:tr w14:paraId="6FC0C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03214C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75</w:t>
            </w:r>
          </w:p>
        </w:tc>
        <w:tc>
          <w:tcPr>
            <w:tcW w:w="874" w:type="dxa"/>
            <w:vMerge w:val="continue"/>
            <w:tcBorders>
              <w:tl2br w:val="nil"/>
              <w:tr2bl w:val="nil"/>
            </w:tcBorders>
            <w:shd w:val="clear" w:color="auto" w:fill="auto"/>
            <w:vAlign w:val="center"/>
          </w:tcPr>
          <w:p w14:paraId="1244A592">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A681EF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焦作恩州驿古街</w:t>
            </w:r>
          </w:p>
        </w:tc>
        <w:tc>
          <w:tcPr>
            <w:tcW w:w="1265" w:type="dxa"/>
            <w:tcBorders>
              <w:tl2br w:val="nil"/>
              <w:tr2bl w:val="nil"/>
            </w:tcBorders>
            <w:shd w:val="clear" w:color="auto" w:fill="auto"/>
            <w:vAlign w:val="center"/>
          </w:tcPr>
          <w:p w14:paraId="288C521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71FD93C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0F034C4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特色街区</w:t>
            </w:r>
          </w:p>
        </w:tc>
      </w:tr>
      <w:tr w14:paraId="2F463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C94DE2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76</w:t>
            </w:r>
          </w:p>
        </w:tc>
        <w:tc>
          <w:tcPr>
            <w:tcW w:w="874" w:type="dxa"/>
            <w:vMerge w:val="restart"/>
            <w:tcBorders>
              <w:tl2br w:val="nil"/>
              <w:tr2bl w:val="nil"/>
            </w:tcBorders>
            <w:shd w:val="clear" w:color="auto" w:fill="auto"/>
            <w:vAlign w:val="center"/>
          </w:tcPr>
          <w:p w14:paraId="143220B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修武县</w:t>
            </w:r>
          </w:p>
        </w:tc>
        <w:tc>
          <w:tcPr>
            <w:tcW w:w="3438" w:type="dxa"/>
            <w:tcBorders>
              <w:tl2br w:val="nil"/>
              <w:tr2bl w:val="nil"/>
            </w:tcBorders>
            <w:shd w:val="clear" w:color="auto" w:fill="auto"/>
            <w:vAlign w:val="center"/>
          </w:tcPr>
          <w:p w14:paraId="474BBB2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修武陪嫁妆村大果榉木古树群</w:t>
            </w:r>
          </w:p>
        </w:tc>
        <w:tc>
          <w:tcPr>
            <w:tcW w:w="1265" w:type="dxa"/>
            <w:tcBorders>
              <w:tl2br w:val="nil"/>
              <w:tr2bl w:val="nil"/>
            </w:tcBorders>
            <w:shd w:val="clear" w:color="auto" w:fill="auto"/>
            <w:vAlign w:val="center"/>
          </w:tcPr>
          <w:p w14:paraId="3616935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生物景观</w:t>
            </w:r>
          </w:p>
        </w:tc>
        <w:tc>
          <w:tcPr>
            <w:tcW w:w="1241" w:type="dxa"/>
            <w:tcBorders>
              <w:tl2br w:val="nil"/>
              <w:tr2bl w:val="nil"/>
            </w:tcBorders>
            <w:shd w:val="clear" w:color="auto" w:fill="auto"/>
            <w:vAlign w:val="center"/>
          </w:tcPr>
          <w:p w14:paraId="6F3F81C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植被景观</w:t>
            </w:r>
          </w:p>
        </w:tc>
        <w:tc>
          <w:tcPr>
            <w:tcW w:w="1614" w:type="dxa"/>
            <w:tcBorders>
              <w:tl2br w:val="nil"/>
              <w:tr2bl w:val="nil"/>
            </w:tcBorders>
            <w:shd w:val="clear" w:color="auto" w:fill="auto"/>
            <w:vAlign w:val="center"/>
          </w:tcPr>
          <w:p w14:paraId="4C30984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独树与丛树</w:t>
            </w:r>
          </w:p>
        </w:tc>
      </w:tr>
      <w:tr w14:paraId="2C791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3A3E53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77</w:t>
            </w:r>
          </w:p>
        </w:tc>
        <w:tc>
          <w:tcPr>
            <w:tcW w:w="874" w:type="dxa"/>
            <w:vMerge w:val="continue"/>
            <w:tcBorders>
              <w:tl2br w:val="nil"/>
              <w:tr2bl w:val="nil"/>
            </w:tcBorders>
            <w:shd w:val="clear" w:color="auto" w:fill="auto"/>
            <w:vAlign w:val="center"/>
          </w:tcPr>
          <w:p w14:paraId="71E0D1C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E3CD5A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焦作云台山凤凰岭凤求凰</w:t>
            </w:r>
          </w:p>
        </w:tc>
        <w:tc>
          <w:tcPr>
            <w:tcW w:w="1265" w:type="dxa"/>
            <w:tcBorders>
              <w:tl2br w:val="nil"/>
              <w:tr2bl w:val="nil"/>
            </w:tcBorders>
            <w:shd w:val="clear" w:color="auto" w:fill="auto"/>
            <w:vAlign w:val="center"/>
          </w:tcPr>
          <w:p w14:paraId="462DC00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生物景观</w:t>
            </w:r>
          </w:p>
        </w:tc>
        <w:tc>
          <w:tcPr>
            <w:tcW w:w="1241" w:type="dxa"/>
            <w:tcBorders>
              <w:tl2br w:val="nil"/>
              <w:tr2bl w:val="nil"/>
            </w:tcBorders>
            <w:shd w:val="clear" w:color="auto" w:fill="auto"/>
            <w:vAlign w:val="center"/>
          </w:tcPr>
          <w:p w14:paraId="412A000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植被景观</w:t>
            </w:r>
          </w:p>
        </w:tc>
        <w:tc>
          <w:tcPr>
            <w:tcW w:w="1614" w:type="dxa"/>
            <w:tcBorders>
              <w:tl2br w:val="nil"/>
              <w:tr2bl w:val="nil"/>
            </w:tcBorders>
            <w:shd w:val="clear" w:color="auto" w:fill="auto"/>
            <w:vAlign w:val="center"/>
          </w:tcPr>
          <w:p w14:paraId="172D4AB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独树与丛树</w:t>
            </w:r>
          </w:p>
        </w:tc>
      </w:tr>
      <w:tr w14:paraId="0276D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428311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78</w:t>
            </w:r>
          </w:p>
        </w:tc>
        <w:tc>
          <w:tcPr>
            <w:tcW w:w="874" w:type="dxa"/>
            <w:vMerge w:val="continue"/>
            <w:tcBorders>
              <w:tl2br w:val="nil"/>
              <w:tr2bl w:val="nil"/>
            </w:tcBorders>
            <w:shd w:val="clear" w:color="auto" w:fill="auto"/>
            <w:vAlign w:val="center"/>
          </w:tcPr>
          <w:p w14:paraId="05CAEF77">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E8DA74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焦作青龙峡东岸大绝壁</w:t>
            </w:r>
          </w:p>
        </w:tc>
        <w:tc>
          <w:tcPr>
            <w:tcW w:w="1265" w:type="dxa"/>
            <w:tcBorders>
              <w:tl2br w:val="nil"/>
              <w:tr2bl w:val="nil"/>
            </w:tcBorders>
            <w:shd w:val="clear" w:color="auto" w:fill="auto"/>
            <w:vAlign w:val="center"/>
          </w:tcPr>
          <w:p w14:paraId="3B1B26C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78824A5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177239F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垄岗状地景</w:t>
            </w:r>
          </w:p>
        </w:tc>
      </w:tr>
      <w:tr w14:paraId="3EA42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BAB791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79</w:t>
            </w:r>
          </w:p>
        </w:tc>
        <w:tc>
          <w:tcPr>
            <w:tcW w:w="874" w:type="dxa"/>
            <w:vMerge w:val="continue"/>
            <w:tcBorders>
              <w:tl2br w:val="nil"/>
              <w:tr2bl w:val="nil"/>
            </w:tcBorders>
            <w:shd w:val="clear" w:color="auto" w:fill="auto"/>
            <w:vAlign w:val="center"/>
          </w:tcPr>
          <w:p w14:paraId="605035D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88EE81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焦作青龙峡龙槽潭</w:t>
            </w:r>
          </w:p>
        </w:tc>
        <w:tc>
          <w:tcPr>
            <w:tcW w:w="1265" w:type="dxa"/>
            <w:tcBorders>
              <w:tl2br w:val="nil"/>
              <w:tr2bl w:val="nil"/>
            </w:tcBorders>
            <w:shd w:val="clear" w:color="auto" w:fill="auto"/>
            <w:vAlign w:val="center"/>
          </w:tcPr>
          <w:p w14:paraId="2C14544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21874EE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湖沼</w:t>
            </w:r>
          </w:p>
        </w:tc>
        <w:tc>
          <w:tcPr>
            <w:tcW w:w="1614" w:type="dxa"/>
            <w:tcBorders>
              <w:tl2br w:val="nil"/>
              <w:tr2bl w:val="nil"/>
            </w:tcBorders>
            <w:shd w:val="clear" w:color="auto" w:fill="auto"/>
            <w:vAlign w:val="center"/>
          </w:tcPr>
          <w:p w14:paraId="4FA04D9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潭池</w:t>
            </w:r>
          </w:p>
        </w:tc>
      </w:tr>
      <w:tr w14:paraId="65542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15FE17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80</w:t>
            </w:r>
          </w:p>
        </w:tc>
        <w:tc>
          <w:tcPr>
            <w:tcW w:w="874" w:type="dxa"/>
            <w:vMerge w:val="continue"/>
            <w:tcBorders>
              <w:tl2br w:val="nil"/>
              <w:tr2bl w:val="nil"/>
            </w:tcBorders>
            <w:shd w:val="clear" w:color="auto" w:fill="auto"/>
            <w:vAlign w:val="center"/>
          </w:tcPr>
          <w:p w14:paraId="098CF7E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8114B0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焦作青龙峡壶穴滩</w:t>
            </w:r>
          </w:p>
        </w:tc>
        <w:tc>
          <w:tcPr>
            <w:tcW w:w="1265" w:type="dxa"/>
            <w:tcBorders>
              <w:tl2br w:val="nil"/>
              <w:tr2bl w:val="nil"/>
            </w:tcBorders>
            <w:shd w:val="clear" w:color="auto" w:fill="auto"/>
            <w:vAlign w:val="center"/>
          </w:tcPr>
          <w:p w14:paraId="16EF34A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19BB9CF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54076DC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游憩河段</w:t>
            </w:r>
          </w:p>
        </w:tc>
      </w:tr>
      <w:tr w14:paraId="699DE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1B35D5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81</w:t>
            </w:r>
          </w:p>
        </w:tc>
        <w:tc>
          <w:tcPr>
            <w:tcW w:w="874" w:type="dxa"/>
            <w:vMerge w:val="continue"/>
            <w:tcBorders>
              <w:tl2br w:val="nil"/>
              <w:tr2bl w:val="nil"/>
            </w:tcBorders>
            <w:shd w:val="clear" w:color="auto" w:fill="auto"/>
            <w:vAlign w:val="center"/>
          </w:tcPr>
          <w:p w14:paraId="19CBFF5C">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866E92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焦作青龙峡花海游憩河段</w:t>
            </w:r>
          </w:p>
        </w:tc>
        <w:tc>
          <w:tcPr>
            <w:tcW w:w="1265" w:type="dxa"/>
            <w:tcBorders>
              <w:tl2br w:val="nil"/>
              <w:tr2bl w:val="nil"/>
            </w:tcBorders>
            <w:shd w:val="clear" w:color="auto" w:fill="auto"/>
            <w:vAlign w:val="center"/>
          </w:tcPr>
          <w:p w14:paraId="6CC7AD4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31893A6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01F3A7F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游憩河段</w:t>
            </w:r>
          </w:p>
        </w:tc>
      </w:tr>
      <w:tr w14:paraId="7CF34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35402F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82</w:t>
            </w:r>
          </w:p>
        </w:tc>
        <w:tc>
          <w:tcPr>
            <w:tcW w:w="874" w:type="dxa"/>
            <w:vMerge w:val="continue"/>
            <w:tcBorders>
              <w:tl2br w:val="nil"/>
              <w:tr2bl w:val="nil"/>
            </w:tcBorders>
            <w:shd w:val="clear" w:color="auto" w:fill="auto"/>
            <w:vAlign w:val="center"/>
          </w:tcPr>
          <w:p w14:paraId="51E0D7AB">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1ABF99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焦作青龙峡青龙庙台地</w:t>
            </w:r>
          </w:p>
        </w:tc>
        <w:tc>
          <w:tcPr>
            <w:tcW w:w="1265" w:type="dxa"/>
            <w:tcBorders>
              <w:tl2br w:val="nil"/>
              <w:tr2bl w:val="nil"/>
            </w:tcBorders>
            <w:shd w:val="clear" w:color="auto" w:fill="auto"/>
            <w:vAlign w:val="center"/>
          </w:tcPr>
          <w:p w14:paraId="1B5971B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78F0554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自然景观综合体</w:t>
            </w:r>
          </w:p>
        </w:tc>
        <w:tc>
          <w:tcPr>
            <w:tcW w:w="1614" w:type="dxa"/>
            <w:tcBorders>
              <w:tl2br w:val="nil"/>
              <w:tr2bl w:val="nil"/>
            </w:tcBorders>
            <w:shd w:val="clear" w:color="auto" w:fill="auto"/>
            <w:vAlign w:val="center"/>
          </w:tcPr>
          <w:p w14:paraId="5DFF71C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台地型景观</w:t>
            </w:r>
          </w:p>
        </w:tc>
      </w:tr>
      <w:tr w14:paraId="14279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900DBC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83</w:t>
            </w:r>
          </w:p>
        </w:tc>
        <w:tc>
          <w:tcPr>
            <w:tcW w:w="874" w:type="dxa"/>
            <w:vMerge w:val="continue"/>
            <w:tcBorders>
              <w:tl2br w:val="nil"/>
              <w:tr2bl w:val="nil"/>
            </w:tcBorders>
            <w:shd w:val="clear" w:color="auto" w:fill="auto"/>
            <w:vAlign w:val="center"/>
          </w:tcPr>
          <w:p w14:paraId="4B4F2A38">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2542C8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修武大沙河生态绿道</w:t>
            </w:r>
          </w:p>
        </w:tc>
        <w:tc>
          <w:tcPr>
            <w:tcW w:w="1265" w:type="dxa"/>
            <w:tcBorders>
              <w:tl2br w:val="nil"/>
              <w:tr2bl w:val="nil"/>
            </w:tcBorders>
            <w:shd w:val="clear" w:color="auto" w:fill="auto"/>
            <w:vAlign w:val="center"/>
          </w:tcPr>
          <w:p w14:paraId="5A8022D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5B154DF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景观与小品建筑</w:t>
            </w:r>
          </w:p>
        </w:tc>
        <w:tc>
          <w:tcPr>
            <w:tcW w:w="1614" w:type="dxa"/>
            <w:tcBorders>
              <w:tl2br w:val="nil"/>
              <w:tr2bl w:val="nil"/>
            </w:tcBorders>
            <w:shd w:val="clear" w:color="auto" w:fill="auto"/>
            <w:vAlign w:val="center"/>
          </w:tcPr>
          <w:p w14:paraId="5757B30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景观步道、甬路</w:t>
            </w:r>
          </w:p>
        </w:tc>
      </w:tr>
      <w:tr w14:paraId="3C464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3A878B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84</w:t>
            </w:r>
          </w:p>
        </w:tc>
        <w:tc>
          <w:tcPr>
            <w:tcW w:w="874" w:type="dxa"/>
            <w:vMerge w:val="continue"/>
            <w:tcBorders>
              <w:tl2br w:val="nil"/>
              <w:tr2bl w:val="nil"/>
            </w:tcBorders>
            <w:shd w:val="clear" w:color="auto" w:fill="auto"/>
            <w:vAlign w:val="center"/>
          </w:tcPr>
          <w:p w14:paraId="479C202D">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8FC154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修武净影大峡谷翠潭</w:t>
            </w:r>
          </w:p>
        </w:tc>
        <w:tc>
          <w:tcPr>
            <w:tcW w:w="1265" w:type="dxa"/>
            <w:tcBorders>
              <w:tl2br w:val="nil"/>
              <w:tr2bl w:val="nil"/>
            </w:tcBorders>
            <w:shd w:val="clear" w:color="auto" w:fill="auto"/>
            <w:vAlign w:val="center"/>
          </w:tcPr>
          <w:p w14:paraId="37B97C7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38D70A1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湖沼</w:t>
            </w:r>
          </w:p>
        </w:tc>
        <w:tc>
          <w:tcPr>
            <w:tcW w:w="1614" w:type="dxa"/>
            <w:tcBorders>
              <w:tl2br w:val="nil"/>
              <w:tr2bl w:val="nil"/>
            </w:tcBorders>
            <w:shd w:val="clear" w:color="auto" w:fill="auto"/>
            <w:vAlign w:val="center"/>
          </w:tcPr>
          <w:p w14:paraId="4F77569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潭池</w:t>
            </w:r>
          </w:p>
        </w:tc>
      </w:tr>
      <w:tr w14:paraId="61AF6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F5ABC3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85</w:t>
            </w:r>
          </w:p>
        </w:tc>
        <w:tc>
          <w:tcPr>
            <w:tcW w:w="874" w:type="dxa"/>
            <w:vMerge w:val="continue"/>
            <w:tcBorders>
              <w:tl2br w:val="nil"/>
              <w:tr2bl w:val="nil"/>
            </w:tcBorders>
            <w:shd w:val="clear" w:color="auto" w:fill="auto"/>
            <w:vAlign w:val="center"/>
          </w:tcPr>
          <w:p w14:paraId="5F327E6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F4E1B9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修武净影大峡谷天梯瀑</w:t>
            </w:r>
          </w:p>
        </w:tc>
        <w:tc>
          <w:tcPr>
            <w:tcW w:w="1265" w:type="dxa"/>
            <w:tcBorders>
              <w:tl2br w:val="nil"/>
              <w:tr2bl w:val="nil"/>
            </w:tcBorders>
            <w:shd w:val="clear" w:color="auto" w:fill="auto"/>
            <w:vAlign w:val="center"/>
          </w:tcPr>
          <w:p w14:paraId="7BA52BD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7D0DC54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0812535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瀑布</w:t>
            </w:r>
          </w:p>
        </w:tc>
      </w:tr>
      <w:tr w14:paraId="74542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F5CC6D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86</w:t>
            </w:r>
          </w:p>
        </w:tc>
        <w:tc>
          <w:tcPr>
            <w:tcW w:w="874" w:type="dxa"/>
            <w:vMerge w:val="continue"/>
            <w:tcBorders>
              <w:tl2br w:val="nil"/>
              <w:tr2bl w:val="nil"/>
            </w:tcBorders>
            <w:shd w:val="clear" w:color="auto" w:fill="auto"/>
            <w:vAlign w:val="center"/>
          </w:tcPr>
          <w:p w14:paraId="578C6445">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4D4D6F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修武净影大峡谷擎山峰</w:t>
            </w:r>
          </w:p>
        </w:tc>
        <w:tc>
          <w:tcPr>
            <w:tcW w:w="1265" w:type="dxa"/>
            <w:tcBorders>
              <w:tl2br w:val="nil"/>
              <w:tr2bl w:val="nil"/>
            </w:tcBorders>
            <w:shd w:val="clear" w:color="auto" w:fill="auto"/>
            <w:vAlign w:val="center"/>
          </w:tcPr>
          <w:p w14:paraId="0331F55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123FE57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6EA64EF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峰柱状地景</w:t>
            </w:r>
          </w:p>
        </w:tc>
      </w:tr>
      <w:tr w14:paraId="452CC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2769BA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87</w:t>
            </w:r>
          </w:p>
        </w:tc>
        <w:tc>
          <w:tcPr>
            <w:tcW w:w="874" w:type="dxa"/>
            <w:vMerge w:val="continue"/>
            <w:tcBorders>
              <w:tl2br w:val="nil"/>
              <w:tr2bl w:val="nil"/>
            </w:tcBorders>
            <w:shd w:val="clear" w:color="auto" w:fill="auto"/>
            <w:vAlign w:val="center"/>
          </w:tcPr>
          <w:p w14:paraId="2DE1F352">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698EBA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修武净影大峡谷悬崖</w:t>
            </w:r>
          </w:p>
        </w:tc>
        <w:tc>
          <w:tcPr>
            <w:tcW w:w="1265" w:type="dxa"/>
            <w:tcBorders>
              <w:tl2br w:val="nil"/>
              <w:tr2bl w:val="nil"/>
            </w:tcBorders>
            <w:shd w:val="clear" w:color="auto" w:fill="auto"/>
            <w:vAlign w:val="center"/>
          </w:tcPr>
          <w:p w14:paraId="5CDABCA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36B3BED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地质与构造形迹</w:t>
            </w:r>
          </w:p>
        </w:tc>
        <w:tc>
          <w:tcPr>
            <w:tcW w:w="1614" w:type="dxa"/>
            <w:tcBorders>
              <w:tl2br w:val="nil"/>
              <w:tr2bl w:val="nil"/>
            </w:tcBorders>
            <w:shd w:val="clear" w:color="auto" w:fill="auto"/>
            <w:vAlign w:val="center"/>
          </w:tcPr>
          <w:p w14:paraId="3A1BF8C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断裂景观</w:t>
            </w:r>
          </w:p>
        </w:tc>
      </w:tr>
      <w:tr w14:paraId="54355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0CE3DB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88</w:t>
            </w:r>
          </w:p>
        </w:tc>
        <w:tc>
          <w:tcPr>
            <w:tcW w:w="874" w:type="dxa"/>
            <w:vMerge w:val="continue"/>
            <w:tcBorders>
              <w:tl2br w:val="nil"/>
              <w:tr2bl w:val="nil"/>
            </w:tcBorders>
            <w:shd w:val="clear" w:color="auto" w:fill="auto"/>
            <w:vAlign w:val="center"/>
          </w:tcPr>
          <w:p w14:paraId="1C545F9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36463C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修武净影大峡谷石根瀑</w:t>
            </w:r>
          </w:p>
        </w:tc>
        <w:tc>
          <w:tcPr>
            <w:tcW w:w="1265" w:type="dxa"/>
            <w:tcBorders>
              <w:tl2br w:val="nil"/>
              <w:tr2bl w:val="nil"/>
            </w:tcBorders>
            <w:shd w:val="clear" w:color="auto" w:fill="auto"/>
            <w:vAlign w:val="center"/>
          </w:tcPr>
          <w:p w14:paraId="55431EB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5432BA8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5AD6E9F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瀑布</w:t>
            </w:r>
          </w:p>
        </w:tc>
      </w:tr>
      <w:tr w14:paraId="0B0F4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49FA6C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89</w:t>
            </w:r>
          </w:p>
        </w:tc>
        <w:tc>
          <w:tcPr>
            <w:tcW w:w="874" w:type="dxa"/>
            <w:vMerge w:val="continue"/>
            <w:tcBorders>
              <w:tl2br w:val="nil"/>
              <w:tr2bl w:val="nil"/>
            </w:tcBorders>
            <w:shd w:val="clear" w:color="auto" w:fill="auto"/>
            <w:vAlign w:val="center"/>
          </w:tcPr>
          <w:p w14:paraId="468A48DC">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4BB1CA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修武净影大峡阶瀑</w:t>
            </w:r>
          </w:p>
        </w:tc>
        <w:tc>
          <w:tcPr>
            <w:tcW w:w="1265" w:type="dxa"/>
            <w:tcBorders>
              <w:tl2br w:val="nil"/>
              <w:tr2bl w:val="nil"/>
            </w:tcBorders>
            <w:shd w:val="clear" w:color="auto" w:fill="auto"/>
            <w:vAlign w:val="center"/>
          </w:tcPr>
          <w:p w14:paraId="49FE604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31436CF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027E752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瀑布</w:t>
            </w:r>
          </w:p>
        </w:tc>
      </w:tr>
      <w:tr w14:paraId="74D48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A7BB52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90</w:t>
            </w:r>
          </w:p>
        </w:tc>
        <w:tc>
          <w:tcPr>
            <w:tcW w:w="874" w:type="dxa"/>
            <w:vMerge w:val="continue"/>
            <w:tcBorders>
              <w:tl2br w:val="nil"/>
              <w:tr2bl w:val="nil"/>
            </w:tcBorders>
            <w:shd w:val="clear" w:color="auto" w:fill="auto"/>
            <w:vAlign w:val="center"/>
          </w:tcPr>
          <w:p w14:paraId="1F55F9A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EF6C45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修武净影大峡谷笔架山</w:t>
            </w:r>
          </w:p>
        </w:tc>
        <w:tc>
          <w:tcPr>
            <w:tcW w:w="1265" w:type="dxa"/>
            <w:tcBorders>
              <w:tl2br w:val="nil"/>
              <w:tr2bl w:val="nil"/>
            </w:tcBorders>
            <w:shd w:val="clear" w:color="auto" w:fill="auto"/>
            <w:vAlign w:val="center"/>
          </w:tcPr>
          <w:p w14:paraId="35CA3AE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55840BF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659EF3A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峰柱状地景</w:t>
            </w:r>
          </w:p>
        </w:tc>
      </w:tr>
      <w:tr w14:paraId="1494E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F226C2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91</w:t>
            </w:r>
          </w:p>
        </w:tc>
        <w:tc>
          <w:tcPr>
            <w:tcW w:w="874" w:type="dxa"/>
            <w:vMerge w:val="continue"/>
            <w:tcBorders>
              <w:tl2br w:val="nil"/>
              <w:tr2bl w:val="nil"/>
            </w:tcBorders>
            <w:shd w:val="clear" w:color="auto" w:fill="auto"/>
            <w:vAlign w:val="center"/>
          </w:tcPr>
          <w:p w14:paraId="64ADF577">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5483E5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修武净影大峡谷叠石谷</w:t>
            </w:r>
          </w:p>
        </w:tc>
        <w:tc>
          <w:tcPr>
            <w:tcW w:w="1265" w:type="dxa"/>
            <w:tcBorders>
              <w:tl2br w:val="nil"/>
              <w:tr2bl w:val="nil"/>
            </w:tcBorders>
            <w:shd w:val="clear" w:color="auto" w:fill="auto"/>
            <w:vAlign w:val="center"/>
          </w:tcPr>
          <w:p w14:paraId="5049E6B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77C37A4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自然景观综合体</w:t>
            </w:r>
          </w:p>
        </w:tc>
        <w:tc>
          <w:tcPr>
            <w:tcW w:w="1614" w:type="dxa"/>
            <w:tcBorders>
              <w:tl2br w:val="nil"/>
              <w:tr2bl w:val="nil"/>
            </w:tcBorders>
            <w:shd w:val="clear" w:color="auto" w:fill="auto"/>
            <w:vAlign w:val="center"/>
          </w:tcPr>
          <w:p w14:paraId="1CF7AC1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沟谷型景观</w:t>
            </w:r>
          </w:p>
        </w:tc>
      </w:tr>
      <w:tr w14:paraId="13688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2D7228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92</w:t>
            </w:r>
          </w:p>
        </w:tc>
        <w:tc>
          <w:tcPr>
            <w:tcW w:w="874" w:type="dxa"/>
            <w:vMerge w:val="continue"/>
            <w:tcBorders>
              <w:tl2br w:val="nil"/>
              <w:tr2bl w:val="nil"/>
            </w:tcBorders>
            <w:shd w:val="clear" w:color="auto" w:fill="auto"/>
            <w:vAlign w:val="center"/>
          </w:tcPr>
          <w:p w14:paraId="58F84C2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0D9EC5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焦作云台山凤凰岭波浪形长崖</w:t>
            </w:r>
          </w:p>
        </w:tc>
        <w:tc>
          <w:tcPr>
            <w:tcW w:w="1265" w:type="dxa"/>
            <w:tcBorders>
              <w:tl2br w:val="nil"/>
              <w:tr2bl w:val="nil"/>
            </w:tcBorders>
            <w:shd w:val="clear" w:color="auto" w:fill="auto"/>
            <w:vAlign w:val="center"/>
          </w:tcPr>
          <w:p w14:paraId="23267E3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0473763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地质与构造形迹</w:t>
            </w:r>
          </w:p>
        </w:tc>
        <w:tc>
          <w:tcPr>
            <w:tcW w:w="1614" w:type="dxa"/>
            <w:tcBorders>
              <w:tl2br w:val="nil"/>
              <w:tr2bl w:val="nil"/>
            </w:tcBorders>
            <w:shd w:val="clear" w:color="auto" w:fill="auto"/>
            <w:vAlign w:val="center"/>
          </w:tcPr>
          <w:p w14:paraId="7841AC4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断裂景观</w:t>
            </w:r>
          </w:p>
        </w:tc>
      </w:tr>
      <w:tr w14:paraId="5948E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79FB40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93</w:t>
            </w:r>
          </w:p>
        </w:tc>
        <w:tc>
          <w:tcPr>
            <w:tcW w:w="874" w:type="dxa"/>
            <w:vMerge w:val="continue"/>
            <w:tcBorders>
              <w:tl2br w:val="nil"/>
              <w:tr2bl w:val="nil"/>
            </w:tcBorders>
            <w:shd w:val="clear" w:color="auto" w:fill="auto"/>
            <w:vAlign w:val="center"/>
          </w:tcPr>
          <w:p w14:paraId="728D2BA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AE530B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焦作云台山凤凰岭金蟾峰</w:t>
            </w:r>
          </w:p>
        </w:tc>
        <w:tc>
          <w:tcPr>
            <w:tcW w:w="1265" w:type="dxa"/>
            <w:tcBorders>
              <w:tl2br w:val="nil"/>
              <w:tr2bl w:val="nil"/>
            </w:tcBorders>
            <w:shd w:val="clear" w:color="auto" w:fill="auto"/>
            <w:vAlign w:val="center"/>
          </w:tcPr>
          <w:p w14:paraId="4390E79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36C338B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6C38ED8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奇特与象形山石</w:t>
            </w:r>
          </w:p>
        </w:tc>
      </w:tr>
      <w:tr w14:paraId="5EA05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24961B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94</w:t>
            </w:r>
          </w:p>
        </w:tc>
        <w:tc>
          <w:tcPr>
            <w:tcW w:w="874" w:type="dxa"/>
            <w:vMerge w:val="continue"/>
            <w:tcBorders>
              <w:tl2br w:val="nil"/>
              <w:tr2bl w:val="nil"/>
            </w:tcBorders>
            <w:shd w:val="clear" w:color="auto" w:fill="auto"/>
            <w:vAlign w:val="center"/>
          </w:tcPr>
          <w:p w14:paraId="528CD42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AED158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焦作云台山凤凰岭观音讲经峰</w:t>
            </w:r>
          </w:p>
        </w:tc>
        <w:tc>
          <w:tcPr>
            <w:tcW w:w="1265" w:type="dxa"/>
            <w:tcBorders>
              <w:tl2br w:val="nil"/>
              <w:tr2bl w:val="nil"/>
            </w:tcBorders>
            <w:shd w:val="clear" w:color="auto" w:fill="auto"/>
            <w:vAlign w:val="center"/>
          </w:tcPr>
          <w:p w14:paraId="7F1D935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3B51142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282FF11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峰柱状地景</w:t>
            </w:r>
          </w:p>
        </w:tc>
      </w:tr>
      <w:tr w14:paraId="3B061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6E593B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95</w:t>
            </w:r>
          </w:p>
        </w:tc>
        <w:tc>
          <w:tcPr>
            <w:tcW w:w="874" w:type="dxa"/>
            <w:vMerge w:val="continue"/>
            <w:tcBorders>
              <w:tl2br w:val="nil"/>
              <w:tr2bl w:val="nil"/>
            </w:tcBorders>
            <w:shd w:val="clear" w:color="auto" w:fill="auto"/>
            <w:vAlign w:val="center"/>
          </w:tcPr>
          <w:p w14:paraId="15218BA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E0388B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焦作云台山小寨沟缥缈峰</w:t>
            </w:r>
          </w:p>
        </w:tc>
        <w:tc>
          <w:tcPr>
            <w:tcW w:w="1265" w:type="dxa"/>
            <w:tcBorders>
              <w:tl2br w:val="nil"/>
              <w:tr2bl w:val="nil"/>
            </w:tcBorders>
            <w:shd w:val="clear" w:color="auto" w:fill="auto"/>
            <w:vAlign w:val="center"/>
          </w:tcPr>
          <w:p w14:paraId="7FB83ED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321FEA3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479EB28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峰柱状地景</w:t>
            </w:r>
          </w:p>
        </w:tc>
      </w:tr>
      <w:tr w14:paraId="6D2B5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12BE8D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96</w:t>
            </w:r>
          </w:p>
        </w:tc>
        <w:tc>
          <w:tcPr>
            <w:tcW w:w="874" w:type="dxa"/>
            <w:vMerge w:val="continue"/>
            <w:tcBorders>
              <w:tl2br w:val="nil"/>
              <w:tr2bl w:val="nil"/>
            </w:tcBorders>
            <w:shd w:val="clear" w:color="auto" w:fill="auto"/>
            <w:vAlign w:val="center"/>
          </w:tcPr>
          <w:p w14:paraId="00B0991B">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58835B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焦作云台山凤凰岭仙悟峰</w:t>
            </w:r>
          </w:p>
        </w:tc>
        <w:tc>
          <w:tcPr>
            <w:tcW w:w="1265" w:type="dxa"/>
            <w:tcBorders>
              <w:tl2br w:val="nil"/>
              <w:tr2bl w:val="nil"/>
            </w:tcBorders>
            <w:shd w:val="clear" w:color="auto" w:fill="auto"/>
            <w:vAlign w:val="center"/>
          </w:tcPr>
          <w:p w14:paraId="61E9084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42ADE3A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6513DEE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峰柱状地景</w:t>
            </w:r>
          </w:p>
        </w:tc>
      </w:tr>
      <w:tr w14:paraId="2F46A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47B729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97</w:t>
            </w:r>
          </w:p>
        </w:tc>
        <w:tc>
          <w:tcPr>
            <w:tcW w:w="874" w:type="dxa"/>
            <w:vMerge w:val="continue"/>
            <w:tcBorders>
              <w:tl2br w:val="nil"/>
              <w:tr2bl w:val="nil"/>
            </w:tcBorders>
            <w:shd w:val="clear" w:color="auto" w:fill="auto"/>
            <w:vAlign w:val="center"/>
          </w:tcPr>
          <w:p w14:paraId="5AAD9A9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CEA693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焦作云台山凤凰岭梦仙岭</w:t>
            </w:r>
          </w:p>
        </w:tc>
        <w:tc>
          <w:tcPr>
            <w:tcW w:w="1265" w:type="dxa"/>
            <w:tcBorders>
              <w:tl2br w:val="nil"/>
              <w:tr2bl w:val="nil"/>
            </w:tcBorders>
            <w:shd w:val="clear" w:color="auto" w:fill="auto"/>
            <w:vAlign w:val="center"/>
          </w:tcPr>
          <w:p w14:paraId="1E605FC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536DCCB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153FFF4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垄岗状地景</w:t>
            </w:r>
          </w:p>
        </w:tc>
      </w:tr>
      <w:tr w14:paraId="28450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7A595F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98</w:t>
            </w:r>
          </w:p>
        </w:tc>
        <w:tc>
          <w:tcPr>
            <w:tcW w:w="874" w:type="dxa"/>
            <w:vMerge w:val="continue"/>
            <w:tcBorders>
              <w:tl2br w:val="nil"/>
              <w:tr2bl w:val="nil"/>
            </w:tcBorders>
            <w:shd w:val="clear" w:color="auto" w:fill="auto"/>
            <w:vAlign w:val="center"/>
          </w:tcPr>
          <w:p w14:paraId="476D028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0AC317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焦作云台山凤凰岭围谷</w:t>
            </w:r>
          </w:p>
        </w:tc>
        <w:tc>
          <w:tcPr>
            <w:tcW w:w="1265" w:type="dxa"/>
            <w:tcBorders>
              <w:tl2br w:val="nil"/>
              <w:tr2bl w:val="nil"/>
            </w:tcBorders>
            <w:shd w:val="clear" w:color="auto" w:fill="auto"/>
            <w:vAlign w:val="center"/>
          </w:tcPr>
          <w:p w14:paraId="1E35088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20DF91E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地质与构造形迹</w:t>
            </w:r>
          </w:p>
        </w:tc>
        <w:tc>
          <w:tcPr>
            <w:tcW w:w="1614" w:type="dxa"/>
            <w:tcBorders>
              <w:tl2br w:val="nil"/>
              <w:tr2bl w:val="nil"/>
            </w:tcBorders>
            <w:shd w:val="clear" w:color="auto" w:fill="auto"/>
            <w:vAlign w:val="center"/>
          </w:tcPr>
          <w:p w14:paraId="614097B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断裂景观</w:t>
            </w:r>
          </w:p>
        </w:tc>
      </w:tr>
      <w:tr w14:paraId="71089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C0EC0F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99</w:t>
            </w:r>
          </w:p>
        </w:tc>
        <w:tc>
          <w:tcPr>
            <w:tcW w:w="874" w:type="dxa"/>
            <w:vMerge w:val="continue"/>
            <w:tcBorders>
              <w:tl2br w:val="nil"/>
              <w:tr2bl w:val="nil"/>
            </w:tcBorders>
            <w:shd w:val="clear" w:color="auto" w:fill="auto"/>
            <w:vAlign w:val="center"/>
          </w:tcPr>
          <w:p w14:paraId="34911C58">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C90E07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焦作云台山潭瀑峡"Y"字瀑</w:t>
            </w:r>
          </w:p>
        </w:tc>
        <w:tc>
          <w:tcPr>
            <w:tcW w:w="1265" w:type="dxa"/>
            <w:tcBorders>
              <w:tl2br w:val="nil"/>
              <w:tr2bl w:val="nil"/>
            </w:tcBorders>
            <w:shd w:val="clear" w:color="auto" w:fill="auto"/>
            <w:vAlign w:val="center"/>
          </w:tcPr>
          <w:p w14:paraId="6A1943B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3173635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5F256AC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瀑布</w:t>
            </w:r>
          </w:p>
        </w:tc>
      </w:tr>
      <w:tr w14:paraId="0875C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62D89B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100</w:t>
            </w:r>
          </w:p>
        </w:tc>
        <w:tc>
          <w:tcPr>
            <w:tcW w:w="874" w:type="dxa"/>
            <w:vMerge w:val="continue"/>
            <w:tcBorders>
              <w:tl2br w:val="nil"/>
              <w:tr2bl w:val="nil"/>
            </w:tcBorders>
            <w:shd w:val="clear" w:color="auto" w:fill="auto"/>
            <w:vAlign w:val="center"/>
          </w:tcPr>
          <w:p w14:paraId="45F9A5D3">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E1194E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焦作云台山潭瀑峡金龙卧波瀑布</w:t>
            </w:r>
          </w:p>
        </w:tc>
        <w:tc>
          <w:tcPr>
            <w:tcW w:w="1265" w:type="dxa"/>
            <w:tcBorders>
              <w:tl2br w:val="nil"/>
              <w:tr2bl w:val="nil"/>
            </w:tcBorders>
            <w:shd w:val="clear" w:color="auto" w:fill="auto"/>
            <w:vAlign w:val="center"/>
          </w:tcPr>
          <w:p w14:paraId="06D4AF1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6BC19A7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5EB8AD8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瀑布</w:t>
            </w:r>
          </w:p>
        </w:tc>
      </w:tr>
      <w:tr w14:paraId="4033E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734191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101</w:t>
            </w:r>
          </w:p>
        </w:tc>
        <w:tc>
          <w:tcPr>
            <w:tcW w:w="874" w:type="dxa"/>
            <w:vMerge w:val="continue"/>
            <w:tcBorders>
              <w:tl2br w:val="nil"/>
              <w:tr2bl w:val="nil"/>
            </w:tcBorders>
            <w:shd w:val="clear" w:color="auto" w:fill="auto"/>
            <w:vAlign w:val="center"/>
          </w:tcPr>
          <w:p w14:paraId="4AFC785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EC7D3B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焦作云台山潭瀑峡情人瀑</w:t>
            </w:r>
          </w:p>
        </w:tc>
        <w:tc>
          <w:tcPr>
            <w:tcW w:w="1265" w:type="dxa"/>
            <w:tcBorders>
              <w:tl2br w:val="nil"/>
              <w:tr2bl w:val="nil"/>
            </w:tcBorders>
            <w:shd w:val="clear" w:color="auto" w:fill="auto"/>
            <w:vAlign w:val="center"/>
          </w:tcPr>
          <w:p w14:paraId="40896B5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3FE0536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346F7C6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瀑布</w:t>
            </w:r>
          </w:p>
        </w:tc>
      </w:tr>
      <w:tr w14:paraId="24DA7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84C8BD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102</w:t>
            </w:r>
          </w:p>
        </w:tc>
        <w:tc>
          <w:tcPr>
            <w:tcW w:w="874" w:type="dxa"/>
            <w:vMerge w:val="continue"/>
            <w:tcBorders>
              <w:tl2br w:val="nil"/>
              <w:tr2bl w:val="nil"/>
            </w:tcBorders>
            <w:shd w:val="clear" w:color="auto" w:fill="auto"/>
            <w:vAlign w:val="center"/>
          </w:tcPr>
          <w:p w14:paraId="79AB4590">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DFF63F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焦作云台山潭瀑峡洗砚池</w:t>
            </w:r>
          </w:p>
        </w:tc>
        <w:tc>
          <w:tcPr>
            <w:tcW w:w="1265" w:type="dxa"/>
            <w:tcBorders>
              <w:tl2br w:val="nil"/>
              <w:tr2bl w:val="nil"/>
            </w:tcBorders>
            <w:shd w:val="clear" w:color="auto" w:fill="auto"/>
            <w:vAlign w:val="center"/>
          </w:tcPr>
          <w:p w14:paraId="20B689C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694BC01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湖沼</w:t>
            </w:r>
          </w:p>
        </w:tc>
        <w:tc>
          <w:tcPr>
            <w:tcW w:w="1614" w:type="dxa"/>
            <w:tcBorders>
              <w:tl2br w:val="nil"/>
              <w:tr2bl w:val="nil"/>
            </w:tcBorders>
            <w:shd w:val="clear" w:color="auto" w:fill="auto"/>
            <w:vAlign w:val="center"/>
          </w:tcPr>
          <w:p w14:paraId="3BDAAE4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潭池</w:t>
            </w:r>
          </w:p>
        </w:tc>
      </w:tr>
      <w:tr w14:paraId="0768F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5C11FD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103</w:t>
            </w:r>
          </w:p>
        </w:tc>
        <w:tc>
          <w:tcPr>
            <w:tcW w:w="874" w:type="dxa"/>
            <w:vMerge w:val="continue"/>
            <w:tcBorders>
              <w:tl2br w:val="nil"/>
              <w:tr2bl w:val="nil"/>
            </w:tcBorders>
            <w:shd w:val="clear" w:color="auto" w:fill="auto"/>
            <w:vAlign w:val="center"/>
          </w:tcPr>
          <w:p w14:paraId="57F4689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1F9B9A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焦作云台山潭瀑峡西岸长崖</w:t>
            </w:r>
          </w:p>
        </w:tc>
        <w:tc>
          <w:tcPr>
            <w:tcW w:w="1265" w:type="dxa"/>
            <w:tcBorders>
              <w:tl2br w:val="nil"/>
              <w:tr2bl w:val="nil"/>
            </w:tcBorders>
            <w:shd w:val="clear" w:color="auto" w:fill="auto"/>
            <w:vAlign w:val="center"/>
          </w:tcPr>
          <w:p w14:paraId="2438AF1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17BE207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地质与构造形迹</w:t>
            </w:r>
          </w:p>
        </w:tc>
        <w:tc>
          <w:tcPr>
            <w:tcW w:w="1614" w:type="dxa"/>
            <w:tcBorders>
              <w:tl2br w:val="nil"/>
              <w:tr2bl w:val="nil"/>
            </w:tcBorders>
            <w:shd w:val="clear" w:color="auto" w:fill="auto"/>
            <w:vAlign w:val="center"/>
          </w:tcPr>
          <w:p w14:paraId="1228684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断裂景观</w:t>
            </w:r>
          </w:p>
        </w:tc>
      </w:tr>
      <w:tr w14:paraId="14A76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60C36C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104</w:t>
            </w:r>
          </w:p>
        </w:tc>
        <w:tc>
          <w:tcPr>
            <w:tcW w:w="874" w:type="dxa"/>
            <w:vMerge w:val="continue"/>
            <w:tcBorders>
              <w:tl2br w:val="nil"/>
              <w:tr2bl w:val="nil"/>
            </w:tcBorders>
            <w:shd w:val="clear" w:color="auto" w:fill="auto"/>
            <w:vAlign w:val="center"/>
          </w:tcPr>
          <w:p w14:paraId="0A2407C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84C4D2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焦作云台山猕猴栖息地</w:t>
            </w:r>
          </w:p>
        </w:tc>
        <w:tc>
          <w:tcPr>
            <w:tcW w:w="1265" w:type="dxa"/>
            <w:tcBorders>
              <w:tl2br w:val="nil"/>
              <w:tr2bl w:val="nil"/>
            </w:tcBorders>
            <w:shd w:val="clear" w:color="auto" w:fill="auto"/>
            <w:vAlign w:val="center"/>
          </w:tcPr>
          <w:p w14:paraId="26BA528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生物景观</w:t>
            </w:r>
          </w:p>
        </w:tc>
        <w:tc>
          <w:tcPr>
            <w:tcW w:w="1241" w:type="dxa"/>
            <w:tcBorders>
              <w:tl2br w:val="nil"/>
              <w:tr2bl w:val="nil"/>
            </w:tcBorders>
            <w:shd w:val="clear" w:color="auto" w:fill="auto"/>
            <w:vAlign w:val="center"/>
          </w:tcPr>
          <w:p w14:paraId="73DD243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野生动物栖息地</w:t>
            </w:r>
          </w:p>
        </w:tc>
        <w:tc>
          <w:tcPr>
            <w:tcW w:w="1614" w:type="dxa"/>
            <w:tcBorders>
              <w:tl2br w:val="nil"/>
              <w:tr2bl w:val="nil"/>
            </w:tcBorders>
            <w:shd w:val="clear" w:color="auto" w:fill="auto"/>
            <w:vAlign w:val="center"/>
          </w:tcPr>
          <w:p w14:paraId="672D325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陆地动物栖息地</w:t>
            </w:r>
          </w:p>
        </w:tc>
      </w:tr>
      <w:tr w14:paraId="7C6A0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95E902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105</w:t>
            </w:r>
          </w:p>
        </w:tc>
        <w:tc>
          <w:tcPr>
            <w:tcW w:w="874" w:type="dxa"/>
            <w:vMerge w:val="continue"/>
            <w:tcBorders>
              <w:tl2br w:val="nil"/>
              <w:tr2bl w:val="nil"/>
            </w:tcBorders>
            <w:shd w:val="clear" w:color="auto" w:fill="auto"/>
            <w:vAlign w:val="center"/>
          </w:tcPr>
          <w:p w14:paraId="0FBEF13B">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5166DF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焦作云台山潭瀑峡漫水滩</w:t>
            </w:r>
          </w:p>
        </w:tc>
        <w:tc>
          <w:tcPr>
            <w:tcW w:w="1265" w:type="dxa"/>
            <w:tcBorders>
              <w:tl2br w:val="nil"/>
              <w:tr2bl w:val="nil"/>
            </w:tcBorders>
            <w:shd w:val="clear" w:color="auto" w:fill="auto"/>
            <w:vAlign w:val="center"/>
          </w:tcPr>
          <w:p w14:paraId="42910DA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0EAF10E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00862A3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游憩河段</w:t>
            </w:r>
          </w:p>
        </w:tc>
      </w:tr>
      <w:tr w14:paraId="2C67F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620D27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106</w:t>
            </w:r>
          </w:p>
        </w:tc>
        <w:tc>
          <w:tcPr>
            <w:tcW w:w="874" w:type="dxa"/>
            <w:vMerge w:val="continue"/>
            <w:tcBorders>
              <w:tl2br w:val="nil"/>
              <w:tr2bl w:val="nil"/>
            </w:tcBorders>
            <w:shd w:val="clear" w:color="auto" w:fill="auto"/>
            <w:vAlign w:val="center"/>
          </w:tcPr>
          <w:p w14:paraId="0C44FDF7">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2503B2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焦作云台山藏翠沟</w:t>
            </w:r>
          </w:p>
        </w:tc>
        <w:tc>
          <w:tcPr>
            <w:tcW w:w="1265" w:type="dxa"/>
            <w:tcBorders>
              <w:tl2br w:val="nil"/>
              <w:tr2bl w:val="nil"/>
            </w:tcBorders>
            <w:shd w:val="clear" w:color="auto" w:fill="auto"/>
            <w:vAlign w:val="center"/>
          </w:tcPr>
          <w:p w14:paraId="59DBB3D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1BC5489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自然景观综合体</w:t>
            </w:r>
          </w:p>
        </w:tc>
        <w:tc>
          <w:tcPr>
            <w:tcW w:w="1614" w:type="dxa"/>
            <w:tcBorders>
              <w:tl2br w:val="nil"/>
              <w:tr2bl w:val="nil"/>
            </w:tcBorders>
            <w:shd w:val="clear" w:color="auto" w:fill="auto"/>
            <w:vAlign w:val="center"/>
          </w:tcPr>
          <w:p w14:paraId="0146361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沟谷型景观</w:t>
            </w:r>
          </w:p>
        </w:tc>
      </w:tr>
      <w:tr w14:paraId="7FD9B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218E61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107</w:t>
            </w:r>
          </w:p>
        </w:tc>
        <w:tc>
          <w:tcPr>
            <w:tcW w:w="874" w:type="dxa"/>
            <w:vMerge w:val="continue"/>
            <w:tcBorders>
              <w:tl2br w:val="nil"/>
              <w:tr2bl w:val="nil"/>
            </w:tcBorders>
            <w:shd w:val="clear" w:color="auto" w:fill="auto"/>
            <w:vAlign w:val="center"/>
          </w:tcPr>
          <w:p w14:paraId="446913C0">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A59B19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焦作云台山潭瀑峡W山峰</w:t>
            </w:r>
          </w:p>
        </w:tc>
        <w:tc>
          <w:tcPr>
            <w:tcW w:w="1265" w:type="dxa"/>
            <w:tcBorders>
              <w:tl2br w:val="nil"/>
              <w:tr2bl w:val="nil"/>
            </w:tcBorders>
            <w:shd w:val="clear" w:color="auto" w:fill="auto"/>
            <w:vAlign w:val="center"/>
          </w:tcPr>
          <w:p w14:paraId="4D5E324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6598E2A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35C8C0E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峰柱状地景</w:t>
            </w:r>
          </w:p>
        </w:tc>
      </w:tr>
      <w:tr w14:paraId="16DFA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920471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108</w:t>
            </w:r>
          </w:p>
        </w:tc>
        <w:tc>
          <w:tcPr>
            <w:tcW w:w="874" w:type="dxa"/>
            <w:vMerge w:val="continue"/>
            <w:tcBorders>
              <w:tl2br w:val="nil"/>
              <w:tr2bl w:val="nil"/>
            </w:tcBorders>
            <w:shd w:val="clear" w:color="auto" w:fill="auto"/>
            <w:vAlign w:val="center"/>
          </w:tcPr>
          <w:p w14:paraId="30717F7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0137D0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焦作云台山潭瀑峡卧龙长崖</w:t>
            </w:r>
          </w:p>
        </w:tc>
        <w:tc>
          <w:tcPr>
            <w:tcW w:w="1265" w:type="dxa"/>
            <w:tcBorders>
              <w:tl2br w:val="nil"/>
              <w:tr2bl w:val="nil"/>
            </w:tcBorders>
            <w:shd w:val="clear" w:color="auto" w:fill="auto"/>
            <w:vAlign w:val="center"/>
          </w:tcPr>
          <w:p w14:paraId="72F1508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08BB22E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地质与构造形迹</w:t>
            </w:r>
          </w:p>
        </w:tc>
        <w:tc>
          <w:tcPr>
            <w:tcW w:w="1614" w:type="dxa"/>
            <w:tcBorders>
              <w:tl2br w:val="nil"/>
              <w:tr2bl w:val="nil"/>
            </w:tcBorders>
            <w:shd w:val="clear" w:color="auto" w:fill="auto"/>
            <w:vAlign w:val="center"/>
          </w:tcPr>
          <w:p w14:paraId="7169413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断裂景观</w:t>
            </w:r>
          </w:p>
        </w:tc>
      </w:tr>
      <w:tr w14:paraId="63384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364EED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109</w:t>
            </w:r>
          </w:p>
        </w:tc>
        <w:tc>
          <w:tcPr>
            <w:tcW w:w="874" w:type="dxa"/>
            <w:vMerge w:val="continue"/>
            <w:tcBorders>
              <w:tl2br w:val="nil"/>
              <w:tr2bl w:val="nil"/>
            </w:tcBorders>
            <w:shd w:val="clear" w:color="auto" w:fill="auto"/>
            <w:vAlign w:val="center"/>
          </w:tcPr>
          <w:p w14:paraId="27C8347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6B62B2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焦作云台山凤凰岭神龟望天峰</w:t>
            </w:r>
          </w:p>
        </w:tc>
        <w:tc>
          <w:tcPr>
            <w:tcW w:w="1265" w:type="dxa"/>
            <w:tcBorders>
              <w:tl2br w:val="nil"/>
              <w:tr2bl w:val="nil"/>
            </w:tcBorders>
            <w:shd w:val="clear" w:color="auto" w:fill="auto"/>
            <w:vAlign w:val="center"/>
          </w:tcPr>
          <w:p w14:paraId="70E2924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7089E2B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2221A70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峰柱状地景</w:t>
            </w:r>
          </w:p>
        </w:tc>
      </w:tr>
      <w:tr w14:paraId="111AF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295AE0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110</w:t>
            </w:r>
          </w:p>
        </w:tc>
        <w:tc>
          <w:tcPr>
            <w:tcW w:w="874" w:type="dxa"/>
            <w:vMerge w:val="continue"/>
            <w:tcBorders>
              <w:tl2br w:val="nil"/>
              <w:tr2bl w:val="nil"/>
            </w:tcBorders>
            <w:shd w:val="clear" w:color="auto" w:fill="auto"/>
            <w:vAlign w:val="center"/>
          </w:tcPr>
          <w:p w14:paraId="533D2F5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260B83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修武一斗水村传统民居</w:t>
            </w:r>
          </w:p>
        </w:tc>
        <w:tc>
          <w:tcPr>
            <w:tcW w:w="1265" w:type="dxa"/>
            <w:tcBorders>
              <w:tl2br w:val="nil"/>
              <w:tr2bl w:val="nil"/>
            </w:tcBorders>
            <w:shd w:val="clear" w:color="auto" w:fill="auto"/>
            <w:vAlign w:val="center"/>
          </w:tcPr>
          <w:p w14:paraId="6DB64D3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6F31C7D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1272F96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特性屋舍</w:t>
            </w:r>
          </w:p>
        </w:tc>
      </w:tr>
      <w:tr w14:paraId="45109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AD0DF0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111</w:t>
            </w:r>
          </w:p>
        </w:tc>
        <w:tc>
          <w:tcPr>
            <w:tcW w:w="874" w:type="dxa"/>
            <w:vMerge w:val="continue"/>
            <w:tcBorders>
              <w:tl2br w:val="nil"/>
              <w:tr2bl w:val="nil"/>
            </w:tcBorders>
            <w:shd w:val="clear" w:color="auto" w:fill="auto"/>
            <w:vAlign w:val="center"/>
          </w:tcPr>
          <w:p w14:paraId="2EA0E6AB">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27A6E3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修武平顶窑村传统民居</w:t>
            </w:r>
          </w:p>
        </w:tc>
        <w:tc>
          <w:tcPr>
            <w:tcW w:w="1265" w:type="dxa"/>
            <w:tcBorders>
              <w:tl2br w:val="nil"/>
              <w:tr2bl w:val="nil"/>
            </w:tcBorders>
            <w:shd w:val="clear" w:color="auto" w:fill="auto"/>
            <w:vAlign w:val="center"/>
          </w:tcPr>
          <w:p w14:paraId="5FE4021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34BCC36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0A2C9F4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特性屋舍</w:t>
            </w:r>
          </w:p>
        </w:tc>
      </w:tr>
      <w:tr w14:paraId="401D1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D2F118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112</w:t>
            </w:r>
          </w:p>
        </w:tc>
        <w:tc>
          <w:tcPr>
            <w:tcW w:w="874" w:type="dxa"/>
            <w:vMerge w:val="continue"/>
            <w:tcBorders>
              <w:tl2br w:val="nil"/>
              <w:tr2bl w:val="nil"/>
            </w:tcBorders>
            <w:shd w:val="clear" w:color="auto" w:fill="auto"/>
            <w:vAlign w:val="center"/>
          </w:tcPr>
          <w:p w14:paraId="3C01E0C8">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94ABFF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焦作云台山凤凰岭相依峰</w:t>
            </w:r>
          </w:p>
        </w:tc>
        <w:tc>
          <w:tcPr>
            <w:tcW w:w="1265" w:type="dxa"/>
            <w:tcBorders>
              <w:tl2br w:val="nil"/>
              <w:tr2bl w:val="nil"/>
            </w:tcBorders>
            <w:shd w:val="clear" w:color="auto" w:fill="auto"/>
            <w:vAlign w:val="center"/>
          </w:tcPr>
          <w:p w14:paraId="104CF9B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05AB652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4A35C14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峰柱状地景</w:t>
            </w:r>
          </w:p>
        </w:tc>
      </w:tr>
      <w:tr w14:paraId="3F215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C67A00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113</w:t>
            </w:r>
          </w:p>
        </w:tc>
        <w:tc>
          <w:tcPr>
            <w:tcW w:w="874" w:type="dxa"/>
            <w:vMerge w:val="continue"/>
            <w:tcBorders>
              <w:tl2br w:val="nil"/>
              <w:tr2bl w:val="nil"/>
            </w:tcBorders>
            <w:shd w:val="clear" w:color="auto" w:fill="auto"/>
            <w:vAlign w:val="center"/>
          </w:tcPr>
          <w:p w14:paraId="441143A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D96E9A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修武净影寺龙门崖壁</w:t>
            </w:r>
          </w:p>
        </w:tc>
        <w:tc>
          <w:tcPr>
            <w:tcW w:w="1265" w:type="dxa"/>
            <w:tcBorders>
              <w:tl2br w:val="nil"/>
              <w:tr2bl w:val="nil"/>
            </w:tcBorders>
            <w:shd w:val="clear" w:color="auto" w:fill="auto"/>
            <w:vAlign w:val="center"/>
          </w:tcPr>
          <w:p w14:paraId="18316C5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126F6CD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地质与构造形迹</w:t>
            </w:r>
          </w:p>
        </w:tc>
        <w:tc>
          <w:tcPr>
            <w:tcW w:w="1614" w:type="dxa"/>
            <w:tcBorders>
              <w:tl2br w:val="nil"/>
              <w:tr2bl w:val="nil"/>
            </w:tcBorders>
            <w:shd w:val="clear" w:color="auto" w:fill="auto"/>
            <w:vAlign w:val="center"/>
          </w:tcPr>
          <w:p w14:paraId="4B607A6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地层剖面</w:t>
            </w:r>
          </w:p>
        </w:tc>
      </w:tr>
      <w:tr w14:paraId="5EE1E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612D62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114</w:t>
            </w:r>
          </w:p>
        </w:tc>
        <w:tc>
          <w:tcPr>
            <w:tcW w:w="874" w:type="dxa"/>
            <w:vMerge w:val="continue"/>
            <w:tcBorders>
              <w:tl2br w:val="nil"/>
              <w:tr2bl w:val="nil"/>
            </w:tcBorders>
            <w:shd w:val="clear" w:color="auto" w:fill="auto"/>
            <w:vAlign w:val="center"/>
          </w:tcPr>
          <w:p w14:paraId="7B96A6C6">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B14FB5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修武净影大峡谷净影寺段</w:t>
            </w:r>
          </w:p>
        </w:tc>
        <w:tc>
          <w:tcPr>
            <w:tcW w:w="1265" w:type="dxa"/>
            <w:tcBorders>
              <w:tl2br w:val="nil"/>
              <w:tr2bl w:val="nil"/>
            </w:tcBorders>
            <w:shd w:val="clear" w:color="auto" w:fill="auto"/>
            <w:vAlign w:val="center"/>
          </w:tcPr>
          <w:p w14:paraId="04E5252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7B2F53B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自然景观综合体</w:t>
            </w:r>
          </w:p>
        </w:tc>
        <w:tc>
          <w:tcPr>
            <w:tcW w:w="1614" w:type="dxa"/>
            <w:tcBorders>
              <w:tl2br w:val="nil"/>
              <w:tr2bl w:val="nil"/>
            </w:tcBorders>
            <w:shd w:val="clear" w:color="auto" w:fill="auto"/>
            <w:vAlign w:val="center"/>
          </w:tcPr>
          <w:p w14:paraId="40D39B9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沟谷型景观</w:t>
            </w:r>
          </w:p>
        </w:tc>
      </w:tr>
      <w:tr w14:paraId="386A8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E3A886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115</w:t>
            </w:r>
          </w:p>
        </w:tc>
        <w:tc>
          <w:tcPr>
            <w:tcW w:w="874" w:type="dxa"/>
            <w:vMerge w:val="continue"/>
            <w:tcBorders>
              <w:tl2br w:val="nil"/>
              <w:tr2bl w:val="nil"/>
            </w:tcBorders>
            <w:shd w:val="clear" w:color="auto" w:fill="auto"/>
            <w:vAlign w:val="center"/>
          </w:tcPr>
          <w:p w14:paraId="6CE25B68">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2D0375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修武净影寺净影湖</w:t>
            </w:r>
          </w:p>
        </w:tc>
        <w:tc>
          <w:tcPr>
            <w:tcW w:w="1265" w:type="dxa"/>
            <w:tcBorders>
              <w:tl2br w:val="nil"/>
              <w:tr2bl w:val="nil"/>
            </w:tcBorders>
            <w:shd w:val="clear" w:color="auto" w:fill="auto"/>
            <w:vAlign w:val="center"/>
          </w:tcPr>
          <w:p w14:paraId="1F24E4B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5D74158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湖沼</w:t>
            </w:r>
          </w:p>
        </w:tc>
        <w:tc>
          <w:tcPr>
            <w:tcW w:w="1614" w:type="dxa"/>
            <w:tcBorders>
              <w:tl2br w:val="nil"/>
              <w:tr2bl w:val="nil"/>
            </w:tcBorders>
            <w:shd w:val="clear" w:color="auto" w:fill="auto"/>
            <w:vAlign w:val="center"/>
          </w:tcPr>
          <w:p w14:paraId="70C5505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游憩湖区</w:t>
            </w:r>
          </w:p>
        </w:tc>
      </w:tr>
      <w:tr w14:paraId="6F2F9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ACA438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116</w:t>
            </w:r>
          </w:p>
        </w:tc>
        <w:tc>
          <w:tcPr>
            <w:tcW w:w="874" w:type="dxa"/>
            <w:vMerge w:val="continue"/>
            <w:tcBorders>
              <w:tl2br w:val="nil"/>
              <w:tr2bl w:val="nil"/>
            </w:tcBorders>
            <w:shd w:val="clear" w:color="auto" w:fill="auto"/>
            <w:vAlign w:val="center"/>
          </w:tcPr>
          <w:p w14:paraId="223B9B70">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DAEBF5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焦作云台山天瀑峡U形陡崖</w:t>
            </w:r>
          </w:p>
        </w:tc>
        <w:tc>
          <w:tcPr>
            <w:tcW w:w="1265" w:type="dxa"/>
            <w:tcBorders>
              <w:tl2br w:val="nil"/>
              <w:tr2bl w:val="nil"/>
            </w:tcBorders>
            <w:shd w:val="clear" w:color="auto" w:fill="auto"/>
            <w:vAlign w:val="center"/>
          </w:tcPr>
          <w:p w14:paraId="3A3DFF2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0921661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地质与构造形迹</w:t>
            </w:r>
          </w:p>
        </w:tc>
        <w:tc>
          <w:tcPr>
            <w:tcW w:w="1614" w:type="dxa"/>
            <w:tcBorders>
              <w:tl2br w:val="nil"/>
              <w:tr2bl w:val="nil"/>
            </w:tcBorders>
            <w:shd w:val="clear" w:color="auto" w:fill="auto"/>
            <w:vAlign w:val="center"/>
          </w:tcPr>
          <w:p w14:paraId="7190C1D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断裂景观</w:t>
            </w:r>
          </w:p>
        </w:tc>
      </w:tr>
      <w:tr w14:paraId="18C9E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6DC9C8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117</w:t>
            </w:r>
          </w:p>
        </w:tc>
        <w:tc>
          <w:tcPr>
            <w:tcW w:w="874" w:type="dxa"/>
            <w:vMerge w:val="continue"/>
            <w:tcBorders>
              <w:tl2br w:val="nil"/>
              <w:tr2bl w:val="nil"/>
            </w:tcBorders>
            <w:shd w:val="clear" w:color="auto" w:fill="auto"/>
            <w:vAlign w:val="center"/>
          </w:tcPr>
          <w:p w14:paraId="3462198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0E9ABC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焦作云台山汉服花朝节</w:t>
            </w:r>
          </w:p>
        </w:tc>
        <w:tc>
          <w:tcPr>
            <w:tcW w:w="1265" w:type="dxa"/>
            <w:tcBorders>
              <w:tl2br w:val="nil"/>
              <w:tr2bl w:val="nil"/>
            </w:tcBorders>
            <w:shd w:val="clear" w:color="auto" w:fill="auto"/>
            <w:vAlign w:val="center"/>
          </w:tcPr>
          <w:p w14:paraId="4AAC39F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0AC66A4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岁时节令</w:t>
            </w:r>
          </w:p>
        </w:tc>
        <w:tc>
          <w:tcPr>
            <w:tcW w:w="1614" w:type="dxa"/>
            <w:tcBorders>
              <w:tl2br w:val="nil"/>
              <w:tr2bl w:val="nil"/>
            </w:tcBorders>
            <w:shd w:val="clear" w:color="auto" w:fill="auto"/>
            <w:vAlign w:val="center"/>
          </w:tcPr>
          <w:p w14:paraId="25B050D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现代节庆</w:t>
            </w:r>
          </w:p>
        </w:tc>
      </w:tr>
      <w:tr w14:paraId="1E295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187008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118</w:t>
            </w:r>
          </w:p>
        </w:tc>
        <w:tc>
          <w:tcPr>
            <w:tcW w:w="874" w:type="dxa"/>
            <w:vMerge w:val="continue"/>
            <w:tcBorders>
              <w:tl2br w:val="nil"/>
              <w:tr2bl w:val="nil"/>
            </w:tcBorders>
            <w:shd w:val="clear" w:color="auto" w:fill="auto"/>
            <w:vAlign w:val="center"/>
          </w:tcPr>
          <w:p w14:paraId="4FD7C019">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2319FA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焦作云台山电音节</w:t>
            </w:r>
          </w:p>
        </w:tc>
        <w:tc>
          <w:tcPr>
            <w:tcW w:w="1265" w:type="dxa"/>
            <w:tcBorders>
              <w:tl2br w:val="nil"/>
              <w:tr2bl w:val="nil"/>
            </w:tcBorders>
            <w:shd w:val="clear" w:color="auto" w:fill="auto"/>
            <w:vAlign w:val="center"/>
          </w:tcPr>
          <w:p w14:paraId="29F61C5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450EBE6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岁时节令</w:t>
            </w:r>
          </w:p>
        </w:tc>
        <w:tc>
          <w:tcPr>
            <w:tcW w:w="1614" w:type="dxa"/>
            <w:tcBorders>
              <w:tl2br w:val="nil"/>
              <w:tr2bl w:val="nil"/>
            </w:tcBorders>
            <w:shd w:val="clear" w:color="auto" w:fill="auto"/>
            <w:vAlign w:val="center"/>
          </w:tcPr>
          <w:p w14:paraId="0C758F3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现代节庆</w:t>
            </w:r>
          </w:p>
        </w:tc>
      </w:tr>
      <w:tr w14:paraId="75DCC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A8675C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119</w:t>
            </w:r>
          </w:p>
        </w:tc>
        <w:tc>
          <w:tcPr>
            <w:tcW w:w="874" w:type="dxa"/>
            <w:vMerge w:val="continue"/>
            <w:tcBorders>
              <w:tl2br w:val="nil"/>
              <w:tr2bl w:val="nil"/>
            </w:tcBorders>
            <w:shd w:val="clear" w:color="auto" w:fill="auto"/>
            <w:vAlign w:val="center"/>
          </w:tcPr>
          <w:p w14:paraId="678908C0">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AED3F6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焦作云台山云溪谷云溪瀑</w:t>
            </w:r>
          </w:p>
        </w:tc>
        <w:tc>
          <w:tcPr>
            <w:tcW w:w="1265" w:type="dxa"/>
            <w:tcBorders>
              <w:tl2br w:val="nil"/>
              <w:tr2bl w:val="nil"/>
            </w:tcBorders>
            <w:shd w:val="clear" w:color="auto" w:fill="auto"/>
            <w:vAlign w:val="center"/>
          </w:tcPr>
          <w:p w14:paraId="3699FA4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24A8A0F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7C8A274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瀑布</w:t>
            </w:r>
          </w:p>
        </w:tc>
      </w:tr>
      <w:tr w14:paraId="0AE3A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9B6253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120</w:t>
            </w:r>
          </w:p>
        </w:tc>
        <w:tc>
          <w:tcPr>
            <w:tcW w:w="874" w:type="dxa"/>
            <w:vMerge w:val="continue"/>
            <w:tcBorders>
              <w:tl2br w:val="nil"/>
              <w:tr2bl w:val="nil"/>
            </w:tcBorders>
            <w:shd w:val="clear" w:color="auto" w:fill="auto"/>
            <w:vAlign w:val="center"/>
          </w:tcPr>
          <w:p w14:paraId="280B5E47">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B290E9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焦作云台山纸坊河云溪谷段</w:t>
            </w:r>
          </w:p>
        </w:tc>
        <w:tc>
          <w:tcPr>
            <w:tcW w:w="1265" w:type="dxa"/>
            <w:tcBorders>
              <w:tl2br w:val="nil"/>
              <w:tr2bl w:val="nil"/>
            </w:tcBorders>
            <w:shd w:val="clear" w:color="auto" w:fill="auto"/>
            <w:vAlign w:val="center"/>
          </w:tcPr>
          <w:p w14:paraId="70F5BBF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21AA4DF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75C07F3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游憩河段</w:t>
            </w:r>
          </w:p>
        </w:tc>
      </w:tr>
      <w:tr w14:paraId="6690E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009271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121</w:t>
            </w:r>
          </w:p>
        </w:tc>
        <w:tc>
          <w:tcPr>
            <w:tcW w:w="874" w:type="dxa"/>
            <w:vMerge w:val="continue"/>
            <w:tcBorders>
              <w:tl2br w:val="nil"/>
              <w:tr2bl w:val="nil"/>
            </w:tcBorders>
            <w:shd w:val="clear" w:color="auto" w:fill="auto"/>
            <w:vAlign w:val="center"/>
          </w:tcPr>
          <w:p w14:paraId="38EABD6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67AA8B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南水北调中线工程修武段</w:t>
            </w:r>
          </w:p>
        </w:tc>
        <w:tc>
          <w:tcPr>
            <w:tcW w:w="1265" w:type="dxa"/>
            <w:tcBorders>
              <w:tl2br w:val="nil"/>
              <w:tr2bl w:val="nil"/>
            </w:tcBorders>
            <w:shd w:val="clear" w:color="auto" w:fill="auto"/>
            <w:vAlign w:val="center"/>
          </w:tcPr>
          <w:p w14:paraId="557EDC8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00822BB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039A899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渠道、运河段落</w:t>
            </w:r>
          </w:p>
        </w:tc>
      </w:tr>
      <w:tr w14:paraId="5A7A1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621BAB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122</w:t>
            </w:r>
          </w:p>
        </w:tc>
        <w:tc>
          <w:tcPr>
            <w:tcW w:w="874" w:type="dxa"/>
            <w:vMerge w:val="continue"/>
            <w:tcBorders>
              <w:tl2br w:val="nil"/>
              <w:tr2bl w:val="nil"/>
            </w:tcBorders>
            <w:shd w:val="clear" w:color="auto" w:fill="auto"/>
            <w:vAlign w:val="center"/>
          </w:tcPr>
          <w:p w14:paraId="4C93C90C">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E9201F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修武双庙村云上森兮民宿</w:t>
            </w:r>
          </w:p>
        </w:tc>
        <w:tc>
          <w:tcPr>
            <w:tcW w:w="1265" w:type="dxa"/>
            <w:tcBorders>
              <w:tl2br w:val="nil"/>
              <w:tr2bl w:val="nil"/>
            </w:tcBorders>
            <w:shd w:val="clear" w:color="auto" w:fill="auto"/>
            <w:vAlign w:val="center"/>
          </w:tcPr>
          <w:p w14:paraId="6DE6876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3C5171E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2858B37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34151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181E8C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123</w:t>
            </w:r>
          </w:p>
        </w:tc>
        <w:tc>
          <w:tcPr>
            <w:tcW w:w="874" w:type="dxa"/>
            <w:vMerge w:val="continue"/>
            <w:tcBorders>
              <w:tl2br w:val="nil"/>
              <w:tr2bl w:val="nil"/>
            </w:tcBorders>
            <w:shd w:val="clear" w:color="auto" w:fill="auto"/>
            <w:vAlign w:val="center"/>
          </w:tcPr>
          <w:p w14:paraId="151091BD">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33D0F9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修武长岭村</w:t>
            </w:r>
          </w:p>
        </w:tc>
        <w:tc>
          <w:tcPr>
            <w:tcW w:w="1265" w:type="dxa"/>
            <w:tcBorders>
              <w:tl2br w:val="nil"/>
              <w:tr2bl w:val="nil"/>
            </w:tcBorders>
            <w:shd w:val="clear" w:color="auto" w:fill="auto"/>
            <w:vAlign w:val="center"/>
          </w:tcPr>
          <w:p w14:paraId="40B3246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28FBD0F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7CCF886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6BDAD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76A3CA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124</w:t>
            </w:r>
          </w:p>
        </w:tc>
        <w:tc>
          <w:tcPr>
            <w:tcW w:w="874" w:type="dxa"/>
            <w:vMerge w:val="continue"/>
            <w:tcBorders>
              <w:tl2br w:val="nil"/>
              <w:tr2bl w:val="nil"/>
            </w:tcBorders>
            <w:shd w:val="clear" w:color="auto" w:fill="auto"/>
            <w:vAlign w:val="center"/>
          </w:tcPr>
          <w:p w14:paraId="56AAB767">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6BAFA6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修武长岭村红叶</w:t>
            </w:r>
          </w:p>
        </w:tc>
        <w:tc>
          <w:tcPr>
            <w:tcW w:w="1265" w:type="dxa"/>
            <w:tcBorders>
              <w:tl2br w:val="nil"/>
              <w:tr2bl w:val="nil"/>
            </w:tcBorders>
            <w:shd w:val="clear" w:color="auto" w:fill="auto"/>
            <w:vAlign w:val="center"/>
          </w:tcPr>
          <w:p w14:paraId="3F31B03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天象与气候景观</w:t>
            </w:r>
          </w:p>
        </w:tc>
        <w:tc>
          <w:tcPr>
            <w:tcW w:w="1241" w:type="dxa"/>
            <w:tcBorders>
              <w:tl2br w:val="nil"/>
              <w:tr2bl w:val="nil"/>
            </w:tcBorders>
            <w:shd w:val="clear" w:color="auto" w:fill="auto"/>
            <w:vAlign w:val="center"/>
          </w:tcPr>
          <w:p w14:paraId="1257B49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天气与气候现象</w:t>
            </w:r>
          </w:p>
        </w:tc>
        <w:tc>
          <w:tcPr>
            <w:tcW w:w="1614" w:type="dxa"/>
            <w:tcBorders>
              <w:tl2br w:val="nil"/>
              <w:tr2bl w:val="nil"/>
            </w:tcBorders>
            <w:shd w:val="clear" w:color="auto" w:fill="auto"/>
            <w:vAlign w:val="center"/>
          </w:tcPr>
          <w:p w14:paraId="085204A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物候景象</w:t>
            </w:r>
          </w:p>
        </w:tc>
      </w:tr>
      <w:tr w14:paraId="76510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B03E63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125</w:t>
            </w:r>
          </w:p>
        </w:tc>
        <w:tc>
          <w:tcPr>
            <w:tcW w:w="874" w:type="dxa"/>
            <w:vMerge w:val="continue"/>
            <w:tcBorders>
              <w:tl2br w:val="nil"/>
              <w:tr2bl w:val="nil"/>
            </w:tcBorders>
            <w:shd w:val="clear" w:color="auto" w:fill="auto"/>
            <w:vAlign w:val="center"/>
          </w:tcPr>
          <w:p w14:paraId="2AF2467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A3D1D1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修武运粮河城区段</w:t>
            </w:r>
          </w:p>
        </w:tc>
        <w:tc>
          <w:tcPr>
            <w:tcW w:w="1265" w:type="dxa"/>
            <w:tcBorders>
              <w:tl2br w:val="nil"/>
              <w:tr2bl w:val="nil"/>
            </w:tcBorders>
            <w:shd w:val="clear" w:color="auto" w:fill="auto"/>
            <w:vAlign w:val="center"/>
          </w:tcPr>
          <w:p w14:paraId="7ED0B56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53EF450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17B301E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古河道段落</w:t>
            </w:r>
          </w:p>
        </w:tc>
      </w:tr>
      <w:tr w14:paraId="4F01E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98C54F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126</w:t>
            </w:r>
          </w:p>
        </w:tc>
        <w:tc>
          <w:tcPr>
            <w:tcW w:w="874" w:type="dxa"/>
            <w:vMerge w:val="continue"/>
            <w:tcBorders>
              <w:tl2br w:val="nil"/>
              <w:tr2bl w:val="nil"/>
            </w:tcBorders>
            <w:shd w:val="clear" w:color="auto" w:fill="auto"/>
            <w:vAlign w:val="center"/>
          </w:tcPr>
          <w:p w14:paraId="5FDF383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A6CF74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修武净影大峡谷豫晋之门</w:t>
            </w:r>
          </w:p>
        </w:tc>
        <w:tc>
          <w:tcPr>
            <w:tcW w:w="1265" w:type="dxa"/>
            <w:tcBorders>
              <w:tl2br w:val="nil"/>
              <w:tr2bl w:val="nil"/>
            </w:tcBorders>
            <w:shd w:val="clear" w:color="auto" w:fill="auto"/>
            <w:vAlign w:val="center"/>
          </w:tcPr>
          <w:p w14:paraId="4857E1F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289A5C4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地质与构造形迹</w:t>
            </w:r>
          </w:p>
        </w:tc>
        <w:tc>
          <w:tcPr>
            <w:tcW w:w="1614" w:type="dxa"/>
            <w:tcBorders>
              <w:tl2br w:val="nil"/>
              <w:tr2bl w:val="nil"/>
            </w:tcBorders>
            <w:shd w:val="clear" w:color="auto" w:fill="auto"/>
            <w:vAlign w:val="center"/>
          </w:tcPr>
          <w:p w14:paraId="2B2218F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断裂景观</w:t>
            </w:r>
          </w:p>
        </w:tc>
      </w:tr>
      <w:tr w14:paraId="2F0DC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4B8921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127</w:t>
            </w:r>
          </w:p>
        </w:tc>
        <w:tc>
          <w:tcPr>
            <w:tcW w:w="874" w:type="dxa"/>
            <w:vMerge w:val="continue"/>
            <w:tcBorders>
              <w:tl2br w:val="nil"/>
              <w:tr2bl w:val="nil"/>
            </w:tcBorders>
            <w:shd w:val="clear" w:color="auto" w:fill="auto"/>
            <w:vAlign w:val="center"/>
          </w:tcPr>
          <w:p w14:paraId="5B13903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5154ED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焦作云台山潭瀑峡龙凤泉</w:t>
            </w:r>
          </w:p>
        </w:tc>
        <w:tc>
          <w:tcPr>
            <w:tcW w:w="1265" w:type="dxa"/>
            <w:tcBorders>
              <w:tl2br w:val="nil"/>
              <w:tr2bl w:val="nil"/>
            </w:tcBorders>
            <w:shd w:val="clear" w:color="auto" w:fill="auto"/>
            <w:vAlign w:val="center"/>
          </w:tcPr>
          <w:p w14:paraId="3F10133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0165756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地下水</w:t>
            </w:r>
          </w:p>
        </w:tc>
        <w:tc>
          <w:tcPr>
            <w:tcW w:w="1614" w:type="dxa"/>
            <w:tcBorders>
              <w:tl2br w:val="nil"/>
              <w:tr2bl w:val="nil"/>
            </w:tcBorders>
            <w:shd w:val="clear" w:color="auto" w:fill="auto"/>
            <w:vAlign w:val="center"/>
          </w:tcPr>
          <w:p w14:paraId="2B2F959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泉</w:t>
            </w:r>
          </w:p>
        </w:tc>
      </w:tr>
      <w:tr w14:paraId="602DB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BADDDD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128</w:t>
            </w:r>
          </w:p>
        </w:tc>
        <w:tc>
          <w:tcPr>
            <w:tcW w:w="874" w:type="dxa"/>
            <w:vMerge w:val="continue"/>
            <w:tcBorders>
              <w:tl2br w:val="nil"/>
              <w:tr2bl w:val="nil"/>
            </w:tcBorders>
            <w:shd w:val="clear" w:color="auto" w:fill="auto"/>
            <w:vAlign w:val="center"/>
          </w:tcPr>
          <w:p w14:paraId="480DC2C2">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CC5C4C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修武平顶窑村红叶</w:t>
            </w:r>
          </w:p>
        </w:tc>
        <w:tc>
          <w:tcPr>
            <w:tcW w:w="1265" w:type="dxa"/>
            <w:tcBorders>
              <w:tl2br w:val="nil"/>
              <w:tr2bl w:val="nil"/>
            </w:tcBorders>
            <w:shd w:val="clear" w:color="auto" w:fill="auto"/>
            <w:vAlign w:val="center"/>
          </w:tcPr>
          <w:p w14:paraId="170ACBF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天象与气候景观</w:t>
            </w:r>
          </w:p>
        </w:tc>
        <w:tc>
          <w:tcPr>
            <w:tcW w:w="1241" w:type="dxa"/>
            <w:tcBorders>
              <w:tl2br w:val="nil"/>
              <w:tr2bl w:val="nil"/>
            </w:tcBorders>
            <w:shd w:val="clear" w:color="auto" w:fill="auto"/>
            <w:vAlign w:val="center"/>
          </w:tcPr>
          <w:p w14:paraId="2CDC732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天气与气候现象</w:t>
            </w:r>
          </w:p>
        </w:tc>
        <w:tc>
          <w:tcPr>
            <w:tcW w:w="1614" w:type="dxa"/>
            <w:tcBorders>
              <w:tl2br w:val="nil"/>
              <w:tr2bl w:val="nil"/>
            </w:tcBorders>
            <w:shd w:val="clear" w:color="auto" w:fill="auto"/>
            <w:vAlign w:val="center"/>
          </w:tcPr>
          <w:p w14:paraId="60E37CB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物候景象</w:t>
            </w:r>
          </w:p>
        </w:tc>
      </w:tr>
      <w:tr w14:paraId="581BC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825263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129</w:t>
            </w:r>
          </w:p>
        </w:tc>
        <w:tc>
          <w:tcPr>
            <w:tcW w:w="874" w:type="dxa"/>
            <w:vMerge w:val="continue"/>
            <w:tcBorders>
              <w:tl2br w:val="nil"/>
              <w:tr2bl w:val="nil"/>
            </w:tcBorders>
            <w:shd w:val="clear" w:color="auto" w:fill="auto"/>
            <w:vAlign w:val="center"/>
          </w:tcPr>
          <w:p w14:paraId="6E23848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F1F283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修武净影寺云海</w:t>
            </w:r>
          </w:p>
        </w:tc>
        <w:tc>
          <w:tcPr>
            <w:tcW w:w="1265" w:type="dxa"/>
            <w:tcBorders>
              <w:tl2br w:val="nil"/>
              <w:tr2bl w:val="nil"/>
            </w:tcBorders>
            <w:shd w:val="clear" w:color="auto" w:fill="auto"/>
            <w:vAlign w:val="center"/>
          </w:tcPr>
          <w:p w14:paraId="73F0885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天象与气候景观</w:t>
            </w:r>
          </w:p>
        </w:tc>
        <w:tc>
          <w:tcPr>
            <w:tcW w:w="1241" w:type="dxa"/>
            <w:tcBorders>
              <w:tl2br w:val="nil"/>
              <w:tr2bl w:val="nil"/>
            </w:tcBorders>
            <w:shd w:val="clear" w:color="auto" w:fill="auto"/>
            <w:vAlign w:val="center"/>
          </w:tcPr>
          <w:p w14:paraId="311BD79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天气与气候现象</w:t>
            </w:r>
          </w:p>
        </w:tc>
        <w:tc>
          <w:tcPr>
            <w:tcW w:w="1614" w:type="dxa"/>
            <w:tcBorders>
              <w:tl2br w:val="nil"/>
              <w:tr2bl w:val="nil"/>
            </w:tcBorders>
            <w:shd w:val="clear" w:color="auto" w:fill="auto"/>
            <w:vAlign w:val="center"/>
          </w:tcPr>
          <w:p w14:paraId="2DF6084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云雾多发区</w:t>
            </w:r>
          </w:p>
        </w:tc>
      </w:tr>
      <w:tr w14:paraId="76483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FBB9DC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130</w:t>
            </w:r>
          </w:p>
        </w:tc>
        <w:tc>
          <w:tcPr>
            <w:tcW w:w="874" w:type="dxa"/>
            <w:vMerge w:val="continue"/>
            <w:tcBorders>
              <w:tl2br w:val="nil"/>
              <w:tr2bl w:val="nil"/>
            </w:tcBorders>
            <w:shd w:val="clear" w:color="auto" w:fill="auto"/>
            <w:vAlign w:val="center"/>
          </w:tcPr>
          <w:p w14:paraId="6F1778AB">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ACF674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修武净影大峡谷游憩河段</w:t>
            </w:r>
          </w:p>
        </w:tc>
        <w:tc>
          <w:tcPr>
            <w:tcW w:w="1265" w:type="dxa"/>
            <w:tcBorders>
              <w:tl2br w:val="nil"/>
              <w:tr2bl w:val="nil"/>
            </w:tcBorders>
            <w:shd w:val="clear" w:color="auto" w:fill="auto"/>
            <w:vAlign w:val="center"/>
          </w:tcPr>
          <w:p w14:paraId="124275F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3F1080D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1969A73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游憩河段</w:t>
            </w:r>
          </w:p>
        </w:tc>
      </w:tr>
      <w:tr w14:paraId="2242A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B1F980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131</w:t>
            </w:r>
          </w:p>
        </w:tc>
        <w:tc>
          <w:tcPr>
            <w:tcW w:w="874" w:type="dxa"/>
            <w:vMerge w:val="continue"/>
            <w:tcBorders>
              <w:tl2br w:val="nil"/>
              <w:tr2bl w:val="nil"/>
            </w:tcBorders>
            <w:shd w:val="clear" w:color="auto" w:fill="auto"/>
            <w:vAlign w:val="center"/>
          </w:tcPr>
          <w:p w14:paraId="6B2495A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25D205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修武东岭后村传统民居</w:t>
            </w:r>
          </w:p>
        </w:tc>
        <w:tc>
          <w:tcPr>
            <w:tcW w:w="1265" w:type="dxa"/>
            <w:tcBorders>
              <w:tl2br w:val="nil"/>
              <w:tr2bl w:val="nil"/>
            </w:tcBorders>
            <w:shd w:val="clear" w:color="auto" w:fill="auto"/>
            <w:vAlign w:val="center"/>
          </w:tcPr>
          <w:p w14:paraId="358EA95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6F4A067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3A0505D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3EECD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8BC5F8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132</w:t>
            </w:r>
          </w:p>
        </w:tc>
        <w:tc>
          <w:tcPr>
            <w:tcW w:w="874" w:type="dxa"/>
            <w:vMerge w:val="continue"/>
            <w:tcBorders>
              <w:tl2br w:val="nil"/>
              <w:tr2bl w:val="nil"/>
            </w:tcBorders>
            <w:shd w:val="clear" w:color="auto" w:fill="auto"/>
            <w:vAlign w:val="center"/>
          </w:tcPr>
          <w:p w14:paraId="58B2B2D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983545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修武净影大峡谷U形陡崖</w:t>
            </w:r>
          </w:p>
        </w:tc>
        <w:tc>
          <w:tcPr>
            <w:tcW w:w="1265" w:type="dxa"/>
            <w:tcBorders>
              <w:tl2br w:val="nil"/>
              <w:tr2bl w:val="nil"/>
            </w:tcBorders>
            <w:shd w:val="clear" w:color="auto" w:fill="auto"/>
            <w:vAlign w:val="center"/>
          </w:tcPr>
          <w:p w14:paraId="1BE5838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5994BC3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地质与构造形迹</w:t>
            </w:r>
          </w:p>
        </w:tc>
        <w:tc>
          <w:tcPr>
            <w:tcW w:w="1614" w:type="dxa"/>
            <w:tcBorders>
              <w:tl2br w:val="nil"/>
              <w:tr2bl w:val="nil"/>
            </w:tcBorders>
            <w:shd w:val="clear" w:color="auto" w:fill="auto"/>
            <w:vAlign w:val="center"/>
          </w:tcPr>
          <w:p w14:paraId="5D8913F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断裂景观</w:t>
            </w:r>
          </w:p>
        </w:tc>
      </w:tr>
      <w:tr w14:paraId="24012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A6FE7C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133</w:t>
            </w:r>
          </w:p>
        </w:tc>
        <w:tc>
          <w:tcPr>
            <w:tcW w:w="874" w:type="dxa"/>
            <w:vMerge w:val="continue"/>
            <w:tcBorders>
              <w:tl2br w:val="nil"/>
              <w:tr2bl w:val="nil"/>
            </w:tcBorders>
            <w:shd w:val="clear" w:color="auto" w:fill="auto"/>
            <w:vAlign w:val="center"/>
          </w:tcPr>
          <w:p w14:paraId="583E19A7">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F081EB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修武西岭后村</w:t>
            </w:r>
          </w:p>
        </w:tc>
        <w:tc>
          <w:tcPr>
            <w:tcW w:w="1265" w:type="dxa"/>
            <w:tcBorders>
              <w:tl2br w:val="nil"/>
              <w:tr2bl w:val="nil"/>
            </w:tcBorders>
            <w:shd w:val="clear" w:color="auto" w:fill="auto"/>
            <w:vAlign w:val="center"/>
          </w:tcPr>
          <w:p w14:paraId="24EDCB5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57812FE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24CAD27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6FB66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8BE7BC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134</w:t>
            </w:r>
          </w:p>
        </w:tc>
        <w:tc>
          <w:tcPr>
            <w:tcW w:w="874" w:type="dxa"/>
            <w:vMerge w:val="continue"/>
            <w:tcBorders>
              <w:tl2br w:val="nil"/>
              <w:tr2bl w:val="nil"/>
            </w:tcBorders>
            <w:shd w:val="clear" w:color="auto" w:fill="auto"/>
            <w:vAlign w:val="center"/>
          </w:tcPr>
          <w:p w14:paraId="77C7396D">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ECE0BA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修武桃园村</w:t>
            </w:r>
          </w:p>
        </w:tc>
        <w:tc>
          <w:tcPr>
            <w:tcW w:w="1265" w:type="dxa"/>
            <w:tcBorders>
              <w:tl2br w:val="nil"/>
              <w:tr2bl w:val="nil"/>
            </w:tcBorders>
            <w:shd w:val="clear" w:color="auto" w:fill="auto"/>
            <w:vAlign w:val="center"/>
          </w:tcPr>
          <w:p w14:paraId="2D1DD20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78BF4F1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5051A5A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1B0FD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C9EBE6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135</w:t>
            </w:r>
          </w:p>
        </w:tc>
        <w:tc>
          <w:tcPr>
            <w:tcW w:w="874" w:type="dxa"/>
            <w:vMerge w:val="continue"/>
            <w:tcBorders>
              <w:tl2br w:val="nil"/>
              <w:tr2bl w:val="nil"/>
            </w:tcBorders>
            <w:shd w:val="clear" w:color="auto" w:fill="auto"/>
            <w:vAlign w:val="center"/>
          </w:tcPr>
          <w:p w14:paraId="358F1316">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10A12C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修武后河村</w:t>
            </w:r>
          </w:p>
        </w:tc>
        <w:tc>
          <w:tcPr>
            <w:tcW w:w="1265" w:type="dxa"/>
            <w:tcBorders>
              <w:tl2br w:val="nil"/>
              <w:tr2bl w:val="nil"/>
            </w:tcBorders>
            <w:shd w:val="clear" w:color="auto" w:fill="auto"/>
            <w:vAlign w:val="center"/>
          </w:tcPr>
          <w:p w14:paraId="09D3E52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79A0339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745CA4D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584A9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49926B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136</w:t>
            </w:r>
          </w:p>
        </w:tc>
        <w:tc>
          <w:tcPr>
            <w:tcW w:w="874" w:type="dxa"/>
            <w:vMerge w:val="continue"/>
            <w:tcBorders>
              <w:tl2br w:val="nil"/>
              <w:tr2bl w:val="nil"/>
            </w:tcBorders>
            <w:shd w:val="clear" w:color="auto" w:fill="auto"/>
            <w:vAlign w:val="center"/>
          </w:tcPr>
          <w:p w14:paraId="08EB422C">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E22B16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修武东岭后村</w:t>
            </w:r>
          </w:p>
        </w:tc>
        <w:tc>
          <w:tcPr>
            <w:tcW w:w="1265" w:type="dxa"/>
            <w:tcBorders>
              <w:tl2br w:val="nil"/>
              <w:tr2bl w:val="nil"/>
            </w:tcBorders>
            <w:shd w:val="clear" w:color="auto" w:fill="auto"/>
            <w:vAlign w:val="center"/>
          </w:tcPr>
          <w:p w14:paraId="2B69004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2BEE143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5337C21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5A4F3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529373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137</w:t>
            </w:r>
          </w:p>
        </w:tc>
        <w:tc>
          <w:tcPr>
            <w:tcW w:w="874" w:type="dxa"/>
            <w:vMerge w:val="continue"/>
            <w:tcBorders>
              <w:tl2br w:val="nil"/>
              <w:tr2bl w:val="nil"/>
            </w:tcBorders>
            <w:shd w:val="clear" w:color="auto" w:fill="auto"/>
            <w:vAlign w:val="center"/>
          </w:tcPr>
          <w:p w14:paraId="78742F5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D91ED6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修武锯齿山林场</w:t>
            </w:r>
          </w:p>
        </w:tc>
        <w:tc>
          <w:tcPr>
            <w:tcW w:w="1265" w:type="dxa"/>
            <w:tcBorders>
              <w:tl2br w:val="nil"/>
              <w:tr2bl w:val="nil"/>
            </w:tcBorders>
            <w:shd w:val="clear" w:color="auto" w:fill="auto"/>
            <w:vAlign w:val="center"/>
          </w:tcPr>
          <w:p w14:paraId="430D9BE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生物景观</w:t>
            </w:r>
          </w:p>
        </w:tc>
        <w:tc>
          <w:tcPr>
            <w:tcW w:w="1241" w:type="dxa"/>
            <w:tcBorders>
              <w:tl2br w:val="nil"/>
              <w:tr2bl w:val="nil"/>
            </w:tcBorders>
            <w:shd w:val="clear" w:color="auto" w:fill="auto"/>
            <w:vAlign w:val="center"/>
          </w:tcPr>
          <w:p w14:paraId="1AD6A0E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植被景观</w:t>
            </w:r>
          </w:p>
        </w:tc>
        <w:tc>
          <w:tcPr>
            <w:tcW w:w="1614" w:type="dxa"/>
            <w:tcBorders>
              <w:tl2br w:val="nil"/>
              <w:tr2bl w:val="nil"/>
            </w:tcBorders>
            <w:shd w:val="clear" w:color="auto" w:fill="auto"/>
            <w:vAlign w:val="center"/>
          </w:tcPr>
          <w:p w14:paraId="2EE25FE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林地</w:t>
            </w:r>
          </w:p>
        </w:tc>
      </w:tr>
      <w:tr w14:paraId="441D6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891C41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138</w:t>
            </w:r>
          </w:p>
        </w:tc>
        <w:tc>
          <w:tcPr>
            <w:tcW w:w="874" w:type="dxa"/>
            <w:vMerge w:val="continue"/>
            <w:tcBorders>
              <w:tl2br w:val="nil"/>
              <w:tr2bl w:val="nil"/>
            </w:tcBorders>
            <w:shd w:val="clear" w:color="auto" w:fill="auto"/>
            <w:vAlign w:val="center"/>
          </w:tcPr>
          <w:p w14:paraId="6C7EC6F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9F5A85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修武双庙村</w:t>
            </w:r>
          </w:p>
        </w:tc>
        <w:tc>
          <w:tcPr>
            <w:tcW w:w="1265" w:type="dxa"/>
            <w:tcBorders>
              <w:tl2br w:val="nil"/>
              <w:tr2bl w:val="nil"/>
            </w:tcBorders>
            <w:shd w:val="clear" w:color="auto" w:fill="auto"/>
            <w:vAlign w:val="center"/>
          </w:tcPr>
          <w:p w14:paraId="01DDA8D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4083777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40F4CB2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17E4D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7887C6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139</w:t>
            </w:r>
          </w:p>
        </w:tc>
        <w:tc>
          <w:tcPr>
            <w:tcW w:w="874" w:type="dxa"/>
            <w:vMerge w:val="continue"/>
            <w:tcBorders>
              <w:tl2br w:val="nil"/>
              <w:tr2bl w:val="nil"/>
            </w:tcBorders>
            <w:shd w:val="clear" w:color="auto" w:fill="auto"/>
            <w:vAlign w:val="center"/>
          </w:tcPr>
          <w:p w14:paraId="0617850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65274E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焦作峰林峡云海</w:t>
            </w:r>
          </w:p>
        </w:tc>
        <w:tc>
          <w:tcPr>
            <w:tcW w:w="1265" w:type="dxa"/>
            <w:tcBorders>
              <w:tl2br w:val="nil"/>
              <w:tr2bl w:val="nil"/>
            </w:tcBorders>
            <w:shd w:val="clear" w:color="auto" w:fill="auto"/>
            <w:vAlign w:val="center"/>
          </w:tcPr>
          <w:p w14:paraId="2C61799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天象与气候景观</w:t>
            </w:r>
          </w:p>
        </w:tc>
        <w:tc>
          <w:tcPr>
            <w:tcW w:w="1241" w:type="dxa"/>
            <w:tcBorders>
              <w:tl2br w:val="nil"/>
              <w:tr2bl w:val="nil"/>
            </w:tcBorders>
            <w:shd w:val="clear" w:color="auto" w:fill="auto"/>
            <w:vAlign w:val="center"/>
          </w:tcPr>
          <w:p w14:paraId="2962D92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天气与气候现象</w:t>
            </w:r>
          </w:p>
        </w:tc>
        <w:tc>
          <w:tcPr>
            <w:tcW w:w="1614" w:type="dxa"/>
            <w:tcBorders>
              <w:tl2br w:val="nil"/>
              <w:tr2bl w:val="nil"/>
            </w:tcBorders>
            <w:shd w:val="clear" w:color="auto" w:fill="auto"/>
            <w:vAlign w:val="center"/>
          </w:tcPr>
          <w:p w14:paraId="6D25570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云雾多发区</w:t>
            </w:r>
          </w:p>
        </w:tc>
      </w:tr>
      <w:tr w14:paraId="31854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746472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140</w:t>
            </w:r>
          </w:p>
        </w:tc>
        <w:tc>
          <w:tcPr>
            <w:tcW w:w="874" w:type="dxa"/>
            <w:vMerge w:val="continue"/>
            <w:tcBorders>
              <w:tl2br w:val="nil"/>
              <w:tr2bl w:val="nil"/>
            </w:tcBorders>
            <w:shd w:val="clear" w:color="auto" w:fill="auto"/>
            <w:vAlign w:val="center"/>
          </w:tcPr>
          <w:p w14:paraId="3027C3F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550D41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焦作云台山红石峡挂壁甬道</w:t>
            </w:r>
          </w:p>
        </w:tc>
        <w:tc>
          <w:tcPr>
            <w:tcW w:w="1265" w:type="dxa"/>
            <w:tcBorders>
              <w:tl2br w:val="nil"/>
              <w:tr2bl w:val="nil"/>
            </w:tcBorders>
            <w:shd w:val="clear" w:color="auto" w:fill="auto"/>
            <w:vAlign w:val="center"/>
          </w:tcPr>
          <w:p w14:paraId="39B170A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06747D5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景观与小品建筑</w:t>
            </w:r>
          </w:p>
        </w:tc>
        <w:tc>
          <w:tcPr>
            <w:tcW w:w="1614" w:type="dxa"/>
            <w:tcBorders>
              <w:tl2br w:val="nil"/>
              <w:tr2bl w:val="nil"/>
            </w:tcBorders>
            <w:shd w:val="clear" w:color="auto" w:fill="auto"/>
            <w:vAlign w:val="center"/>
          </w:tcPr>
          <w:p w14:paraId="157BAC6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景观步道、甬路</w:t>
            </w:r>
          </w:p>
        </w:tc>
      </w:tr>
      <w:tr w14:paraId="7BB39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A88791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141</w:t>
            </w:r>
          </w:p>
        </w:tc>
        <w:tc>
          <w:tcPr>
            <w:tcW w:w="874" w:type="dxa"/>
            <w:vMerge w:val="continue"/>
            <w:tcBorders>
              <w:tl2br w:val="nil"/>
              <w:tr2bl w:val="nil"/>
            </w:tcBorders>
            <w:shd w:val="clear" w:color="auto" w:fill="auto"/>
            <w:vAlign w:val="center"/>
          </w:tcPr>
          <w:p w14:paraId="4AC23C35">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BA35CD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焦作云台山茱萸峰日落</w:t>
            </w:r>
          </w:p>
        </w:tc>
        <w:tc>
          <w:tcPr>
            <w:tcW w:w="1265" w:type="dxa"/>
            <w:tcBorders>
              <w:tl2br w:val="nil"/>
              <w:tr2bl w:val="nil"/>
            </w:tcBorders>
            <w:shd w:val="clear" w:color="auto" w:fill="auto"/>
            <w:vAlign w:val="center"/>
          </w:tcPr>
          <w:p w14:paraId="54AFA38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天象与气候景观</w:t>
            </w:r>
          </w:p>
        </w:tc>
        <w:tc>
          <w:tcPr>
            <w:tcW w:w="1241" w:type="dxa"/>
            <w:tcBorders>
              <w:tl2br w:val="nil"/>
              <w:tr2bl w:val="nil"/>
            </w:tcBorders>
            <w:shd w:val="clear" w:color="auto" w:fill="auto"/>
            <w:vAlign w:val="center"/>
          </w:tcPr>
          <w:p w14:paraId="1AB5FF5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天象景观</w:t>
            </w:r>
          </w:p>
        </w:tc>
        <w:tc>
          <w:tcPr>
            <w:tcW w:w="1614" w:type="dxa"/>
            <w:tcBorders>
              <w:tl2br w:val="nil"/>
              <w:tr2bl w:val="nil"/>
            </w:tcBorders>
            <w:shd w:val="clear" w:color="auto" w:fill="auto"/>
            <w:vAlign w:val="center"/>
          </w:tcPr>
          <w:p w14:paraId="69DA505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太空景象观赏地</w:t>
            </w:r>
          </w:p>
        </w:tc>
      </w:tr>
      <w:tr w14:paraId="18E5F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F13BAC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142</w:t>
            </w:r>
          </w:p>
        </w:tc>
        <w:tc>
          <w:tcPr>
            <w:tcW w:w="874" w:type="dxa"/>
            <w:vMerge w:val="continue"/>
            <w:tcBorders>
              <w:tl2br w:val="nil"/>
              <w:tr2bl w:val="nil"/>
            </w:tcBorders>
            <w:shd w:val="clear" w:color="auto" w:fill="auto"/>
            <w:vAlign w:val="center"/>
          </w:tcPr>
          <w:p w14:paraId="1A72835C">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80E5F3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焦作云台山红石峡钟乳石裂隙谷</w:t>
            </w:r>
          </w:p>
        </w:tc>
        <w:tc>
          <w:tcPr>
            <w:tcW w:w="1265" w:type="dxa"/>
            <w:tcBorders>
              <w:tl2br w:val="nil"/>
              <w:tr2bl w:val="nil"/>
            </w:tcBorders>
            <w:shd w:val="clear" w:color="auto" w:fill="auto"/>
            <w:vAlign w:val="center"/>
          </w:tcPr>
          <w:p w14:paraId="067A9D3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0B333C3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自然景观综合体</w:t>
            </w:r>
          </w:p>
        </w:tc>
        <w:tc>
          <w:tcPr>
            <w:tcW w:w="1614" w:type="dxa"/>
            <w:tcBorders>
              <w:tl2br w:val="nil"/>
              <w:tr2bl w:val="nil"/>
            </w:tcBorders>
            <w:shd w:val="clear" w:color="auto" w:fill="auto"/>
            <w:vAlign w:val="center"/>
          </w:tcPr>
          <w:p w14:paraId="1B377D6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沟谷型景观</w:t>
            </w:r>
          </w:p>
        </w:tc>
      </w:tr>
      <w:tr w14:paraId="39AB6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8D0638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143</w:t>
            </w:r>
          </w:p>
        </w:tc>
        <w:tc>
          <w:tcPr>
            <w:tcW w:w="874" w:type="dxa"/>
            <w:vMerge w:val="continue"/>
            <w:tcBorders>
              <w:tl2br w:val="nil"/>
              <w:tr2bl w:val="nil"/>
            </w:tcBorders>
            <w:shd w:val="clear" w:color="auto" w:fill="auto"/>
            <w:vAlign w:val="center"/>
          </w:tcPr>
          <w:p w14:paraId="2BEB2726">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44C2A1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焦作云台山红石峡三剑峰</w:t>
            </w:r>
          </w:p>
        </w:tc>
        <w:tc>
          <w:tcPr>
            <w:tcW w:w="1265" w:type="dxa"/>
            <w:tcBorders>
              <w:tl2br w:val="nil"/>
              <w:tr2bl w:val="nil"/>
            </w:tcBorders>
            <w:shd w:val="clear" w:color="auto" w:fill="auto"/>
            <w:vAlign w:val="center"/>
          </w:tcPr>
          <w:p w14:paraId="1BE7919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4348386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41F12CC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峰柱状地景</w:t>
            </w:r>
          </w:p>
        </w:tc>
      </w:tr>
      <w:tr w14:paraId="74C6C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CEC57F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144</w:t>
            </w:r>
          </w:p>
        </w:tc>
        <w:tc>
          <w:tcPr>
            <w:tcW w:w="874" w:type="dxa"/>
            <w:vMerge w:val="continue"/>
            <w:tcBorders>
              <w:tl2br w:val="nil"/>
              <w:tr2bl w:val="nil"/>
            </w:tcBorders>
            <w:shd w:val="clear" w:color="auto" w:fill="auto"/>
            <w:vAlign w:val="center"/>
          </w:tcPr>
          <w:p w14:paraId="5B44605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52C1F4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焦作云台山红石峡障谷</w:t>
            </w:r>
          </w:p>
        </w:tc>
        <w:tc>
          <w:tcPr>
            <w:tcW w:w="1265" w:type="dxa"/>
            <w:tcBorders>
              <w:tl2br w:val="nil"/>
              <w:tr2bl w:val="nil"/>
            </w:tcBorders>
            <w:shd w:val="clear" w:color="auto" w:fill="auto"/>
            <w:vAlign w:val="center"/>
          </w:tcPr>
          <w:p w14:paraId="0251961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07690C0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自然景观综合体</w:t>
            </w:r>
          </w:p>
        </w:tc>
        <w:tc>
          <w:tcPr>
            <w:tcW w:w="1614" w:type="dxa"/>
            <w:tcBorders>
              <w:tl2br w:val="nil"/>
              <w:tr2bl w:val="nil"/>
            </w:tcBorders>
            <w:shd w:val="clear" w:color="auto" w:fill="auto"/>
            <w:vAlign w:val="center"/>
          </w:tcPr>
          <w:p w14:paraId="4A71EE3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沟谷型景观</w:t>
            </w:r>
          </w:p>
        </w:tc>
      </w:tr>
      <w:tr w14:paraId="4337C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E14763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145</w:t>
            </w:r>
          </w:p>
        </w:tc>
        <w:tc>
          <w:tcPr>
            <w:tcW w:w="874" w:type="dxa"/>
            <w:vMerge w:val="continue"/>
            <w:tcBorders>
              <w:tl2br w:val="nil"/>
              <w:tr2bl w:val="nil"/>
            </w:tcBorders>
            <w:shd w:val="clear" w:color="auto" w:fill="auto"/>
            <w:vAlign w:val="center"/>
          </w:tcPr>
          <w:p w14:paraId="52CAE74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6AF9EB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焦作青龙峡V型谷</w:t>
            </w:r>
          </w:p>
        </w:tc>
        <w:tc>
          <w:tcPr>
            <w:tcW w:w="1265" w:type="dxa"/>
            <w:tcBorders>
              <w:tl2br w:val="nil"/>
              <w:tr2bl w:val="nil"/>
            </w:tcBorders>
            <w:shd w:val="clear" w:color="auto" w:fill="auto"/>
            <w:vAlign w:val="center"/>
          </w:tcPr>
          <w:p w14:paraId="7A28154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600AC89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自然景观综合体</w:t>
            </w:r>
          </w:p>
        </w:tc>
        <w:tc>
          <w:tcPr>
            <w:tcW w:w="1614" w:type="dxa"/>
            <w:tcBorders>
              <w:tl2br w:val="nil"/>
              <w:tr2bl w:val="nil"/>
            </w:tcBorders>
            <w:shd w:val="clear" w:color="auto" w:fill="auto"/>
            <w:vAlign w:val="center"/>
          </w:tcPr>
          <w:p w14:paraId="6D5324C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沟谷型景观</w:t>
            </w:r>
          </w:p>
        </w:tc>
      </w:tr>
      <w:tr w14:paraId="02AB7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698F40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146</w:t>
            </w:r>
          </w:p>
        </w:tc>
        <w:tc>
          <w:tcPr>
            <w:tcW w:w="874" w:type="dxa"/>
            <w:vMerge w:val="continue"/>
            <w:tcBorders>
              <w:tl2br w:val="nil"/>
              <w:tr2bl w:val="nil"/>
            </w:tcBorders>
            <w:shd w:val="clear" w:color="auto" w:fill="auto"/>
            <w:vAlign w:val="center"/>
          </w:tcPr>
          <w:p w14:paraId="2C33FC69">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CA89CB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焦作青龙峡五彩台地型景观</w:t>
            </w:r>
          </w:p>
        </w:tc>
        <w:tc>
          <w:tcPr>
            <w:tcW w:w="1265" w:type="dxa"/>
            <w:tcBorders>
              <w:tl2br w:val="nil"/>
              <w:tr2bl w:val="nil"/>
            </w:tcBorders>
            <w:shd w:val="clear" w:color="auto" w:fill="auto"/>
            <w:vAlign w:val="center"/>
          </w:tcPr>
          <w:p w14:paraId="5A341BA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01EC1C7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自然景观综合体</w:t>
            </w:r>
          </w:p>
        </w:tc>
        <w:tc>
          <w:tcPr>
            <w:tcW w:w="1614" w:type="dxa"/>
            <w:tcBorders>
              <w:tl2br w:val="nil"/>
              <w:tr2bl w:val="nil"/>
            </w:tcBorders>
            <w:shd w:val="clear" w:color="auto" w:fill="auto"/>
            <w:vAlign w:val="center"/>
          </w:tcPr>
          <w:p w14:paraId="1822F5B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台地型景观</w:t>
            </w:r>
          </w:p>
        </w:tc>
      </w:tr>
      <w:tr w14:paraId="3D2F3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ACA5AD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147</w:t>
            </w:r>
          </w:p>
        </w:tc>
        <w:tc>
          <w:tcPr>
            <w:tcW w:w="874" w:type="dxa"/>
            <w:vMerge w:val="continue"/>
            <w:tcBorders>
              <w:tl2br w:val="nil"/>
              <w:tr2bl w:val="nil"/>
            </w:tcBorders>
            <w:shd w:val="clear" w:color="auto" w:fill="auto"/>
            <w:vAlign w:val="center"/>
          </w:tcPr>
          <w:p w14:paraId="39680A66">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677933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焦作云台山红石峡围谷</w:t>
            </w:r>
          </w:p>
        </w:tc>
        <w:tc>
          <w:tcPr>
            <w:tcW w:w="1265" w:type="dxa"/>
            <w:tcBorders>
              <w:tl2br w:val="nil"/>
              <w:tr2bl w:val="nil"/>
            </w:tcBorders>
            <w:shd w:val="clear" w:color="auto" w:fill="auto"/>
            <w:vAlign w:val="center"/>
          </w:tcPr>
          <w:p w14:paraId="445AC6F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158E6C2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自然景观综合体</w:t>
            </w:r>
          </w:p>
        </w:tc>
        <w:tc>
          <w:tcPr>
            <w:tcW w:w="1614" w:type="dxa"/>
            <w:tcBorders>
              <w:tl2br w:val="nil"/>
              <w:tr2bl w:val="nil"/>
            </w:tcBorders>
            <w:shd w:val="clear" w:color="auto" w:fill="auto"/>
            <w:vAlign w:val="center"/>
          </w:tcPr>
          <w:p w14:paraId="1531BB4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沟谷型景观</w:t>
            </w:r>
          </w:p>
        </w:tc>
      </w:tr>
      <w:tr w14:paraId="62357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9BAFD1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148</w:t>
            </w:r>
          </w:p>
        </w:tc>
        <w:tc>
          <w:tcPr>
            <w:tcW w:w="874" w:type="dxa"/>
            <w:vMerge w:val="continue"/>
            <w:tcBorders>
              <w:tl2br w:val="nil"/>
              <w:tr2bl w:val="nil"/>
            </w:tcBorders>
            <w:shd w:val="clear" w:color="auto" w:fill="auto"/>
            <w:vAlign w:val="center"/>
          </w:tcPr>
          <w:p w14:paraId="613057D6">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963640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修武峰林峡二王峰崖墙</w:t>
            </w:r>
          </w:p>
        </w:tc>
        <w:tc>
          <w:tcPr>
            <w:tcW w:w="1265" w:type="dxa"/>
            <w:tcBorders>
              <w:tl2br w:val="nil"/>
              <w:tr2bl w:val="nil"/>
            </w:tcBorders>
            <w:shd w:val="clear" w:color="auto" w:fill="auto"/>
            <w:vAlign w:val="center"/>
          </w:tcPr>
          <w:p w14:paraId="1C421CF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32E0D6B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地质与构造形迹</w:t>
            </w:r>
          </w:p>
        </w:tc>
        <w:tc>
          <w:tcPr>
            <w:tcW w:w="1614" w:type="dxa"/>
            <w:tcBorders>
              <w:tl2br w:val="nil"/>
              <w:tr2bl w:val="nil"/>
            </w:tcBorders>
            <w:shd w:val="clear" w:color="auto" w:fill="auto"/>
            <w:vAlign w:val="center"/>
          </w:tcPr>
          <w:p w14:paraId="7A2DE73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断裂景观</w:t>
            </w:r>
          </w:p>
        </w:tc>
      </w:tr>
      <w:tr w14:paraId="2DD4B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4DA5C3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149</w:t>
            </w:r>
          </w:p>
        </w:tc>
        <w:tc>
          <w:tcPr>
            <w:tcW w:w="874" w:type="dxa"/>
            <w:vMerge w:val="continue"/>
            <w:tcBorders>
              <w:tl2br w:val="nil"/>
              <w:tr2bl w:val="nil"/>
            </w:tcBorders>
            <w:shd w:val="clear" w:color="auto" w:fill="auto"/>
            <w:vAlign w:val="center"/>
          </w:tcPr>
          <w:p w14:paraId="1E18F08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4AC0FF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修武丁兰刻木传说</w:t>
            </w:r>
          </w:p>
        </w:tc>
        <w:tc>
          <w:tcPr>
            <w:tcW w:w="1265" w:type="dxa"/>
            <w:tcBorders>
              <w:tl2br w:val="nil"/>
              <w:tr2bl w:val="nil"/>
            </w:tcBorders>
            <w:shd w:val="clear" w:color="auto" w:fill="auto"/>
            <w:vAlign w:val="center"/>
          </w:tcPr>
          <w:p w14:paraId="15D962C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1CA38CD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非物质类文化遗存</w:t>
            </w:r>
          </w:p>
        </w:tc>
        <w:tc>
          <w:tcPr>
            <w:tcW w:w="1614" w:type="dxa"/>
            <w:tcBorders>
              <w:tl2br w:val="nil"/>
              <w:tr2bl w:val="nil"/>
            </w:tcBorders>
            <w:shd w:val="clear" w:color="auto" w:fill="auto"/>
            <w:vAlign w:val="center"/>
          </w:tcPr>
          <w:p w14:paraId="1B7CD23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民间文学艺术</w:t>
            </w:r>
          </w:p>
        </w:tc>
      </w:tr>
      <w:tr w14:paraId="49FD2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36DFA9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150</w:t>
            </w:r>
          </w:p>
        </w:tc>
        <w:tc>
          <w:tcPr>
            <w:tcW w:w="874" w:type="dxa"/>
            <w:vMerge w:val="continue"/>
            <w:tcBorders>
              <w:tl2br w:val="nil"/>
              <w:tr2bl w:val="nil"/>
            </w:tcBorders>
            <w:shd w:val="clear" w:color="auto" w:fill="auto"/>
            <w:vAlign w:val="center"/>
          </w:tcPr>
          <w:p w14:paraId="11BB8A4D">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2C465F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焦作青龙峡星空露营地</w:t>
            </w:r>
          </w:p>
        </w:tc>
        <w:tc>
          <w:tcPr>
            <w:tcW w:w="1265" w:type="dxa"/>
            <w:tcBorders>
              <w:tl2br w:val="nil"/>
              <w:tr2bl w:val="nil"/>
            </w:tcBorders>
            <w:shd w:val="clear" w:color="auto" w:fill="auto"/>
            <w:vAlign w:val="center"/>
          </w:tcPr>
          <w:p w14:paraId="3F670B3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0082C00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3A2CBCD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独立场、所</w:t>
            </w:r>
          </w:p>
        </w:tc>
      </w:tr>
      <w:tr w14:paraId="622C3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EFB770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151</w:t>
            </w:r>
          </w:p>
        </w:tc>
        <w:tc>
          <w:tcPr>
            <w:tcW w:w="874" w:type="dxa"/>
            <w:vMerge w:val="continue"/>
            <w:tcBorders>
              <w:tl2br w:val="nil"/>
              <w:tr2bl w:val="nil"/>
            </w:tcBorders>
            <w:shd w:val="clear" w:color="auto" w:fill="auto"/>
            <w:vAlign w:val="center"/>
          </w:tcPr>
          <w:p w14:paraId="7A4A241C">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566427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焦作云台山茱萸峰云海</w:t>
            </w:r>
          </w:p>
        </w:tc>
        <w:tc>
          <w:tcPr>
            <w:tcW w:w="1265" w:type="dxa"/>
            <w:tcBorders>
              <w:tl2br w:val="nil"/>
              <w:tr2bl w:val="nil"/>
            </w:tcBorders>
            <w:shd w:val="clear" w:color="auto" w:fill="auto"/>
            <w:vAlign w:val="center"/>
          </w:tcPr>
          <w:p w14:paraId="6C3F171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天象与气候景观</w:t>
            </w:r>
          </w:p>
        </w:tc>
        <w:tc>
          <w:tcPr>
            <w:tcW w:w="1241" w:type="dxa"/>
            <w:tcBorders>
              <w:tl2br w:val="nil"/>
              <w:tr2bl w:val="nil"/>
            </w:tcBorders>
            <w:shd w:val="clear" w:color="auto" w:fill="auto"/>
            <w:vAlign w:val="center"/>
          </w:tcPr>
          <w:p w14:paraId="0B4E4F9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天气与气候现象</w:t>
            </w:r>
          </w:p>
        </w:tc>
        <w:tc>
          <w:tcPr>
            <w:tcW w:w="1614" w:type="dxa"/>
            <w:tcBorders>
              <w:tl2br w:val="nil"/>
              <w:tr2bl w:val="nil"/>
            </w:tcBorders>
            <w:shd w:val="clear" w:color="auto" w:fill="auto"/>
            <w:vAlign w:val="center"/>
          </w:tcPr>
          <w:p w14:paraId="3DC64E1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云雾多发区</w:t>
            </w:r>
          </w:p>
        </w:tc>
      </w:tr>
      <w:tr w14:paraId="4E2F4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A3C21B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152</w:t>
            </w:r>
          </w:p>
        </w:tc>
        <w:tc>
          <w:tcPr>
            <w:tcW w:w="874" w:type="dxa"/>
            <w:vMerge w:val="continue"/>
            <w:tcBorders>
              <w:tl2br w:val="nil"/>
              <w:tr2bl w:val="nil"/>
            </w:tcBorders>
            <w:shd w:val="clear" w:color="auto" w:fill="auto"/>
            <w:vAlign w:val="center"/>
          </w:tcPr>
          <w:p w14:paraId="10A0E9E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A33512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焦作云台山百家岩玉皇山台地</w:t>
            </w:r>
          </w:p>
        </w:tc>
        <w:tc>
          <w:tcPr>
            <w:tcW w:w="1265" w:type="dxa"/>
            <w:tcBorders>
              <w:tl2br w:val="nil"/>
              <w:tr2bl w:val="nil"/>
            </w:tcBorders>
            <w:shd w:val="clear" w:color="auto" w:fill="auto"/>
            <w:vAlign w:val="center"/>
          </w:tcPr>
          <w:p w14:paraId="75126B2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3F9E22C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自然景观综合体</w:t>
            </w:r>
          </w:p>
        </w:tc>
        <w:tc>
          <w:tcPr>
            <w:tcW w:w="1614" w:type="dxa"/>
            <w:tcBorders>
              <w:tl2br w:val="nil"/>
              <w:tr2bl w:val="nil"/>
            </w:tcBorders>
            <w:shd w:val="clear" w:color="auto" w:fill="auto"/>
            <w:vAlign w:val="center"/>
          </w:tcPr>
          <w:p w14:paraId="301776D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台地型景观</w:t>
            </w:r>
          </w:p>
        </w:tc>
      </w:tr>
      <w:tr w14:paraId="0BB55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E60EAB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153</w:t>
            </w:r>
          </w:p>
        </w:tc>
        <w:tc>
          <w:tcPr>
            <w:tcW w:w="874" w:type="dxa"/>
            <w:vMerge w:val="continue"/>
            <w:tcBorders>
              <w:tl2br w:val="nil"/>
              <w:tr2bl w:val="nil"/>
            </w:tcBorders>
            <w:shd w:val="clear" w:color="auto" w:fill="auto"/>
            <w:vAlign w:val="center"/>
          </w:tcPr>
          <w:p w14:paraId="4DBA8419">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FE79E4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焦作云台山百家岩玉皇峰</w:t>
            </w:r>
          </w:p>
        </w:tc>
        <w:tc>
          <w:tcPr>
            <w:tcW w:w="1265" w:type="dxa"/>
            <w:tcBorders>
              <w:tl2br w:val="nil"/>
              <w:tr2bl w:val="nil"/>
            </w:tcBorders>
            <w:shd w:val="clear" w:color="auto" w:fill="auto"/>
            <w:vAlign w:val="center"/>
          </w:tcPr>
          <w:p w14:paraId="31BD3AE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6C768E0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4A307D7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峰柱状地景</w:t>
            </w:r>
          </w:p>
        </w:tc>
      </w:tr>
      <w:tr w14:paraId="54683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62D61E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154</w:t>
            </w:r>
          </w:p>
        </w:tc>
        <w:tc>
          <w:tcPr>
            <w:tcW w:w="874" w:type="dxa"/>
            <w:vMerge w:val="continue"/>
            <w:tcBorders>
              <w:tl2br w:val="nil"/>
              <w:tr2bl w:val="nil"/>
            </w:tcBorders>
            <w:shd w:val="clear" w:color="auto" w:fill="auto"/>
            <w:vAlign w:val="center"/>
          </w:tcPr>
          <w:p w14:paraId="4611424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5C4505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焦作云台山百家岩玉皇顶东台地型景观</w:t>
            </w:r>
          </w:p>
        </w:tc>
        <w:tc>
          <w:tcPr>
            <w:tcW w:w="1265" w:type="dxa"/>
            <w:tcBorders>
              <w:tl2br w:val="nil"/>
              <w:tr2bl w:val="nil"/>
            </w:tcBorders>
            <w:shd w:val="clear" w:color="auto" w:fill="auto"/>
            <w:vAlign w:val="center"/>
          </w:tcPr>
          <w:p w14:paraId="79CC806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6AC63E0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自然景观综合体</w:t>
            </w:r>
          </w:p>
        </w:tc>
        <w:tc>
          <w:tcPr>
            <w:tcW w:w="1614" w:type="dxa"/>
            <w:tcBorders>
              <w:tl2br w:val="nil"/>
              <w:tr2bl w:val="nil"/>
            </w:tcBorders>
            <w:shd w:val="clear" w:color="auto" w:fill="auto"/>
            <w:vAlign w:val="center"/>
          </w:tcPr>
          <w:p w14:paraId="430BBFE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台地型景观</w:t>
            </w:r>
          </w:p>
        </w:tc>
      </w:tr>
      <w:tr w14:paraId="467E8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3102F9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155</w:t>
            </w:r>
          </w:p>
        </w:tc>
        <w:tc>
          <w:tcPr>
            <w:tcW w:w="874" w:type="dxa"/>
            <w:vMerge w:val="continue"/>
            <w:tcBorders>
              <w:tl2br w:val="nil"/>
              <w:tr2bl w:val="nil"/>
            </w:tcBorders>
            <w:shd w:val="clear" w:color="auto" w:fill="auto"/>
            <w:vAlign w:val="center"/>
          </w:tcPr>
          <w:p w14:paraId="06B6B9B6">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483612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焦作云台山百家岩V形长崖</w:t>
            </w:r>
          </w:p>
        </w:tc>
        <w:tc>
          <w:tcPr>
            <w:tcW w:w="1265" w:type="dxa"/>
            <w:tcBorders>
              <w:tl2br w:val="nil"/>
              <w:tr2bl w:val="nil"/>
            </w:tcBorders>
            <w:shd w:val="clear" w:color="auto" w:fill="auto"/>
            <w:vAlign w:val="center"/>
          </w:tcPr>
          <w:p w14:paraId="46A3417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3E1B621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地质与构造形迹</w:t>
            </w:r>
          </w:p>
        </w:tc>
        <w:tc>
          <w:tcPr>
            <w:tcW w:w="1614" w:type="dxa"/>
            <w:tcBorders>
              <w:tl2br w:val="nil"/>
              <w:tr2bl w:val="nil"/>
            </w:tcBorders>
            <w:shd w:val="clear" w:color="auto" w:fill="auto"/>
            <w:vAlign w:val="center"/>
          </w:tcPr>
          <w:p w14:paraId="2E15BDF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断裂景观</w:t>
            </w:r>
          </w:p>
        </w:tc>
      </w:tr>
      <w:tr w14:paraId="40087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BF08B8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156</w:t>
            </w:r>
          </w:p>
        </w:tc>
        <w:tc>
          <w:tcPr>
            <w:tcW w:w="874" w:type="dxa"/>
            <w:vMerge w:val="continue"/>
            <w:tcBorders>
              <w:tl2br w:val="nil"/>
              <w:tr2bl w:val="nil"/>
            </w:tcBorders>
            <w:shd w:val="clear" w:color="auto" w:fill="auto"/>
            <w:vAlign w:val="center"/>
          </w:tcPr>
          <w:p w14:paraId="234D0FA5">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CAD643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焦作云台山冰雪节</w:t>
            </w:r>
          </w:p>
        </w:tc>
        <w:tc>
          <w:tcPr>
            <w:tcW w:w="1265" w:type="dxa"/>
            <w:tcBorders>
              <w:tl2br w:val="nil"/>
              <w:tr2bl w:val="nil"/>
            </w:tcBorders>
            <w:shd w:val="clear" w:color="auto" w:fill="auto"/>
            <w:vAlign w:val="center"/>
          </w:tcPr>
          <w:p w14:paraId="6D2658D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0FFCD41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岁时节令</w:t>
            </w:r>
          </w:p>
        </w:tc>
        <w:tc>
          <w:tcPr>
            <w:tcW w:w="1614" w:type="dxa"/>
            <w:tcBorders>
              <w:tl2br w:val="nil"/>
              <w:tr2bl w:val="nil"/>
            </w:tcBorders>
            <w:shd w:val="clear" w:color="auto" w:fill="auto"/>
            <w:vAlign w:val="center"/>
          </w:tcPr>
          <w:p w14:paraId="0C4A0B9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现代节庆</w:t>
            </w:r>
          </w:p>
        </w:tc>
      </w:tr>
      <w:tr w14:paraId="08510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AE975D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157</w:t>
            </w:r>
          </w:p>
        </w:tc>
        <w:tc>
          <w:tcPr>
            <w:tcW w:w="874" w:type="dxa"/>
            <w:vMerge w:val="continue"/>
            <w:tcBorders>
              <w:tl2br w:val="nil"/>
              <w:tr2bl w:val="nil"/>
            </w:tcBorders>
            <w:shd w:val="clear" w:color="auto" w:fill="auto"/>
            <w:vAlign w:val="center"/>
          </w:tcPr>
          <w:p w14:paraId="0FF8A8B8">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3C4CDB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焦作云台山泉瀑峡幽瀑</w:t>
            </w:r>
          </w:p>
        </w:tc>
        <w:tc>
          <w:tcPr>
            <w:tcW w:w="1265" w:type="dxa"/>
            <w:tcBorders>
              <w:tl2br w:val="nil"/>
              <w:tr2bl w:val="nil"/>
            </w:tcBorders>
            <w:shd w:val="clear" w:color="auto" w:fill="auto"/>
            <w:vAlign w:val="center"/>
          </w:tcPr>
          <w:p w14:paraId="1BF99BA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6DD470D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440EF2A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瀑布</w:t>
            </w:r>
          </w:p>
        </w:tc>
      </w:tr>
      <w:tr w14:paraId="48905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781A57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158</w:t>
            </w:r>
          </w:p>
        </w:tc>
        <w:tc>
          <w:tcPr>
            <w:tcW w:w="874" w:type="dxa"/>
            <w:vMerge w:val="continue"/>
            <w:tcBorders>
              <w:tl2br w:val="nil"/>
              <w:tr2bl w:val="nil"/>
            </w:tcBorders>
            <w:shd w:val="clear" w:color="auto" w:fill="auto"/>
            <w:vAlign w:val="center"/>
          </w:tcPr>
          <w:p w14:paraId="339E2A57">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FB3DDF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焦作云台山泉瀑峡天瀑潭</w:t>
            </w:r>
          </w:p>
        </w:tc>
        <w:tc>
          <w:tcPr>
            <w:tcW w:w="1265" w:type="dxa"/>
            <w:tcBorders>
              <w:tl2br w:val="nil"/>
              <w:tr2bl w:val="nil"/>
            </w:tcBorders>
            <w:shd w:val="clear" w:color="auto" w:fill="auto"/>
            <w:vAlign w:val="center"/>
          </w:tcPr>
          <w:p w14:paraId="24E9955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24FCECA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湖沼</w:t>
            </w:r>
          </w:p>
        </w:tc>
        <w:tc>
          <w:tcPr>
            <w:tcW w:w="1614" w:type="dxa"/>
            <w:tcBorders>
              <w:tl2br w:val="nil"/>
              <w:tr2bl w:val="nil"/>
            </w:tcBorders>
            <w:shd w:val="clear" w:color="auto" w:fill="auto"/>
            <w:vAlign w:val="center"/>
          </w:tcPr>
          <w:p w14:paraId="409BF29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潭池</w:t>
            </w:r>
          </w:p>
        </w:tc>
      </w:tr>
      <w:tr w14:paraId="62AD1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96F690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159</w:t>
            </w:r>
          </w:p>
        </w:tc>
        <w:tc>
          <w:tcPr>
            <w:tcW w:w="874" w:type="dxa"/>
            <w:vMerge w:val="continue"/>
            <w:tcBorders>
              <w:tl2br w:val="nil"/>
              <w:tr2bl w:val="nil"/>
            </w:tcBorders>
            <w:shd w:val="clear" w:color="auto" w:fill="auto"/>
            <w:vAlign w:val="center"/>
          </w:tcPr>
          <w:p w14:paraId="072BBDCD">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EA6A69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修武片马村神羊峡</w:t>
            </w:r>
          </w:p>
        </w:tc>
        <w:tc>
          <w:tcPr>
            <w:tcW w:w="1265" w:type="dxa"/>
            <w:tcBorders>
              <w:tl2br w:val="nil"/>
              <w:tr2bl w:val="nil"/>
            </w:tcBorders>
            <w:shd w:val="clear" w:color="auto" w:fill="auto"/>
            <w:vAlign w:val="center"/>
          </w:tcPr>
          <w:p w14:paraId="7AFCD03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650DF03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自然景观综合体</w:t>
            </w:r>
          </w:p>
        </w:tc>
        <w:tc>
          <w:tcPr>
            <w:tcW w:w="1614" w:type="dxa"/>
            <w:tcBorders>
              <w:tl2br w:val="nil"/>
              <w:tr2bl w:val="nil"/>
            </w:tcBorders>
            <w:shd w:val="clear" w:color="auto" w:fill="auto"/>
            <w:vAlign w:val="center"/>
          </w:tcPr>
          <w:p w14:paraId="3C0C2DC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沟谷型景观</w:t>
            </w:r>
          </w:p>
        </w:tc>
      </w:tr>
      <w:tr w14:paraId="1DDCF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D59BB4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160</w:t>
            </w:r>
          </w:p>
        </w:tc>
        <w:tc>
          <w:tcPr>
            <w:tcW w:w="874" w:type="dxa"/>
            <w:vMerge w:val="continue"/>
            <w:tcBorders>
              <w:tl2br w:val="nil"/>
              <w:tr2bl w:val="nil"/>
            </w:tcBorders>
            <w:shd w:val="clear" w:color="auto" w:fill="auto"/>
            <w:vAlign w:val="center"/>
          </w:tcPr>
          <w:p w14:paraId="2F386F42">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DC1C5E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修武云台冰菊绿色种植基地</w:t>
            </w:r>
          </w:p>
        </w:tc>
        <w:tc>
          <w:tcPr>
            <w:tcW w:w="1265" w:type="dxa"/>
            <w:tcBorders>
              <w:tl2br w:val="nil"/>
              <w:tr2bl w:val="nil"/>
            </w:tcBorders>
            <w:shd w:val="clear" w:color="auto" w:fill="auto"/>
            <w:vAlign w:val="center"/>
          </w:tcPr>
          <w:p w14:paraId="2E5FC64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455E40E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745AFC4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建设工程与生产地</w:t>
            </w:r>
          </w:p>
        </w:tc>
      </w:tr>
      <w:tr w14:paraId="530C1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757DF6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161</w:t>
            </w:r>
          </w:p>
        </w:tc>
        <w:tc>
          <w:tcPr>
            <w:tcW w:w="874" w:type="dxa"/>
            <w:vMerge w:val="continue"/>
            <w:tcBorders>
              <w:tl2br w:val="nil"/>
              <w:tr2bl w:val="nil"/>
            </w:tcBorders>
            <w:shd w:val="clear" w:color="auto" w:fill="auto"/>
            <w:vAlign w:val="center"/>
          </w:tcPr>
          <w:p w14:paraId="0E95425D">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7FF58F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修武龙门村</w:t>
            </w:r>
          </w:p>
        </w:tc>
        <w:tc>
          <w:tcPr>
            <w:tcW w:w="1265" w:type="dxa"/>
            <w:tcBorders>
              <w:tl2br w:val="nil"/>
              <w:tr2bl w:val="nil"/>
            </w:tcBorders>
            <w:shd w:val="clear" w:color="auto" w:fill="auto"/>
            <w:vAlign w:val="center"/>
          </w:tcPr>
          <w:p w14:paraId="7CFD27A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060D716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6D3B3E2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2D14E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75CADC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162</w:t>
            </w:r>
          </w:p>
        </w:tc>
        <w:tc>
          <w:tcPr>
            <w:tcW w:w="874" w:type="dxa"/>
            <w:vMerge w:val="continue"/>
            <w:tcBorders>
              <w:tl2br w:val="nil"/>
              <w:tr2bl w:val="nil"/>
            </w:tcBorders>
            <w:shd w:val="clear" w:color="auto" w:fill="auto"/>
            <w:vAlign w:val="center"/>
          </w:tcPr>
          <w:p w14:paraId="51F73BD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796039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修武大南坡村</w:t>
            </w:r>
          </w:p>
        </w:tc>
        <w:tc>
          <w:tcPr>
            <w:tcW w:w="1265" w:type="dxa"/>
            <w:tcBorders>
              <w:tl2br w:val="nil"/>
              <w:tr2bl w:val="nil"/>
            </w:tcBorders>
            <w:shd w:val="clear" w:color="auto" w:fill="auto"/>
            <w:vAlign w:val="center"/>
          </w:tcPr>
          <w:p w14:paraId="3240F4D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7B941AB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02E9538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1FEF7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FBE8F6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163</w:t>
            </w:r>
          </w:p>
        </w:tc>
        <w:tc>
          <w:tcPr>
            <w:tcW w:w="874" w:type="dxa"/>
            <w:vMerge w:val="continue"/>
            <w:tcBorders>
              <w:tl2br w:val="nil"/>
              <w:tr2bl w:val="nil"/>
            </w:tcBorders>
            <w:shd w:val="clear" w:color="auto" w:fill="auto"/>
            <w:vAlign w:val="center"/>
          </w:tcPr>
          <w:p w14:paraId="361F483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3A98FF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修武云台溶洞</w:t>
            </w:r>
          </w:p>
        </w:tc>
        <w:tc>
          <w:tcPr>
            <w:tcW w:w="1265" w:type="dxa"/>
            <w:tcBorders>
              <w:tl2br w:val="nil"/>
              <w:tr2bl w:val="nil"/>
            </w:tcBorders>
            <w:shd w:val="clear" w:color="auto" w:fill="auto"/>
            <w:vAlign w:val="center"/>
          </w:tcPr>
          <w:p w14:paraId="084CA59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6735C33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7DBA2FA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沟壑与洞穴</w:t>
            </w:r>
          </w:p>
        </w:tc>
      </w:tr>
      <w:tr w14:paraId="2D140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C2F9F7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164</w:t>
            </w:r>
          </w:p>
        </w:tc>
        <w:tc>
          <w:tcPr>
            <w:tcW w:w="874" w:type="dxa"/>
            <w:vMerge w:val="continue"/>
            <w:tcBorders>
              <w:tl2br w:val="nil"/>
              <w:tr2bl w:val="nil"/>
            </w:tcBorders>
            <w:shd w:val="clear" w:color="auto" w:fill="auto"/>
            <w:vAlign w:val="center"/>
          </w:tcPr>
          <w:p w14:paraId="24066A2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898083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修武延陵大葱</w:t>
            </w:r>
          </w:p>
        </w:tc>
        <w:tc>
          <w:tcPr>
            <w:tcW w:w="1265" w:type="dxa"/>
            <w:tcBorders>
              <w:tl2br w:val="nil"/>
              <w:tr2bl w:val="nil"/>
            </w:tcBorders>
            <w:shd w:val="clear" w:color="auto" w:fill="auto"/>
            <w:vAlign w:val="center"/>
          </w:tcPr>
          <w:p w14:paraId="68C5FB1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671273A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农业产品</w:t>
            </w:r>
          </w:p>
        </w:tc>
        <w:tc>
          <w:tcPr>
            <w:tcW w:w="1614" w:type="dxa"/>
            <w:tcBorders>
              <w:tl2br w:val="nil"/>
              <w:tr2bl w:val="nil"/>
            </w:tcBorders>
            <w:shd w:val="clear" w:color="auto" w:fill="auto"/>
            <w:vAlign w:val="center"/>
          </w:tcPr>
          <w:p w14:paraId="788DAD7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种植业产品及制品</w:t>
            </w:r>
          </w:p>
        </w:tc>
      </w:tr>
      <w:tr w14:paraId="70F75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52D184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165</w:t>
            </w:r>
          </w:p>
        </w:tc>
        <w:tc>
          <w:tcPr>
            <w:tcW w:w="874" w:type="dxa"/>
            <w:vMerge w:val="continue"/>
            <w:tcBorders>
              <w:tl2br w:val="nil"/>
              <w:tr2bl w:val="nil"/>
            </w:tcBorders>
            <w:shd w:val="clear" w:color="auto" w:fill="auto"/>
            <w:vAlign w:val="center"/>
          </w:tcPr>
          <w:p w14:paraId="3FB20FD3">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A1E283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修武东交口村</w:t>
            </w:r>
          </w:p>
        </w:tc>
        <w:tc>
          <w:tcPr>
            <w:tcW w:w="1265" w:type="dxa"/>
            <w:tcBorders>
              <w:tl2br w:val="nil"/>
              <w:tr2bl w:val="nil"/>
            </w:tcBorders>
            <w:shd w:val="clear" w:color="auto" w:fill="auto"/>
            <w:vAlign w:val="center"/>
          </w:tcPr>
          <w:p w14:paraId="2AE054B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6610CCB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15150D8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5695E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38E1C8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166</w:t>
            </w:r>
          </w:p>
        </w:tc>
        <w:tc>
          <w:tcPr>
            <w:tcW w:w="874" w:type="dxa"/>
            <w:vMerge w:val="continue"/>
            <w:tcBorders>
              <w:tl2br w:val="nil"/>
              <w:tr2bl w:val="nil"/>
            </w:tcBorders>
            <w:shd w:val="clear" w:color="auto" w:fill="auto"/>
            <w:vAlign w:val="center"/>
          </w:tcPr>
          <w:p w14:paraId="417DCEB9">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345876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修武当阳峪村南水北调中线工程搬迁古建筑群</w:t>
            </w:r>
          </w:p>
        </w:tc>
        <w:tc>
          <w:tcPr>
            <w:tcW w:w="1265" w:type="dxa"/>
            <w:tcBorders>
              <w:tl2br w:val="nil"/>
              <w:tr2bl w:val="nil"/>
            </w:tcBorders>
            <w:shd w:val="clear" w:color="auto" w:fill="auto"/>
            <w:vAlign w:val="center"/>
          </w:tcPr>
          <w:p w14:paraId="3AA4291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0B86801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1619E24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特性屋舍</w:t>
            </w:r>
          </w:p>
        </w:tc>
      </w:tr>
      <w:tr w14:paraId="24581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5F50B1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167</w:t>
            </w:r>
          </w:p>
        </w:tc>
        <w:tc>
          <w:tcPr>
            <w:tcW w:w="874" w:type="dxa"/>
            <w:vMerge w:val="continue"/>
            <w:tcBorders>
              <w:tl2br w:val="nil"/>
              <w:tr2bl w:val="nil"/>
            </w:tcBorders>
            <w:shd w:val="clear" w:color="auto" w:fill="auto"/>
            <w:vAlign w:val="center"/>
          </w:tcPr>
          <w:p w14:paraId="3A1183B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7EAA66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修武牛膝</w:t>
            </w:r>
          </w:p>
        </w:tc>
        <w:tc>
          <w:tcPr>
            <w:tcW w:w="1265" w:type="dxa"/>
            <w:tcBorders>
              <w:tl2br w:val="nil"/>
              <w:tr2bl w:val="nil"/>
            </w:tcBorders>
            <w:shd w:val="clear" w:color="auto" w:fill="auto"/>
            <w:vAlign w:val="center"/>
          </w:tcPr>
          <w:p w14:paraId="081F50B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4F6500C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农业产品</w:t>
            </w:r>
          </w:p>
        </w:tc>
        <w:tc>
          <w:tcPr>
            <w:tcW w:w="1614" w:type="dxa"/>
            <w:tcBorders>
              <w:tl2br w:val="nil"/>
              <w:tr2bl w:val="nil"/>
            </w:tcBorders>
            <w:shd w:val="clear" w:color="auto" w:fill="auto"/>
            <w:vAlign w:val="center"/>
          </w:tcPr>
          <w:p w14:paraId="036BBB3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种植业产品及制品</w:t>
            </w:r>
          </w:p>
        </w:tc>
      </w:tr>
      <w:tr w14:paraId="61E24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E0443B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168</w:t>
            </w:r>
          </w:p>
        </w:tc>
        <w:tc>
          <w:tcPr>
            <w:tcW w:w="874" w:type="dxa"/>
            <w:vMerge w:val="continue"/>
            <w:tcBorders>
              <w:tl2br w:val="nil"/>
              <w:tr2bl w:val="nil"/>
            </w:tcBorders>
            <w:shd w:val="clear" w:color="auto" w:fill="auto"/>
            <w:vAlign w:val="center"/>
          </w:tcPr>
          <w:p w14:paraId="5E9F2942">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F7BBD1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焦作云台山茱萸峰玻璃栈道</w:t>
            </w:r>
          </w:p>
        </w:tc>
        <w:tc>
          <w:tcPr>
            <w:tcW w:w="1265" w:type="dxa"/>
            <w:tcBorders>
              <w:tl2br w:val="nil"/>
              <w:tr2bl w:val="nil"/>
            </w:tcBorders>
            <w:shd w:val="clear" w:color="auto" w:fill="auto"/>
            <w:vAlign w:val="center"/>
          </w:tcPr>
          <w:p w14:paraId="1AE54F5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41DD5E7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47D64EB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交通运输场站</w:t>
            </w:r>
          </w:p>
        </w:tc>
      </w:tr>
      <w:tr w14:paraId="0445C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E07771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169</w:t>
            </w:r>
          </w:p>
        </w:tc>
        <w:tc>
          <w:tcPr>
            <w:tcW w:w="874" w:type="dxa"/>
            <w:vMerge w:val="continue"/>
            <w:tcBorders>
              <w:tl2br w:val="nil"/>
              <w:tr2bl w:val="nil"/>
            </w:tcBorders>
            <w:shd w:val="clear" w:color="auto" w:fill="auto"/>
            <w:vAlign w:val="center"/>
          </w:tcPr>
          <w:p w14:paraId="41DC35FB">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E7D304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焦作青龙峡凤尾瀑</w:t>
            </w:r>
          </w:p>
        </w:tc>
        <w:tc>
          <w:tcPr>
            <w:tcW w:w="1265" w:type="dxa"/>
            <w:tcBorders>
              <w:tl2br w:val="nil"/>
              <w:tr2bl w:val="nil"/>
            </w:tcBorders>
            <w:shd w:val="clear" w:color="auto" w:fill="auto"/>
            <w:vAlign w:val="center"/>
          </w:tcPr>
          <w:p w14:paraId="3640E05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7F57228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54758ED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瀑布</w:t>
            </w:r>
          </w:p>
        </w:tc>
      </w:tr>
      <w:tr w14:paraId="56948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8F57DB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170</w:t>
            </w:r>
          </w:p>
        </w:tc>
        <w:tc>
          <w:tcPr>
            <w:tcW w:w="874" w:type="dxa"/>
            <w:vMerge w:val="continue"/>
            <w:tcBorders>
              <w:tl2br w:val="nil"/>
              <w:tr2bl w:val="nil"/>
            </w:tcBorders>
            <w:shd w:val="clear" w:color="auto" w:fill="auto"/>
            <w:vAlign w:val="center"/>
          </w:tcPr>
          <w:p w14:paraId="72EBE07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AD4EC5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修武七贤公园</w:t>
            </w:r>
          </w:p>
        </w:tc>
        <w:tc>
          <w:tcPr>
            <w:tcW w:w="1265" w:type="dxa"/>
            <w:tcBorders>
              <w:tl2br w:val="nil"/>
              <w:tr2bl w:val="nil"/>
            </w:tcBorders>
            <w:shd w:val="clear" w:color="auto" w:fill="auto"/>
            <w:vAlign w:val="center"/>
          </w:tcPr>
          <w:p w14:paraId="104B7F9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45BA1B6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25CEBC2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4A476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D66BA3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171</w:t>
            </w:r>
          </w:p>
        </w:tc>
        <w:tc>
          <w:tcPr>
            <w:tcW w:w="874" w:type="dxa"/>
            <w:vMerge w:val="continue"/>
            <w:tcBorders>
              <w:tl2br w:val="nil"/>
              <w:tr2bl w:val="nil"/>
            </w:tcBorders>
            <w:shd w:val="clear" w:color="auto" w:fill="auto"/>
            <w:vAlign w:val="center"/>
          </w:tcPr>
          <w:p w14:paraId="6B804E15">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B28AC2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修武宁城公园</w:t>
            </w:r>
          </w:p>
        </w:tc>
        <w:tc>
          <w:tcPr>
            <w:tcW w:w="1265" w:type="dxa"/>
            <w:tcBorders>
              <w:tl2br w:val="nil"/>
              <w:tr2bl w:val="nil"/>
            </w:tcBorders>
            <w:shd w:val="clear" w:color="auto" w:fill="auto"/>
            <w:vAlign w:val="center"/>
          </w:tcPr>
          <w:p w14:paraId="3D34322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29E566D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26E7708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765C1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6EBF8C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172</w:t>
            </w:r>
          </w:p>
        </w:tc>
        <w:tc>
          <w:tcPr>
            <w:tcW w:w="874" w:type="dxa"/>
            <w:vMerge w:val="continue"/>
            <w:tcBorders>
              <w:tl2br w:val="nil"/>
              <w:tr2bl w:val="nil"/>
            </w:tcBorders>
            <w:shd w:val="clear" w:color="auto" w:fill="auto"/>
            <w:vAlign w:val="center"/>
          </w:tcPr>
          <w:p w14:paraId="41BCDB5C">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5BBA33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中国云台山世界地质公园博物馆</w:t>
            </w:r>
          </w:p>
        </w:tc>
        <w:tc>
          <w:tcPr>
            <w:tcW w:w="1265" w:type="dxa"/>
            <w:tcBorders>
              <w:tl2br w:val="nil"/>
              <w:tr2bl w:val="nil"/>
            </w:tcBorders>
            <w:shd w:val="clear" w:color="auto" w:fill="auto"/>
            <w:vAlign w:val="center"/>
          </w:tcPr>
          <w:p w14:paraId="550ABC1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229B918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0D43AC5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文化活动场所</w:t>
            </w:r>
          </w:p>
        </w:tc>
      </w:tr>
      <w:tr w14:paraId="41220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36D696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173</w:t>
            </w:r>
          </w:p>
        </w:tc>
        <w:tc>
          <w:tcPr>
            <w:tcW w:w="874" w:type="dxa"/>
            <w:vMerge w:val="continue"/>
            <w:tcBorders>
              <w:tl2br w:val="nil"/>
              <w:tr2bl w:val="nil"/>
            </w:tcBorders>
            <w:shd w:val="clear" w:color="auto" w:fill="auto"/>
            <w:vAlign w:val="center"/>
          </w:tcPr>
          <w:p w14:paraId="1C550B8B">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CB031F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修武黄龙峡</w:t>
            </w:r>
          </w:p>
        </w:tc>
        <w:tc>
          <w:tcPr>
            <w:tcW w:w="1265" w:type="dxa"/>
            <w:tcBorders>
              <w:tl2br w:val="nil"/>
              <w:tr2bl w:val="nil"/>
            </w:tcBorders>
            <w:shd w:val="clear" w:color="auto" w:fill="auto"/>
            <w:vAlign w:val="center"/>
          </w:tcPr>
          <w:p w14:paraId="4036982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0C5E954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自然景观综合体</w:t>
            </w:r>
          </w:p>
        </w:tc>
        <w:tc>
          <w:tcPr>
            <w:tcW w:w="1614" w:type="dxa"/>
            <w:tcBorders>
              <w:tl2br w:val="nil"/>
              <w:tr2bl w:val="nil"/>
            </w:tcBorders>
            <w:shd w:val="clear" w:color="auto" w:fill="auto"/>
            <w:vAlign w:val="center"/>
          </w:tcPr>
          <w:p w14:paraId="7A78E2C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沟谷型景观</w:t>
            </w:r>
          </w:p>
        </w:tc>
      </w:tr>
      <w:tr w14:paraId="6F317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B9FE4A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174</w:t>
            </w:r>
          </w:p>
        </w:tc>
        <w:tc>
          <w:tcPr>
            <w:tcW w:w="874" w:type="dxa"/>
            <w:vMerge w:val="continue"/>
            <w:tcBorders>
              <w:tl2br w:val="nil"/>
              <w:tr2bl w:val="nil"/>
            </w:tcBorders>
            <w:shd w:val="clear" w:color="auto" w:fill="auto"/>
            <w:vAlign w:val="center"/>
          </w:tcPr>
          <w:p w14:paraId="6CC598A9">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57077D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修武荣盛云台古镇</w:t>
            </w:r>
          </w:p>
        </w:tc>
        <w:tc>
          <w:tcPr>
            <w:tcW w:w="1265" w:type="dxa"/>
            <w:tcBorders>
              <w:tl2br w:val="nil"/>
              <w:tr2bl w:val="nil"/>
            </w:tcBorders>
            <w:shd w:val="clear" w:color="auto" w:fill="auto"/>
            <w:vAlign w:val="center"/>
          </w:tcPr>
          <w:p w14:paraId="0385C77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440DCF1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6760C33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4CF0A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4C142B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175</w:t>
            </w:r>
          </w:p>
        </w:tc>
        <w:tc>
          <w:tcPr>
            <w:tcW w:w="874" w:type="dxa"/>
            <w:vMerge w:val="continue"/>
            <w:tcBorders>
              <w:tl2br w:val="nil"/>
              <w:tr2bl w:val="nil"/>
            </w:tcBorders>
            <w:shd w:val="clear" w:color="auto" w:fill="auto"/>
            <w:vAlign w:val="center"/>
          </w:tcPr>
          <w:p w14:paraId="07DC09F0">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A97BF0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焦作峰林峡天王峰</w:t>
            </w:r>
          </w:p>
        </w:tc>
        <w:tc>
          <w:tcPr>
            <w:tcW w:w="1265" w:type="dxa"/>
            <w:tcBorders>
              <w:tl2br w:val="nil"/>
              <w:tr2bl w:val="nil"/>
            </w:tcBorders>
            <w:shd w:val="clear" w:color="auto" w:fill="auto"/>
            <w:vAlign w:val="center"/>
          </w:tcPr>
          <w:p w14:paraId="6766B84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0360A79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362DDC6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峰柱状地景</w:t>
            </w:r>
          </w:p>
        </w:tc>
      </w:tr>
      <w:tr w14:paraId="40218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2EF3C2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176</w:t>
            </w:r>
          </w:p>
        </w:tc>
        <w:tc>
          <w:tcPr>
            <w:tcW w:w="874" w:type="dxa"/>
            <w:vMerge w:val="continue"/>
            <w:tcBorders>
              <w:tl2br w:val="nil"/>
              <w:tr2bl w:val="nil"/>
            </w:tcBorders>
            <w:shd w:val="clear" w:color="auto" w:fill="auto"/>
            <w:vAlign w:val="center"/>
          </w:tcPr>
          <w:p w14:paraId="0C038420">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4A124D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焦作云台山纸坊沟峡谷</w:t>
            </w:r>
          </w:p>
        </w:tc>
        <w:tc>
          <w:tcPr>
            <w:tcW w:w="1265" w:type="dxa"/>
            <w:tcBorders>
              <w:tl2br w:val="nil"/>
              <w:tr2bl w:val="nil"/>
            </w:tcBorders>
            <w:shd w:val="clear" w:color="auto" w:fill="auto"/>
            <w:vAlign w:val="center"/>
          </w:tcPr>
          <w:p w14:paraId="2597109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0DDB061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自然景观综合体</w:t>
            </w:r>
          </w:p>
        </w:tc>
        <w:tc>
          <w:tcPr>
            <w:tcW w:w="1614" w:type="dxa"/>
            <w:tcBorders>
              <w:tl2br w:val="nil"/>
              <w:tr2bl w:val="nil"/>
            </w:tcBorders>
            <w:shd w:val="clear" w:color="auto" w:fill="auto"/>
            <w:vAlign w:val="center"/>
          </w:tcPr>
          <w:p w14:paraId="79D92E4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沟谷型景观</w:t>
            </w:r>
          </w:p>
        </w:tc>
      </w:tr>
      <w:tr w14:paraId="3EC44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631518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177</w:t>
            </w:r>
          </w:p>
        </w:tc>
        <w:tc>
          <w:tcPr>
            <w:tcW w:w="874" w:type="dxa"/>
            <w:vMerge w:val="continue"/>
            <w:tcBorders>
              <w:tl2br w:val="nil"/>
              <w:tr2bl w:val="nil"/>
            </w:tcBorders>
            <w:shd w:val="clear" w:color="auto" w:fill="auto"/>
            <w:vAlign w:val="center"/>
          </w:tcPr>
          <w:p w14:paraId="12EBDCBC">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C7798E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焦作云台山瓦房沟大峡谷</w:t>
            </w:r>
          </w:p>
        </w:tc>
        <w:tc>
          <w:tcPr>
            <w:tcW w:w="1265" w:type="dxa"/>
            <w:tcBorders>
              <w:tl2br w:val="nil"/>
              <w:tr2bl w:val="nil"/>
            </w:tcBorders>
            <w:shd w:val="clear" w:color="auto" w:fill="auto"/>
            <w:vAlign w:val="center"/>
          </w:tcPr>
          <w:p w14:paraId="22AD2DF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12E2679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自然景观综合体</w:t>
            </w:r>
          </w:p>
        </w:tc>
        <w:tc>
          <w:tcPr>
            <w:tcW w:w="1614" w:type="dxa"/>
            <w:tcBorders>
              <w:tl2br w:val="nil"/>
              <w:tr2bl w:val="nil"/>
            </w:tcBorders>
            <w:shd w:val="clear" w:color="auto" w:fill="auto"/>
            <w:vAlign w:val="center"/>
          </w:tcPr>
          <w:p w14:paraId="321C447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沟谷型景观</w:t>
            </w:r>
          </w:p>
        </w:tc>
      </w:tr>
      <w:tr w14:paraId="19C0D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76DF51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178</w:t>
            </w:r>
          </w:p>
        </w:tc>
        <w:tc>
          <w:tcPr>
            <w:tcW w:w="874" w:type="dxa"/>
            <w:vMerge w:val="continue"/>
            <w:tcBorders>
              <w:tl2br w:val="nil"/>
              <w:tr2bl w:val="nil"/>
            </w:tcBorders>
            <w:shd w:val="clear" w:color="auto" w:fill="auto"/>
            <w:vAlign w:val="center"/>
          </w:tcPr>
          <w:p w14:paraId="74E89AA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A5D921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焦作云台山百家岩手掌峰</w:t>
            </w:r>
          </w:p>
        </w:tc>
        <w:tc>
          <w:tcPr>
            <w:tcW w:w="1265" w:type="dxa"/>
            <w:tcBorders>
              <w:tl2br w:val="nil"/>
              <w:tr2bl w:val="nil"/>
            </w:tcBorders>
            <w:shd w:val="clear" w:color="auto" w:fill="auto"/>
            <w:vAlign w:val="center"/>
          </w:tcPr>
          <w:p w14:paraId="43BF610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48BAAC8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地质与构造形迹</w:t>
            </w:r>
          </w:p>
        </w:tc>
        <w:tc>
          <w:tcPr>
            <w:tcW w:w="1614" w:type="dxa"/>
            <w:tcBorders>
              <w:tl2br w:val="nil"/>
              <w:tr2bl w:val="nil"/>
            </w:tcBorders>
            <w:shd w:val="clear" w:color="auto" w:fill="auto"/>
            <w:vAlign w:val="center"/>
          </w:tcPr>
          <w:p w14:paraId="213FC4C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断裂景观</w:t>
            </w:r>
          </w:p>
        </w:tc>
      </w:tr>
      <w:tr w14:paraId="2FD14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EF1934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179</w:t>
            </w:r>
          </w:p>
        </w:tc>
        <w:tc>
          <w:tcPr>
            <w:tcW w:w="874" w:type="dxa"/>
            <w:vMerge w:val="continue"/>
            <w:tcBorders>
              <w:tl2br w:val="nil"/>
              <w:tr2bl w:val="nil"/>
            </w:tcBorders>
            <w:shd w:val="clear" w:color="auto" w:fill="auto"/>
            <w:vAlign w:val="center"/>
          </w:tcPr>
          <w:p w14:paraId="5ADAC148">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2C9729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焦作云台山百家岩金刚峰</w:t>
            </w:r>
          </w:p>
        </w:tc>
        <w:tc>
          <w:tcPr>
            <w:tcW w:w="1265" w:type="dxa"/>
            <w:tcBorders>
              <w:tl2br w:val="nil"/>
              <w:tr2bl w:val="nil"/>
            </w:tcBorders>
            <w:shd w:val="clear" w:color="auto" w:fill="auto"/>
            <w:vAlign w:val="center"/>
          </w:tcPr>
          <w:p w14:paraId="35E2FB7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518F4A2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198BBDD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峰柱状地景</w:t>
            </w:r>
          </w:p>
        </w:tc>
      </w:tr>
      <w:tr w14:paraId="5A7F5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A4A9DE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180</w:t>
            </w:r>
          </w:p>
        </w:tc>
        <w:tc>
          <w:tcPr>
            <w:tcW w:w="874" w:type="dxa"/>
            <w:vMerge w:val="continue"/>
            <w:tcBorders>
              <w:tl2br w:val="nil"/>
              <w:tr2bl w:val="nil"/>
            </w:tcBorders>
            <w:shd w:val="clear" w:color="auto" w:fill="auto"/>
            <w:vAlign w:val="center"/>
          </w:tcPr>
          <w:p w14:paraId="2A875543">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3196E5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修武一斗水泉</w:t>
            </w:r>
          </w:p>
        </w:tc>
        <w:tc>
          <w:tcPr>
            <w:tcW w:w="1265" w:type="dxa"/>
            <w:tcBorders>
              <w:tl2br w:val="nil"/>
              <w:tr2bl w:val="nil"/>
            </w:tcBorders>
            <w:shd w:val="clear" w:color="auto" w:fill="auto"/>
            <w:vAlign w:val="center"/>
          </w:tcPr>
          <w:p w14:paraId="0EFEA47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6B6071B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地下水</w:t>
            </w:r>
          </w:p>
        </w:tc>
        <w:tc>
          <w:tcPr>
            <w:tcW w:w="1614" w:type="dxa"/>
            <w:tcBorders>
              <w:tl2br w:val="nil"/>
              <w:tr2bl w:val="nil"/>
            </w:tcBorders>
            <w:shd w:val="clear" w:color="auto" w:fill="auto"/>
            <w:vAlign w:val="center"/>
          </w:tcPr>
          <w:p w14:paraId="3A612F4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泉</w:t>
            </w:r>
          </w:p>
        </w:tc>
      </w:tr>
      <w:tr w14:paraId="691D7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27A1C8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181</w:t>
            </w:r>
          </w:p>
        </w:tc>
        <w:tc>
          <w:tcPr>
            <w:tcW w:w="874" w:type="dxa"/>
            <w:vMerge w:val="continue"/>
            <w:tcBorders>
              <w:tl2br w:val="nil"/>
              <w:tr2bl w:val="nil"/>
            </w:tcBorders>
            <w:shd w:val="clear" w:color="auto" w:fill="auto"/>
            <w:vAlign w:val="center"/>
          </w:tcPr>
          <w:p w14:paraId="3AD19A7B">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9157DC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焦作云台山张良峰</w:t>
            </w:r>
          </w:p>
        </w:tc>
        <w:tc>
          <w:tcPr>
            <w:tcW w:w="1265" w:type="dxa"/>
            <w:tcBorders>
              <w:tl2br w:val="nil"/>
              <w:tr2bl w:val="nil"/>
            </w:tcBorders>
            <w:shd w:val="clear" w:color="auto" w:fill="auto"/>
            <w:vAlign w:val="center"/>
          </w:tcPr>
          <w:p w14:paraId="48D4B43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73ACFD9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0D5EBDF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峰柱状地景</w:t>
            </w:r>
          </w:p>
        </w:tc>
      </w:tr>
      <w:tr w14:paraId="3C8AE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868613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182</w:t>
            </w:r>
          </w:p>
        </w:tc>
        <w:tc>
          <w:tcPr>
            <w:tcW w:w="874" w:type="dxa"/>
            <w:vMerge w:val="continue"/>
            <w:tcBorders>
              <w:tl2br w:val="nil"/>
              <w:tr2bl w:val="nil"/>
            </w:tcBorders>
            <w:shd w:val="clear" w:color="auto" w:fill="auto"/>
            <w:vAlign w:val="center"/>
          </w:tcPr>
          <w:p w14:paraId="55989CF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DBB4F5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焦作云台山白龙潭角度不整合面</w:t>
            </w:r>
          </w:p>
        </w:tc>
        <w:tc>
          <w:tcPr>
            <w:tcW w:w="1265" w:type="dxa"/>
            <w:tcBorders>
              <w:tl2br w:val="nil"/>
              <w:tr2bl w:val="nil"/>
            </w:tcBorders>
            <w:shd w:val="clear" w:color="auto" w:fill="auto"/>
            <w:vAlign w:val="center"/>
          </w:tcPr>
          <w:p w14:paraId="463971C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7C96914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地质与构造形迹</w:t>
            </w:r>
          </w:p>
        </w:tc>
        <w:tc>
          <w:tcPr>
            <w:tcW w:w="1614" w:type="dxa"/>
            <w:tcBorders>
              <w:tl2br w:val="nil"/>
              <w:tr2bl w:val="nil"/>
            </w:tcBorders>
            <w:shd w:val="clear" w:color="auto" w:fill="auto"/>
            <w:vAlign w:val="center"/>
          </w:tcPr>
          <w:p w14:paraId="3EF22BD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地层剖面</w:t>
            </w:r>
          </w:p>
        </w:tc>
      </w:tr>
      <w:tr w14:paraId="78127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650858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183</w:t>
            </w:r>
          </w:p>
        </w:tc>
        <w:tc>
          <w:tcPr>
            <w:tcW w:w="874" w:type="dxa"/>
            <w:vMerge w:val="continue"/>
            <w:tcBorders>
              <w:tl2br w:val="nil"/>
              <w:tr2bl w:val="nil"/>
            </w:tcBorders>
            <w:shd w:val="clear" w:color="auto" w:fill="auto"/>
            <w:vAlign w:val="center"/>
          </w:tcPr>
          <w:p w14:paraId="1613BEE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542D78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焦作云台山34亿年锆石采集地</w:t>
            </w:r>
          </w:p>
        </w:tc>
        <w:tc>
          <w:tcPr>
            <w:tcW w:w="1265" w:type="dxa"/>
            <w:tcBorders>
              <w:tl2br w:val="nil"/>
              <w:tr2bl w:val="nil"/>
            </w:tcBorders>
            <w:shd w:val="clear" w:color="auto" w:fill="auto"/>
            <w:vAlign w:val="center"/>
          </w:tcPr>
          <w:p w14:paraId="55CD92D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7E45179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地质与构造形迹</w:t>
            </w:r>
          </w:p>
        </w:tc>
        <w:tc>
          <w:tcPr>
            <w:tcW w:w="1614" w:type="dxa"/>
            <w:tcBorders>
              <w:tl2br w:val="nil"/>
              <w:tr2bl w:val="nil"/>
            </w:tcBorders>
            <w:shd w:val="clear" w:color="auto" w:fill="auto"/>
            <w:vAlign w:val="center"/>
          </w:tcPr>
          <w:p w14:paraId="729CA6E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地层剖面</w:t>
            </w:r>
          </w:p>
        </w:tc>
      </w:tr>
      <w:tr w14:paraId="34F50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DB821E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184</w:t>
            </w:r>
          </w:p>
        </w:tc>
        <w:tc>
          <w:tcPr>
            <w:tcW w:w="874" w:type="dxa"/>
            <w:vMerge w:val="continue"/>
            <w:tcBorders>
              <w:tl2br w:val="nil"/>
              <w:tr2bl w:val="nil"/>
            </w:tcBorders>
            <w:shd w:val="clear" w:color="auto" w:fill="auto"/>
            <w:vAlign w:val="center"/>
          </w:tcPr>
          <w:p w14:paraId="02E539A7">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69FE00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焦作云台山叠彩洞</w:t>
            </w:r>
          </w:p>
        </w:tc>
        <w:tc>
          <w:tcPr>
            <w:tcW w:w="1265" w:type="dxa"/>
            <w:tcBorders>
              <w:tl2br w:val="nil"/>
              <w:tr2bl w:val="nil"/>
            </w:tcBorders>
            <w:shd w:val="clear" w:color="auto" w:fill="auto"/>
            <w:vAlign w:val="center"/>
          </w:tcPr>
          <w:p w14:paraId="518E4A6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17EA7CD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410A92C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洞窟</w:t>
            </w:r>
          </w:p>
        </w:tc>
      </w:tr>
      <w:tr w14:paraId="136D1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392198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185</w:t>
            </w:r>
          </w:p>
        </w:tc>
        <w:tc>
          <w:tcPr>
            <w:tcW w:w="874" w:type="dxa"/>
            <w:vMerge w:val="continue"/>
            <w:tcBorders>
              <w:tl2br w:val="nil"/>
              <w:tr2bl w:val="nil"/>
            </w:tcBorders>
            <w:shd w:val="clear" w:color="auto" w:fill="auto"/>
            <w:vAlign w:val="center"/>
          </w:tcPr>
          <w:p w14:paraId="2CC16512">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DC697F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焦作云台山三秀峰</w:t>
            </w:r>
          </w:p>
        </w:tc>
        <w:tc>
          <w:tcPr>
            <w:tcW w:w="1265" w:type="dxa"/>
            <w:tcBorders>
              <w:tl2br w:val="nil"/>
              <w:tr2bl w:val="nil"/>
            </w:tcBorders>
            <w:shd w:val="clear" w:color="auto" w:fill="auto"/>
            <w:vAlign w:val="center"/>
          </w:tcPr>
          <w:p w14:paraId="2C1EBD3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19BF26E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6A25376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峰柱状地景</w:t>
            </w:r>
          </w:p>
        </w:tc>
      </w:tr>
      <w:tr w14:paraId="50274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1034F2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186</w:t>
            </w:r>
          </w:p>
        </w:tc>
        <w:tc>
          <w:tcPr>
            <w:tcW w:w="874" w:type="dxa"/>
            <w:vMerge w:val="continue"/>
            <w:tcBorders>
              <w:tl2br w:val="nil"/>
              <w:tr2bl w:val="nil"/>
            </w:tcBorders>
            <w:shd w:val="clear" w:color="auto" w:fill="auto"/>
            <w:vAlign w:val="center"/>
          </w:tcPr>
          <w:p w14:paraId="3C7C1AF5">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9A7A63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焦作云台山子房湖</w:t>
            </w:r>
          </w:p>
        </w:tc>
        <w:tc>
          <w:tcPr>
            <w:tcW w:w="1265" w:type="dxa"/>
            <w:tcBorders>
              <w:tl2br w:val="nil"/>
              <w:tr2bl w:val="nil"/>
            </w:tcBorders>
            <w:shd w:val="clear" w:color="auto" w:fill="auto"/>
            <w:vAlign w:val="center"/>
          </w:tcPr>
          <w:p w14:paraId="6ABB6E8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126BF1A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湖沼</w:t>
            </w:r>
          </w:p>
        </w:tc>
        <w:tc>
          <w:tcPr>
            <w:tcW w:w="1614" w:type="dxa"/>
            <w:tcBorders>
              <w:tl2br w:val="nil"/>
              <w:tr2bl w:val="nil"/>
            </w:tcBorders>
            <w:shd w:val="clear" w:color="auto" w:fill="auto"/>
            <w:vAlign w:val="center"/>
          </w:tcPr>
          <w:p w14:paraId="05D5CFF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游憩湖区</w:t>
            </w:r>
          </w:p>
        </w:tc>
      </w:tr>
      <w:tr w14:paraId="3F0A5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9D6B21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187</w:t>
            </w:r>
          </w:p>
        </w:tc>
        <w:tc>
          <w:tcPr>
            <w:tcW w:w="874" w:type="dxa"/>
            <w:vMerge w:val="continue"/>
            <w:tcBorders>
              <w:tl2br w:val="nil"/>
              <w:tr2bl w:val="nil"/>
            </w:tcBorders>
            <w:shd w:val="clear" w:color="auto" w:fill="auto"/>
            <w:vAlign w:val="center"/>
          </w:tcPr>
          <w:p w14:paraId="173FDEE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E7E93C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焦作云台山红石峡同心如意桥</w:t>
            </w:r>
          </w:p>
        </w:tc>
        <w:tc>
          <w:tcPr>
            <w:tcW w:w="1265" w:type="dxa"/>
            <w:tcBorders>
              <w:tl2br w:val="nil"/>
              <w:tr2bl w:val="nil"/>
            </w:tcBorders>
            <w:shd w:val="clear" w:color="auto" w:fill="auto"/>
            <w:vAlign w:val="center"/>
          </w:tcPr>
          <w:p w14:paraId="413E441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430E9CB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5992D88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桥梁</w:t>
            </w:r>
          </w:p>
        </w:tc>
      </w:tr>
      <w:tr w14:paraId="74E35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D7D3B8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188</w:t>
            </w:r>
          </w:p>
        </w:tc>
        <w:tc>
          <w:tcPr>
            <w:tcW w:w="874" w:type="dxa"/>
            <w:vMerge w:val="continue"/>
            <w:tcBorders>
              <w:tl2br w:val="nil"/>
              <w:tr2bl w:val="nil"/>
            </w:tcBorders>
            <w:shd w:val="clear" w:color="auto" w:fill="auto"/>
            <w:vAlign w:val="center"/>
          </w:tcPr>
          <w:p w14:paraId="0288C8A0">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9DF424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焦作净影寺双姑峰</w:t>
            </w:r>
          </w:p>
        </w:tc>
        <w:tc>
          <w:tcPr>
            <w:tcW w:w="1265" w:type="dxa"/>
            <w:tcBorders>
              <w:tl2br w:val="nil"/>
              <w:tr2bl w:val="nil"/>
            </w:tcBorders>
            <w:shd w:val="clear" w:color="auto" w:fill="auto"/>
            <w:vAlign w:val="center"/>
          </w:tcPr>
          <w:p w14:paraId="0A5407F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50613FE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7F31966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峰柱状地景</w:t>
            </w:r>
          </w:p>
        </w:tc>
      </w:tr>
      <w:tr w14:paraId="7B272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1B0087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189</w:t>
            </w:r>
          </w:p>
        </w:tc>
        <w:tc>
          <w:tcPr>
            <w:tcW w:w="874" w:type="dxa"/>
            <w:vMerge w:val="continue"/>
            <w:tcBorders>
              <w:tl2br w:val="nil"/>
              <w:tr2bl w:val="nil"/>
            </w:tcBorders>
            <w:shd w:val="clear" w:color="auto" w:fill="auto"/>
            <w:vAlign w:val="center"/>
          </w:tcPr>
          <w:p w14:paraId="0F6166FB">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77D520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焦作云台山泉瀑峡幽潭</w:t>
            </w:r>
          </w:p>
        </w:tc>
        <w:tc>
          <w:tcPr>
            <w:tcW w:w="1265" w:type="dxa"/>
            <w:tcBorders>
              <w:tl2br w:val="nil"/>
              <w:tr2bl w:val="nil"/>
            </w:tcBorders>
            <w:shd w:val="clear" w:color="auto" w:fill="auto"/>
            <w:vAlign w:val="center"/>
          </w:tcPr>
          <w:p w14:paraId="1CDF556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46FD9E2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湖沼</w:t>
            </w:r>
          </w:p>
        </w:tc>
        <w:tc>
          <w:tcPr>
            <w:tcW w:w="1614" w:type="dxa"/>
            <w:tcBorders>
              <w:tl2br w:val="nil"/>
              <w:tr2bl w:val="nil"/>
            </w:tcBorders>
            <w:shd w:val="clear" w:color="auto" w:fill="auto"/>
            <w:vAlign w:val="center"/>
          </w:tcPr>
          <w:p w14:paraId="6252140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潭池</w:t>
            </w:r>
          </w:p>
        </w:tc>
      </w:tr>
      <w:tr w14:paraId="2A14E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78F753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190</w:t>
            </w:r>
          </w:p>
        </w:tc>
        <w:tc>
          <w:tcPr>
            <w:tcW w:w="874" w:type="dxa"/>
            <w:vMerge w:val="continue"/>
            <w:tcBorders>
              <w:tl2br w:val="nil"/>
              <w:tr2bl w:val="nil"/>
            </w:tcBorders>
            <w:shd w:val="clear" w:color="auto" w:fill="auto"/>
            <w:vAlign w:val="center"/>
          </w:tcPr>
          <w:p w14:paraId="2A0A4D4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6F4C26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修武双庙传统民居</w:t>
            </w:r>
          </w:p>
        </w:tc>
        <w:tc>
          <w:tcPr>
            <w:tcW w:w="1265" w:type="dxa"/>
            <w:tcBorders>
              <w:tl2br w:val="nil"/>
              <w:tr2bl w:val="nil"/>
            </w:tcBorders>
            <w:shd w:val="clear" w:color="auto" w:fill="auto"/>
            <w:vAlign w:val="center"/>
          </w:tcPr>
          <w:p w14:paraId="3B89448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3E68517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429C54A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5F3CA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F212D5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191</w:t>
            </w:r>
          </w:p>
        </w:tc>
        <w:tc>
          <w:tcPr>
            <w:tcW w:w="874" w:type="dxa"/>
            <w:vMerge w:val="continue"/>
            <w:tcBorders>
              <w:tl2br w:val="nil"/>
              <w:tr2bl w:val="nil"/>
            </w:tcBorders>
            <w:shd w:val="clear" w:color="auto" w:fill="auto"/>
            <w:vAlign w:val="center"/>
          </w:tcPr>
          <w:p w14:paraId="1C16CED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F62A83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焦作云台山茱萸峰观景台</w:t>
            </w:r>
          </w:p>
        </w:tc>
        <w:tc>
          <w:tcPr>
            <w:tcW w:w="1265" w:type="dxa"/>
            <w:tcBorders>
              <w:tl2br w:val="nil"/>
              <w:tr2bl w:val="nil"/>
            </w:tcBorders>
            <w:shd w:val="clear" w:color="auto" w:fill="auto"/>
            <w:vAlign w:val="center"/>
          </w:tcPr>
          <w:p w14:paraId="572500B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1FE5444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景观与小品建筑</w:t>
            </w:r>
          </w:p>
        </w:tc>
        <w:tc>
          <w:tcPr>
            <w:tcW w:w="1614" w:type="dxa"/>
            <w:tcBorders>
              <w:tl2br w:val="nil"/>
              <w:tr2bl w:val="nil"/>
            </w:tcBorders>
            <w:shd w:val="clear" w:color="auto" w:fill="auto"/>
            <w:vAlign w:val="center"/>
          </w:tcPr>
          <w:p w14:paraId="0D9EF50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观景点</w:t>
            </w:r>
          </w:p>
        </w:tc>
      </w:tr>
      <w:tr w14:paraId="65EA5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52B2F0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192</w:t>
            </w:r>
          </w:p>
        </w:tc>
        <w:tc>
          <w:tcPr>
            <w:tcW w:w="874" w:type="dxa"/>
            <w:vMerge w:val="continue"/>
            <w:tcBorders>
              <w:tl2br w:val="nil"/>
              <w:tr2bl w:val="nil"/>
            </w:tcBorders>
            <w:shd w:val="clear" w:color="auto" w:fill="auto"/>
            <w:vAlign w:val="center"/>
          </w:tcPr>
          <w:p w14:paraId="70A6A995">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270657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焦作云台山红石峡黄龙潭</w:t>
            </w:r>
          </w:p>
        </w:tc>
        <w:tc>
          <w:tcPr>
            <w:tcW w:w="1265" w:type="dxa"/>
            <w:tcBorders>
              <w:tl2br w:val="nil"/>
              <w:tr2bl w:val="nil"/>
            </w:tcBorders>
            <w:shd w:val="clear" w:color="auto" w:fill="auto"/>
            <w:vAlign w:val="center"/>
          </w:tcPr>
          <w:p w14:paraId="398E8D0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0B1AD7F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湖沼</w:t>
            </w:r>
          </w:p>
        </w:tc>
        <w:tc>
          <w:tcPr>
            <w:tcW w:w="1614" w:type="dxa"/>
            <w:tcBorders>
              <w:tl2br w:val="nil"/>
              <w:tr2bl w:val="nil"/>
            </w:tcBorders>
            <w:shd w:val="clear" w:color="auto" w:fill="auto"/>
            <w:vAlign w:val="center"/>
          </w:tcPr>
          <w:p w14:paraId="2722B7F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潭池</w:t>
            </w:r>
          </w:p>
        </w:tc>
      </w:tr>
      <w:tr w14:paraId="1EC69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52C2B8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193</w:t>
            </w:r>
          </w:p>
        </w:tc>
        <w:tc>
          <w:tcPr>
            <w:tcW w:w="874" w:type="dxa"/>
            <w:vMerge w:val="continue"/>
            <w:tcBorders>
              <w:tl2br w:val="nil"/>
              <w:tr2bl w:val="nil"/>
            </w:tcBorders>
            <w:shd w:val="clear" w:color="auto" w:fill="auto"/>
            <w:vAlign w:val="center"/>
          </w:tcPr>
          <w:p w14:paraId="5320A95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C70886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焦作云台山红石峡白龙潭</w:t>
            </w:r>
          </w:p>
        </w:tc>
        <w:tc>
          <w:tcPr>
            <w:tcW w:w="1265" w:type="dxa"/>
            <w:tcBorders>
              <w:tl2br w:val="nil"/>
              <w:tr2bl w:val="nil"/>
            </w:tcBorders>
            <w:shd w:val="clear" w:color="auto" w:fill="auto"/>
            <w:vAlign w:val="center"/>
          </w:tcPr>
          <w:p w14:paraId="5CCA87C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1AD3E6A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湖沼</w:t>
            </w:r>
          </w:p>
        </w:tc>
        <w:tc>
          <w:tcPr>
            <w:tcW w:w="1614" w:type="dxa"/>
            <w:tcBorders>
              <w:tl2br w:val="nil"/>
              <w:tr2bl w:val="nil"/>
            </w:tcBorders>
            <w:shd w:val="clear" w:color="auto" w:fill="auto"/>
            <w:vAlign w:val="center"/>
          </w:tcPr>
          <w:p w14:paraId="1096166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潭池</w:t>
            </w:r>
          </w:p>
        </w:tc>
      </w:tr>
      <w:tr w14:paraId="19913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5ADC1F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194</w:t>
            </w:r>
          </w:p>
        </w:tc>
        <w:tc>
          <w:tcPr>
            <w:tcW w:w="874" w:type="dxa"/>
            <w:vMerge w:val="continue"/>
            <w:tcBorders>
              <w:tl2br w:val="nil"/>
              <w:tr2bl w:val="nil"/>
            </w:tcBorders>
            <w:shd w:val="clear" w:color="auto" w:fill="auto"/>
            <w:vAlign w:val="center"/>
          </w:tcPr>
          <w:p w14:paraId="7379060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DA72CE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焦作云台山红石峡黄龙瀑</w:t>
            </w:r>
          </w:p>
        </w:tc>
        <w:tc>
          <w:tcPr>
            <w:tcW w:w="1265" w:type="dxa"/>
            <w:tcBorders>
              <w:tl2br w:val="nil"/>
              <w:tr2bl w:val="nil"/>
            </w:tcBorders>
            <w:shd w:val="clear" w:color="auto" w:fill="auto"/>
            <w:vAlign w:val="center"/>
          </w:tcPr>
          <w:p w14:paraId="030612F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201E815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4144275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瀑布</w:t>
            </w:r>
          </w:p>
        </w:tc>
      </w:tr>
      <w:tr w14:paraId="2C9C9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7A8697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195</w:t>
            </w:r>
          </w:p>
        </w:tc>
        <w:tc>
          <w:tcPr>
            <w:tcW w:w="874" w:type="dxa"/>
            <w:vMerge w:val="continue"/>
            <w:tcBorders>
              <w:tl2br w:val="nil"/>
              <w:tr2bl w:val="nil"/>
            </w:tcBorders>
            <w:shd w:val="clear" w:color="auto" w:fill="auto"/>
            <w:vAlign w:val="center"/>
          </w:tcPr>
          <w:p w14:paraId="7802E14D">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30E920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焦作云台山红石峡九叠瀑</w:t>
            </w:r>
          </w:p>
        </w:tc>
        <w:tc>
          <w:tcPr>
            <w:tcW w:w="1265" w:type="dxa"/>
            <w:tcBorders>
              <w:tl2br w:val="nil"/>
              <w:tr2bl w:val="nil"/>
            </w:tcBorders>
            <w:shd w:val="clear" w:color="auto" w:fill="auto"/>
            <w:vAlign w:val="center"/>
          </w:tcPr>
          <w:p w14:paraId="70205F7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2497112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60EE966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瀑布</w:t>
            </w:r>
          </w:p>
        </w:tc>
      </w:tr>
      <w:tr w14:paraId="3EFCD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21774E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196</w:t>
            </w:r>
          </w:p>
        </w:tc>
        <w:tc>
          <w:tcPr>
            <w:tcW w:w="874" w:type="dxa"/>
            <w:vMerge w:val="continue"/>
            <w:tcBorders>
              <w:tl2br w:val="nil"/>
              <w:tr2bl w:val="nil"/>
            </w:tcBorders>
            <w:shd w:val="clear" w:color="auto" w:fill="auto"/>
            <w:vAlign w:val="center"/>
          </w:tcPr>
          <w:p w14:paraId="5FD5D9B6">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A08618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修武平顶窑村</w:t>
            </w:r>
          </w:p>
        </w:tc>
        <w:tc>
          <w:tcPr>
            <w:tcW w:w="1265" w:type="dxa"/>
            <w:tcBorders>
              <w:tl2br w:val="nil"/>
              <w:tr2bl w:val="nil"/>
            </w:tcBorders>
            <w:shd w:val="clear" w:color="auto" w:fill="auto"/>
            <w:vAlign w:val="center"/>
          </w:tcPr>
          <w:p w14:paraId="15ED823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3150549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6BDB694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07284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1ABA7D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197</w:t>
            </w:r>
          </w:p>
        </w:tc>
        <w:tc>
          <w:tcPr>
            <w:tcW w:w="874" w:type="dxa"/>
            <w:vMerge w:val="continue"/>
            <w:tcBorders>
              <w:tl2br w:val="nil"/>
              <w:tr2bl w:val="nil"/>
            </w:tcBorders>
            <w:shd w:val="clear" w:color="auto" w:fill="auto"/>
            <w:vAlign w:val="center"/>
          </w:tcPr>
          <w:p w14:paraId="55D19AE7">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4E03F3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焦作云台山云台秋色</w:t>
            </w:r>
          </w:p>
        </w:tc>
        <w:tc>
          <w:tcPr>
            <w:tcW w:w="1265" w:type="dxa"/>
            <w:tcBorders>
              <w:tl2br w:val="nil"/>
              <w:tr2bl w:val="nil"/>
            </w:tcBorders>
            <w:shd w:val="clear" w:color="auto" w:fill="auto"/>
            <w:vAlign w:val="center"/>
          </w:tcPr>
          <w:p w14:paraId="23A4DCD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天象与气候景观</w:t>
            </w:r>
          </w:p>
        </w:tc>
        <w:tc>
          <w:tcPr>
            <w:tcW w:w="1241" w:type="dxa"/>
            <w:tcBorders>
              <w:tl2br w:val="nil"/>
              <w:tr2bl w:val="nil"/>
            </w:tcBorders>
            <w:shd w:val="clear" w:color="auto" w:fill="auto"/>
            <w:vAlign w:val="center"/>
          </w:tcPr>
          <w:p w14:paraId="015389E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天气与气候现象</w:t>
            </w:r>
          </w:p>
        </w:tc>
        <w:tc>
          <w:tcPr>
            <w:tcW w:w="1614" w:type="dxa"/>
            <w:tcBorders>
              <w:tl2br w:val="nil"/>
              <w:tr2bl w:val="nil"/>
            </w:tcBorders>
            <w:shd w:val="clear" w:color="auto" w:fill="auto"/>
            <w:vAlign w:val="center"/>
          </w:tcPr>
          <w:p w14:paraId="3105DCE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物候景象</w:t>
            </w:r>
          </w:p>
        </w:tc>
      </w:tr>
      <w:tr w14:paraId="6D018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851A4F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198</w:t>
            </w:r>
          </w:p>
        </w:tc>
        <w:tc>
          <w:tcPr>
            <w:tcW w:w="874" w:type="dxa"/>
            <w:vMerge w:val="continue"/>
            <w:tcBorders>
              <w:tl2br w:val="nil"/>
              <w:tr2bl w:val="nil"/>
            </w:tcBorders>
            <w:shd w:val="clear" w:color="auto" w:fill="auto"/>
            <w:vAlign w:val="center"/>
          </w:tcPr>
          <w:p w14:paraId="1D704DD0">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9A98FC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焦作云台山云台春韵</w:t>
            </w:r>
          </w:p>
        </w:tc>
        <w:tc>
          <w:tcPr>
            <w:tcW w:w="1265" w:type="dxa"/>
            <w:tcBorders>
              <w:tl2br w:val="nil"/>
              <w:tr2bl w:val="nil"/>
            </w:tcBorders>
            <w:shd w:val="clear" w:color="auto" w:fill="auto"/>
            <w:vAlign w:val="center"/>
          </w:tcPr>
          <w:p w14:paraId="1FE1F20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天象与气候景观</w:t>
            </w:r>
          </w:p>
        </w:tc>
        <w:tc>
          <w:tcPr>
            <w:tcW w:w="1241" w:type="dxa"/>
            <w:tcBorders>
              <w:tl2br w:val="nil"/>
              <w:tr2bl w:val="nil"/>
            </w:tcBorders>
            <w:shd w:val="clear" w:color="auto" w:fill="auto"/>
            <w:vAlign w:val="center"/>
          </w:tcPr>
          <w:p w14:paraId="2B305B7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天气与气候现象</w:t>
            </w:r>
          </w:p>
        </w:tc>
        <w:tc>
          <w:tcPr>
            <w:tcW w:w="1614" w:type="dxa"/>
            <w:tcBorders>
              <w:tl2br w:val="nil"/>
              <w:tr2bl w:val="nil"/>
            </w:tcBorders>
            <w:shd w:val="clear" w:color="auto" w:fill="auto"/>
            <w:vAlign w:val="center"/>
          </w:tcPr>
          <w:p w14:paraId="47F1D51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物候景象</w:t>
            </w:r>
          </w:p>
        </w:tc>
      </w:tr>
      <w:tr w14:paraId="11154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889C7D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199</w:t>
            </w:r>
          </w:p>
        </w:tc>
        <w:tc>
          <w:tcPr>
            <w:tcW w:w="874" w:type="dxa"/>
            <w:vMerge w:val="continue"/>
            <w:tcBorders>
              <w:tl2br w:val="nil"/>
              <w:tr2bl w:val="nil"/>
            </w:tcBorders>
            <w:shd w:val="clear" w:color="auto" w:fill="auto"/>
            <w:vAlign w:val="center"/>
          </w:tcPr>
          <w:p w14:paraId="4DCDFFEB">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91DF37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焦作青龙峡青龙洞</w:t>
            </w:r>
          </w:p>
        </w:tc>
        <w:tc>
          <w:tcPr>
            <w:tcW w:w="1265" w:type="dxa"/>
            <w:tcBorders>
              <w:tl2br w:val="nil"/>
              <w:tr2bl w:val="nil"/>
            </w:tcBorders>
            <w:shd w:val="clear" w:color="auto" w:fill="auto"/>
            <w:vAlign w:val="center"/>
          </w:tcPr>
          <w:p w14:paraId="5151E81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53FF8F6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777EDC1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沟壑与洞穴</w:t>
            </w:r>
          </w:p>
        </w:tc>
      </w:tr>
      <w:tr w14:paraId="103FA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930AF8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200</w:t>
            </w:r>
          </w:p>
        </w:tc>
        <w:tc>
          <w:tcPr>
            <w:tcW w:w="874" w:type="dxa"/>
            <w:vMerge w:val="continue"/>
            <w:tcBorders>
              <w:tl2br w:val="nil"/>
              <w:tr2bl w:val="nil"/>
            </w:tcBorders>
            <w:shd w:val="clear" w:color="auto" w:fill="auto"/>
            <w:vAlign w:val="center"/>
          </w:tcPr>
          <w:p w14:paraId="047C6BD2">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80F654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焦作青龙峡九曲溪</w:t>
            </w:r>
          </w:p>
        </w:tc>
        <w:tc>
          <w:tcPr>
            <w:tcW w:w="1265" w:type="dxa"/>
            <w:tcBorders>
              <w:tl2br w:val="nil"/>
              <w:tr2bl w:val="nil"/>
            </w:tcBorders>
            <w:shd w:val="clear" w:color="auto" w:fill="auto"/>
            <w:vAlign w:val="center"/>
          </w:tcPr>
          <w:p w14:paraId="22E096A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482F758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718C1AE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游憩河段</w:t>
            </w:r>
          </w:p>
        </w:tc>
      </w:tr>
      <w:tr w14:paraId="76246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0F31CB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201</w:t>
            </w:r>
          </w:p>
        </w:tc>
        <w:tc>
          <w:tcPr>
            <w:tcW w:w="874" w:type="dxa"/>
            <w:vMerge w:val="continue"/>
            <w:tcBorders>
              <w:tl2br w:val="nil"/>
              <w:tr2bl w:val="nil"/>
            </w:tcBorders>
            <w:shd w:val="clear" w:color="auto" w:fill="auto"/>
            <w:vAlign w:val="center"/>
          </w:tcPr>
          <w:p w14:paraId="503E634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3D3C48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焦作青龙峡同心潭</w:t>
            </w:r>
          </w:p>
        </w:tc>
        <w:tc>
          <w:tcPr>
            <w:tcW w:w="1265" w:type="dxa"/>
            <w:tcBorders>
              <w:tl2br w:val="nil"/>
              <w:tr2bl w:val="nil"/>
            </w:tcBorders>
            <w:shd w:val="clear" w:color="auto" w:fill="auto"/>
            <w:vAlign w:val="center"/>
          </w:tcPr>
          <w:p w14:paraId="69D64B4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0BE2A68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湖沼</w:t>
            </w:r>
          </w:p>
        </w:tc>
        <w:tc>
          <w:tcPr>
            <w:tcW w:w="1614" w:type="dxa"/>
            <w:tcBorders>
              <w:tl2br w:val="nil"/>
              <w:tr2bl w:val="nil"/>
            </w:tcBorders>
            <w:shd w:val="clear" w:color="auto" w:fill="auto"/>
            <w:vAlign w:val="center"/>
          </w:tcPr>
          <w:p w14:paraId="5391B5E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潭池</w:t>
            </w:r>
          </w:p>
        </w:tc>
      </w:tr>
      <w:tr w14:paraId="6B514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9A5462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202</w:t>
            </w:r>
          </w:p>
        </w:tc>
        <w:tc>
          <w:tcPr>
            <w:tcW w:w="874" w:type="dxa"/>
            <w:vMerge w:val="continue"/>
            <w:tcBorders>
              <w:tl2br w:val="nil"/>
              <w:tr2bl w:val="nil"/>
            </w:tcBorders>
            <w:shd w:val="clear" w:color="auto" w:fill="auto"/>
            <w:vAlign w:val="center"/>
          </w:tcPr>
          <w:p w14:paraId="3691218C">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DDFAE0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焦作青龙峡望龙瀑布</w:t>
            </w:r>
          </w:p>
        </w:tc>
        <w:tc>
          <w:tcPr>
            <w:tcW w:w="1265" w:type="dxa"/>
            <w:tcBorders>
              <w:tl2br w:val="nil"/>
              <w:tr2bl w:val="nil"/>
            </w:tcBorders>
            <w:shd w:val="clear" w:color="auto" w:fill="auto"/>
            <w:vAlign w:val="center"/>
          </w:tcPr>
          <w:p w14:paraId="09CE6B0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51DE3E8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545670E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瀑布</w:t>
            </w:r>
          </w:p>
        </w:tc>
      </w:tr>
      <w:tr w14:paraId="71B2B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44AD66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203</w:t>
            </w:r>
          </w:p>
        </w:tc>
        <w:tc>
          <w:tcPr>
            <w:tcW w:w="874" w:type="dxa"/>
            <w:vMerge w:val="continue"/>
            <w:tcBorders>
              <w:tl2br w:val="nil"/>
              <w:tr2bl w:val="nil"/>
            </w:tcBorders>
            <w:shd w:val="clear" w:color="auto" w:fill="auto"/>
            <w:vAlign w:val="center"/>
          </w:tcPr>
          <w:p w14:paraId="7E0FF5D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885C48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焦作青龙峡黄龙洞</w:t>
            </w:r>
          </w:p>
        </w:tc>
        <w:tc>
          <w:tcPr>
            <w:tcW w:w="1265" w:type="dxa"/>
            <w:tcBorders>
              <w:tl2br w:val="nil"/>
              <w:tr2bl w:val="nil"/>
            </w:tcBorders>
            <w:shd w:val="clear" w:color="auto" w:fill="auto"/>
            <w:vAlign w:val="center"/>
          </w:tcPr>
          <w:p w14:paraId="2CFC5E0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01ADB00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576A467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沟壑与洞穴</w:t>
            </w:r>
          </w:p>
        </w:tc>
      </w:tr>
      <w:tr w14:paraId="3934B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D92641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204</w:t>
            </w:r>
          </w:p>
        </w:tc>
        <w:tc>
          <w:tcPr>
            <w:tcW w:w="874" w:type="dxa"/>
            <w:vMerge w:val="continue"/>
            <w:tcBorders>
              <w:tl2br w:val="nil"/>
              <w:tr2bl w:val="nil"/>
            </w:tcBorders>
            <w:shd w:val="clear" w:color="auto" w:fill="auto"/>
            <w:vAlign w:val="center"/>
          </w:tcPr>
          <w:p w14:paraId="0E777705">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2636E0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焦作峰林峡天空之恋桥</w:t>
            </w:r>
          </w:p>
        </w:tc>
        <w:tc>
          <w:tcPr>
            <w:tcW w:w="1265" w:type="dxa"/>
            <w:tcBorders>
              <w:tl2br w:val="nil"/>
              <w:tr2bl w:val="nil"/>
            </w:tcBorders>
            <w:shd w:val="clear" w:color="auto" w:fill="auto"/>
            <w:vAlign w:val="center"/>
          </w:tcPr>
          <w:p w14:paraId="68F9457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67CCCCD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3205FF2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桥梁</w:t>
            </w:r>
          </w:p>
        </w:tc>
      </w:tr>
      <w:tr w14:paraId="51057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5F8391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205</w:t>
            </w:r>
          </w:p>
        </w:tc>
        <w:tc>
          <w:tcPr>
            <w:tcW w:w="874" w:type="dxa"/>
            <w:vMerge w:val="continue"/>
            <w:tcBorders>
              <w:tl2br w:val="nil"/>
              <w:tr2bl w:val="nil"/>
            </w:tcBorders>
            <w:shd w:val="clear" w:color="auto" w:fill="auto"/>
            <w:vAlign w:val="center"/>
          </w:tcPr>
          <w:p w14:paraId="7C27733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0D742B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焦作云台山云逗逗</w:t>
            </w:r>
          </w:p>
        </w:tc>
        <w:tc>
          <w:tcPr>
            <w:tcW w:w="1265" w:type="dxa"/>
            <w:tcBorders>
              <w:tl2br w:val="nil"/>
              <w:tr2bl w:val="nil"/>
            </w:tcBorders>
            <w:shd w:val="clear" w:color="auto" w:fill="auto"/>
            <w:vAlign w:val="center"/>
          </w:tcPr>
          <w:p w14:paraId="57104CC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2CD5D94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文创产品</w:t>
            </w:r>
          </w:p>
        </w:tc>
        <w:tc>
          <w:tcPr>
            <w:tcW w:w="1614" w:type="dxa"/>
            <w:tcBorders>
              <w:tl2br w:val="nil"/>
              <w:tr2bl w:val="nil"/>
            </w:tcBorders>
            <w:shd w:val="clear" w:color="auto" w:fill="auto"/>
            <w:vAlign w:val="center"/>
          </w:tcPr>
          <w:p w14:paraId="7B77E75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文化IP及衍生类文创产品</w:t>
            </w:r>
          </w:p>
        </w:tc>
      </w:tr>
      <w:tr w14:paraId="59C40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2C3F70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206</w:t>
            </w:r>
          </w:p>
        </w:tc>
        <w:tc>
          <w:tcPr>
            <w:tcW w:w="874" w:type="dxa"/>
            <w:vMerge w:val="continue"/>
            <w:tcBorders>
              <w:tl2br w:val="nil"/>
              <w:tr2bl w:val="nil"/>
            </w:tcBorders>
            <w:shd w:val="clear" w:color="auto" w:fill="auto"/>
            <w:vAlign w:val="center"/>
          </w:tcPr>
          <w:p w14:paraId="25CEDD2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21E729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焦作云台山游客服务中心</w:t>
            </w:r>
          </w:p>
        </w:tc>
        <w:tc>
          <w:tcPr>
            <w:tcW w:w="1265" w:type="dxa"/>
            <w:tcBorders>
              <w:tl2br w:val="nil"/>
              <w:tr2bl w:val="nil"/>
            </w:tcBorders>
            <w:shd w:val="clear" w:color="auto" w:fill="auto"/>
            <w:vAlign w:val="center"/>
          </w:tcPr>
          <w:p w14:paraId="7F63E10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16E40DF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331FA55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社会与商贸活动场所</w:t>
            </w:r>
          </w:p>
        </w:tc>
      </w:tr>
      <w:tr w14:paraId="0D1AC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7A1F48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207</w:t>
            </w:r>
          </w:p>
        </w:tc>
        <w:tc>
          <w:tcPr>
            <w:tcW w:w="874" w:type="dxa"/>
            <w:vMerge w:val="continue"/>
            <w:tcBorders>
              <w:tl2br w:val="nil"/>
              <w:tr2bl w:val="nil"/>
            </w:tcBorders>
            <w:shd w:val="clear" w:color="auto" w:fill="auto"/>
            <w:vAlign w:val="center"/>
          </w:tcPr>
          <w:p w14:paraId="02AC963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261EB0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焦作云台山百家岩寺</w:t>
            </w:r>
          </w:p>
        </w:tc>
        <w:tc>
          <w:tcPr>
            <w:tcW w:w="1265" w:type="dxa"/>
            <w:tcBorders>
              <w:tl2br w:val="nil"/>
              <w:tr2bl w:val="nil"/>
            </w:tcBorders>
            <w:shd w:val="clear" w:color="auto" w:fill="auto"/>
            <w:vAlign w:val="center"/>
          </w:tcPr>
          <w:p w14:paraId="4A3B347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69E7D19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1DCFEB3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宗教与祭祀活动场所</w:t>
            </w:r>
          </w:p>
        </w:tc>
      </w:tr>
      <w:tr w14:paraId="585E7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C8D06C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208</w:t>
            </w:r>
          </w:p>
        </w:tc>
        <w:tc>
          <w:tcPr>
            <w:tcW w:w="874" w:type="dxa"/>
            <w:vMerge w:val="continue"/>
            <w:tcBorders>
              <w:tl2br w:val="nil"/>
              <w:tr2bl w:val="nil"/>
            </w:tcBorders>
            <w:shd w:val="clear" w:color="auto" w:fill="auto"/>
            <w:vAlign w:val="center"/>
          </w:tcPr>
          <w:p w14:paraId="649B0E83">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BA555D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焦作云台山红石峡棋盘山峰墙</w:t>
            </w:r>
          </w:p>
        </w:tc>
        <w:tc>
          <w:tcPr>
            <w:tcW w:w="1265" w:type="dxa"/>
            <w:tcBorders>
              <w:tl2br w:val="nil"/>
              <w:tr2bl w:val="nil"/>
            </w:tcBorders>
            <w:shd w:val="clear" w:color="auto" w:fill="auto"/>
            <w:vAlign w:val="center"/>
          </w:tcPr>
          <w:p w14:paraId="3CD47B2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46B64D0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地质与构造形迹</w:t>
            </w:r>
          </w:p>
        </w:tc>
        <w:tc>
          <w:tcPr>
            <w:tcW w:w="1614" w:type="dxa"/>
            <w:tcBorders>
              <w:tl2br w:val="nil"/>
              <w:tr2bl w:val="nil"/>
            </w:tcBorders>
            <w:shd w:val="clear" w:color="auto" w:fill="auto"/>
            <w:vAlign w:val="center"/>
          </w:tcPr>
          <w:p w14:paraId="0736760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断裂景观</w:t>
            </w:r>
          </w:p>
        </w:tc>
      </w:tr>
      <w:tr w14:paraId="781E1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9046C5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209</w:t>
            </w:r>
          </w:p>
        </w:tc>
        <w:tc>
          <w:tcPr>
            <w:tcW w:w="874" w:type="dxa"/>
            <w:vMerge w:val="continue"/>
            <w:tcBorders>
              <w:tl2br w:val="nil"/>
              <w:tr2bl w:val="nil"/>
            </w:tcBorders>
            <w:shd w:val="clear" w:color="auto" w:fill="auto"/>
            <w:vAlign w:val="center"/>
          </w:tcPr>
          <w:p w14:paraId="7570C27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5ED5DB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焦作云台山百家岩嵇康“淬剑池”和刘伶“醒酒台”石刻</w:t>
            </w:r>
          </w:p>
        </w:tc>
        <w:tc>
          <w:tcPr>
            <w:tcW w:w="1265" w:type="dxa"/>
            <w:tcBorders>
              <w:tl2br w:val="nil"/>
              <w:tr2bl w:val="nil"/>
            </w:tcBorders>
            <w:shd w:val="clear" w:color="auto" w:fill="auto"/>
            <w:vAlign w:val="center"/>
          </w:tcPr>
          <w:p w14:paraId="555A9D9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78C5A75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景观与小品建筑</w:t>
            </w:r>
          </w:p>
        </w:tc>
        <w:tc>
          <w:tcPr>
            <w:tcW w:w="1614" w:type="dxa"/>
            <w:tcBorders>
              <w:tl2br w:val="nil"/>
              <w:tr2bl w:val="nil"/>
            </w:tcBorders>
            <w:shd w:val="clear" w:color="auto" w:fill="auto"/>
            <w:vAlign w:val="center"/>
          </w:tcPr>
          <w:p w14:paraId="5442499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书画作</w:t>
            </w:r>
          </w:p>
        </w:tc>
      </w:tr>
      <w:tr w14:paraId="3BBC1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3C57F0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210</w:t>
            </w:r>
          </w:p>
        </w:tc>
        <w:tc>
          <w:tcPr>
            <w:tcW w:w="874" w:type="dxa"/>
            <w:vMerge w:val="continue"/>
            <w:tcBorders>
              <w:tl2br w:val="nil"/>
              <w:tr2bl w:val="nil"/>
            </w:tcBorders>
            <w:shd w:val="clear" w:color="auto" w:fill="auto"/>
            <w:vAlign w:val="center"/>
          </w:tcPr>
          <w:p w14:paraId="14269927">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961C37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焦作云台山翠屏峰</w:t>
            </w:r>
          </w:p>
        </w:tc>
        <w:tc>
          <w:tcPr>
            <w:tcW w:w="1265" w:type="dxa"/>
            <w:tcBorders>
              <w:tl2br w:val="nil"/>
              <w:tr2bl w:val="nil"/>
            </w:tcBorders>
            <w:shd w:val="clear" w:color="auto" w:fill="auto"/>
            <w:vAlign w:val="center"/>
          </w:tcPr>
          <w:p w14:paraId="7132482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4E21522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地质与构造形迹</w:t>
            </w:r>
          </w:p>
        </w:tc>
        <w:tc>
          <w:tcPr>
            <w:tcW w:w="1614" w:type="dxa"/>
            <w:tcBorders>
              <w:tl2br w:val="nil"/>
              <w:tr2bl w:val="nil"/>
            </w:tcBorders>
            <w:shd w:val="clear" w:color="auto" w:fill="auto"/>
            <w:vAlign w:val="center"/>
          </w:tcPr>
          <w:p w14:paraId="1CA6BD0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断裂景观</w:t>
            </w:r>
          </w:p>
        </w:tc>
      </w:tr>
      <w:tr w14:paraId="3CE56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5FC1EC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211</w:t>
            </w:r>
          </w:p>
        </w:tc>
        <w:tc>
          <w:tcPr>
            <w:tcW w:w="874" w:type="dxa"/>
            <w:vMerge w:val="continue"/>
            <w:tcBorders>
              <w:tl2br w:val="nil"/>
              <w:tr2bl w:val="nil"/>
            </w:tcBorders>
            <w:shd w:val="clear" w:color="auto" w:fill="auto"/>
            <w:vAlign w:val="center"/>
          </w:tcPr>
          <w:p w14:paraId="55598E47">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AE87B9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修武陪嫁妆村</w:t>
            </w:r>
          </w:p>
        </w:tc>
        <w:tc>
          <w:tcPr>
            <w:tcW w:w="1265" w:type="dxa"/>
            <w:tcBorders>
              <w:tl2br w:val="nil"/>
              <w:tr2bl w:val="nil"/>
            </w:tcBorders>
            <w:shd w:val="clear" w:color="auto" w:fill="auto"/>
            <w:vAlign w:val="center"/>
          </w:tcPr>
          <w:p w14:paraId="7CA8165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78DB5CF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225DEDA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6FEA6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86A389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212</w:t>
            </w:r>
          </w:p>
        </w:tc>
        <w:tc>
          <w:tcPr>
            <w:tcW w:w="874" w:type="dxa"/>
            <w:vMerge w:val="restart"/>
            <w:tcBorders>
              <w:tl2br w:val="nil"/>
              <w:tr2bl w:val="nil"/>
            </w:tcBorders>
            <w:shd w:val="clear" w:color="auto" w:fill="auto"/>
            <w:vAlign w:val="center"/>
          </w:tcPr>
          <w:p w14:paraId="5B2C162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博爱县</w:t>
            </w:r>
          </w:p>
        </w:tc>
        <w:tc>
          <w:tcPr>
            <w:tcW w:w="3438" w:type="dxa"/>
            <w:tcBorders>
              <w:tl2br w:val="nil"/>
              <w:tr2bl w:val="nil"/>
            </w:tcBorders>
            <w:shd w:val="clear" w:color="auto" w:fill="auto"/>
            <w:vAlign w:val="center"/>
          </w:tcPr>
          <w:p w14:paraId="0FD2B22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博爱青天河靳家岭千年黄栌</w:t>
            </w:r>
          </w:p>
        </w:tc>
        <w:tc>
          <w:tcPr>
            <w:tcW w:w="1265" w:type="dxa"/>
            <w:tcBorders>
              <w:tl2br w:val="nil"/>
              <w:tr2bl w:val="nil"/>
            </w:tcBorders>
            <w:shd w:val="clear" w:color="auto" w:fill="auto"/>
            <w:vAlign w:val="center"/>
          </w:tcPr>
          <w:p w14:paraId="231AA7F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生物景观</w:t>
            </w:r>
          </w:p>
        </w:tc>
        <w:tc>
          <w:tcPr>
            <w:tcW w:w="1241" w:type="dxa"/>
            <w:tcBorders>
              <w:tl2br w:val="nil"/>
              <w:tr2bl w:val="nil"/>
            </w:tcBorders>
            <w:shd w:val="clear" w:color="auto" w:fill="auto"/>
            <w:vAlign w:val="center"/>
          </w:tcPr>
          <w:p w14:paraId="1BFBFCB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植被景观</w:t>
            </w:r>
          </w:p>
        </w:tc>
        <w:tc>
          <w:tcPr>
            <w:tcW w:w="1614" w:type="dxa"/>
            <w:tcBorders>
              <w:tl2br w:val="nil"/>
              <w:tr2bl w:val="nil"/>
            </w:tcBorders>
            <w:shd w:val="clear" w:color="auto" w:fill="auto"/>
            <w:vAlign w:val="center"/>
          </w:tcPr>
          <w:p w14:paraId="696FDB0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独树与丛树</w:t>
            </w:r>
          </w:p>
        </w:tc>
      </w:tr>
      <w:tr w14:paraId="75B07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C83FE4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213</w:t>
            </w:r>
          </w:p>
        </w:tc>
        <w:tc>
          <w:tcPr>
            <w:tcW w:w="874" w:type="dxa"/>
            <w:vMerge w:val="continue"/>
            <w:tcBorders>
              <w:tl2br w:val="nil"/>
              <w:tr2bl w:val="nil"/>
            </w:tcBorders>
            <w:shd w:val="clear" w:color="auto" w:fill="auto"/>
            <w:vAlign w:val="center"/>
          </w:tcPr>
          <w:p w14:paraId="0B2B2853">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62A355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博爱青天河靳家岭天钳岭</w:t>
            </w:r>
          </w:p>
        </w:tc>
        <w:tc>
          <w:tcPr>
            <w:tcW w:w="1265" w:type="dxa"/>
            <w:tcBorders>
              <w:tl2br w:val="nil"/>
              <w:tr2bl w:val="nil"/>
            </w:tcBorders>
            <w:shd w:val="clear" w:color="auto" w:fill="auto"/>
            <w:vAlign w:val="center"/>
          </w:tcPr>
          <w:p w14:paraId="0863CCD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2A49825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自然景观综合体</w:t>
            </w:r>
          </w:p>
        </w:tc>
        <w:tc>
          <w:tcPr>
            <w:tcW w:w="1614" w:type="dxa"/>
            <w:tcBorders>
              <w:tl2br w:val="nil"/>
              <w:tr2bl w:val="nil"/>
            </w:tcBorders>
            <w:shd w:val="clear" w:color="auto" w:fill="auto"/>
            <w:vAlign w:val="center"/>
          </w:tcPr>
          <w:p w14:paraId="29F01F2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台地型景观</w:t>
            </w:r>
          </w:p>
        </w:tc>
      </w:tr>
      <w:tr w14:paraId="6A1DF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6C17BF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214</w:t>
            </w:r>
          </w:p>
        </w:tc>
        <w:tc>
          <w:tcPr>
            <w:tcW w:w="874" w:type="dxa"/>
            <w:vMerge w:val="continue"/>
            <w:tcBorders>
              <w:tl2br w:val="nil"/>
              <w:tr2bl w:val="nil"/>
            </w:tcBorders>
            <w:shd w:val="clear" w:color="auto" w:fill="auto"/>
            <w:vAlign w:val="center"/>
          </w:tcPr>
          <w:p w14:paraId="340FFFE3">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081BD8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博爱靳家岭</w:t>
            </w:r>
          </w:p>
        </w:tc>
        <w:tc>
          <w:tcPr>
            <w:tcW w:w="1265" w:type="dxa"/>
            <w:tcBorders>
              <w:tl2br w:val="nil"/>
              <w:tr2bl w:val="nil"/>
            </w:tcBorders>
            <w:shd w:val="clear" w:color="auto" w:fill="auto"/>
            <w:vAlign w:val="center"/>
          </w:tcPr>
          <w:p w14:paraId="5AFC740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7E39806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自然景观综合体</w:t>
            </w:r>
          </w:p>
        </w:tc>
        <w:tc>
          <w:tcPr>
            <w:tcW w:w="1614" w:type="dxa"/>
            <w:tcBorders>
              <w:tl2br w:val="nil"/>
              <w:tr2bl w:val="nil"/>
            </w:tcBorders>
            <w:shd w:val="clear" w:color="auto" w:fill="auto"/>
            <w:vAlign w:val="center"/>
          </w:tcPr>
          <w:p w14:paraId="7C35665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山丘型景观</w:t>
            </w:r>
          </w:p>
        </w:tc>
      </w:tr>
      <w:tr w14:paraId="0ED55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A9A2D2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215</w:t>
            </w:r>
          </w:p>
        </w:tc>
        <w:tc>
          <w:tcPr>
            <w:tcW w:w="874" w:type="dxa"/>
            <w:vMerge w:val="continue"/>
            <w:tcBorders>
              <w:tl2br w:val="nil"/>
              <w:tr2bl w:val="nil"/>
            </w:tcBorders>
            <w:shd w:val="clear" w:color="auto" w:fill="auto"/>
            <w:vAlign w:val="center"/>
          </w:tcPr>
          <w:p w14:paraId="657E2BCB">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9C8764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博爱青天河大坝</w:t>
            </w:r>
          </w:p>
        </w:tc>
        <w:tc>
          <w:tcPr>
            <w:tcW w:w="1265" w:type="dxa"/>
            <w:tcBorders>
              <w:tl2br w:val="nil"/>
              <w:tr2bl w:val="nil"/>
            </w:tcBorders>
            <w:shd w:val="clear" w:color="auto" w:fill="auto"/>
            <w:vAlign w:val="center"/>
          </w:tcPr>
          <w:p w14:paraId="4E00C04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46BC970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11C4FC8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堤坝段落</w:t>
            </w:r>
          </w:p>
        </w:tc>
      </w:tr>
      <w:tr w14:paraId="6D5AF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BF03E8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216</w:t>
            </w:r>
          </w:p>
        </w:tc>
        <w:tc>
          <w:tcPr>
            <w:tcW w:w="874" w:type="dxa"/>
            <w:vMerge w:val="continue"/>
            <w:tcBorders>
              <w:tl2br w:val="nil"/>
              <w:tr2bl w:val="nil"/>
            </w:tcBorders>
            <w:shd w:val="clear" w:color="auto" w:fill="auto"/>
            <w:vAlign w:val="center"/>
          </w:tcPr>
          <w:p w14:paraId="5422797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78DB74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博爱牛肉丸子</w:t>
            </w:r>
          </w:p>
        </w:tc>
        <w:tc>
          <w:tcPr>
            <w:tcW w:w="1265" w:type="dxa"/>
            <w:tcBorders>
              <w:tl2br w:val="nil"/>
              <w:tr2bl w:val="nil"/>
            </w:tcBorders>
            <w:shd w:val="clear" w:color="auto" w:fill="auto"/>
            <w:vAlign w:val="center"/>
          </w:tcPr>
          <w:p w14:paraId="0D1A4BA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0875D35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特色饮食</w:t>
            </w:r>
          </w:p>
        </w:tc>
        <w:tc>
          <w:tcPr>
            <w:tcW w:w="1614" w:type="dxa"/>
            <w:tcBorders>
              <w:tl2br w:val="nil"/>
              <w:tr2bl w:val="nil"/>
            </w:tcBorders>
            <w:shd w:val="clear" w:color="auto" w:fill="auto"/>
            <w:vAlign w:val="center"/>
          </w:tcPr>
          <w:p w14:paraId="49F9BE6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特色美食</w:t>
            </w:r>
          </w:p>
        </w:tc>
      </w:tr>
      <w:tr w14:paraId="0F94A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E32C59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217</w:t>
            </w:r>
          </w:p>
        </w:tc>
        <w:tc>
          <w:tcPr>
            <w:tcW w:w="874" w:type="dxa"/>
            <w:vMerge w:val="continue"/>
            <w:tcBorders>
              <w:tl2br w:val="nil"/>
              <w:tr2bl w:val="nil"/>
            </w:tcBorders>
            <w:shd w:val="clear" w:color="auto" w:fill="auto"/>
            <w:vAlign w:val="center"/>
          </w:tcPr>
          <w:p w14:paraId="6CC8B1B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C257FE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博爱杂拌</w:t>
            </w:r>
          </w:p>
        </w:tc>
        <w:tc>
          <w:tcPr>
            <w:tcW w:w="1265" w:type="dxa"/>
            <w:tcBorders>
              <w:tl2br w:val="nil"/>
              <w:tr2bl w:val="nil"/>
            </w:tcBorders>
            <w:shd w:val="clear" w:color="auto" w:fill="auto"/>
            <w:vAlign w:val="center"/>
          </w:tcPr>
          <w:p w14:paraId="6E8A230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1DFF4E4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特色饮食</w:t>
            </w:r>
          </w:p>
        </w:tc>
        <w:tc>
          <w:tcPr>
            <w:tcW w:w="1614" w:type="dxa"/>
            <w:tcBorders>
              <w:tl2br w:val="nil"/>
              <w:tr2bl w:val="nil"/>
            </w:tcBorders>
            <w:shd w:val="clear" w:color="auto" w:fill="auto"/>
            <w:vAlign w:val="center"/>
          </w:tcPr>
          <w:p w14:paraId="6D1A910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特色美食</w:t>
            </w:r>
          </w:p>
        </w:tc>
      </w:tr>
      <w:tr w14:paraId="0ACAA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C774E8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218</w:t>
            </w:r>
          </w:p>
        </w:tc>
        <w:tc>
          <w:tcPr>
            <w:tcW w:w="874" w:type="dxa"/>
            <w:vMerge w:val="continue"/>
            <w:tcBorders>
              <w:tl2br w:val="nil"/>
              <w:tr2bl w:val="nil"/>
            </w:tcBorders>
            <w:shd w:val="clear" w:color="auto" w:fill="auto"/>
            <w:vAlign w:val="center"/>
          </w:tcPr>
          <w:p w14:paraId="4BD468C7">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D4A4A1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博爱青天河红叶节</w:t>
            </w:r>
          </w:p>
        </w:tc>
        <w:tc>
          <w:tcPr>
            <w:tcW w:w="1265" w:type="dxa"/>
            <w:tcBorders>
              <w:tl2br w:val="nil"/>
              <w:tr2bl w:val="nil"/>
            </w:tcBorders>
            <w:shd w:val="clear" w:color="auto" w:fill="auto"/>
            <w:vAlign w:val="center"/>
          </w:tcPr>
          <w:p w14:paraId="2EF2C25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72C42FE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岁时节令</w:t>
            </w:r>
          </w:p>
        </w:tc>
        <w:tc>
          <w:tcPr>
            <w:tcW w:w="1614" w:type="dxa"/>
            <w:tcBorders>
              <w:tl2br w:val="nil"/>
              <w:tr2bl w:val="nil"/>
            </w:tcBorders>
            <w:shd w:val="clear" w:color="auto" w:fill="auto"/>
            <w:vAlign w:val="center"/>
          </w:tcPr>
          <w:p w14:paraId="06BCFED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现代节庆</w:t>
            </w:r>
          </w:p>
        </w:tc>
      </w:tr>
      <w:tr w14:paraId="2EF53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7E4C16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219</w:t>
            </w:r>
          </w:p>
        </w:tc>
        <w:tc>
          <w:tcPr>
            <w:tcW w:w="874" w:type="dxa"/>
            <w:vMerge w:val="continue"/>
            <w:tcBorders>
              <w:tl2br w:val="nil"/>
              <w:tr2bl w:val="nil"/>
            </w:tcBorders>
            <w:shd w:val="clear" w:color="auto" w:fill="auto"/>
            <w:vAlign w:val="center"/>
          </w:tcPr>
          <w:p w14:paraId="2E8C8F8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313A09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博爱三街耍老虎</w:t>
            </w:r>
          </w:p>
        </w:tc>
        <w:tc>
          <w:tcPr>
            <w:tcW w:w="1265" w:type="dxa"/>
            <w:tcBorders>
              <w:tl2br w:val="nil"/>
              <w:tr2bl w:val="nil"/>
            </w:tcBorders>
            <w:shd w:val="clear" w:color="auto" w:fill="auto"/>
            <w:vAlign w:val="center"/>
          </w:tcPr>
          <w:p w14:paraId="5B99DCD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4BB54A4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非物质类文化遗存</w:t>
            </w:r>
          </w:p>
        </w:tc>
        <w:tc>
          <w:tcPr>
            <w:tcW w:w="1614" w:type="dxa"/>
            <w:tcBorders>
              <w:tl2br w:val="nil"/>
              <w:tr2bl w:val="nil"/>
            </w:tcBorders>
            <w:shd w:val="clear" w:color="auto" w:fill="auto"/>
            <w:vAlign w:val="center"/>
          </w:tcPr>
          <w:p w14:paraId="2B4F89F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传统演艺</w:t>
            </w:r>
          </w:p>
        </w:tc>
      </w:tr>
      <w:tr w14:paraId="60C03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E5383F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220</w:t>
            </w:r>
          </w:p>
        </w:tc>
        <w:tc>
          <w:tcPr>
            <w:tcW w:w="874" w:type="dxa"/>
            <w:vMerge w:val="continue"/>
            <w:tcBorders>
              <w:tl2br w:val="nil"/>
              <w:tr2bl w:val="nil"/>
            </w:tcBorders>
            <w:shd w:val="clear" w:color="auto" w:fill="auto"/>
            <w:vAlign w:val="center"/>
          </w:tcPr>
          <w:p w14:paraId="5DD08580">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5A3B7E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博爱石佛滩摩崖石刻</w:t>
            </w:r>
          </w:p>
        </w:tc>
        <w:tc>
          <w:tcPr>
            <w:tcW w:w="1265" w:type="dxa"/>
            <w:tcBorders>
              <w:tl2br w:val="nil"/>
              <w:tr2bl w:val="nil"/>
            </w:tcBorders>
            <w:shd w:val="clear" w:color="auto" w:fill="auto"/>
            <w:vAlign w:val="center"/>
          </w:tcPr>
          <w:p w14:paraId="7C07CF0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5798B73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4C156CB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洞窟</w:t>
            </w:r>
          </w:p>
        </w:tc>
      </w:tr>
      <w:tr w14:paraId="4B9EB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4C307F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221</w:t>
            </w:r>
          </w:p>
        </w:tc>
        <w:tc>
          <w:tcPr>
            <w:tcW w:w="874" w:type="dxa"/>
            <w:vMerge w:val="continue"/>
            <w:tcBorders>
              <w:tl2br w:val="nil"/>
              <w:tr2bl w:val="nil"/>
            </w:tcBorders>
            <w:shd w:val="clear" w:color="auto" w:fill="auto"/>
            <w:vAlign w:val="center"/>
          </w:tcPr>
          <w:p w14:paraId="27A511E2">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9DB43C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博爱金城刘村</w:t>
            </w:r>
          </w:p>
        </w:tc>
        <w:tc>
          <w:tcPr>
            <w:tcW w:w="1265" w:type="dxa"/>
            <w:tcBorders>
              <w:tl2br w:val="nil"/>
              <w:tr2bl w:val="nil"/>
            </w:tcBorders>
            <w:shd w:val="clear" w:color="auto" w:fill="auto"/>
            <w:vAlign w:val="center"/>
          </w:tcPr>
          <w:p w14:paraId="52B081C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00BB68D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694A86B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14929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36A3EE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222</w:t>
            </w:r>
          </w:p>
        </w:tc>
        <w:tc>
          <w:tcPr>
            <w:tcW w:w="874" w:type="dxa"/>
            <w:vMerge w:val="continue"/>
            <w:tcBorders>
              <w:tl2br w:val="nil"/>
              <w:tr2bl w:val="nil"/>
            </w:tcBorders>
            <w:shd w:val="clear" w:color="auto" w:fill="auto"/>
            <w:vAlign w:val="center"/>
          </w:tcPr>
          <w:p w14:paraId="5A60D5A7">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90E5C1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博爱许良大新庄邘新社亲</w:t>
            </w:r>
          </w:p>
        </w:tc>
        <w:tc>
          <w:tcPr>
            <w:tcW w:w="1265" w:type="dxa"/>
            <w:tcBorders>
              <w:tl2br w:val="nil"/>
              <w:tr2bl w:val="nil"/>
            </w:tcBorders>
            <w:shd w:val="clear" w:color="auto" w:fill="auto"/>
            <w:vAlign w:val="center"/>
          </w:tcPr>
          <w:p w14:paraId="7EAD865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3447E9F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非物质类文化遗存</w:t>
            </w:r>
          </w:p>
        </w:tc>
        <w:tc>
          <w:tcPr>
            <w:tcW w:w="1614" w:type="dxa"/>
            <w:tcBorders>
              <w:tl2br w:val="nil"/>
              <w:tr2bl w:val="nil"/>
            </w:tcBorders>
            <w:shd w:val="clear" w:color="auto" w:fill="auto"/>
            <w:vAlign w:val="center"/>
          </w:tcPr>
          <w:p w14:paraId="38BADE7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地方习俗</w:t>
            </w:r>
          </w:p>
        </w:tc>
      </w:tr>
      <w:tr w14:paraId="17EDB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CA13E2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223</w:t>
            </w:r>
          </w:p>
        </w:tc>
        <w:tc>
          <w:tcPr>
            <w:tcW w:w="874" w:type="dxa"/>
            <w:vMerge w:val="continue"/>
            <w:tcBorders>
              <w:tl2br w:val="nil"/>
              <w:tr2bl w:val="nil"/>
            </w:tcBorders>
            <w:shd w:val="clear" w:color="auto" w:fill="auto"/>
            <w:vAlign w:val="center"/>
          </w:tcPr>
          <w:p w14:paraId="208BB30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7041E0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博爱上庄姜</w:t>
            </w:r>
          </w:p>
        </w:tc>
        <w:tc>
          <w:tcPr>
            <w:tcW w:w="1265" w:type="dxa"/>
            <w:tcBorders>
              <w:tl2br w:val="nil"/>
              <w:tr2bl w:val="nil"/>
            </w:tcBorders>
            <w:shd w:val="clear" w:color="auto" w:fill="auto"/>
            <w:vAlign w:val="center"/>
          </w:tcPr>
          <w:p w14:paraId="241D127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634C2FD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农业产品</w:t>
            </w:r>
          </w:p>
        </w:tc>
        <w:tc>
          <w:tcPr>
            <w:tcW w:w="1614" w:type="dxa"/>
            <w:tcBorders>
              <w:tl2br w:val="nil"/>
              <w:tr2bl w:val="nil"/>
            </w:tcBorders>
            <w:shd w:val="clear" w:color="auto" w:fill="auto"/>
            <w:vAlign w:val="center"/>
          </w:tcPr>
          <w:p w14:paraId="45DD8A2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种植业产品及制品</w:t>
            </w:r>
          </w:p>
        </w:tc>
      </w:tr>
      <w:tr w14:paraId="37FEA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AB0972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224</w:t>
            </w:r>
          </w:p>
        </w:tc>
        <w:tc>
          <w:tcPr>
            <w:tcW w:w="874" w:type="dxa"/>
            <w:vMerge w:val="continue"/>
            <w:tcBorders>
              <w:tl2br w:val="nil"/>
              <w:tr2bl w:val="nil"/>
            </w:tcBorders>
            <w:shd w:val="clear" w:color="auto" w:fill="auto"/>
            <w:vAlign w:val="center"/>
          </w:tcPr>
          <w:p w14:paraId="10DEE2B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692452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博爱馆藏耕织图</w:t>
            </w:r>
          </w:p>
        </w:tc>
        <w:tc>
          <w:tcPr>
            <w:tcW w:w="1265" w:type="dxa"/>
            <w:tcBorders>
              <w:tl2br w:val="nil"/>
              <w:tr2bl w:val="nil"/>
            </w:tcBorders>
            <w:shd w:val="clear" w:color="auto" w:fill="auto"/>
            <w:vAlign w:val="center"/>
          </w:tcPr>
          <w:p w14:paraId="4ABC01B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53E8B7E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78A3D11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可移动文物</w:t>
            </w:r>
          </w:p>
        </w:tc>
      </w:tr>
      <w:tr w14:paraId="0DDE1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958D5A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225</w:t>
            </w:r>
          </w:p>
        </w:tc>
        <w:tc>
          <w:tcPr>
            <w:tcW w:w="874" w:type="dxa"/>
            <w:vMerge w:val="continue"/>
            <w:tcBorders>
              <w:tl2br w:val="nil"/>
              <w:tr2bl w:val="nil"/>
            </w:tcBorders>
            <w:shd w:val="clear" w:color="auto" w:fill="auto"/>
            <w:vAlign w:val="center"/>
          </w:tcPr>
          <w:p w14:paraId="276DE84D">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98DBD0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博爱西张赶竹泉游</w:t>
            </w:r>
          </w:p>
        </w:tc>
        <w:tc>
          <w:tcPr>
            <w:tcW w:w="1265" w:type="dxa"/>
            <w:tcBorders>
              <w:tl2br w:val="nil"/>
              <w:tr2bl w:val="nil"/>
            </w:tcBorders>
            <w:shd w:val="clear" w:color="auto" w:fill="auto"/>
            <w:vAlign w:val="center"/>
          </w:tcPr>
          <w:p w14:paraId="7C897AC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2D0886D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1A79E06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7A615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831FE1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226</w:t>
            </w:r>
          </w:p>
        </w:tc>
        <w:tc>
          <w:tcPr>
            <w:tcW w:w="874" w:type="dxa"/>
            <w:vMerge w:val="continue"/>
            <w:tcBorders>
              <w:tl2br w:val="nil"/>
              <w:tr2bl w:val="nil"/>
            </w:tcBorders>
            <w:shd w:val="clear" w:color="auto" w:fill="auto"/>
            <w:vAlign w:val="center"/>
          </w:tcPr>
          <w:p w14:paraId="60C1CF30">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3AB493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博爱青天河北魏摩崖石刻</w:t>
            </w:r>
          </w:p>
        </w:tc>
        <w:tc>
          <w:tcPr>
            <w:tcW w:w="1265" w:type="dxa"/>
            <w:tcBorders>
              <w:tl2br w:val="nil"/>
              <w:tr2bl w:val="nil"/>
            </w:tcBorders>
            <w:shd w:val="clear" w:color="auto" w:fill="auto"/>
            <w:vAlign w:val="center"/>
          </w:tcPr>
          <w:p w14:paraId="1CCFA3B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0ED7A70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755A9CF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洞窟</w:t>
            </w:r>
          </w:p>
        </w:tc>
      </w:tr>
      <w:tr w14:paraId="6AC8A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BBC48E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227</w:t>
            </w:r>
          </w:p>
        </w:tc>
        <w:tc>
          <w:tcPr>
            <w:tcW w:w="874" w:type="dxa"/>
            <w:vMerge w:val="continue"/>
            <w:tcBorders>
              <w:tl2br w:val="nil"/>
              <w:tr2bl w:val="nil"/>
            </w:tcBorders>
            <w:shd w:val="clear" w:color="auto" w:fill="auto"/>
            <w:vAlign w:val="center"/>
          </w:tcPr>
          <w:p w14:paraId="327481E9">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D8F1CD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博爱青天河观音峡</w:t>
            </w:r>
          </w:p>
        </w:tc>
        <w:tc>
          <w:tcPr>
            <w:tcW w:w="1265" w:type="dxa"/>
            <w:tcBorders>
              <w:tl2br w:val="nil"/>
              <w:tr2bl w:val="nil"/>
            </w:tcBorders>
            <w:shd w:val="clear" w:color="auto" w:fill="auto"/>
            <w:vAlign w:val="center"/>
          </w:tcPr>
          <w:p w14:paraId="76CB9FC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5F36152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自然景观综合体</w:t>
            </w:r>
          </w:p>
        </w:tc>
        <w:tc>
          <w:tcPr>
            <w:tcW w:w="1614" w:type="dxa"/>
            <w:tcBorders>
              <w:tl2br w:val="nil"/>
              <w:tr2bl w:val="nil"/>
            </w:tcBorders>
            <w:shd w:val="clear" w:color="auto" w:fill="auto"/>
            <w:vAlign w:val="center"/>
          </w:tcPr>
          <w:p w14:paraId="743D822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沟谷型景观</w:t>
            </w:r>
          </w:p>
        </w:tc>
      </w:tr>
      <w:tr w14:paraId="66902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44BBBB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228</w:t>
            </w:r>
          </w:p>
        </w:tc>
        <w:tc>
          <w:tcPr>
            <w:tcW w:w="874" w:type="dxa"/>
            <w:vMerge w:val="continue"/>
            <w:tcBorders>
              <w:tl2br w:val="nil"/>
              <w:tr2bl w:val="nil"/>
            </w:tcBorders>
            <w:shd w:val="clear" w:color="auto" w:fill="auto"/>
            <w:vAlign w:val="center"/>
          </w:tcPr>
          <w:p w14:paraId="174318B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1505F8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博爱北魏石刻造像</w:t>
            </w:r>
          </w:p>
        </w:tc>
        <w:tc>
          <w:tcPr>
            <w:tcW w:w="1265" w:type="dxa"/>
            <w:tcBorders>
              <w:tl2br w:val="nil"/>
              <w:tr2bl w:val="nil"/>
            </w:tcBorders>
            <w:shd w:val="clear" w:color="auto" w:fill="auto"/>
            <w:vAlign w:val="center"/>
          </w:tcPr>
          <w:p w14:paraId="2102AF0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3EB8EFB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78ACD64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可移动文物</w:t>
            </w:r>
          </w:p>
        </w:tc>
      </w:tr>
      <w:tr w14:paraId="1F5ED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72F798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229</w:t>
            </w:r>
          </w:p>
        </w:tc>
        <w:tc>
          <w:tcPr>
            <w:tcW w:w="874" w:type="dxa"/>
            <w:vMerge w:val="continue"/>
            <w:tcBorders>
              <w:tl2br w:val="nil"/>
              <w:tr2bl w:val="nil"/>
            </w:tcBorders>
            <w:shd w:val="clear" w:color="auto" w:fill="auto"/>
            <w:vAlign w:val="center"/>
          </w:tcPr>
          <w:p w14:paraId="4C4CAEC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7E67A0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博爱磨头王堡枪</w:t>
            </w:r>
          </w:p>
        </w:tc>
        <w:tc>
          <w:tcPr>
            <w:tcW w:w="1265" w:type="dxa"/>
            <w:tcBorders>
              <w:tl2br w:val="nil"/>
              <w:tr2bl w:val="nil"/>
            </w:tcBorders>
            <w:shd w:val="clear" w:color="auto" w:fill="auto"/>
            <w:vAlign w:val="center"/>
          </w:tcPr>
          <w:p w14:paraId="2D1DD14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619D054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非物质类文化遗存</w:t>
            </w:r>
          </w:p>
        </w:tc>
        <w:tc>
          <w:tcPr>
            <w:tcW w:w="1614" w:type="dxa"/>
            <w:tcBorders>
              <w:tl2br w:val="nil"/>
              <w:tr2bl w:val="nil"/>
            </w:tcBorders>
            <w:shd w:val="clear" w:color="auto" w:fill="auto"/>
            <w:vAlign w:val="center"/>
          </w:tcPr>
          <w:p w14:paraId="3C418DB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传统武术</w:t>
            </w:r>
          </w:p>
        </w:tc>
      </w:tr>
      <w:tr w14:paraId="2148B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F3A000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230</w:t>
            </w:r>
          </w:p>
        </w:tc>
        <w:tc>
          <w:tcPr>
            <w:tcW w:w="874" w:type="dxa"/>
            <w:vMerge w:val="continue"/>
            <w:tcBorders>
              <w:tl2br w:val="nil"/>
              <w:tr2bl w:val="nil"/>
            </w:tcBorders>
            <w:shd w:val="clear" w:color="auto" w:fill="auto"/>
            <w:vAlign w:val="center"/>
          </w:tcPr>
          <w:p w14:paraId="6E66561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8775F0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博爱大新庄东大寺</w:t>
            </w:r>
          </w:p>
        </w:tc>
        <w:tc>
          <w:tcPr>
            <w:tcW w:w="1265" w:type="dxa"/>
            <w:tcBorders>
              <w:tl2br w:val="nil"/>
              <w:tr2bl w:val="nil"/>
            </w:tcBorders>
            <w:shd w:val="clear" w:color="auto" w:fill="auto"/>
            <w:vAlign w:val="center"/>
          </w:tcPr>
          <w:p w14:paraId="6B56C6F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25E874C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0133D43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宗教与祭祀活动场所</w:t>
            </w:r>
          </w:p>
        </w:tc>
      </w:tr>
      <w:tr w14:paraId="4E550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7E6D6B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231</w:t>
            </w:r>
          </w:p>
        </w:tc>
        <w:tc>
          <w:tcPr>
            <w:tcW w:w="874" w:type="dxa"/>
            <w:vMerge w:val="continue"/>
            <w:tcBorders>
              <w:tl2br w:val="nil"/>
              <w:tr2bl w:val="nil"/>
            </w:tcBorders>
            <w:shd w:val="clear" w:color="auto" w:fill="auto"/>
            <w:vAlign w:val="center"/>
          </w:tcPr>
          <w:p w14:paraId="7CE4FF96">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DBCD6A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博爱丹河于庄段游憩河段</w:t>
            </w:r>
          </w:p>
        </w:tc>
        <w:tc>
          <w:tcPr>
            <w:tcW w:w="1265" w:type="dxa"/>
            <w:tcBorders>
              <w:tl2br w:val="nil"/>
              <w:tr2bl w:val="nil"/>
            </w:tcBorders>
            <w:shd w:val="clear" w:color="auto" w:fill="auto"/>
            <w:vAlign w:val="center"/>
          </w:tcPr>
          <w:p w14:paraId="5D6768F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28BA182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01AE190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游憩河段</w:t>
            </w:r>
          </w:p>
        </w:tc>
      </w:tr>
      <w:tr w14:paraId="4A8BD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6012D6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232</w:t>
            </w:r>
          </w:p>
        </w:tc>
        <w:tc>
          <w:tcPr>
            <w:tcW w:w="874" w:type="dxa"/>
            <w:vMerge w:val="continue"/>
            <w:tcBorders>
              <w:tl2br w:val="nil"/>
              <w:tr2bl w:val="nil"/>
            </w:tcBorders>
            <w:shd w:val="clear" w:color="auto" w:fill="auto"/>
            <w:vAlign w:val="center"/>
          </w:tcPr>
          <w:p w14:paraId="319325F6">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F5784B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博爱丹河许湾段游憩河段</w:t>
            </w:r>
          </w:p>
        </w:tc>
        <w:tc>
          <w:tcPr>
            <w:tcW w:w="1265" w:type="dxa"/>
            <w:tcBorders>
              <w:tl2br w:val="nil"/>
              <w:tr2bl w:val="nil"/>
            </w:tcBorders>
            <w:shd w:val="clear" w:color="auto" w:fill="auto"/>
            <w:vAlign w:val="center"/>
          </w:tcPr>
          <w:p w14:paraId="5F5DA56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67B0E20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270E985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游憩河段</w:t>
            </w:r>
          </w:p>
        </w:tc>
      </w:tr>
      <w:tr w14:paraId="5EC42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0F2E45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233</w:t>
            </w:r>
          </w:p>
        </w:tc>
        <w:tc>
          <w:tcPr>
            <w:tcW w:w="874" w:type="dxa"/>
            <w:vMerge w:val="continue"/>
            <w:tcBorders>
              <w:tl2br w:val="nil"/>
              <w:tr2bl w:val="nil"/>
            </w:tcBorders>
            <w:shd w:val="clear" w:color="auto" w:fill="auto"/>
            <w:vAlign w:val="center"/>
          </w:tcPr>
          <w:p w14:paraId="43DB937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F34087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博爱丹河下伏头段游憩河段</w:t>
            </w:r>
          </w:p>
        </w:tc>
        <w:tc>
          <w:tcPr>
            <w:tcW w:w="1265" w:type="dxa"/>
            <w:tcBorders>
              <w:tl2br w:val="nil"/>
              <w:tr2bl w:val="nil"/>
            </w:tcBorders>
            <w:shd w:val="clear" w:color="auto" w:fill="auto"/>
            <w:vAlign w:val="center"/>
          </w:tcPr>
          <w:p w14:paraId="1859D37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48D3936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4E0B8CF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游憩河段</w:t>
            </w:r>
          </w:p>
        </w:tc>
      </w:tr>
      <w:tr w14:paraId="3C635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FFF699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234</w:t>
            </w:r>
          </w:p>
        </w:tc>
        <w:tc>
          <w:tcPr>
            <w:tcW w:w="874" w:type="dxa"/>
            <w:vMerge w:val="continue"/>
            <w:tcBorders>
              <w:tl2br w:val="nil"/>
              <w:tr2bl w:val="nil"/>
            </w:tcBorders>
            <w:shd w:val="clear" w:color="auto" w:fill="auto"/>
            <w:vAlign w:val="center"/>
          </w:tcPr>
          <w:p w14:paraId="0032F539">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4A9309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博爱许良下伏头村影剧院</w:t>
            </w:r>
          </w:p>
        </w:tc>
        <w:tc>
          <w:tcPr>
            <w:tcW w:w="1265" w:type="dxa"/>
            <w:tcBorders>
              <w:tl2br w:val="nil"/>
              <w:tr2bl w:val="nil"/>
            </w:tcBorders>
            <w:shd w:val="clear" w:color="auto" w:fill="auto"/>
            <w:vAlign w:val="center"/>
          </w:tcPr>
          <w:p w14:paraId="357F3F0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4A8A249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566B1C2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独立场、所</w:t>
            </w:r>
          </w:p>
        </w:tc>
      </w:tr>
      <w:tr w14:paraId="5EBD8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C0F983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235</w:t>
            </w:r>
          </w:p>
        </w:tc>
        <w:tc>
          <w:tcPr>
            <w:tcW w:w="874" w:type="dxa"/>
            <w:vMerge w:val="continue"/>
            <w:tcBorders>
              <w:tl2br w:val="nil"/>
              <w:tr2bl w:val="nil"/>
            </w:tcBorders>
            <w:shd w:val="clear" w:color="auto" w:fill="auto"/>
            <w:vAlign w:val="center"/>
          </w:tcPr>
          <w:p w14:paraId="09B1DDC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56617E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博爱西张赶竹林</w:t>
            </w:r>
          </w:p>
        </w:tc>
        <w:tc>
          <w:tcPr>
            <w:tcW w:w="1265" w:type="dxa"/>
            <w:tcBorders>
              <w:tl2br w:val="nil"/>
              <w:tr2bl w:val="nil"/>
            </w:tcBorders>
            <w:shd w:val="clear" w:color="auto" w:fill="auto"/>
            <w:vAlign w:val="center"/>
          </w:tcPr>
          <w:p w14:paraId="7FC1365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生物景观</w:t>
            </w:r>
          </w:p>
        </w:tc>
        <w:tc>
          <w:tcPr>
            <w:tcW w:w="1241" w:type="dxa"/>
            <w:tcBorders>
              <w:tl2br w:val="nil"/>
              <w:tr2bl w:val="nil"/>
            </w:tcBorders>
            <w:shd w:val="clear" w:color="auto" w:fill="auto"/>
            <w:vAlign w:val="center"/>
          </w:tcPr>
          <w:p w14:paraId="4F6CF3F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植被景观</w:t>
            </w:r>
          </w:p>
        </w:tc>
        <w:tc>
          <w:tcPr>
            <w:tcW w:w="1614" w:type="dxa"/>
            <w:tcBorders>
              <w:tl2br w:val="nil"/>
              <w:tr2bl w:val="nil"/>
            </w:tcBorders>
            <w:shd w:val="clear" w:color="auto" w:fill="auto"/>
            <w:vAlign w:val="center"/>
          </w:tcPr>
          <w:p w14:paraId="26808E4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林地</w:t>
            </w:r>
          </w:p>
        </w:tc>
      </w:tr>
      <w:tr w14:paraId="5922D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9F1092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236</w:t>
            </w:r>
          </w:p>
        </w:tc>
        <w:tc>
          <w:tcPr>
            <w:tcW w:w="874" w:type="dxa"/>
            <w:vMerge w:val="continue"/>
            <w:tcBorders>
              <w:tl2br w:val="nil"/>
              <w:tr2bl w:val="nil"/>
            </w:tcBorders>
            <w:shd w:val="clear" w:color="auto" w:fill="auto"/>
            <w:vAlign w:val="center"/>
          </w:tcPr>
          <w:p w14:paraId="245FA95C">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D51925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博爱清化街竹器</w:t>
            </w:r>
          </w:p>
        </w:tc>
        <w:tc>
          <w:tcPr>
            <w:tcW w:w="1265" w:type="dxa"/>
            <w:tcBorders>
              <w:tl2br w:val="nil"/>
              <w:tr2bl w:val="nil"/>
            </w:tcBorders>
            <w:shd w:val="clear" w:color="auto" w:fill="auto"/>
            <w:vAlign w:val="center"/>
          </w:tcPr>
          <w:p w14:paraId="372CD74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5B5530F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农业产品</w:t>
            </w:r>
          </w:p>
        </w:tc>
        <w:tc>
          <w:tcPr>
            <w:tcW w:w="1614" w:type="dxa"/>
            <w:tcBorders>
              <w:tl2br w:val="nil"/>
              <w:tr2bl w:val="nil"/>
            </w:tcBorders>
            <w:shd w:val="clear" w:color="auto" w:fill="auto"/>
            <w:vAlign w:val="center"/>
          </w:tcPr>
          <w:p w14:paraId="5BE1334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林业产品与制品</w:t>
            </w:r>
          </w:p>
        </w:tc>
      </w:tr>
      <w:tr w14:paraId="65BB5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C1DAEA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237</w:t>
            </w:r>
          </w:p>
        </w:tc>
        <w:tc>
          <w:tcPr>
            <w:tcW w:w="874" w:type="dxa"/>
            <w:vMerge w:val="continue"/>
            <w:tcBorders>
              <w:tl2br w:val="nil"/>
              <w:tr2bl w:val="nil"/>
            </w:tcBorders>
            <w:shd w:val="clear" w:color="auto" w:fill="auto"/>
            <w:vAlign w:val="center"/>
          </w:tcPr>
          <w:p w14:paraId="0609BFD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86CEC7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博爱柏山村</w:t>
            </w:r>
          </w:p>
        </w:tc>
        <w:tc>
          <w:tcPr>
            <w:tcW w:w="1265" w:type="dxa"/>
            <w:tcBorders>
              <w:tl2br w:val="nil"/>
              <w:tr2bl w:val="nil"/>
            </w:tcBorders>
            <w:shd w:val="clear" w:color="auto" w:fill="auto"/>
            <w:vAlign w:val="center"/>
          </w:tcPr>
          <w:p w14:paraId="5C6B0EB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31731F5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7BA3A3D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12032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827140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238</w:t>
            </w:r>
          </w:p>
        </w:tc>
        <w:tc>
          <w:tcPr>
            <w:tcW w:w="874" w:type="dxa"/>
            <w:vMerge w:val="continue"/>
            <w:tcBorders>
              <w:tl2br w:val="nil"/>
              <w:tr2bl w:val="nil"/>
            </w:tcBorders>
            <w:shd w:val="clear" w:color="auto" w:fill="auto"/>
            <w:vAlign w:val="center"/>
          </w:tcPr>
          <w:p w14:paraId="57757CDD">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0785CC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博爱县革命史教育基地</w:t>
            </w:r>
          </w:p>
        </w:tc>
        <w:tc>
          <w:tcPr>
            <w:tcW w:w="1265" w:type="dxa"/>
            <w:tcBorders>
              <w:tl2br w:val="nil"/>
              <w:tr2bl w:val="nil"/>
            </w:tcBorders>
            <w:shd w:val="clear" w:color="auto" w:fill="auto"/>
            <w:vAlign w:val="center"/>
          </w:tcPr>
          <w:p w14:paraId="2BE8780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2FD86A2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354EA7C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纪念地与纪念活动场所</w:t>
            </w:r>
          </w:p>
        </w:tc>
      </w:tr>
      <w:tr w14:paraId="4F229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4B8465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239</w:t>
            </w:r>
          </w:p>
        </w:tc>
        <w:tc>
          <w:tcPr>
            <w:tcW w:w="874" w:type="dxa"/>
            <w:vMerge w:val="continue"/>
            <w:tcBorders>
              <w:tl2br w:val="nil"/>
              <w:tr2bl w:val="nil"/>
            </w:tcBorders>
            <w:shd w:val="clear" w:color="auto" w:fill="auto"/>
            <w:vAlign w:val="center"/>
          </w:tcPr>
          <w:p w14:paraId="097BB64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6DCD6E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博爱柏山古建筑群</w:t>
            </w:r>
          </w:p>
        </w:tc>
        <w:tc>
          <w:tcPr>
            <w:tcW w:w="1265" w:type="dxa"/>
            <w:tcBorders>
              <w:tl2br w:val="nil"/>
              <w:tr2bl w:val="nil"/>
            </w:tcBorders>
            <w:shd w:val="clear" w:color="auto" w:fill="auto"/>
            <w:vAlign w:val="center"/>
          </w:tcPr>
          <w:p w14:paraId="33C5C95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4A5AF86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0130BEB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111FE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8C5F7B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240</w:t>
            </w:r>
          </w:p>
        </w:tc>
        <w:tc>
          <w:tcPr>
            <w:tcW w:w="874" w:type="dxa"/>
            <w:vMerge w:val="continue"/>
            <w:tcBorders>
              <w:tl2br w:val="nil"/>
              <w:tr2bl w:val="nil"/>
            </w:tcBorders>
            <w:shd w:val="clear" w:color="auto" w:fill="auto"/>
            <w:vAlign w:val="center"/>
          </w:tcPr>
          <w:p w14:paraId="49EA0503">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48B57A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博爱青天河崖壁</w:t>
            </w:r>
          </w:p>
        </w:tc>
        <w:tc>
          <w:tcPr>
            <w:tcW w:w="1265" w:type="dxa"/>
            <w:tcBorders>
              <w:tl2br w:val="nil"/>
              <w:tr2bl w:val="nil"/>
            </w:tcBorders>
            <w:shd w:val="clear" w:color="auto" w:fill="auto"/>
            <w:vAlign w:val="center"/>
          </w:tcPr>
          <w:p w14:paraId="644F8F6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1C0EF5C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地质与构造形迹</w:t>
            </w:r>
          </w:p>
        </w:tc>
        <w:tc>
          <w:tcPr>
            <w:tcW w:w="1614" w:type="dxa"/>
            <w:tcBorders>
              <w:tl2br w:val="nil"/>
              <w:tr2bl w:val="nil"/>
            </w:tcBorders>
            <w:shd w:val="clear" w:color="auto" w:fill="auto"/>
            <w:vAlign w:val="center"/>
          </w:tcPr>
          <w:p w14:paraId="5CCC638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断裂景观</w:t>
            </w:r>
          </w:p>
        </w:tc>
      </w:tr>
      <w:tr w14:paraId="0B39D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9AE766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241</w:t>
            </w:r>
          </w:p>
        </w:tc>
        <w:tc>
          <w:tcPr>
            <w:tcW w:w="874" w:type="dxa"/>
            <w:vMerge w:val="continue"/>
            <w:tcBorders>
              <w:tl2br w:val="nil"/>
              <w:tr2bl w:val="nil"/>
            </w:tcBorders>
            <w:shd w:val="clear" w:color="auto" w:fill="auto"/>
            <w:vAlign w:val="center"/>
          </w:tcPr>
          <w:p w14:paraId="2BD601C3">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284B75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博爱淸化大王庙</w:t>
            </w:r>
          </w:p>
        </w:tc>
        <w:tc>
          <w:tcPr>
            <w:tcW w:w="1265" w:type="dxa"/>
            <w:tcBorders>
              <w:tl2br w:val="nil"/>
              <w:tr2bl w:val="nil"/>
            </w:tcBorders>
            <w:shd w:val="clear" w:color="auto" w:fill="auto"/>
            <w:vAlign w:val="center"/>
          </w:tcPr>
          <w:p w14:paraId="0AB432B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06227F6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0CBE295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06C5F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94A39B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242</w:t>
            </w:r>
          </w:p>
        </w:tc>
        <w:tc>
          <w:tcPr>
            <w:tcW w:w="874" w:type="dxa"/>
            <w:vMerge w:val="continue"/>
            <w:tcBorders>
              <w:tl2br w:val="nil"/>
              <w:tr2bl w:val="nil"/>
            </w:tcBorders>
            <w:shd w:val="clear" w:color="auto" w:fill="auto"/>
            <w:vAlign w:val="center"/>
          </w:tcPr>
          <w:p w14:paraId="5313F9B8">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FE1D61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博爱清化三街鱼拱莲舞</w:t>
            </w:r>
          </w:p>
        </w:tc>
        <w:tc>
          <w:tcPr>
            <w:tcW w:w="1265" w:type="dxa"/>
            <w:tcBorders>
              <w:tl2br w:val="nil"/>
              <w:tr2bl w:val="nil"/>
            </w:tcBorders>
            <w:shd w:val="clear" w:color="auto" w:fill="auto"/>
            <w:vAlign w:val="center"/>
          </w:tcPr>
          <w:p w14:paraId="36EC3D9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253AF3B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非物质类文化遗存</w:t>
            </w:r>
          </w:p>
        </w:tc>
        <w:tc>
          <w:tcPr>
            <w:tcW w:w="1614" w:type="dxa"/>
            <w:tcBorders>
              <w:tl2br w:val="nil"/>
              <w:tr2bl w:val="nil"/>
            </w:tcBorders>
            <w:shd w:val="clear" w:color="auto" w:fill="auto"/>
            <w:vAlign w:val="center"/>
          </w:tcPr>
          <w:p w14:paraId="56EFC19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传统演艺</w:t>
            </w:r>
          </w:p>
        </w:tc>
      </w:tr>
      <w:tr w14:paraId="63695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D44811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243</w:t>
            </w:r>
          </w:p>
        </w:tc>
        <w:tc>
          <w:tcPr>
            <w:tcW w:w="874" w:type="dxa"/>
            <w:vMerge w:val="continue"/>
            <w:tcBorders>
              <w:tl2br w:val="nil"/>
              <w:tr2bl w:val="nil"/>
            </w:tcBorders>
            <w:shd w:val="clear" w:color="auto" w:fill="auto"/>
            <w:vAlign w:val="center"/>
          </w:tcPr>
          <w:p w14:paraId="24AFB3B8">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5DD068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博爱砖井狮虎舞</w:t>
            </w:r>
          </w:p>
        </w:tc>
        <w:tc>
          <w:tcPr>
            <w:tcW w:w="1265" w:type="dxa"/>
            <w:tcBorders>
              <w:tl2br w:val="nil"/>
              <w:tr2bl w:val="nil"/>
            </w:tcBorders>
            <w:shd w:val="clear" w:color="auto" w:fill="auto"/>
            <w:vAlign w:val="center"/>
          </w:tcPr>
          <w:p w14:paraId="52B737A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535552C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非物质类文化遗存</w:t>
            </w:r>
          </w:p>
        </w:tc>
        <w:tc>
          <w:tcPr>
            <w:tcW w:w="1614" w:type="dxa"/>
            <w:tcBorders>
              <w:tl2br w:val="nil"/>
              <w:tr2bl w:val="nil"/>
            </w:tcBorders>
            <w:shd w:val="clear" w:color="auto" w:fill="auto"/>
            <w:vAlign w:val="center"/>
          </w:tcPr>
          <w:p w14:paraId="13B69E8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传统演艺</w:t>
            </w:r>
          </w:p>
        </w:tc>
      </w:tr>
      <w:tr w14:paraId="09A6E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0C4F77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244</w:t>
            </w:r>
          </w:p>
        </w:tc>
        <w:tc>
          <w:tcPr>
            <w:tcW w:w="874" w:type="dxa"/>
            <w:vMerge w:val="continue"/>
            <w:tcBorders>
              <w:tl2br w:val="nil"/>
              <w:tr2bl w:val="nil"/>
            </w:tcBorders>
            <w:shd w:val="clear" w:color="auto" w:fill="auto"/>
            <w:vAlign w:val="center"/>
          </w:tcPr>
          <w:p w14:paraId="79F3B300">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DFAE60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博爱青莲寺</w:t>
            </w:r>
          </w:p>
        </w:tc>
        <w:tc>
          <w:tcPr>
            <w:tcW w:w="1265" w:type="dxa"/>
            <w:tcBorders>
              <w:tl2br w:val="nil"/>
              <w:tr2bl w:val="nil"/>
            </w:tcBorders>
            <w:shd w:val="clear" w:color="auto" w:fill="auto"/>
            <w:vAlign w:val="center"/>
          </w:tcPr>
          <w:p w14:paraId="04EEE97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418A885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12EA727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19933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8A92C2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245</w:t>
            </w:r>
          </w:p>
        </w:tc>
        <w:tc>
          <w:tcPr>
            <w:tcW w:w="874" w:type="dxa"/>
            <w:vMerge w:val="continue"/>
            <w:tcBorders>
              <w:tl2br w:val="nil"/>
              <w:tr2bl w:val="nil"/>
            </w:tcBorders>
            <w:shd w:val="clear" w:color="auto" w:fill="auto"/>
            <w:vAlign w:val="center"/>
          </w:tcPr>
          <w:p w14:paraId="47960FF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E13E7F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博爱竹林七贤生态文化园竹林</w:t>
            </w:r>
          </w:p>
        </w:tc>
        <w:tc>
          <w:tcPr>
            <w:tcW w:w="1265" w:type="dxa"/>
            <w:tcBorders>
              <w:tl2br w:val="nil"/>
              <w:tr2bl w:val="nil"/>
            </w:tcBorders>
            <w:shd w:val="clear" w:color="auto" w:fill="auto"/>
            <w:vAlign w:val="center"/>
          </w:tcPr>
          <w:p w14:paraId="21AE6BD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生物景观</w:t>
            </w:r>
          </w:p>
        </w:tc>
        <w:tc>
          <w:tcPr>
            <w:tcW w:w="1241" w:type="dxa"/>
            <w:tcBorders>
              <w:tl2br w:val="nil"/>
              <w:tr2bl w:val="nil"/>
            </w:tcBorders>
            <w:shd w:val="clear" w:color="auto" w:fill="auto"/>
            <w:vAlign w:val="center"/>
          </w:tcPr>
          <w:p w14:paraId="072E64C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植被景观</w:t>
            </w:r>
          </w:p>
        </w:tc>
        <w:tc>
          <w:tcPr>
            <w:tcW w:w="1614" w:type="dxa"/>
            <w:tcBorders>
              <w:tl2br w:val="nil"/>
              <w:tr2bl w:val="nil"/>
            </w:tcBorders>
            <w:shd w:val="clear" w:color="auto" w:fill="auto"/>
            <w:vAlign w:val="center"/>
          </w:tcPr>
          <w:p w14:paraId="1ACCFAB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林地</w:t>
            </w:r>
          </w:p>
        </w:tc>
      </w:tr>
      <w:tr w14:paraId="77811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EFF915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246</w:t>
            </w:r>
          </w:p>
        </w:tc>
        <w:tc>
          <w:tcPr>
            <w:tcW w:w="874" w:type="dxa"/>
            <w:vMerge w:val="continue"/>
            <w:tcBorders>
              <w:tl2br w:val="nil"/>
              <w:tr2bl w:val="nil"/>
            </w:tcBorders>
            <w:shd w:val="clear" w:color="auto" w:fill="auto"/>
            <w:vAlign w:val="center"/>
          </w:tcPr>
          <w:p w14:paraId="07E032F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10B1F5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博爱竹浪岛生态竹林</w:t>
            </w:r>
          </w:p>
        </w:tc>
        <w:tc>
          <w:tcPr>
            <w:tcW w:w="1265" w:type="dxa"/>
            <w:tcBorders>
              <w:tl2br w:val="nil"/>
              <w:tr2bl w:val="nil"/>
            </w:tcBorders>
            <w:shd w:val="clear" w:color="auto" w:fill="auto"/>
            <w:vAlign w:val="center"/>
          </w:tcPr>
          <w:p w14:paraId="3D813FF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生物景观</w:t>
            </w:r>
          </w:p>
        </w:tc>
        <w:tc>
          <w:tcPr>
            <w:tcW w:w="1241" w:type="dxa"/>
            <w:tcBorders>
              <w:tl2br w:val="nil"/>
              <w:tr2bl w:val="nil"/>
            </w:tcBorders>
            <w:shd w:val="clear" w:color="auto" w:fill="auto"/>
            <w:vAlign w:val="center"/>
          </w:tcPr>
          <w:p w14:paraId="3FF2417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植被景观</w:t>
            </w:r>
          </w:p>
        </w:tc>
        <w:tc>
          <w:tcPr>
            <w:tcW w:w="1614" w:type="dxa"/>
            <w:tcBorders>
              <w:tl2br w:val="nil"/>
              <w:tr2bl w:val="nil"/>
            </w:tcBorders>
            <w:shd w:val="clear" w:color="auto" w:fill="auto"/>
            <w:vAlign w:val="center"/>
          </w:tcPr>
          <w:p w14:paraId="00861D2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林地</w:t>
            </w:r>
          </w:p>
        </w:tc>
      </w:tr>
      <w:tr w14:paraId="6B7FA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4B32B7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247</w:t>
            </w:r>
          </w:p>
        </w:tc>
        <w:tc>
          <w:tcPr>
            <w:tcW w:w="874" w:type="dxa"/>
            <w:vMerge w:val="continue"/>
            <w:tcBorders>
              <w:tl2br w:val="nil"/>
              <w:tr2bl w:val="nil"/>
            </w:tcBorders>
            <w:shd w:val="clear" w:color="auto" w:fill="auto"/>
            <w:vAlign w:val="center"/>
          </w:tcPr>
          <w:p w14:paraId="5BB2FD9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B6B742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博爱竹子基因库</w:t>
            </w:r>
          </w:p>
        </w:tc>
        <w:tc>
          <w:tcPr>
            <w:tcW w:w="1265" w:type="dxa"/>
            <w:tcBorders>
              <w:tl2br w:val="nil"/>
              <w:tr2bl w:val="nil"/>
            </w:tcBorders>
            <w:shd w:val="clear" w:color="auto" w:fill="auto"/>
            <w:vAlign w:val="center"/>
          </w:tcPr>
          <w:p w14:paraId="52F1F7A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生物景观</w:t>
            </w:r>
          </w:p>
        </w:tc>
        <w:tc>
          <w:tcPr>
            <w:tcW w:w="1241" w:type="dxa"/>
            <w:tcBorders>
              <w:tl2br w:val="nil"/>
              <w:tr2bl w:val="nil"/>
            </w:tcBorders>
            <w:shd w:val="clear" w:color="auto" w:fill="auto"/>
            <w:vAlign w:val="center"/>
          </w:tcPr>
          <w:p w14:paraId="2B3C221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植被景观</w:t>
            </w:r>
          </w:p>
        </w:tc>
        <w:tc>
          <w:tcPr>
            <w:tcW w:w="1614" w:type="dxa"/>
            <w:tcBorders>
              <w:tl2br w:val="nil"/>
              <w:tr2bl w:val="nil"/>
            </w:tcBorders>
            <w:shd w:val="clear" w:color="auto" w:fill="auto"/>
            <w:vAlign w:val="center"/>
          </w:tcPr>
          <w:p w14:paraId="0FF0CDB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林地</w:t>
            </w:r>
          </w:p>
        </w:tc>
      </w:tr>
      <w:tr w14:paraId="57F13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786A43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248</w:t>
            </w:r>
          </w:p>
        </w:tc>
        <w:tc>
          <w:tcPr>
            <w:tcW w:w="874" w:type="dxa"/>
            <w:vMerge w:val="continue"/>
            <w:tcBorders>
              <w:tl2br w:val="nil"/>
              <w:tr2bl w:val="nil"/>
            </w:tcBorders>
            <w:shd w:val="clear" w:color="auto" w:fill="auto"/>
            <w:vAlign w:val="center"/>
          </w:tcPr>
          <w:p w14:paraId="47CDC979">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7B2A7D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博爱泗沟生态竹林</w:t>
            </w:r>
          </w:p>
        </w:tc>
        <w:tc>
          <w:tcPr>
            <w:tcW w:w="1265" w:type="dxa"/>
            <w:tcBorders>
              <w:tl2br w:val="nil"/>
              <w:tr2bl w:val="nil"/>
            </w:tcBorders>
            <w:shd w:val="clear" w:color="auto" w:fill="auto"/>
            <w:vAlign w:val="center"/>
          </w:tcPr>
          <w:p w14:paraId="4834D64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生物景观</w:t>
            </w:r>
          </w:p>
        </w:tc>
        <w:tc>
          <w:tcPr>
            <w:tcW w:w="1241" w:type="dxa"/>
            <w:tcBorders>
              <w:tl2br w:val="nil"/>
              <w:tr2bl w:val="nil"/>
            </w:tcBorders>
            <w:shd w:val="clear" w:color="auto" w:fill="auto"/>
            <w:vAlign w:val="center"/>
          </w:tcPr>
          <w:p w14:paraId="4E7149E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植被景观</w:t>
            </w:r>
          </w:p>
        </w:tc>
        <w:tc>
          <w:tcPr>
            <w:tcW w:w="1614" w:type="dxa"/>
            <w:tcBorders>
              <w:tl2br w:val="nil"/>
              <w:tr2bl w:val="nil"/>
            </w:tcBorders>
            <w:shd w:val="clear" w:color="auto" w:fill="auto"/>
            <w:vAlign w:val="center"/>
          </w:tcPr>
          <w:p w14:paraId="519FDDD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林地</w:t>
            </w:r>
          </w:p>
        </w:tc>
      </w:tr>
      <w:tr w14:paraId="50AB7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8CB852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249</w:t>
            </w:r>
          </w:p>
        </w:tc>
        <w:tc>
          <w:tcPr>
            <w:tcW w:w="874" w:type="dxa"/>
            <w:vMerge w:val="continue"/>
            <w:tcBorders>
              <w:tl2br w:val="nil"/>
              <w:tr2bl w:val="nil"/>
            </w:tcBorders>
            <w:shd w:val="clear" w:color="auto" w:fill="auto"/>
            <w:vAlign w:val="center"/>
          </w:tcPr>
          <w:p w14:paraId="2A364A2D">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F3D777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博爱焦作西站</w:t>
            </w:r>
          </w:p>
        </w:tc>
        <w:tc>
          <w:tcPr>
            <w:tcW w:w="1265" w:type="dxa"/>
            <w:tcBorders>
              <w:tl2br w:val="nil"/>
              <w:tr2bl w:val="nil"/>
            </w:tcBorders>
            <w:shd w:val="clear" w:color="auto" w:fill="auto"/>
            <w:vAlign w:val="center"/>
          </w:tcPr>
          <w:p w14:paraId="5CF1249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7D415B0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38A545F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交通运输场站</w:t>
            </w:r>
          </w:p>
        </w:tc>
      </w:tr>
      <w:tr w14:paraId="652E5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727ACF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250</w:t>
            </w:r>
          </w:p>
        </w:tc>
        <w:tc>
          <w:tcPr>
            <w:tcW w:w="874" w:type="dxa"/>
            <w:vMerge w:val="continue"/>
            <w:tcBorders>
              <w:tl2br w:val="nil"/>
              <w:tr2bl w:val="nil"/>
            </w:tcBorders>
            <w:shd w:val="clear" w:color="auto" w:fill="auto"/>
            <w:vAlign w:val="center"/>
          </w:tcPr>
          <w:p w14:paraId="0FB3B3C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0FD25B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博爱小车牛肉</w:t>
            </w:r>
          </w:p>
        </w:tc>
        <w:tc>
          <w:tcPr>
            <w:tcW w:w="1265" w:type="dxa"/>
            <w:tcBorders>
              <w:tl2br w:val="nil"/>
              <w:tr2bl w:val="nil"/>
            </w:tcBorders>
            <w:shd w:val="clear" w:color="auto" w:fill="auto"/>
            <w:vAlign w:val="center"/>
          </w:tcPr>
          <w:p w14:paraId="2A045C3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4AE837B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特色饮食</w:t>
            </w:r>
          </w:p>
        </w:tc>
        <w:tc>
          <w:tcPr>
            <w:tcW w:w="1614" w:type="dxa"/>
            <w:tcBorders>
              <w:tl2br w:val="nil"/>
              <w:tr2bl w:val="nil"/>
            </w:tcBorders>
            <w:shd w:val="clear" w:color="auto" w:fill="auto"/>
            <w:vAlign w:val="center"/>
          </w:tcPr>
          <w:p w14:paraId="797E8D7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特色美食</w:t>
            </w:r>
          </w:p>
        </w:tc>
      </w:tr>
      <w:tr w14:paraId="40F09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E881B8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251</w:t>
            </w:r>
          </w:p>
        </w:tc>
        <w:tc>
          <w:tcPr>
            <w:tcW w:w="874" w:type="dxa"/>
            <w:vMerge w:val="continue"/>
            <w:tcBorders>
              <w:tl2br w:val="nil"/>
              <w:tr2bl w:val="nil"/>
            </w:tcBorders>
            <w:shd w:val="clear" w:color="auto" w:fill="auto"/>
            <w:vAlign w:val="center"/>
          </w:tcPr>
          <w:p w14:paraId="1158A44B">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31B472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博爱月山寺入云牌坊</w:t>
            </w:r>
          </w:p>
        </w:tc>
        <w:tc>
          <w:tcPr>
            <w:tcW w:w="1265" w:type="dxa"/>
            <w:tcBorders>
              <w:tl2br w:val="nil"/>
              <w:tr2bl w:val="nil"/>
            </w:tcBorders>
            <w:shd w:val="clear" w:color="auto" w:fill="auto"/>
            <w:vAlign w:val="center"/>
          </w:tcPr>
          <w:p w14:paraId="0F31E33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4EEC5F5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景观与小品建筑</w:t>
            </w:r>
          </w:p>
        </w:tc>
        <w:tc>
          <w:tcPr>
            <w:tcW w:w="1614" w:type="dxa"/>
            <w:tcBorders>
              <w:tl2br w:val="nil"/>
              <w:tr2bl w:val="nil"/>
            </w:tcBorders>
            <w:shd w:val="clear" w:color="auto" w:fill="auto"/>
            <w:vAlign w:val="center"/>
          </w:tcPr>
          <w:p w14:paraId="11500BF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牌坊牌楼、影壁</w:t>
            </w:r>
          </w:p>
        </w:tc>
      </w:tr>
      <w:tr w14:paraId="51C25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271A01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252</w:t>
            </w:r>
          </w:p>
        </w:tc>
        <w:tc>
          <w:tcPr>
            <w:tcW w:w="874" w:type="dxa"/>
            <w:vMerge w:val="continue"/>
            <w:tcBorders>
              <w:tl2br w:val="nil"/>
              <w:tr2bl w:val="nil"/>
            </w:tcBorders>
            <w:shd w:val="clear" w:color="auto" w:fill="auto"/>
            <w:vAlign w:val="center"/>
          </w:tcPr>
          <w:p w14:paraId="48F8FA22">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5DCAF1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博爱月山寺七星塔林</w:t>
            </w:r>
          </w:p>
        </w:tc>
        <w:tc>
          <w:tcPr>
            <w:tcW w:w="1265" w:type="dxa"/>
            <w:tcBorders>
              <w:tl2br w:val="nil"/>
              <w:tr2bl w:val="nil"/>
            </w:tcBorders>
            <w:shd w:val="clear" w:color="auto" w:fill="auto"/>
            <w:vAlign w:val="center"/>
          </w:tcPr>
          <w:p w14:paraId="2F7CCB4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1CB2E75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景观与小品建筑</w:t>
            </w:r>
          </w:p>
        </w:tc>
        <w:tc>
          <w:tcPr>
            <w:tcW w:w="1614" w:type="dxa"/>
            <w:tcBorders>
              <w:tl2br w:val="nil"/>
              <w:tr2bl w:val="nil"/>
            </w:tcBorders>
            <w:shd w:val="clear" w:color="auto" w:fill="auto"/>
            <w:vAlign w:val="center"/>
          </w:tcPr>
          <w:p w14:paraId="1DF9238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塔形建筑</w:t>
            </w:r>
          </w:p>
        </w:tc>
      </w:tr>
      <w:tr w14:paraId="278F1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563B89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253</w:t>
            </w:r>
          </w:p>
        </w:tc>
        <w:tc>
          <w:tcPr>
            <w:tcW w:w="874" w:type="dxa"/>
            <w:vMerge w:val="continue"/>
            <w:tcBorders>
              <w:tl2br w:val="nil"/>
              <w:tr2bl w:val="nil"/>
            </w:tcBorders>
            <w:shd w:val="clear" w:color="auto" w:fill="auto"/>
            <w:vAlign w:val="center"/>
          </w:tcPr>
          <w:p w14:paraId="38A8933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F46FF3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博爱江岭村太行第一槐</w:t>
            </w:r>
          </w:p>
        </w:tc>
        <w:tc>
          <w:tcPr>
            <w:tcW w:w="1265" w:type="dxa"/>
            <w:tcBorders>
              <w:tl2br w:val="nil"/>
              <w:tr2bl w:val="nil"/>
            </w:tcBorders>
            <w:shd w:val="clear" w:color="auto" w:fill="auto"/>
            <w:vAlign w:val="center"/>
          </w:tcPr>
          <w:p w14:paraId="3F82323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生物景观</w:t>
            </w:r>
          </w:p>
        </w:tc>
        <w:tc>
          <w:tcPr>
            <w:tcW w:w="1241" w:type="dxa"/>
            <w:tcBorders>
              <w:tl2br w:val="nil"/>
              <w:tr2bl w:val="nil"/>
            </w:tcBorders>
            <w:shd w:val="clear" w:color="auto" w:fill="auto"/>
            <w:vAlign w:val="center"/>
          </w:tcPr>
          <w:p w14:paraId="6F4E774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植被景观</w:t>
            </w:r>
          </w:p>
        </w:tc>
        <w:tc>
          <w:tcPr>
            <w:tcW w:w="1614" w:type="dxa"/>
            <w:tcBorders>
              <w:tl2br w:val="nil"/>
              <w:tr2bl w:val="nil"/>
            </w:tcBorders>
            <w:shd w:val="clear" w:color="auto" w:fill="auto"/>
            <w:vAlign w:val="center"/>
          </w:tcPr>
          <w:p w14:paraId="0C30D9A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独树与丛树</w:t>
            </w:r>
          </w:p>
        </w:tc>
      </w:tr>
      <w:tr w14:paraId="17373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D8E63B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254</w:t>
            </w:r>
          </w:p>
        </w:tc>
        <w:tc>
          <w:tcPr>
            <w:tcW w:w="874" w:type="dxa"/>
            <w:vMerge w:val="continue"/>
            <w:tcBorders>
              <w:tl2br w:val="nil"/>
              <w:tr2bl w:val="nil"/>
            </w:tcBorders>
            <w:shd w:val="clear" w:color="auto" w:fill="auto"/>
            <w:vAlign w:val="center"/>
          </w:tcPr>
          <w:p w14:paraId="3AD38C8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49A375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博爱靳家岭太行猕猴自然保护区</w:t>
            </w:r>
          </w:p>
        </w:tc>
        <w:tc>
          <w:tcPr>
            <w:tcW w:w="1265" w:type="dxa"/>
            <w:tcBorders>
              <w:tl2br w:val="nil"/>
              <w:tr2bl w:val="nil"/>
            </w:tcBorders>
            <w:shd w:val="clear" w:color="auto" w:fill="auto"/>
            <w:vAlign w:val="center"/>
          </w:tcPr>
          <w:p w14:paraId="5E3A7C8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生物景观</w:t>
            </w:r>
          </w:p>
        </w:tc>
        <w:tc>
          <w:tcPr>
            <w:tcW w:w="1241" w:type="dxa"/>
            <w:tcBorders>
              <w:tl2br w:val="nil"/>
              <w:tr2bl w:val="nil"/>
            </w:tcBorders>
            <w:shd w:val="clear" w:color="auto" w:fill="auto"/>
            <w:vAlign w:val="center"/>
          </w:tcPr>
          <w:p w14:paraId="2F24C6C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野生动物栖息地</w:t>
            </w:r>
          </w:p>
        </w:tc>
        <w:tc>
          <w:tcPr>
            <w:tcW w:w="1614" w:type="dxa"/>
            <w:tcBorders>
              <w:tl2br w:val="nil"/>
              <w:tr2bl w:val="nil"/>
            </w:tcBorders>
            <w:shd w:val="clear" w:color="auto" w:fill="auto"/>
            <w:vAlign w:val="center"/>
          </w:tcPr>
          <w:p w14:paraId="001EC27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陆地动物栖息地</w:t>
            </w:r>
          </w:p>
        </w:tc>
      </w:tr>
      <w:tr w14:paraId="51153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51BA5D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255</w:t>
            </w:r>
          </w:p>
        </w:tc>
        <w:tc>
          <w:tcPr>
            <w:tcW w:w="874" w:type="dxa"/>
            <w:vMerge w:val="continue"/>
            <w:tcBorders>
              <w:tl2br w:val="nil"/>
              <w:tr2bl w:val="nil"/>
            </w:tcBorders>
            <w:shd w:val="clear" w:color="auto" w:fill="auto"/>
            <w:vAlign w:val="center"/>
          </w:tcPr>
          <w:p w14:paraId="02E7549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44D57C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博爱西金城遗址</w:t>
            </w:r>
          </w:p>
        </w:tc>
        <w:tc>
          <w:tcPr>
            <w:tcW w:w="1265" w:type="dxa"/>
            <w:tcBorders>
              <w:tl2br w:val="nil"/>
              <w:tr2bl w:val="nil"/>
            </w:tcBorders>
            <w:shd w:val="clear" w:color="auto" w:fill="auto"/>
            <w:vAlign w:val="center"/>
          </w:tcPr>
          <w:p w14:paraId="1BDEA39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17D1695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34EF92D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早期文明遗存</w:t>
            </w:r>
          </w:p>
        </w:tc>
      </w:tr>
      <w:tr w14:paraId="6EA36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DBDACB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256</w:t>
            </w:r>
          </w:p>
        </w:tc>
        <w:tc>
          <w:tcPr>
            <w:tcW w:w="874" w:type="dxa"/>
            <w:vMerge w:val="continue"/>
            <w:tcBorders>
              <w:tl2br w:val="nil"/>
              <w:tr2bl w:val="nil"/>
            </w:tcBorders>
            <w:shd w:val="clear" w:color="auto" w:fill="auto"/>
            <w:vAlign w:val="center"/>
          </w:tcPr>
          <w:p w14:paraId="75CDF12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3BFE72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博爱靳家岭环翠峪</w:t>
            </w:r>
          </w:p>
        </w:tc>
        <w:tc>
          <w:tcPr>
            <w:tcW w:w="1265" w:type="dxa"/>
            <w:tcBorders>
              <w:tl2br w:val="nil"/>
              <w:tr2bl w:val="nil"/>
            </w:tcBorders>
            <w:shd w:val="clear" w:color="auto" w:fill="auto"/>
            <w:vAlign w:val="center"/>
          </w:tcPr>
          <w:p w14:paraId="1B90573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368A6B0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自然景观综合体</w:t>
            </w:r>
          </w:p>
        </w:tc>
        <w:tc>
          <w:tcPr>
            <w:tcW w:w="1614" w:type="dxa"/>
            <w:tcBorders>
              <w:tl2br w:val="nil"/>
              <w:tr2bl w:val="nil"/>
            </w:tcBorders>
            <w:shd w:val="clear" w:color="auto" w:fill="auto"/>
            <w:vAlign w:val="center"/>
          </w:tcPr>
          <w:p w14:paraId="22EC7EE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沟谷型景观</w:t>
            </w:r>
          </w:p>
        </w:tc>
      </w:tr>
      <w:tr w14:paraId="3595D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2B62B4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257</w:t>
            </w:r>
          </w:p>
        </w:tc>
        <w:tc>
          <w:tcPr>
            <w:tcW w:w="874" w:type="dxa"/>
            <w:vMerge w:val="continue"/>
            <w:tcBorders>
              <w:tl2br w:val="nil"/>
              <w:tr2bl w:val="nil"/>
            </w:tcBorders>
            <w:shd w:val="clear" w:color="auto" w:fill="auto"/>
            <w:vAlign w:val="center"/>
          </w:tcPr>
          <w:p w14:paraId="5763E3C8">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4B35F6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博爱青天河佛耳峡</w:t>
            </w:r>
          </w:p>
        </w:tc>
        <w:tc>
          <w:tcPr>
            <w:tcW w:w="1265" w:type="dxa"/>
            <w:tcBorders>
              <w:tl2br w:val="nil"/>
              <w:tr2bl w:val="nil"/>
            </w:tcBorders>
            <w:shd w:val="clear" w:color="auto" w:fill="auto"/>
            <w:vAlign w:val="center"/>
          </w:tcPr>
          <w:p w14:paraId="02F6009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1C97695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自然景观综合体</w:t>
            </w:r>
          </w:p>
        </w:tc>
        <w:tc>
          <w:tcPr>
            <w:tcW w:w="1614" w:type="dxa"/>
            <w:tcBorders>
              <w:tl2br w:val="nil"/>
              <w:tr2bl w:val="nil"/>
            </w:tcBorders>
            <w:shd w:val="clear" w:color="auto" w:fill="auto"/>
            <w:vAlign w:val="center"/>
          </w:tcPr>
          <w:p w14:paraId="3422273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沟谷型景观</w:t>
            </w:r>
          </w:p>
        </w:tc>
      </w:tr>
      <w:tr w14:paraId="7100F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9DAF9A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258</w:t>
            </w:r>
          </w:p>
        </w:tc>
        <w:tc>
          <w:tcPr>
            <w:tcW w:w="874" w:type="dxa"/>
            <w:vMerge w:val="continue"/>
            <w:tcBorders>
              <w:tl2br w:val="nil"/>
              <w:tr2bl w:val="nil"/>
            </w:tcBorders>
            <w:shd w:val="clear" w:color="auto" w:fill="auto"/>
            <w:vAlign w:val="center"/>
          </w:tcPr>
          <w:p w14:paraId="004CE5F0">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891C66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博爱青天河景区天然长城</w:t>
            </w:r>
          </w:p>
        </w:tc>
        <w:tc>
          <w:tcPr>
            <w:tcW w:w="1265" w:type="dxa"/>
            <w:tcBorders>
              <w:tl2br w:val="nil"/>
              <w:tr2bl w:val="nil"/>
            </w:tcBorders>
            <w:shd w:val="clear" w:color="auto" w:fill="auto"/>
            <w:vAlign w:val="center"/>
          </w:tcPr>
          <w:p w14:paraId="495B8B9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0A971AD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5B379CC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奇特与象形山石</w:t>
            </w:r>
          </w:p>
        </w:tc>
      </w:tr>
      <w:tr w14:paraId="2BA27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0E5236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259</w:t>
            </w:r>
          </w:p>
        </w:tc>
        <w:tc>
          <w:tcPr>
            <w:tcW w:w="874" w:type="dxa"/>
            <w:vMerge w:val="continue"/>
            <w:tcBorders>
              <w:tl2br w:val="nil"/>
              <w:tr2bl w:val="nil"/>
            </w:tcBorders>
            <w:shd w:val="clear" w:color="auto" w:fill="auto"/>
            <w:vAlign w:val="center"/>
          </w:tcPr>
          <w:p w14:paraId="172C7C7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486204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博爱月山寺大士阁</w:t>
            </w:r>
          </w:p>
        </w:tc>
        <w:tc>
          <w:tcPr>
            <w:tcW w:w="1265" w:type="dxa"/>
            <w:tcBorders>
              <w:tl2br w:val="nil"/>
              <w:tr2bl w:val="nil"/>
            </w:tcBorders>
            <w:shd w:val="clear" w:color="auto" w:fill="auto"/>
            <w:vAlign w:val="center"/>
          </w:tcPr>
          <w:p w14:paraId="5B0495B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0D52460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7B94C00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宗教与祭祀活动场所</w:t>
            </w:r>
          </w:p>
        </w:tc>
      </w:tr>
      <w:tr w14:paraId="1FAEA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AB4BC8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260</w:t>
            </w:r>
          </w:p>
        </w:tc>
        <w:tc>
          <w:tcPr>
            <w:tcW w:w="874" w:type="dxa"/>
            <w:vMerge w:val="continue"/>
            <w:tcBorders>
              <w:tl2br w:val="nil"/>
              <w:tr2bl w:val="nil"/>
            </w:tcBorders>
            <w:shd w:val="clear" w:color="auto" w:fill="auto"/>
            <w:vAlign w:val="center"/>
          </w:tcPr>
          <w:p w14:paraId="0C3F8C29">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FF84AC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博爱青天河东汉古槐</w:t>
            </w:r>
          </w:p>
        </w:tc>
        <w:tc>
          <w:tcPr>
            <w:tcW w:w="1265" w:type="dxa"/>
            <w:tcBorders>
              <w:tl2br w:val="nil"/>
              <w:tr2bl w:val="nil"/>
            </w:tcBorders>
            <w:shd w:val="clear" w:color="auto" w:fill="auto"/>
            <w:vAlign w:val="center"/>
          </w:tcPr>
          <w:p w14:paraId="3722BCC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生物景观</w:t>
            </w:r>
          </w:p>
        </w:tc>
        <w:tc>
          <w:tcPr>
            <w:tcW w:w="1241" w:type="dxa"/>
            <w:tcBorders>
              <w:tl2br w:val="nil"/>
              <w:tr2bl w:val="nil"/>
            </w:tcBorders>
            <w:shd w:val="clear" w:color="auto" w:fill="auto"/>
            <w:vAlign w:val="center"/>
          </w:tcPr>
          <w:p w14:paraId="5A3B460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植被景观</w:t>
            </w:r>
          </w:p>
        </w:tc>
        <w:tc>
          <w:tcPr>
            <w:tcW w:w="1614" w:type="dxa"/>
            <w:tcBorders>
              <w:tl2br w:val="nil"/>
              <w:tr2bl w:val="nil"/>
            </w:tcBorders>
            <w:shd w:val="clear" w:color="auto" w:fill="auto"/>
            <w:vAlign w:val="center"/>
          </w:tcPr>
          <w:p w14:paraId="28D7469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独树与丛树</w:t>
            </w:r>
          </w:p>
        </w:tc>
      </w:tr>
      <w:tr w14:paraId="79722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919062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261</w:t>
            </w:r>
          </w:p>
        </w:tc>
        <w:tc>
          <w:tcPr>
            <w:tcW w:w="874" w:type="dxa"/>
            <w:vMerge w:val="continue"/>
            <w:tcBorders>
              <w:tl2br w:val="nil"/>
              <w:tr2bl w:val="nil"/>
            </w:tcBorders>
            <w:shd w:val="clear" w:color="auto" w:fill="auto"/>
            <w:vAlign w:val="center"/>
          </w:tcPr>
          <w:p w14:paraId="64B21F9B">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094086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博爱月寨旅游路</w:t>
            </w:r>
          </w:p>
        </w:tc>
        <w:tc>
          <w:tcPr>
            <w:tcW w:w="1265" w:type="dxa"/>
            <w:tcBorders>
              <w:tl2br w:val="nil"/>
              <w:tr2bl w:val="nil"/>
            </w:tcBorders>
            <w:shd w:val="clear" w:color="auto" w:fill="auto"/>
            <w:vAlign w:val="center"/>
          </w:tcPr>
          <w:p w14:paraId="16FBA2D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059A173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76C1A58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交通运输场站</w:t>
            </w:r>
          </w:p>
        </w:tc>
      </w:tr>
      <w:tr w14:paraId="11F16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9E89E4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262</w:t>
            </w:r>
          </w:p>
        </w:tc>
        <w:tc>
          <w:tcPr>
            <w:tcW w:w="874" w:type="dxa"/>
            <w:vMerge w:val="continue"/>
            <w:tcBorders>
              <w:tl2br w:val="nil"/>
              <w:tr2bl w:val="nil"/>
            </w:tcBorders>
            <w:shd w:val="clear" w:color="auto" w:fill="auto"/>
            <w:vAlign w:val="center"/>
          </w:tcPr>
          <w:p w14:paraId="6B854F6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360387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博爱豫竹方便面</w:t>
            </w:r>
          </w:p>
        </w:tc>
        <w:tc>
          <w:tcPr>
            <w:tcW w:w="1265" w:type="dxa"/>
            <w:tcBorders>
              <w:tl2br w:val="nil"/>
              <w:tr2bl w:val="nil"/>
            </w:tcBorders>
            <w:shd w:val="clear" w:color="auto" w:fill="auto"/>
            <w:vAlign w:val="center"/>
          </w:tcPr>
          <w:p w14:paraId="41C4498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41CAE08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特色饮食</w:t>
            </w:r>
          </w:p>
        </w:tc>
        <w:tc>
          <w:tcPr>
            <w:tcW w:w="1614" w:type="dxa"/>
            <w:tcBorders>
              <w:tl2br w:val="nil"/>
              <w:tr2bl w:val="nil"/>
            </w:tcBorders>
            <w:shd w:val="clear" w:color="auto" w:fill="auto"/>
            <w:vAlign w:val="center"/>
          </w:tcPr>
          <w:p w14:paraId="35E5414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特色美食</w:t>
            </w:r>
          </w:p>
        </w:tc>
      </w:tr>
      <w:tr w14:paraId="51F11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6B0A1B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263</w:t>
            </w:r>
          </w:p>
        </w:tc>
        <w:tc>
          <w:tcPr>
            <w:tcW w:w="874" w:type="dxa"/>
            <w:vMerge w:val="continue"/>
            <w:tcBorders>
              <w:tl2br w:val="nil"/>
              <w:tr2bl w:val="nil"/>
            </w:tcBorders>
            <w:shd w:val="clear" w:color="auto" w:fill="auto"/>
            <w:vAlign w:val="center"/>
          </w:tcPr>
          <w:p w14:paraId="2CCF12EC">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96ECA4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博爱西关清真寺</w:t>
            </w:r>
          </w:p>
        </w:tc>
        <w:tc>
          <w:tcPr>
            <w:tcW w:w="1265" w:type="dxa"/>
            <w:tcBorders>
              <w:tl2br w:val="nil"/>
              <w:tr2bl w:val="nil"/>
            </w:tcBorders>
            <w:shd w:val="clear" w:color="auto" w:fill="auto"/>
            <w:vAlign w:val="center"/>
          </w:tcPr>
          <w:p w14:paraId="4D3FB32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7E557AA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6E03613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宗教与祭祀活动场所</w:t>
            </w:r>
          </w:p>
        </w:tc>
      </w:tr>
      <w:tr w14:paraId="4E2AF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841748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264</w:t>
            </w:r>
          </w:p>
        </w:tc>
        <w:tc>
          <w:tcPr>
            <w:tcW w:w="874" w:type="dxa"/>
            <w:vMerge w:val="continue"/>
            <w:tcBorders>
              <w:tl2br w:val="nil"/>
              <w:tr2bl w:val="nil"/>
            </w:tcBorders>
            <w:shd w:val="clear" w:color="auto" w:fill="auto"/>
            <w:vAlign w:val="center"/>
          </w:tcPr>
          <w:p w14:paraId="3B0688B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3D3C89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博爱清化二夹弦戏</w:t>
            </w:r>
          </w:p>
        </w:tc>
        <w:tc>
          <w:tcPr>
            <w:tcW w:w="1265" w:type="dxa"/>
            <w:tcBorders>
              <w:tl2br w:val="nil"/>
              <w:tr2bl w:val="nil"/>
            </w:tcBorders>
            <w:shd w:val="clear" w:color="auto" w:fill="auto"/>
            <w:vAlign w:val="center"/>
          </w:tcPr>
          <w:p w14:paraId="62A9610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4EF11B3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非物质类文化遗存</w:t>
            </w:r>
          </w:p>
        </w:tc>
        <w:tc>
          <w:tcPr>
            <w:tcW w:w="1614" w:type="dxa"/>
            <w:tcBorders>
              <w:tl2br w:val="nil"/>
              <w:tr2bl w:val="nil"/>
            </w:tcBorders>
            <w:shd w:val="clear" w:color="auto" w:fill="auto"/>
            <w:vAlign w:val="center"/>
          </w:tcPr>
          <w:p w14:paraId="5CD6BA7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传统演艺</w:t>
            </w:r>
          </w:p>
        </w:tc>
      </w:tr>
      <w:tr w14:paraId="5B6A7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5F2846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265</w:t>
            </w:r>
          </w:p>
        </w:tc>
        <w:tc>
          <w:tcPr>
            <w:tcW w:w="874" w:type="dxa"/>
            <w:vMerge w:val="continue"/>
            <w:tcBorders>
              <w:tl2br w:val="nil"/>
              <w:tr2bl w:val="nil"/>
            </w:tcBorders>
            <w:shd w:val="clear" w:color="auto" w:fill="auto"/>
            <w:vAlign w:val="center"/>
          </w:tcPr>
          <w:p w14:paraId="4049C007">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06D953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博爱上屯村成汤庙</w:t>
            </w:r>
          </w:p>
        </w:tc>
        <w:tc>
          <w:tcPr>
            <w:tcW w:w="1265" w:type="dxa"/>
            <w:tcBorders>
              <w:tl2br w:val="nil"/>
              <w:tr2bl w:val="nil"/>
            </w:tcBorders>
            <w:shd w:val="clear" w:color="auto" w:fill="auto"/>
            <w:vAlign w:val="center"/>
          </w:tcPr>
          <w:p w14:paraId="787C18A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6951948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0F01C53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宗教与祭祀活动场所</w:t>
            </w:r>
          </w:p>
        </w:tc>
      </w:tr>
      <w:tr w14:paraId="2703A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585108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266</w:t>
            </w:r>
          </w:p>
        </w:tc>
        <w:tc>
          <w:tcPr>
            <w:tcW w:w="874" w:type="dxa"/>
            <w:vMerge w:val="continue"/>
            <w:tcBorders>
              <w:tl2br w:val="nil"/>
              <w:tr2bl w:val="nil"/>
            </w:tcBorders>
            <w:shd w:val="clear" w:color="auto" w:fill="auto"/>
            <w:vAlign w:val="center"/>
          </w:tcPr>
          <w:p w14:paraId="45AF175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25106B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博爱许湾村</w:t>
            </w:r>
          </w:p>
        </w:tc>
        <w:tc>
          <w:tcPr>
            <w:tcW w:w="1265" w:type="dxa"/>
            <w:tcBorders>
              <w:tl2br w:val="nil"/>
              <w:tr2bl w:val="nil"/>
            </w:tcBorders>
            <w:shd w:val="clear" w:color="auto" w:fill="auto"/>
            <w:vAlign w:val="center"/>
          </w:tcPr>
          <w:p w14:paraId="489EC76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3A5C891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52510B8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3F74B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E43D6C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267</w:t>
            </w:r>
          </w:p>
        </w:tc>
        <w:tc>
          <w:tcPr>
            <w:tcW w:w="874" w:type="dxa"/>
            <w:vMerge w:val="continue"/>
            <w:tcBorders>
              <w:tl2br w:val="nil"/>
              <w:tr2bl w:val="nil"/>
            </w:tcBorders>
            <w:shd w:val="clear" w:color="auto" w:fill="auto"/>
            <w:vAlign w:val="center"/>
          </w:tcPr>
          <w:p w14:paraId="23465B67">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CFC2BF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博爱青天河村</w:t>
            </w:r>
          </w:p>
        </w:tc>
        <w:tc>
          <w:tcPr>
            <w:tcW w:w="1265" w:type="dxa"/>
            <w:tcBorders>
              <w:tl2br w:val="nil"/>
              <w:tr2bl w:val="nil"/>
            </w:tcBorders>
            <w:shd w:val="clear" w:color="auto" w:fill="auto"/>
            <w:vAlign w:val="center"/>
          </w:tcPr>
          <w:p w14:paraId="0DBF200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4BCF18A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58A3941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66522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A0659C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268</w:t>
            </w:r>
          </w:p>
        </w:tc>
        <w:tc>
          <w:tcPr>
            <w:tcW w:w="874" w:type="dxa"/>
            <w:vMerge w:val="continue"/>
            <w:tcBorders>
              <w:tl2br w:val="nil"/>
              <w:tr2bl w:val="nil"/>
            </w:tcBorders>
            <w:shd w:val="clear" w:color="auto" w:fill="auto"/>
            <w:vAlign w:val="center"/>
          </w:tcPr>
          <w:p w14:paraId="09D6AA4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C3D971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博爱探花庄村</w:t>
            </w:r>
          </w:p>
        </w:tc>
        <w:tc>
          <w:tcPr>
            <w:tcW w:w="1265" w:type="dxa"/>
            <w:tcBorders>
              <w:tl2br w:val="nil"/>
              <w:tr2bl w:val="nil"/>
            </w:tcBorders>
            <w:shd w:val="clear" w:color="auto" w:fill="auto"/>
            <w:vAlign w:val="center"/>
          </w:tcPr>
          <w:p w14:paraId="3C621ED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60BB486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1F44B74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6F300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157BE3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269</w:t>
            </w:r>
          </w:p>
        </w:tc>
        <w:tc>
          <w:tcPr>
            <w:tcW w:w="874" w:type="dxa"/>
            <w:vMerge w:val="continue"/>
            <w:tcBorders>
              <w:tl2br w:val="nil"/>
              <w:tr2bl w:val="nil"/>
            </w:tcBorders>
            <w:shd w:val="clear" w:color="auto" w:fill="auto"/>
            <w:vAlign w:val="center"/>
          </w:tcPr>
          <w:p w14:paraId="2281274D">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6669FE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博农乳业有限责任公司</w:t>
            </w:r>
          </w:p>
        </w:tc>
        <w:tc>
          <w:tcPr>
            <w:tcW w:w="1265" w:type="dxa"/>
            <w:tcBorders>
              <w:tl2br w:val="nil"/>
              <w:tr2bl w:val="nil"/>
            </w:tcBorders>
            <w:shd w:val="clear" w:color="auto" w:fill="auto"/>
            <w:vAlign w:val="center"/>
          </w:tcPr>
          <w:p w14:paraId="22E83A7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6458194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7DCA2C6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建设工程与生产地</w:t>
            </w:r>
          </w:p>
        </w:tc>
      </w:tr>
      <w:tr w14:paraId="7BB98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40010E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270</w:t>
            </w:r>
          </w:p>
        </w:tc>
        <w:tc>
          <w:tcPr>
            <w:tcW w:w="874" w:type="dxa"/>
            <w:vMerge w:val="continue"/>
            <w:tcBorders>
              <w:tl2br w:val="nil"/>
              <w:tr2bl w:val="nil"/>
            </w:tcBorders>
            <w:shd w:val="clear" w:color="auto" w:fill="auto"/>
            <w:vAlign w:val="center"/>
          </w:tcPr>
          <w:p w14:paraId="40C7C473">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FBCC5E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博爱李商隐文化园</w:t>
            </w:r>
          </w:p>
        </w:tc>
        <w:tc>
          <w:tcPr>
            <w:tcW w:w="1265" w:type="dxa"/>
            <w:tcBorders>
              <w:tl2br w:val="nil"/>
              <w:tr2bl w:val="nil"/>
            </w:tcBorders>
            <w:shd w:val="clear" w:color="auto" w:fill="auto"/>
            <w:vAlign w:val="center"/>
          </w:tcPr>
          <w:p w14:paraId="2875967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58CDE33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0FA8118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2093E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1923B0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271</w:t>
            </w:r>
          </w:p>
        </w:tc>
        <w:tc>
          <w:tcPr>
            <w:tcW w:w="874" w:type="dxa"/>
            <w:vMerge w:val="continue"/>
            <w:tcBorders>
              <w:tl2br w:val="nil"/>
              <w:tr2bl w:val="nil"/>
            </w:tcBorders>
            <w:shd w:val="clear" w:color="auto" w:fill="auto"/>
            <w:vAlign w:val="center"/>
          </w:tcPr>
          <w:p w14:paraId="274A6AF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736598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博爱公园</w:t>
            </w:r>
          </w:p>
        </w:tc>
        <w:tc>
          <w:tcPr>
            <w:tcW w:w="1265" w:type="dxa"/>
            <w:tcBorders>
              <w:tl2br w:val="nil"/>
              <w:tr2bl w:val="nil"/>
            </w:tcBorders>
            <w:shd w:val="clear" w:color="auto" w:fill="auto"/>
            <w:vAlign w:val="center"/>
          </w:tcPr>
          <w:p w14:paraId="0E7506C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551A9A5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4368439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3A852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C4AA71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272</w:t>
            </w:r>
          </w:p>
        </w:tc>
        <w:tc>
          <w:tcPr>
            <w:tcW w:w="874" w:type="dxa"/>
            <w:vMerge w:val="continue"/>
            <w:tcBorders>
              <w:tl2br w:val="nil"/>
              <w:tr2bl w:val="nil"/>
            </w:tcBorders>
            <w:shd w:val="clear" w:color="auto" w:fill="auto"/>
            <w:vAlign w:val="center"/>
          </w:tcPr>
          <w:p w14:paraId="79391B0C">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93D7BE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博爱丹河峡谷</w:t>
            </w:r>
          </w:p>
        </w:tc>
        <w:tc>
          <w:tcPr>
            <w:tcW w:w="1265" w:type="dxa"/>
            <w:tcBorders>
              <w:tl2br w:val="nil"/>
              <w:tr2bl w:val="nil"/>
            </w:tcBorders>
            <w:shd w:val="clear" w:color="auto" w:fill="auto"/>
            <w:vAlign w:val="center"/>
          </w:tcPr>
          <w:p w14:paraId="3DBDB54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6191005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自然景观综合体</w:t>
            </w:r>
          </w:p>
        </w:tc>
        <w:tc>
          <w:tcPr>
            <w:tcW w:w="1614" w:type="dxa"/>
            <w:tcBorders>
              <w:tl2br w:val="nil"/>
              <w:tr2bl w:val="nil"/>
            </w:tcBorders>
            <w:shd w:val="clear" w:color="auto" w:fill="auto"/>
            <w:vAlign w:val="center"/>
          </w:tcPr>
          <w:p w14:paraId="78A41BA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沟谷型景观</w:t>
            </w:r>
          </w:p>
        </w:tc>
      </w:tr>
      <w:tr w14:paraId="59DB0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BCD76A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273</w:t>
            </w:r>
          </w:p>
        </w:tc>
        <w:tc>
          <w:tcPr>
            <w:tcW w:w="874" w:type="dxa"/>
            <w:vMerge w:val="restart"/>
            <w:tcBorders>
              <w:tl2br w:val="nil"/>
              <w:tr2bl w:val="nil"/>
            </w:tcBorders>
            <w:shd w:val="clear" w:color="auto" w:fill="auto"/>
            <w:vAlign w:val="center"/>
          </w:tcPr>
          <w:p w14:paraId="446ABD0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武陟县</w:t>
            </w:r>
          </w:p>
        </w:tc>
        <w:tc>
          <w:tcPr>
            <w:tcW w:w="3438" w:type="dxa"/>
            <w:tcBorders>
              <w:tl2br w:val="nil"/>
              <w:tr2bl w:val="nil"/>
            </w:tcBorders>
            <w:shd w:val="clear" w:color="auto" w:fill="auto"/>
            <w:vAlign w:val="center"/>
          </w:tcPr>
          <w:p w14:paraId="440A35B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武陟千佛阁</w:t>
            </w:r>
          </w:p>
        </w:tc>
        <w:tc>
          <w:tcPr>
            <w:tcW w:w="1265" w:type="dxa"/>
            <w:tcBorders>
              <w:tl2br w:val="nil"/>
              <w:tr2bl w:val="nil"/>
            </w:tcBorders>
            <w:shd w:val="clear" w:color="auto" w:fill="auto"/>
            <w:vAlign w:val="center"/>
          </w:tcPr>
          <w:p w14:paraId="74F6844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6F88816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29BA087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宗教与祭祀活动场所</w:t>
            </w:r>
          </w:p>
        </w:tc>
      </w:tr>
      <w:tr w14:paraId="29627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471026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274</w:t>
            </w:r>
          </w:p>
        </w:tc>
        <w:tc>
          <w:tcPr>
            <w:tcW w:w="874" w:type="dxa"/>
            <w:vMerge w:val="continue"/>
            <w:tcBorders>
              <w:tl2br w:val="nil"/>
              <w:tr2bl w:val="nil"/>
            </w:tcBorders>
            <w:shd w:val="clear" w:color="auto" w:fill="auto"/>
            <w:vAlign w:val="center"/>
          </w:tcPr>
          <w:p w14:paraId="5B3C4FD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4441BF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武陟人民胜利渠</w:t>
            </w:r>
          </w:p>
        </w:tc>
        <w:tc>
          <w:tcPr>
            <w:tcW w:w="1265" w:type="dxa"/>
            <w:tcBorders>
              <w:tl2br w:val="nil"/>
              <w:tr2bl w:val="nil"/>
            </w:tcBorders>
            <w:shd w:val="clear" w:color="auto" w:fill="auto"/>
            <w:vAlign w:val="center"/>
          </w:tcPr>
          <w:p w14:paraId="33CB173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5AF33C5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00AE76D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游憩河段</w:t>
            </w:r>
          </w:p>
        </w:tc>
      </w:tr>
      <w:tr w14:paraId="67F42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4ECAD5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275</w:t>
            </w:r>
          </w:p>
        </w:tc>
        <w:tc>
          <w:tcPr>
            <w:tcW w:w="874" w:type="dxa"/>
            <w:vMerge w:val="continue"/>
            <w:tcBorders>
              <w:tl2br w:val="nil"/>
              <w:tr2bl w:val="nil"/>
            </w:tcBorders>
            <w:shd w:val="clear" w:color="auto" w:fill="auto"/>
            <w:vAlign w:val="center"/>
          </w:tcPr>
          <w:p w14:paraId="3D2C5D65">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0F569B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武陟万花村</w:t>
            </w:r>
          </w:p>
        </w:tc>
        <w:tc>
          <w:tcPr>
            <w:tcW w:w="1265" w:type="dxa"/>
            <w:tcBorders>
              <w:tl2br w:val="nil"/>
              <w:tr2bl w:val="nil"/>
            </w:tcBorders>
            <w:shd w:val="clear" w:color="auto" w:fill="auto"/>
            <w:vAlign w:val="center"/>
          </w:tcPr>
          <w:p w14:paraId="7310F38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66944C7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2C4607B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2AA48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1DE725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276</w:t>
            </w:r>
          </w:p>
        </w:tc>
        <w:tc>
          <w:tcPr>
            <w:tcW w:w="874" w:type="dxa"/>
            <w:vMerge w:val="continue"/>
            <w:tcBorders>
              <w:tl2br w:val="nil"/>
              <w:tr2bl w:val="nil"/>
            </w:tcBorders>
            <w:shd w:val="clear" w:color="auto" w:fill="auto"/>
            <w:vAlign w:val="center"/>
          </w:tcPr>
          <w:p w14:paraId="3F33DF0D">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9E12E3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武陟人民胜利渠渠首灌区</w:t>
            </w:r>
          </w:p>
        </w:tc>
        <w:tc>
          <w:tcPr>
            <w:tcW w:w="1265" w:type="dxa"/>
            <w:tcBorders>
              <w:tl2br w:val="nil"/>
              <w:tr2bl w:val="nil"/>
            </w:tcBorders>
            <w:shd w:val="clear" w:color="auto" w:fill="auto"/>
            <w:vAlign w:val="center"/>
          </w:tcPr>
          <w:p w14:paraId="06B2789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552ADF1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4BDD510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渠道、运河段落</w:t>
            </w:r>
          </w:p>
        </w:tc>
      </w:tr>
      <w:tr w14:paraId="279FA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1FF5D7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277</w:t>
            </w:r>
          </w:p>
        </w:tc>
        <w:tc>
          <w:tcPr>
            <w:tcW w:w="874" w:type="dxa"/>
            <w:vMerge w:val="continue"/>
            <w:tcBorders>
              <w:tl2br w:val="nil"/>
              <w:tr2bl w:val="nil"/>
            </w:tcBorders>
            <w:shd w:val="clear" w:color="auto" w:fill="auto"/>
            <w:vAlign w:val="center"/>
          </w:tcPr>
          <w:p w14:paraId="45C45FA5">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5B3F2C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武陟斯美特思园方便食品</w:t>
            </w:r>
          </w:p>
        </w:tc>
        <w:tc>
          <w:tcPr>
            <w:tcW w:w="1265" w:type="dxa"/>
            <w:tcBorders>
              <w:tl2br w:val="nil"/>
              <w:tr2bl w:val="nil"/>
            </w:tcBorders>
            <w:shd w:val="clear" w:color="auto" w:fill="auto"/>
            <w:vAlign w:val="center"/>
          </w:tcPr>
          <w:p w14:paraId="482FE94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3099321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特色饮食</w:t>
            </w:r>
          </w:p>
        </w:tc>
        <w:tc>
          <w:tcPr>
            <w:tcW w:w="1614" w:type="dxa"/>
            <w:tcBorders>
              <w:tl2br w:val="nil"/>
              <w:tr2bl w:val="nil"/>
            </w:tcBorders>
            <w:shd w:val="clear" w:color="auto" w:fill="auto"/>
            <w:vAlign w:val="center"/>
          </w:tcPr>
          <w:p w14:paraId="72B64B4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特色美食</w:t>
            </w:r>
          </w:p>
        </w:tc>
      </w:tr>
      <w:tr w14:paraId="6BC26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EDD68E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278</w:t>
            </w:r>
          </w:p>
        </w:tc>
        <w:tc>
          <w:tcPr>
            <w:tcW w:w="874" w:type="dxa"/>
            <w:vMerge w:val="continue"/>
            <w:tcBorders>
              <w:tl2br w:val="nil"/>
              <w:tr2bl w:val="nil"/>
            </w:tcBorders>
            <w:shd w:val="clear" w:color="auto" w:fill="auto"/>
            <w:vAlign w:val="center"/>
          </w:tcPr>
          <w:p w14:paraId="6470B25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6E4615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杜诗</w:t>
            </w:r>
          </w:p>
        </w:tc>
        <w:tc>
          <w:tcPr>
            <w:tcW w:w="1265" w:type="dxa"/>
            <w:tcBorders>
              <w:tl2br w:val="nil"/>
              <w:tr2bl w:val="nil"/>
            </w:tcBorders>
            <w:shd w:val="clear" w:color="auto" w:fill="auto"/>
            <w:vAlign w:val="center"/>
          </w:tcPr>
          <w:p w14:paraId="5A5B25C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4BC3143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人事活动记录</w:t>
            </w:r>
          </w:p>
        </w:tc>
        <w:tc>
          <w:tcPr>
            <w:tcW w:w="1614" w:type="dxa"/>
            <w:tcBorders>
              <w:tl2br w:val="nil"/>
              <w:tr2bl w:val="nil"/>
            </w:tcBorders>
            <w:shd w:val="clear" w:color="auto" w:fill="auto"/>
            <w:vAlign w:val="center"/>
          </w:tcPr>
          <w:p w14:paraId="746D116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地方人物</w:t>
            </w:r>
          </w:p>
        </w:tc>
      </w:tr>
      <w:tr w14:paraId="5E7BB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362225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279</w:t>
            </w:r>
          </w:p>
        </w:tc>
        <w:tc>
          <w:tcPr>
            <w:tcW w:w="874" w:type="dxa"/>
            <w:vMerge w:val="continue"/>
            <w:tcBorders>
              <w:tl2br w:val="nil"/>
              <w:tr2bl w:val="nil"/>
            </w:tcBorders>
            <w:shd w:val="clear" w:color="auto" w:fill="auto"/>
            <w:vAlign w:val="center"/>
          </w:tcPr>
          <w:p w14:paraId="151A42C6">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39542F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武陟何瑭墓祠</w:t>
            </w:r>
          </w:p>
        </w:tc>
        <w:tc>
          <w:tcPr>
            <w:tcW w:w="1265" w:type="dxa"/>
            <w:tcBorders>
              <w:tl2br w:val="nil"/>
              <w:tr2bl w:val="nil"/>
            </w:tcBorders>
            <w:shd w:val="clear" w:color="auto" w:fill="auto"/>
            <w:vAlign w:val="center"/>
          </w:tcPr>
          <w:p w14:paraId="55CDADB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485E249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3A05B7B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纪念地与纪念活动场所</w:t>
            </w:r>
          </w:p>
        </w:tc>
      </w:tr>
      <w:tr w14:paraId="7AF7D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749B74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280</w:t>
            </w:r>
          </w:p>
        </w:tc>
        <w:tc>
          <w:tcPr>
            <w:tcW w:w="874" w:type="dxa"/>
            <w:vMerge w:val="continue"/>
            <w:tcBorders>
              <w:tl2br w:val="nil"/>
              <w:tr2bl w:val="nil"/>
            </w:tcBorders>
            <w:shd w:val="clear" w:color="auto" w:fill="auto"/>
            <w:vAlign w:val="center"/>
          </w:tcPr>
          <w:p w14:paraId="34FB30C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348B02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武陟东岳庙</w:t>
            </w:r>
          </w:p>
        </w:tc>
        <w:tc>
          <w:tcPr>
            <w:tcW w:w="1265" w:type="dxa"/>
            <w:tcBorders>
              <w:tl2br w:val="nil"/>
              <w:tr2bl w:val="nil"/>
            </w:tcBorders>
            <w:shd w:val="clear" w:color="auto" w:fill="auto"/>
            <w:vAlign w:val="center"/>
          </w:tcPr>
          <w:p w14:paraId="6373832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47EB00E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2D5FA95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宗教与祭祀活动场所</w:t>
            </w:r>
          </w:p>
        </w:tc>
      </w:tr>
      <w:tr w14:paraId="2FE0E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E3CFAB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281</w:t>
            </w:r>
          </w:p>
        </w:tc>
        <w:tc>
          <w:tcPr>
            <w:tcW w:w="874" w:type="dxa"/>
            <w:vMerge w:val="continue"/>
            <w:tcBorders>
              <w:tl2br w:val="nil"/>
              <w:tr2bl w:val="nil"/>
            </w:tcBorders>
            <w:shd w:val="clear" w:color="auto" w:fill="auto"/>
            <w:vAlign w:val="center"/>
          </w:tcPr>
          <w:p w14:paraId="21A532C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5F0EAB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黄河河工号子</w:t>
            </w:r>
          </w:p>
        </w:tc>
        <w:tc>
          <w:tcPr>
            <w:tcW w:w="1265" w:type="dxa"/>
            <w:tcBorders>
              <w:tl2br w:val="nil"/>
              <w:tr2bl w:val="nil"/>
            </w:tcBorders>
            <w:shd w:val="clear" w:color="auto" w:fill="auto"/>
            <w:vAlign w:val="center"/>
          </w:tcPr>
          <w:p w14:paraId="39E39BA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465EE5F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非物质类文化遗存</w:t>
            </w:r>
          </w:p>
        </w:tc>
        <w:tc>
          <w:tcPr>
            <w:tcW w:w="1614" w:type="dxa"/>
            <w:tcBorders>
              <w:tl2br w:val="nil"/>
              <w:tr2bl w:val="nil"/>
            </w:tcBorders>
            <w:shd w:val="clear" w:color="auto" w:fill="auto"/>
            <w:vAlign w:val="center"/>
          </w:tcPr>
          <w:p w14:paraId="633F5E6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民间文学艺术</w:t>
            </w:r>
          </w:p>
        </w:tc>
      </w:tr>
      <w:tr w14:paraId="2A63E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59AB32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282</w:t>
            </w:r>
          </w:p>
        </w:tc>
        <w:tc>
          <w:tcPr>
            <w:tcW w:w="874" w:type="dxa"/>
            <w:vMerge w:val="continue"/>
            <w:tcBorders>
              <w:tl2br w:val="nil"/>
              <w:tr2bl w:val="nil"/>
            </w:tcBorders>
            <w:shd w:val="clear" w:color="auto" w:fill="auto"/>
            <w:vAlign w:val="center"/>
          </w:tcPr>
          <w:p w14:paraId="2AC335C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696841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武陟县山西会馆</w:t>
            </w:r>
          </w:p>
        </w:tc>
        <w:tc>
          <w:tcPr>
            <w:tcW w:w="1265" w:type="dxa"/>
            <w:tcBorders>
              <w:tl2br w:val="nil"/>
              <w:tr2bl w:val="nil"/>
            </w:tcBorders>
            <w:shd w:val="clear" w:color="auto" w:fill="auto"/>
            <w:vAlign w:val="center"/>
          </w:tcPr>
          <w:p w14:paraId="25979B0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056537B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580B70F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教学科研实验场所</w:t>
            </w:r>
          </w:p>
        </w:tc>
      </w:tr>
      <w:tr w14:paraId="70D99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A3BC64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283</w:t>
            </w:r>
          </w:p>
        </w:tc>
        <w:tc>
          <w:tcPr>
            <w:tcW w:w="874" w:type="dxa"/>
            <w:vMerge w:val="continue"/>
            <w:tcBorders>
              <w:tl2br w:val="nil"/>
              <w:tr2bl w:val="nil"/>
            </w:tcBorders>
            <w:shd w:val="clear" w:color="auto" w:fill="auto"/>
            <w:vAlign w:val="center"/>
          </w:tcPr>
          <w:p w14:paraId="607A213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97B2D3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武陟嘉应观御碑</w:t>
            </w:r>
          </w:p>
        </w:tc>
        <w:tc>
          <w:tcPr>
            <w:tcW w:w="1265" w:type="dxa"/>
            <w:tcBorders>
              <w:tl2br w:val="nil"/>
              <w:tr2bl w:val="nil"/>
            </w:tcBorders>
            <w:shd w:val="clear" w:color="auto" w:fill="auto"/>
            <w:vAlign w:val="center"/>
          </w:tcPr>
          <w:p w14:paraId="6C863AC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4EC9247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景观与小品建筑</w:t>
            </w:r>
          </w:p>
        </w:tc>
        <w:tc>
          <w:tcPr>
            <w:tcW w:w="1614" w:type="dxa"/>
            <w:tcBorders>
              <w:tl2br w:val="nil"/>
              <w:tr2bl w:val="nil"/>
            </w:tcBorders>
            <w:shd w:val="clear" w:color="auto" w:fill="auto"/>
            <w:vAlign w:val="center"/>
          </w:tcPr>
          <w:p w14:paraId="472918F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碑碣、碑林、经幢</w:t>
            </w:r>
          </w:p>
        </w:tc>
      </w:tr>
      <w:tr w14:paraId="7BA8F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23F00B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284</w:t>
            </w:r>
          </w:p>
        </w:tc>
        <w:tc>
          <w:tcPr>
            <w:tcW w:w="874" w:type="dxa"/>
            <w:vMerge w:val="continue"/>
            <w:tcBorders>
              <w:tl2br w:val="nil"/>
              <w:tr2bl w:val="nil"/>
            </w:tcBorders>
            <w:shd w:val="clear" w:color="auto" w:fill="auto"/>
            <w:vAlign w:val="center"/>
          </w:tcPr>
          <w:p w14:paraId="2FEE5CCD">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A121FD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武陟嘉应观山门</w:t>
            </w:r>
          </w:p>
        </w:tc>
        <w:tc>
          <w:tcPr>
            <w:tcW w:w="1265" w:type="dxa"/>
            <w:tcBorders>
              <w:tl2br w:val="nil"/>
              <w:tr2bl w:val="nil"/>
            </w:tcBorders>
            <w:shd w:val="clear" w:color="auto" w:fill="auto"/>
            <w:vAlign w:val="center"/>
          </w:tcPr>
          <w:p w14:paraId="1AEF285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148BCBE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2F62C3C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独立厅、室、馆</w:t>
            </w:r>
          </w:p>
        </w:tc>
      </w:tr>
      <w:tr w14:paraId="4432F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BDB86F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285</w:t>
            </w:r>
          </w:p>
        </w:tc>
        <w:tc>
          <w:tcPr>
            <w:tcW w:w="874" w:type="dxa"/>
            <w:vMerge w:val="continue"/>
            <w:tcBorders>
              <w:tl2br w:val="nil"/>
              <w:tr2bl w:val="nil"/>
            </w:tcBorders>
            <w:shd w:val="clear" w:color="auto" w:fill="auto"/>
            <w:vAlign w:val="center"/>
          </w:tcPr>
          <w:p w14:paraId="325D836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F18665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武陟嘉应观御碑亭</w:t>
            </w:r>
          </w:p>
        </w:tc>
        <w:tc>
          <w:tcPr>
            <w:tcW w:w="1265" w:type="dxa"/>
            <w:tcBorders>
              <w:tl2br w:val="nil"/>
              <w:tr2bl w:val="nil"/>
            </w:tcBorders>
            <w:shd w:val="clear" w:color="auto" w:fill="auto"/>
            <w:vAlign w:val="center"/>
          </w:tcPr>
          <w:p w14:paraId="0B5C697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05E87BB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景观与小品建筑</w:t>
            </w:r>
          </w:p>
        </w:tc>
        <w:tc>
          <w:tcPr>
            <w:tcW w:w="1614" w:type="dxa"/>
            <w:tcBorders>
              <w:tl2br w:val="nil"/>
              <w:tr2bl w:val="nil"/>
            </w:tcBorders>
            <w:shd w:val="clear" w:color="auto" w:fill="auto"/>
            <w:vAlign w:val="center"/>
          </w:tcPr>
          <w:p w14:paraId="77FE0C6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亭、台、楼、阁</w:t>
            </w:r>
          </w:p>
        </w:tc>
      </w:tr>
      <w:tr w14:paraId="725B4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49C22D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286</w:t>
            </w:r>
          </w:p>
        </w:tc>
        <w:tc>
          <w:tcPr>
            <w:tcW w:w="874" w:type="dxa"/>
            <w:vMerge w:val="continue"/>
            <w:tcBorders>
              <w:tl2br w:val="nil"/>
              <w:tr2bl w:val="nil"/>
            </w:tcBorders>
            <w:shd w:val="clear" w:color="auto" w:fill="auto"/>
            <w:vAlign w:val="center"/>
          </w:tcPr>
          <w:p w14:paraId="655D0889">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0276E8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武陟人民胜利渠灌区嘉应观段</w:t>
            </w:r>
          </w:p>
        </w:tc>
        <w:tc>
          <w:tcPr>
            <w:tcW w:w="1265" w:type="dxa"/>
            <w:tcBorders>
              <w:tl2br w:val="nil"/>
              <w:tr2bl w:val="nil"/>
            </w:tcBorders>
            <w:shd w:val="clear" w:color="auto" w:fill="auto"/>
            <w:vAlign w:val="center"/>
          </w:tcPr>
          <w:p w14:paraId="141B002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01425D2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20E03F6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渠道、运河段落</w:t>
            </w:r>
          </w:p>
        </w:tc>
      </w:tr>
      <w:tr w14:paraId="1D668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8970D1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287</w:t>
            </w:r>
          </w:p>
        </w:tc>
        <w:tc>
          <w:tcPr>
            <w:tcW w:w="874" w:type="dxa"/>
            <w:vMerge w:val="continue"/>
            <w:tcBorders>
              <w:tl2br w:val="nil"/>
              <w:tr2bl w:val="nil"/>
            </w:tcBorders>
            <w:shd w:val="clear" w:color="auto" w:fill="auto"/>
            <w:vAlign w:val="center"/>
          </w:tcPr>
          <w:p w14:paraId="3F2E5547">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FB000E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武陟嘉应观景区黄河水清碑</w:t>
            </w:r>
          </w:p>
        </w:tc>
        <w:tc>
          <w:tcPr>
            <w:tcW w:w="1265" w:type="dxa"/>
            <w:tcBorders>
              <w:tl2br w:val="nil"/>
              <w:tr2bl w:val="nil"/>
            </w:tcBorders>
            <w:shd w:val="clear" w:color="auto" w:fill="auto"/>
            <w:vAlign w:val="center"/>
          </w:tcPr>
          <w:p w14:paraId="00233B1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4A4DCA4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景观与小品建筑</w:t>
            </w:r>
          </w:p>
        </w:tc>
        <w:tc>
          <w:tcPr>
            <w:tcW w:w="1614" w:type="dxa"/>
            <w:tcBorders>
              <w:tl2br w:val="nil"/>
              <w:tr2bl w:val="nil"/>
            </w:tcBorders>
            <w:shd w:val="clear" w:color="auto" w:fill="auto"/>
            <w:vAlign w:val="center"/>
          </w:tcPr>
          <w:p w14:paraId="57445C3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碑碣、碑林、经幢</w:t>
            </w:r>
          </w:p>
        </w:tc>
      </w:tr>
      <w:tr w14:paraId="573AC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99CA40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288</w:t>
            </w:r>
          </w:p>
        </w:tc>
        <w:tc>
          <w:tcPr>
            <w:tcW w:w="874" w:type="dxa"/>
            <w:vMerge w:val="continue"/>
            <w:tcBorders>
              <w:tl2br w:val="nil"/>
              <w:tr2bl w:val="nil"/>
            </w:tcBorders>
            <w:shd w:val="clear" w:color="auto" w:fill="auto"/>
            <w:vAlign w:val="center"/>
          </w:tcPr>
          <w:p w14:paraId="0797ED36">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0C2237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武陟人民胜利渠建设指挥部旧址</w:t>
            </w:r>
          </w:p>
        </w:tc>
        <w:tc>
          <w:tcPr>
            <w:tcW w:w="1265" w:type="dxa"/>
            <w:tcBorders>
              <w:tl2br w:val="nil"/>
              <w:tr2bl w:val="nil"/>
            </w:tcBorders>
            <w:shd w:val="clear" w:color="auto" w:fill="auto"/>
            <w:vAlign w:val="center"/>
          </w:tcPr>
          <w:p w14:paraId="1A4A67C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2596E79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335BE30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6D574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D3E996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289</w:t>
            </w:r>
          </w:p>
        </w:tc>
        <w:tc>
          <w:tcPr>
            <w:tcW w:w="874" w:type="dxa"/>
            <w:vMerge w:val="continue"/>
            <w:tcBorders>
              <w:tl2br w:val="nil"/>
              <w:tr2bl w:val="nil"/>
            </w:tcBorders>
            <w:shd w:val="clear" w:color="auto" w:fill="auto"/>
            <w:vAlign w:val="center"/>
          </w:tcPr>
          <w:p w14:paraId="4575641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908BEC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武陟菡香大米</w:t>
            </w:r>
          </w:p>
        </w:tc>
        <w:tc>
          <w:tcPr>
            <w:tcW w:w="1265" w:type="dxa"/>
            <w:tcBorders>
              <w:tl2br w:val="nil"/>
              <w:tr2bl w:val="nil"/>
            </w:tcBorders>
            <w:shd w:val="clear" w:color="auto" w:fill="auto"/>
            <w:vAlign w:val="center"/>
          </w:tcPr>
          <w:p w14:paraId="593D917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78EA03D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农业产品</w:t>
            </w:r>
          </w:p>
        </w:tc>
        <w:tc>
          <w:tcPr>
            <w:tcW w:w="1614" w:type="dxa"/>
            <w:tcBorders>
              <w:tl2br w:val="nil"/>
              <w:tr2bl w:val="nil"/>
            </w:tcBorders>
            <w:shd w:val="clear" w:color="auto" w:fill="auto"/>
            <w:vAlign w:val="center"/>
          </w:tcPr>
          <w:p w14:paraId="5457C83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种植业产品及制品</w:t>
            </w:r>
          </w:p>
        </w:tc>
      </w:tr>
      <w:tr w14:paraId="356C7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0C2250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290</w:t>
            </w:r>
          </w:p>
        </w:tc>
        <w:tc>
          <w:tcPr>
            <w:tcW w:w="874" w:type="dxa"/>
            <w:vMerge w:val="continue"/>
            <w:tcBorders>
              <w:tl2br w:val="nil"/>
              <w:tr2bl w:val="nil"/>
            </w:tcBorders>
            <w:shd w:val="clear" w:color="auto" w:fill="auto"/>
            <w:vAlign w:val="center"/>
          </w:tcPr>
          <w:p w14:paraId="3897404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F2D5D3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武陟何瑭纪念馆</w:t>
            </w:r>
          </w:p>
        </w:tc>
        <w:tc>
          <w:tcPr>
            <w:tcW w:w="1265" w:type="dxa"/>
            <w:tcBorders>
              <w:tl2br w:val="nil"/>
              <w:tr2bl w:val="nil"/>
            </w:tcBorders>
            <w:shd w:val="clear" w:color="auto" w:fill="auto"/>
            <w:vAlign w:val="center"/>
          </w:tcPr>
          <w:p w14:paraId="17BE412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04BB0C0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3B2C3BC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纪念地与纪念活动场所</w:t>
            </w:r>
          </w:p>
        </w:tc>
      </w:tr>
      <w:tr w14:paraId="23D95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D81B6A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291</w:t>
            </w:r>
          </w:p>
        </w:tc>
        <w:tc>
          <w:tcPr>
            <w:tcW w:w="874" w:type="dxa"/>
            <w:vMerge w:val="continue"/>
            <w:tcBorders>
              <w:tl2br w:val="nil"/>
              <w:tr2bl w:val="nil"/>
            </w:tcBorders>
            <w:shd w:val="clear" w:color="auto" w:fill="auto"/>
            <w:vAlign w:val="center"/>
          </w:tcPr>
          <w:p w14:paraId="3779AC4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5C0AED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武陟岳家庙</w:t>
            </w:r>
          </w:p>
        </w:tc>
        <w:tc>
          <w:tcPr>
            <w:tcW w:w="1265" w:type="dxa"/>
            <w:tcBorders>
              <w:tl2br w:val="nil"/>
              <w:tr2bl w:val="nil"/>
            </w:tcBorders>
            <w:shd w:val="clear" w:color="auto" w:fill="auto"/>
            <w:vAlign w:val="center"/>
          </w:tcPr>
          <w:p w14:paraId="4977B3D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40E37B8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7F85E68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宗教与祭祀活动场所</w:t>
            </w:r>
          </w:p>
        </w:tc>
      </w:tr>
      <w:tr w14:paraId="723DD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8EA685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292</w:t>
            </w:r>
          </w:p>
        </w:tc>
        <w:tc>
          <w:tcPr>
            <w:tcW w:w="874" w:type="dxa"/>
            <w:vMerge w:val="continue"/>
            <w:tcBorders>
              <w:tl2br w:val="nil"/>
              <w:tr2bl w:val="nil"/>
            </w:tcBorders>
            <w:shd w:val="clear" w:color="auto" w:fill="auto"/>
            <w:vAlign w:val="center"/>
          </w:tcPr>
          <w:p w14:paraId="0FF91965">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7E9D13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武陟城隍庙</w:t>
            </w:r>
          </w:p>
        </w:tc>
        <w:tc>
          <w:tcPr>
            <w:tcW w:w="1265" w:type="dxa"/>
            <w:tcBorders>
              <w:tl2br w:val="nil"/>
              <w:tr2bl w:val="nil"/>
            </w:tcBorders>
            <w:shd w:val="clear" w:color="auto" w:fill="auto"/>
            <w:vAlign w:val="center"/>
          </w:tcPr>
          <w:p w14:paraId="7DD9030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0510E73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72E7CE5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宗教与祭祀活动场所</w:t>
            </w:r>
          </w:p>
        </w:tc>
      </w:tr>
      <w:tr w14:paraId="09540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1F9D24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293</w:t>
            </w:r>
          </w:p>
        </w:tc>
        <w:tc>
          <w:tcPr>
            <w:tcW w:w="874" w:type="dxa"/>
            <w:vMerge w:val="continue"/>
            <w:tcBorders>
              <w:tl2br w:val="nil"/>
              <w:tr2bl w:val="nil"/>
            </w:tcBorders>
            <w:shd w:val="clear" w:color="auto" w:fill="auto"/>
            <w:vAlign w:val="center"/>
          </w:tcPr>
          <w:p w14:paraId="67AF3709">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030A77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武陟千佛阁大殿</w:t>
            </w:r>
          </w:p>
        </w:tc>
        <w:tc>
          <w:tcPr>
            <w:tcW w:w="1265" w:type="dxa"/>
            <w:tcBorders>
              <w:tl2br w:val="nil"/>
              <w:tr2bl w:val="nil"/>
            </w:tcBorders>
            <w:shd w:val="clear" w:color="auto" w:fill="auto"/>
            <w:vAlign w:val="center"/>
          </w:tcPr>
          <w:p w14:paraId="002E9E2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1B90E6A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5571B72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独立厅、室、馆</w:t>
            </w:r>
          </w:p>
        </w:tc>
      </w:tr>
      <w:tr w14:paraId="7766D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C994FC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294</w:t>
            </w:r>
          </w:p>
        </w:tc>
        <w:tc>
          <w:tcPr>
            <w:tcW w:w="874" w:type="dxa"/>
            <w:vMerge w:val="continue"/>
            <w:tcBorders>
              <w:tl2br w:val="nil"/>
              <w:tr2bl w:val="nil"/>
            </w:tcBorders>
            <w:shd w:val="clear" w:color="auto" w:fill="auto"/>
            <w:vAlign w:val="center"/>
          </w:tcPr>
          <w:p w14:paraId="1982E58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866E65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武陟青龙宫拜殿</w:t>
            </w:r>
          </w:p>
        </w:tc>
        <w:tc>
          <w:tcPr>
            <w:tcW w:w="1265" w:type="dxa"/>
            <w:tcBorders>
              <w:tl2br w:val="nil"/>
              <w:tr2bl w:val="nil"/>
            </w:tcBorders>
            <w:shd w:val="clear" w:color="auto" w:fill="auto"/>
            <w:vAlign w:val="center"/>
          </w:tcPr>
          <w:p w14:paraId="080CBC9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1F1CB72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2FC0803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独立厅、室、馆</w:t>
            </w:r>
          </w:p>
        </w:tc>
      </w:tr>
      <w:tr w14:paraId="2AB3D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E24462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295</w:t>
            </w:r>
          </w:p>
        </w:tc>
        <w:tc>
          <w:tcPr>
            <w:tcW w:w="874" w:type="dxa"/>
            <w:vMerge w:val="continue"/>
            <w:tcBorders>
              <w:tl2br w:val="nil"/>
              <w:tr2bl w:val="nil"/>
            </w:tcBorders>
            <w:shd w:val="clear" w:color="auto" w:fill="auto"/>
            <w:vAlign w:val="center"/>
          </w:tcPr>
          <w:p w14:paraId="5CB0210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987951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武陟青龙宫玉皇阁</w:t>
            </w:r>
          </w:p>
        </w:tc>
        <w:tc>
          <w:tcPr>
            <w:tcW w:w="1265" w:type="dxa"/>
            <w:tcBorders>
              <w:tl2br w:val="nil"/>
              <w:tr2bl w:val="nil"/>
            </w:tcBorders>
            <w:shd w:val="clear" w:color="auto" w:fill="auto"/>
            <w:vAlign w:val="center"/>
          </w:tcPr>
          <w:p w14:paraId="76210BB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11322CD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景观与小品建筑</w:t>
            </w:r>
          </w:p>
        </w:tc>
        <w:tc>
          <w:tcPr>
            <w:tcW w:w="1614" w:type="dxa"/>
            <w:tcBorders>
              <w:tl2br w:val="nil"/>
              <w:tr2bl w:val="nil"/>
            </w:tcBorders>
            <w:shd w:val="clear" w:color="auto" w:fill="auto"/>
            <w:vAlign w:val="center"/>
          </w:tcPr>
          <w:p w14:paraId="6D08706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亭、台、楼、阁</w:t>
            </w:r>
          </w:p>
        </w:tc>
      </w:tr>
      <w:tr w14:paraId="435D0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BB4962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296</w:t>
            </w:r>
          </w:p>
        </w:tc>
        <w:tc>
          <w:tcPr>
            <w:tcW w:w="874" w:type="dxa"/>
            <w:vMerge w:val="continue"/>
            <w:tcBorders>
              <w:tl2br w:val="nil"/>
              <w:tr2bl w:val="nil"/>
            </w:tcBorders>
            <w:shd w:val="clear" w:color="auto" w:fill="auto"/>
            <w:vAlign w:val="center"/>
          </w:tcPr>
          <w:p w14:paraId="16C64890">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EC355B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武陟人民胜利渠渠首闸</w:t>
            </w:r>
          </w:p>
        </w:tc>
        <w:tc>
          <w:tcPr>
            <w:tcW w:w="1265" w:type="dxa"/>
            <w:tcBorders>
              <w:tl2br w:val="nil"/>
              <w:tr2bl w:val="nil"/>
            </w:tcBorders>
            <w:shd w:val="clear" w:color="auto" w:fill="auto"/>
            <w:vAlign w:val="center"/>
          </w:tcPr>
          <w:p w14:paraId="75D1445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74D00A0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178882D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堤坝段落</w:t>
            </w:r>
          </w:p>
        </w:tc>
      </w:tr>
      <w:tr w14:paraId="67121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2A6453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297</w:t>
            </w:r>
          </w:p>
        </w:tc>
        <w:tc>
          <w:tcPr>
            <w:tcW w:w="874" w:type="dxa"/>
            <w:vMerge w:val="continue"/>
            <w:tcBorders>
              <w:tl2br w:val="nil"/>
              <w:tr2bl w:val="nil"/>
            </w:tcBorders>
            <w:shd w:val="clear" w:color="auto" w:fill="auto"/>
            <w:vAlign w:val="center"/>
          </w:tcPr>
          <w:p w14:paraId="25047AB5">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96C0DD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武陟人民胜利渠渠首展览馆</w:t>
            </w:r>
          </w:p>
        </w:tc>
        <w:tc>
          <w:tcPr>
            <w:tcW w:w="1265" w:type="dxa"/>
            <w:tcBorders>
              <w:tl2br w:val="nil"/>
              <w:tr2bl w:val="nil"/>
            </w:tcBorders>
            <w:shd w:val="clear" w:color="auto" w:fill="auto"/>
            <w:vAlign w:val="center"/>
          </w:tcPr>
          <w:p w14:paraId="52EEB36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7BC948A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096FB61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文化活动场所</w:t>
            </w:r>
          </w:p>
        </w:tc>
      </w:tr>
      <w:tr w14:paraId="61676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DC72CB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298</w:t>
            </w:r>
          </w:p>
        </w:tc>
        <w:tc>
          <w:tcPr>
            <w:tcW w:w="874" w:type="dxa"/>
            <w:vMerge w:val="restart"/>
            <w:tcBorders>
              <w:tl2br w:val="nil"/>
              <w:tr2bl w:val="nil"/>
            </w:tcBorders>
            <w:shd w:val="clear" w:color="auto" w:fill="auto"/>
            <w:vAlign w:val="center"/>
          </w:tcPr>
          <w:p w14:paraId="6E1A3B0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温县</w:t>
            </w:r>
          </w:p>
        </w:tc>
        <w:tc>
          <w:tcPr>
            <w:tcW w:w="3438" w:type="dxa"/>
            <w:tcBorders>
              <w:tl2br w:val="nil"/>
              <w:tr2bl w:val="nil"/>
            </w:tcBorders>
            <w:shd w:val="clear" w:color="auto" w:fill="auto"/>
            <w:vAlign w:val="center"/>
          </w:tcPr>
          <w:p w14:paraId="2FB105E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焦作怀山堂怀药制品</w:t>
            </w:r>
          </w:p>
        </w:tc>
        <w:tc>
          <w:tcPr>
            <w:tcW w:w="1265" w:type="dxa"/>
            <w:tcBorders>
              <w:tl2br w:val="nil"/>
              <w:tr2bl w:val="nil"/>
            </w:tcBorders>
            <w:shd w:val="clear" w:color="auto" w:fill="auto"/>
            <w:vAlign w:val="center"/>
          </w:tcPr>
          <w:p w14:paraId="0E27389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43D3FE2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农业产品</w:t>
            </w:r>
          </w:p>
        </w:tc>
        <w:tc>
          <w:tcPr>
            <w:tcW w:w="1614" w:type="dxa"/>
            <w:tcBorders>
              <w:tl2br w:val="nil"/>
              <w:tr2bl w:val="nil"/>
            </w:tcBorders>
            <w:shd w:val="clear" w:color="auto" w:fill="auto"/>
            <w:vAlign w:val="center"/>
          </w:tcPr>
          <w:p w14:paraId="4A2B938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种植业产品及制品</w:t>
            </w:r>
          </w:p>
        </w:tc>
      </w:tr>
      <w:tr w14:paraId="3F738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3ABD63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299</w:t>
            </w:r>
          </w:p>
        </w:tc>
        <w:tc>
          <w:tcPr>
            <w:tcW w:w="874" w:type="dxa"/>
            <w:vMerge w:val="continue"/>
            <w:tcBorders>
              <w:tl2br w:val="nil"/>
              <w:tr2bl w:val="nil"/>
            </w:tcBorders>
            <w:shd w:val="clear" w:color="auto" w:fill="auto"/>
            <w:vAlign w:val="center"/>
          </w:tcPr>
          <w:p w14:paraId="038EEEF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334F16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温县大尚村</w:t>
            </w:r>
          </w:p>
        </w:tc>
        <w:tc>
          <w:tcPr>
            <w:tcW w:w="1265" w:type="dxa"/>
            <w:tcBorders>
              <w:tl2br w:val="nil"/>
              <w:tr2bl w:val="nil"/>
            </w:tcBorders>
            <w:shd w:val="clear" w:color="auto" w:fill="auto"/>
            <w:vAlign w:val="center"/>
          </w:tcPr>
          <w:p w14:paraId="3F8F350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6455D51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623C891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6626C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BED297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300</w:t>
            </w:r>
          </w:p>
        </w:tc>
        <w:tc>
          <w:tcPr>
            <w:tcW w:w="874" w:type="dxa"/>
            <w:vMerge w:val="continue"/>
            <w:tcBorders>
              <w:tl2br w:val="nil"/>
              <w:tr2bl w:val="nil"/>
            </w:tcBorders>
            <w:shd w:val="clear" w:color="auto" w:fill="auto"/>
            <w:vAlign w:val="center"/>
          </w:tcPr>
          <w:p w14:paraId="154686B8">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BE7DD8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康明轩</w:t>
            </w:r>
          </w:p>
        </w:tc>
        <w:tc>
          <w:tcPr>
            <w:tcW w:w="1265" w:type="dxa"/>
            <w:tcBorders>
              <w:tl2br w:val="nil"/>
              <w:tr2bl w:val="nil"/>
            </w:tcBorders>
            <w:shd w:val="clear" w:color="auto" w:fill="auto"/>
            <w:vAlign w:val="center"/>
          </w:tcPr>
          <w:p w14:paraId="5E6C6A3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1610624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人事活动记录</w:t>
            </w:r>
          </w:p>
        </w:tc>
        <w:tc>
          <w:tcPr>
            <w:tcW w:w="1614" w:type="dxa"/>
            <w:tcBorders>
              <w:tl2br w:val="nil"/>
              <w:tr2bl w:val="nil"/>
            </w:tcBorders>
            <w:shd w:val="clear" w:color="auto" w:fill="auto"/>
            <w:vAlign w:val="center"/>
          </w:tcPr>
          <w:p w14:paraId="3CB5240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地方人物</w:t>
            </w:r>
          </w:p>
        </w:tc>
      </w:tr>
      <w:tr w14:paraId="3B3B6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643B4A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301</w:t>
            </w:r>
          </w:p>
        </w:tc>
        <w:tc>
          <w:tcPr>
            <w:tcW w:w="874" w:type="dxa"/>
            <w:vMerge w:val="continue"/>
            <w:tcBorders>
              <w:tl2br w:val="nil"/>
              <w:tr2bl w:val="nil"/>
            </w:tcBorders>
            <w:shd w:val="clear" w:color="auto" w:fill="auto"/>
            <w:vAlign w:val="center"/>
          </w:tcPr>
          <w:p w14:paraId="6405142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2DA4B1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李鹏飞</w:t>
            </w:r>
          </w:p>
        </w:tc>
        <w:tc>
          <w:tcPr>
            <w:tcW w:w="1265" w:type="dxa"/>
            <w:tcBorders>
              <w:tl2br w:val="nil"/>
              <w:tr2bl w:val="nil"/>
            </w:tcBorders>
            <w:shd w:val="clear" w:color="auto" w:fill="auto"/>
            <w:vAlign w:val="center"/>
          </w:tcPr>
          <w:p w14:paraId="2D88F6F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4F6C371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人事活动记录</w:t>
            </w:r>
          </w:p>
        </w:tc>
        <w:tc>
          <w:tcPr>
            <w:tcW w:w="1614" w:type="dxa"/>
            <w:tcBorders>
              <w:tl2br w:val="nil"/>
              <w:tr2bl w:val="nil"/>
            </w:tcBorders>
            <w:shd w:val="clear" w:color="auto" w:fill="auto"/>
            <w:vAlign w:val="center"/>
          </w:tcPr>
          <w:p w14:paraId="3DBED73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地方人物</w:t>
            </w:r>
          </w:p>
        </w:tc>
      </w:tr>
      <w:tr w14:paraId="1687F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552D11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302</w:t>
            </w:r>
          </w:p>
        </w:tc>
        <w:tc>
          <w:tcPr>
            <w:tcW w:w="874" w:type="dxa"/>
            <w:vMerge w:val="continue"/>
            <w:tcBorders>
              <w:tl2br w:val="nil"/>
              <w:tr2bl w:val="nil"/>
            </w:tcBorders>
            <w:shd w:val="clear" w:color="auto" w:fill="auto"/>
            <w:vAlign w:val="center"/>
          </w:tcPr>
          <w:p w14:paraId="33671A39">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A9A0C5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温县安乐寨村</w:t>
            </w:r>
          </w:p>
        </w:tc>
        <w:tc>
          <w:tcPr>
            <w:tcW w:w="1265" w:type="dxa"/>
            <w:tcBorders>
              <w:tl2br w:val="nil"/>
              <w:tr2bl w:val="nil"/>
            </w:tcBorders>
            <w:shd w:val="clear" w:color="auto" w:fill="auto"/>
            <w:vAlign w:val="center"/>
          </w:tcPr>
          <w:p w14:paraId="0C65CBE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4E73467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172F9C3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5BD9D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F55CC4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303</w:t>
            </w:r>
          </w:p>
        </w:tc>
        <w:tc>
          <w:tcPr>
            <w:tcW w:w="874" w:type="dxa"/>
            <w:vMerge w:val="continue"/>
            <w:tcBorders>
              <w:tl2br w:val="nil"/>
              <w:tr2bl w:val="nil"/>
            </w:tcBorders>
            <w:shd w:val="clear" w:color="auto" w:fill="auto"/>
            <w:vAlign w:val="center"/>
          </w:tcPr>
          <w:p w14:paraId="649CEA20">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E9238D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温县仓头村</w:t>
            </w:r>
          </w:p>
        </w:tc>
        <w:tc>
          <w:tcPr>
            <w:tcW w:w="1265" w:type="dxa"/>
            <w:tcBorders>
              <w:tl2br w:val="nil"/>
              <w:tr2bl w:val="nil"/>
            </w:tcBorders>
            <w:shd w:val="clear" w:color="auto" w:fill="auto"/>
            <w:vAlign w:val="center"/>
          </w:tcPr>
          <w:p w14:paraId="79371F3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09F16CD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016B132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5AA1D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7BC089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304</w:t>
            </w:r>
          </w:p>
        </w:tc>
        <w:tc>
          <w:tcPr>
            <w:tcW w:w="874" w:type="dxa"/>
            <w:vMerge w:val="continue"/>
            <w:tcBorders>
              <w:tl2br w:val="nil"/>
              <w:tr2bl w:val="nil"/>
            </w:tcBorders>
            <w:shd w:val="clear" w:color="auto" w:fill="auto"/>
            <w:vAlign w:val="center"/>
          </w:tcPr>
          <w:p w14:paraId="0C4AD862">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668469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陈自强</w:t>
            </w:r>
          </w:p>
        </w:tc>
        <w:tc>
          <w:tcPr>
            <w:tcW w:w="1265" w:type="dxa"/>
            <w:tcBorders>
              <w:tl2br w:val="nil"/>
              <w:tr2bl w:val="nil"/>
            </w:tcBorders>
            <w:shd w:val="clear" w:color="auto" w:fill="auto"/>
            <w:vAlign w:val="center"/>
          </w:tcPr>
          <w:p w14:paraId="34E37D4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043C0D1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人事活动记录</w:t>
            </w:r>
          </w:p>
        </w:tc>
        <w:tc>
          <w:tcPr>
            <w:tcW w:w="1614" w:type="dxa"/>
            <w:tcBorders>
              <w:tl2br w:val="nil"/>
              <w:tr2bl w:val="nil"/>
            </w:tcBorders>
            <w:shd w:val="clear" w:color="auto" w:fill="auto"/>
            <w:vAlign w:val="center"/>
          </w:tcPr>
          <w:p w14:paraId="2442C34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地方人物</w:t>
            </w:r>
          </w:p>
        </w:tc>
      </w:tr>
      <w:tr w14:paraId="02B21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A20C82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305</w:t>
            </w:r>
          </w:p>
        </w:tc>
        <w:tc>
          <w:tcPr>
            <w:tcW w:w="874" w:type="dxa"/>
            <w:vMerge w:val="continue"/>
            <w:tcBorders>
              <w:tl2br w:val="nil"/>
              <w:tr2bl w:val="nil"/>
            </w:tcBorders>
            <w:shd w:val="clear" w:color="auto" w:fill="auto"/>
            <w:vAlign w:val="center"/>
          </w:tcPr>
          <w:p w14:paraId="18A821C3">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3498DC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王西安</w:t>
            </w:r>
          </w:p>
        </w:tc>
        <w:tc>
          <w:tcPr>
            <w:tcW w:w="1265" w:type="dxa"/>
            <w:tcBorders>
              <w:tl2br w:val="nil"/>
              <w:tr2bl w:val="nil"/>
            </w:tcBorders>
            <w:shd w:val="clear" w:color="auto" w:fill="auto"/>
            <w:vAlign w:val="center"/>
          </w:tcPr>
          <w:p w14:paraId="3497EF2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219D299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人事活动记录</w:t>
            </w:r>
          </w:p>
        </w:tc>
        <w:tc>
          <w:tcPr>
            <w:tcW w:w="1614" w:type="dxa"/>
            <w:tcBorders>
              <w:tl2br w:val="nil"/>
              <w:tr2bl w:val="nil"/>
            </w:tcBorders>
            <w:shd w:val="clear" w:color="auto" w:fill="auto"/>
            <w:vAlign w:val="center"/>
          </w:tcPr>
          <w:p w14:paraId="543AC88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地方人物</w:t>
            </w:r>
          </w:p>
        </w:tc>
      </w:tr>
      <w:tr w14:paraId="1A17F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41ADC0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306</w:t>
            </w:r>
          </w:p>
        </w:tc>
        <w:tc>
          <w:tcPr>
            <w:tcW w:w="874" w:type="dxa"/>
            <w:vMerge w:val="continue"/>
            <w:tcBorders>
              <w:tl2br w:val="nil"/>
              <w:tr2bl w:val="nil"/>
            </w:tcBorders>
            <w:shd w:val="clear" w:color="auto" w:fill="auto"/>
            <w:vAlign w:val="center"/>
          </w:tcPr>
          <w:p w14:paraId="0066B7BB">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65A8C2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温县陈家沟万象太极馆</w:t>
            </w:r>
          </w:p>
        </w:tc>
        <w:tc>
          <w:tcPr>
            <w:tcW w:w="1265" w:type="dxa"/>
            <w:tcBorders>
              <w:tl2br w:val="nil"/>
              <w:tr2bl w:val="nil"/>
            </w:tcBorders>
            <w:shd w:val="clear" w:color="auto" w:fill="auto"/>
            <w:vAlign w:val="center"/>
          </w:tcPr>
          <w:p w14:paraId="231C6CC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7D3D82F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4CB2B5A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文化活动场所</w:t>
            </w:r>
          </w:p>
        </w:tc>
      </w:tr>
      <w:tr w14:paraId="54B94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B76E35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307</w:t>
            </w:r>
          </w:p>
        </w:tc>
        <w:tc>
          <w:tcPr>
            <w:tcW w:w="874" w:type="dxa"/>
            <w:vMerge w:val="continue"/>
            <w:tcBorders>
              <w:tl2br w:val="nil"/>
              <w:tr2bl w:val="nil"/>
            </w:tcBorders>
            <w:shd w:val="clear" w:color="auto" w:fill="auto"/>
            <w:vAlign w:val="center"/>
          </w:tcPr>
          <w:p w14:paraId="61695A05">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3A9CCE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陈照丕</w:t>
            </w:r>
          </w:p>
        </w:tc>
        <w:tc>
          <w:tcPr>
            <w:tcW w:w="1265" w:type="dxa"/>
            <w:tcBorders>
              <w:tl2br w:val="nil"/>
              <w:tr2bl w:val="nil"/>
            </w:tcBorders>
            <w:shd w:val="clear" w:color="auto" w:fill="auto"/>
            <w:vAlign w:val="center"/>
          </w:tcPr>
          <w:p w14:paraId="1132DAA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680649F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人事活动记录</w:t>
            </w:r>
          </w:p>
        </w:tc>
        <w:tc>
          <w:tcPr>
            <w:tcW w:w="1614" w:type="dxa"/>
            <w:tcBorders>
              <w:tl2br w:val="nil"/>
              <w:tr2bl w:val="nil"/>
            </w:tcBorders>
            <w:shd w:val="clear" w:color="auto" w:fill="auto"/>
            <w:vAlign w:val="center"/>
          </w:tcPr>
          <w:p w14:paraId="6BF5FA9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地方人物</w:t>
            </w:r>
          </w:p>
        </w:tc>
      </w:tr>
      <w:tr w14:paraId="50AC5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FB56E8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308</w:t>
            </w:r>
          </w:p>
        </w:tc>
        <w:tc>
          <w:tcPr>
            <w:tcW w:w="874" w:type="dxa"/>
            <w:vMerge w:val="continue"/>
            <w:tcBorders>
              <w:tl2br w:val="nil"/>
              <w:tr2bl w:val="nil"/>
            </w:tcBorders>
            <w:shd w:val="clear" w:color="auto" w:fill="auto"/>
            <w:vAlign w:val="center"/>
          </w:tcPr>
          <w:p w14:paraId="1078A53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C0F260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温县遇仙观</w:t>
            </w:r>
          </w:p>
        </w:tc>
        <w:tc>
          <w:tcPr>
            <w:tcW w:w="1265" w:type="dxa"/>
            <w:tcBorders>
              <w:tl2br w:val="nil"/>
              <w:tr2bl w:val="nil"/>
            </w:tcBorders>
            <w:shd w:val="clear" w:color="auto" w:fill="auto"/>
            <w:vAlign w:val="center"/>
          </w:tcPr>
          <w:p w14:paraId="06C7D53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63F2A71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2592835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宗教与祭祀活动场所</w:t>
            </w:r>
          </w:p>
        </w:tc>
      </w:tr>
      <w:tr w14:paraId="16FFD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327B3D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309</w:t>
            </w:r>
          </w:p>
        </w:tc>
        <w:tc>
          <w:tcPr>
            <w:tcW w:w="874" w:type="dxa"/>
            <w:vMerge w:val="continue"/>
            <w:tcBorders>
              <w:tl2br w:val="nil"/>
              <w:tr2bl w:val="nil"/>
            </w:tcBorders>
            <w:shd w:val="clear" w:color="auto" w:fill="auto"/>
            <w:vAlign w:val="center"/>
          </w:tcPr>
          <w:p w14:paraId="07992B2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5C5594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温县三陵村司马祖茔</w:t>
            </w:r>
          </w:p>
        </w:tc>
        <w:tc>
          <w:tcPr>
            <w:tcW w:w="1265" w:type="dxa"/>
            <w:tcBorders>
              <w:tl2br w:val="nil"/>
              <w:tr2bl w:val="nil"/>
            </w:tcBorders>
            <w:shd w:val="clear" w:color="auto" w:fill="auto"/>
            <w:vAlign w:val="center"/>
          </w:tcPr>
          <w:p w14:paraId="43F36F6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58D42FA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0CD0206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陵墓</w:t>
            </w:r>
          </w:p>
        </w:tc>
      </w:tr>
      <w:tr w14:paraId="6E3C3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DEC5F5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310</w:t>
            </w:r>
          </w:p>
        </w:tc>
        <w:tc>
          <w:tcPr>
            <w:tcW w:w="874" w:type="dxa"/>
            <w:vMerge w:val="continue"/>
            <w:tcBorders>
              <w:tl2br w:val="nil"/>
              <w:tr2bl w:val="nil"/>
            </w:tcBorders>
            <w:shd w:val="clear" w:color="auto" w:fill="auto"/>
            <w:vAlign w:val="center"/>
          </w:tcPr>
          <w:p w14:paraId="1F51C7A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0E6892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温县司马故里旧址</w:t>
            </w:r>
          </w:p>
        </w:tc>
        <w:tc>
          <w:tcPr>
            <w:tcW w:w="1265" w:type="dxa"/>
            <w:tcBorders>
              <w:tl2br w:val="nil"/>
              <w:tr2bl w:val="nil"/>
            </w:tcBorders>
            <w:shd w:val="clear" w:color="auto" w:fill="auto"/>
            <w:vAlign w:val="center"/>
          </w:tcPr>
          <w:p w14:paraId="132CFE8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6EF01A8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7E270E6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5FEBB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66177D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311</w:t>
            </w:r>
          </w:p>
        </w:tc>
        <w:tc>
          <w:tcPr>
            <w:tcW w:w="874" w:type="dxa"/>
            <w:vMerge w:val="continue"/>
            <w:tcBorders>
              <w:tl2br w:val="nil"/>
              <w:tr2bl w:val="nil"/>
            </w:tcBorders>
            <w:shd w:val="clear" w:color="auto" w:fill="auto"/>
            <w:vAlign w:val="center"/>
          </w:tcPr>
          <w:p w14:paraId="29D9BEE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26D472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温县陈家沟中国太极拳博物馆</w:t>
            </w:r>
          </w:p>
        </w:tc>
        <w:tc>
          <w:tcPr>
            <w:tcW w:w="1265" w:type="dxa"/>
            <w:tcBorders>
              <w:tl2br w:val="nil"/>
              <w:tr2bl w:val="nil"/>
            </w:tcBorders>
            <w:shd w:val="clear" w:color="auto" w:fill="auto"/>
            <w:vAlign w:val="center"/>
          </w:tcPr>
          <w:p w14:paraId="34C3D8B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769D31F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7F2EDF5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文化活动场所</w:t>
            </w:r>
          </w:p>
        </w:tc>
      </w:tr>
      <w:tr w14:paraId="584DC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E85CD7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312</w:t>
            </w:r>
          </w:p>
        </w:tc>
        <w:tc>
          <w:tcPr>
            <w:tcW w:w="874" w:type="dxa"/>
            <w:vMerge w:val="continue"/>
            <w:tcBorders>
              <w:tl2br w:val="nil"/>
              <w:tr2bl w:val="nil"/>
            </w:tcBorders>
            <w:shd w:val="clear" w:color="auto" w:fill="auto"/>
            <w:vAlign w:val="center"/>
          </w:tcPr>
          <w:p w14:paraId="2C342A22">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504A49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温县司马懿传说</w:t>
            </w:r>
          </w:p>
        </w:tc>
        <w:tc>
          <w:tcPr>
            <w:tcW w:w="1265" w:type="dxa"/>
            <w:tcBorders>
              <w:tl2br w:val="nil"/>
              <w:tr2bl w:val="nil"/>
            </w:tcBorders>
            <w:shd w:val="clear" w:color="auto" w:fill="auto"/>
            <w:vAlign w:val="center"/>
          </w:tcPr>
          <w:p w14:paraId="1EF595D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3195FEC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非物质类文化遗存</w:t>
            </w:r>
          </w:p>
        </w:tc>
        <w:tc>
          <w:tcPr>
            <w:tcW w:w="1614" w:type="dxa"/>
            <w:tcBorders>
              <w:tl2br w:val="nil"/>
              <w:tr2bl w:val="nil"/>
            </w:tcBorders>
            <w:shd w:val="clear" w:color="auto" w:fill="auto"/>
            <w:vAlign w:val="center"/>
          </w:tcPr>
          <w:p w14:paraId="1771C01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民间文学艺术</w:t>
            </w:r>
          </w:p>
        </w:tc>
      </w:tr>
      <w:tr w14:paraId="7E56F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3D4610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313</w:t>
            </w:r>
          </w:p>
        </w:tc>
        <w:tc>
          <w:tcPr>
            <w:tcW w:w="874" w:type="dxa"/>
            <w:vMerge w:val="continue"/>
            <w:tcBorders>
              <w:tl2br w:val="nil"/>
              <w:tr2bl w:val="nil"/>
            </w:tcBorders>
            <w:shd w:val="clear" w:color="auto" w:fill="auto"/>
            <w:vAlign w:val="center"/>
          </w:tcPr>
          <w:p w14:paraId="39CD6E78">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7DE391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温县陈氏太极拳梨花枪夹白猿棍拳法</w:t>
            </w:r>
          </w:p>
        </w:tc>
        <w:tc>
          <w:tcPr>
            <w:tcW w:w="1265" w:type="dxa"/>
            <w:tcBorders>
              <w:tl2br w:val="nil"/>
              <w:tr2bl w:val="nil"/>
            </w:tcBorders>
            <w:shd w:val="clear" w:color="auto" w:fill="auto"/>
            <w:vAlign w:val="center"/>
          </w:tcPr>
          <w:p w14:paraId="39AC25A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5D55BD2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非物质类文化遗存</w:t>
            </w:r>
          </w:p>
        </w:tc>
        <w:tc>
          <w:tcPr>
            <w:tcW w:w="1614" w:type="dxa"/>
            <w:tcBorders>
              <w:tl2br w:val="nil"/>
              <w:tr2bl w:val="nil"/>
            </w:tcBorders>
            <w:shd w:val="clear" w:color="auto" w:fill="auto"/>
            <w:vAlign w:val="center"/>
          </w:tcPr>
          <w:p w14:paraId="3AF352A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传统武术</w:t>
            </w:r>
          </w:p>
        </w:tc>
      </w:tr>
      <w:tr w14:paraId="408CD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D65CA8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314</w:t>
            </w:r>
          </w:p>
        </w:tc>
        <w:tc>
          <w:tcPr>
            <w:tcW w:w="874" w:type="dxa"/>
            <w:vMerge w:val="continue"/>
            <w:tcBorders>
              <w:tl2br w:val="nil"/>
              <w:tr2bl w:val="nil"/>
            </w:tcBorders>
            <w:shd w:val="clear" w:color="auto" w:fill="auto"/>
            <w:vAlign w:val="center"/>
          </w:tcPr>
          <w:p w14:paraId="6013DF40">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0C1C52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温县陈氏太极拳青龙偃月刀拳法</w:t>
            </w:r>
          </w:p>
        </w:tc>
        <w:tc>
          <w:tcPr>
            <w:tcW w:w="1265" w:type="dxa"/>
            <w:tcBorders>
              <w:tl2br w:val="nil"/>
              <w:tr2bl w:val="nil"/>
            </w:tcBorders>
            <w:shd w:val="clear" w:color="auto" w:fill="auto"/>
            <w:vAlign w:val="center"/>
          </w:tcPr>
          <w:p w14:paraId="45D0BCF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7694B9E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非物质类文化遗存</w:t>
            </w:r>
          </w:p>
        </w:tc>
        <w:tc>
          <w:tcPr>
            <w:tcW w:w="1614" w:type="dxa"/>
            <w:tcBorders>
              <w:tl2br w:val="nil"/>
              <w:tr2bl w:val="nil"/>
            </w:tcBorders>
            <w:shd w:val="clear" w:color="auto" w:fill="auto"/>
            <w:vAlign w:val="center"/>
          </w:tcPr>
          <w:p w14:paraId="5CBA774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传统武术</w:t>
            </w:r>
          </w:p>
        </w:tc>
      </w:tr>
      <w:tr w14:paraId="0E35D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5CCEFF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315</w:t>
            </w:r>
          </w:p>
        </w:tc>
        <w:tc>
          <w:tcPr>
            <w:tcW w:w="874" w:type="dxa"/>
            <w:vMerge w:val="continue"/>
            <w:tcBorders>
              <w:tl2br w:val="nil"/>
              <w:tr2bl w:val="nil"/>
            </w:tcBorders>
            <w:shd w:val="clear" w:color="auto" w:fill="auto"/>
            <w:vAlign w:val="center"/>
          </w:tcPr>
          <w:p w14:paraId="577BAE19">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1453FF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温县陈氏太极拳双人粘枪拳法</w:t>
            </w:r>
          </w:p>
        </w:tc>
        <w:tc>
          <w:tcPr>
            <w:tcW w:w="1265" w:type="dxa"/>
            <w:tcBorders>
              <w:tl2br w:val="nil"/>
              <w:tr2bl w:val="nil"/>
            </w:tcBorders>
            <w:shd w:val="clear" w:color="auto" w:fill="auto"/>
            <w:vAlign w:val="center"/>
          </w:tcPr>
          <w:p w14:paraId="3B26B94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72705A6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非物质类文化遗存</w:t>
            </w:r>
          </w:p>
        </w:tc>
        <w:tc>
          <w:tcPr>
            <w:tcW w:w="1614" w:type="dxa"/>
            <w:tcBorders>
              <w:tl2br w:val="nil"/>
              <w:tr2bl w:val="nil"/>
            </w:tcBorders>
            <w:shd w:val="clear" w:color="auto" w:fill="auto"/>
            <w:vAlign w:val="center"/>
          </w:tcPr>
          <w:p w14:paraId="64E577C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传统武术</w:t>
            </w:r>
          </w:p>
        </w:tc>
      </w:tr>
      <w:tr w14:paraId="68D30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894D8B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316</w:t>
            </w:r>
          </w:p>
        </w:tc>
        <w:tc>
          <w:tcPr>
            <w:tcW w:w="874" w:type="dxa"/>
            <w:vMerge w:val="continue"/>
            <w:tcBorders>
              <w:tl2br w:val="nil"/>
              <w:tr2bl w:val="nil"/>
            </w:tcBorders>
            <w:shd w:val="clear" w:color="auto" w:fill="auto"/>
            <w:vAlign w:val="center"/>
          </w:tcPr>
          <w:p w14:paraId="7C432502">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8E7DFB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温县陈氏太极拳太极双刀拳法</w:t>
            </w:r>
          </w:p>
        </w:tc>
        <w:tc>
          <w:tcPr>
            <w:tcW w:w="1265" w:type="dxa"/>
            <w:tcBorders>
              <w:tl2br w:val="nil"/>
              <w:tr2bl w:val="nil"/>
            </w:tcBorders>
            <w:shd w:val="clear" w:color="auto" w:fill="auto"/>
            <w:vAlign w:val="center"/>
          </w:tcPr>
          <w:p w14:paraId="59A120A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5EC030D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非物质类文化遗存</w:t>
            </w:r>
          </w:p>
        </w:tc>
        <w:tc>
          <w:tcPr>
            <w:tcW w:w="1614" w:type="dxa"/>
            <w:tcBorders>
              <w:tl2br w:val="nil"/>
              <w:tr2bl w:val="nil"/>
            </w:tcBorders>
            <w:shd w:val="clear" w:color="auto" w:fill="auto"/>
            <w:vAlign w:val="center"/>
          </w:tcPr>
          <w:p w14:paraId="56F1F68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传统武术</w:t>
            </w:r>
          </w:p>
        </w:tc>
      </w:tr>
      <w:tr w14:paraId="463B5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0491E5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317</w:t>
            </w:r>
          </w:p>
        </w:tc>
        <w:tc>
          <w:tcPr>
            <w:tcW w:w="874" w:type="dxa"/>
            <w:vMerge w:val="continue"/>
            <w:tcBorders>
              <w:tl2br w:val="nil"/>
              <w:tr2bl w:val="nil"/>
            </w:tcBorders>
            <w:shd w:val="clear" w:color="auto" w:fill="auto"/>
            <w:vAlign w:val="center"/>
          </w:tcPr>
          <w:p w14:paraId="2C102F17">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014548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温县陈氏太极拳太极单刀拳法</w:t>
            </w:r>
          </w:p>
        </w:tc>
        <w:tc>
          <w:tcPr>
            <w:tcW w:w="1265" w:type="dxa"/>
            <w:tcBorders>
              <w:tl2br w:val="nil"/>
              <w:tr2bl w:val="nil"/>
            </w:tcBorders>
            <w:shd w:val="clear" w:color="auto" w:fill="auto"/>
            <w:vAlign w:val="center"/>
          </w:tcPr>
          <w:p w14:paraId="6226D77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63B4652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非物质类文化遗存</w:t>
            </w:r>
          </w:p>
        </w:tc>
        <w:tc>
          <w:tcPr>
            <w:tcW w:w="1614" w:type="dxa"/>
            <w:tcBorders>
              <w:tl2br w:val="nil"/>
              <w:tr2bl w:val="nil"/>
            </w:tcBorders>
            <w:shd w:val="clear" w:color="auto" w:fill="auto"/>
            <w:vAlign w:val="center"/>
          </w:tcPr>
          <w:p w14:paraId="33AC177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传统武术</w:t>
            </w:r>
          </w:p>
        </w:tc>
      </w:tr>
      <w:tr w14:paraId="617F9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B86BE6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318</w:t>
            </w:r>
          </w:p>
        </w:tc>
        <w:tc>
          <w:tcPr>
            <w:tcW w:w="874" w:type="dxa"/>
            <w:vMerge w:val="continue"/>
            <w:tcBorders>
              <w:tl2br w:val="nil"/>
              <w:tr2bl w:val="nil"/>
            </w:tcBorders>
            <w:shd w:val="clear" w:color="auto" w:fill="auto"/>
            <w:vAlign w:val="center"/>
          </w:tcPr>
          <w:p w14:paraId="5A4DE93B">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3AA94C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温县徐堡古城址</w:t>
            </w:r>
          </w:p>
        </w:tc>
        <w:tc>
          <w:tcPr>
            <w:tcW w:w="1265" w:type="dxa"/>
            <w:tcBorders>
              <w:tl2br w:val="nil"/>
              <w:tr2bl w:val="nil"/>
            </w:tcBorders>
            <w:shd w:val="clear" w:color="auto" w:fill="auto"/>
            <w:vAlign w:val="center"/>
          </w:tcPr>
          <w:p w14:paraId="669576D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545AA3C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515C8E8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早期文明遗存</w:t>
            </w:r>
          </w:p>
        </w:tc>
      </w:tr>
      <w:tr w14:paraId="46C9D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76241B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319</w:t>
            </w:r>
          </w:p>
        </w:tc>
        <w:tc>
          <w:tcPr>
            <w:tcW w:w="874" w:type="dxa"/>
            <w:vMerge w:val="continue"/>
            <w:tcBorders>
              <w:tl2br w:val="nil"/>
              <w:tr2bl w:val="nil"/>
            </w:tcBorders>
            <w:shd w:val="clear" w:color="auto" w:fill="auto"/>
            <w:vAlign w:val="center"/>
          </w:tcPr>
          <w:p w14:paraId="27DBF49B">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943680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温县黄河滩湿地</w:t>
            </w:r>
          </w:p>
        </w:tc>
        <w:tc>
          <w:tcPr>
            <w:tcW w:w="1265" w:type="dxa"/>
            <w:tcBorders>
              <w:tl2br w:val="nil"/>
              <w:tr2bl w:val="nil"/>
            </w:tcBorders>
            <w:shd w:val="clear" w:color="auto" w:fill="auto"/>
            <w:vAlign w:val="center"/>
          </w:tcPr>
          <w:p w14:paraId="6C919C6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47A8CE0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湖沼</w:t>
            </w:r>
          </w:p>
        </w:tc>
        <w:tc>
          <w:tcPr>
            <w:tcW w:w="1614" w:type="dxa"/>
            <w:tcBorders>
              <w:tl2br w:val="nil"/>
              <w:tr2bl w:val="nil"/>
            </w:tcBorders>
            <w:shd w:val="clear" w:color="auto" w:fill="auto"/>
            <w:vAlign w:val="center"/>
          </w:tcPr>
          <w:p w14:paraId="0890EF4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湿地</w:t>
            </w:r>
          </w:p>
        </w:tc>
      </w:tr>
      <w:tr w14:paraId="27E7D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3F1ACA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320</w:t>
            </w:r>
          </w:p>
        </w:tc>
        <w:tc>
          <w:tcPr>
            <w:tcW w:w="874" w:type="dxa"/>
            <w:vMerge w:val="restart"/>
            <w:tcBorders>
              <w:tl2br w:val="nil"/>
              <w:tr2bl w:val="nil"/>
            </w:tcBorders>
            <w:shd w:val="clear" w:color="auto" w:fill="auto"/>
            <w:vAlign w:val="center"/>
          </w:tcPr>
          <w:p w14:paraId="07EF54B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沁阳市</w:t>
            </w:r>
          </w:p>
        </w:tc>
        <w:tc>
          <w:tcPr>
            <w:tcW w:w="3438" w:type="dxa"/>
            <w:tcBorders>
              <w:tl2br w:val="nil"/>
              <w:tr2bl w:val="nil"/>
            </w:tcBorders>
            <w:shd w:val="clear" w:color="auto" w:fill="auto"/>
            <w:vAlign w:val="center"/>
          </w:tcPr>
          <w:p w14:paraId="7270FE2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沁阳赵寨千亩花海</w:t>
            </w:r>
          </w:p>
        </w:tc>
        <w:tc>
          <w:tcPr>
            <w:tcW w:w="1265" w:type="dxa"/>
            <w:tcBorders>
              <w:tl2br w:val="nil"/>
              <w:tr2bl w:val="nil"/>
            </w:tcBorders>
            <w:shd w:val="clear" w:color="auto" w:fill="auto"/>
            <w:vAlign w:val="center"/>
          </w:tcPr>
          <w:p w14:paraId="4AA73E3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197A54C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07B9D3D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景观农田</w:t>
            </w:r>
          </w:p>
        </w:tc>
      </w:tr>
      <w:tr w14:paraId="3AE9A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886B44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321</w:t>
            </w:r>
          </w:p>
        </w:tc>
        <w:tc>
          <w:tcPr>
            <w:tcW w:w="874" w:type="dxa"/>
            <w:vMerge w:val="continue"/>
            <w:tcBorders>
              <w:tl2br w:val="nil"/>
              <w:tr2bl w:val="nil"/>
            </w:tcBorders>
            <w:shd w:val="clear" w:color="auto" w:fill="auto"/>
            <w:vAlign w:val="center"/>
          </w:tcPr>
          <w:p w14:paraId="231947D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CFC279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丁向峰</w:t>
            </w:r>
          </w:p>
        </w:tc>
        <w:tc>
          <w:tcPr>
            <w:tcW w:w="1265" w:type="dxa"/>
            <w:tcBorders>
              <w:tl2br w:val="nil"/>
              <w:tr2bl w:val="nil"/>
            </w:tcBorders>
            <w:shd w:val="clear" w:color="auto" w:fill="auto"/>
            <w:vAlign w:val="center"/>
          </w:tcPr>
          <w:p w14:paraId="72BD35A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5675E57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人事活动记录</w:t>
            </w:r>
          </w:p>
        </w:tc>
        <w:tc>
          <w:tcPr>
            <w:tcW w:w="1614" w:type="dxa"/>
            <w:tcBorders>
              <w:tl2br w:val="nil"/>
              <w:tr2bl w:val="nil"/>
            </w:tcBorders>
            <w:shd w:val="clear" w:color="auto" w:fill="auto"/>
            <w:vAlign w:val="center"/>
          </w:tcPr>
          <w:p w14:paraId="4D380BF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地方人物</w:t>
            </w:r>
          </w:p>
        </w:tc>
      </w:tr>
      <w:tr w14:paraId="0D4EF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E62F59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322</w:t>
            </w:r>
          </w:p>
        </w:tc>
        <w:tc>
          <w:tcPr>
            <w:tcW w:w="874" w:type="dxa"/>
            <w:vMerge w:val="continue"/>
            <w:tcBorders>
              <w:tl2br w:val="nil"/>
              <w:tr2bl w:val="nil"/>
            </w:tcBorders>
            <w:shd w:val="clear" w:color="auto" w:fill="auto"/>
            <w:vAlign w:val="center"/>
          </w:tcPr>
          <w:p w14:paraId="4F1B2C56">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C88126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董国庆</w:t>
            </w:r>
          </w:p>
        </w:tc>
        <w:tc>
          <w:tcPr>
            <w:tcW w:w="1265" w:type="dxa"/>
            <w:tcBorders>
              <w:tl2br w:val="nil"/>
              <w:tr2bl w:val="nil"/>
            </w:tcBorders>
            <w:shd w:val="clear" w:color="auto" w:fill="auto"/>
            <w:vAlign w:val="center"/>
          </w:tcPr>
          <w:p w14:paraId="2683E54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310AEE9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人事活动记录</w:t>
            </w:r>
          </w:p>
        </w:tc>
        <w:tc>
          <w:tcPr>
            <w:tcW w:w="1614" w:type="dxa"/>
            <w:tcBorders>
              <w:tl2br w:val="nil"/>
              <w:tr2bl w:val="nil"/>
            </w:tcBorders>
            <w:shd w:val="clear" w:color="auto" w:fill="auto"/>
            <w:vAlign w:val="center"/>
          </w:tcPr>
          <w:p w14:paraId="536BD93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地方人物</w:t>
            </w:r>
          </w:p>
        </w:tc>
      </w:tr>
      <w:tr w14:paraId="55D29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D8DE4A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323</w:t>
            </w:r>
          </w:p>
        </w:tc>
        <w:tc>
          <w:tcPr>
            <w:tcW w:w="874" w:type="dxa"/>
            <w:vMerge w:val="continue"/>
            <w:tcBorders>
              <w:tl2br w:val="nil"/>
              <w:tr2bl w:val="nil"/>
            </w:tcBorders>
            <w:shd w:val="clear" w:color="auto" w:fill="auto"/>
            <w:vAlign w:val="center"/>
          </w:tcPr>
          <w:p w14:paraId="4AFCB42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A4443D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成文生</w:t>
            </w:r>
          </w:p>
        </w:tc>
        <w:tc>
          <w:tcPr>
            <w:tcW w:w="1265" w:type="dxa"/>
            <w:tcBorders>
              <w:tl2br w:val="nil"/>
              <w:tr2bl w:val="nil"/>
            </w:tcBorders>
            <w:shd w:val="clear" w:color="auto" w:fill="auto"/>
            <w:vAlign w:val="center"/>
          </w:tcPr>
          <w:p w14:paraId="4AEE575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3B237AC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人事活动记录</w:t>
            </w:r>
          </w:p>
        </w:tc>
        <w:tc>
          <w:tcPr>
            <w:tcW w:w="1614" w:type="dxa"/>
            <w:tcBorders>
              <w:tl2br w:val="nil"/>
              <w:tr2bl w:val="nil"/>
            </w:tcBorders>
            <w:shd w:val="clear" w:color="auto" w:fill="auto"/>
            <w:vAlign w:val="center"/>
          </w:tcPr>
          <w:p w14:paraId="1AB0D5C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地方人物</w:t>
            </w:r>
          </w:p>
        </w:tc>
      </w:tr>
      <w:tr w14:paraId="26CE0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BD5B2F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324</w:t>
            </w:r>
          </w:p>
        </w:tc>
        <w:tc>
          <w:tcPr>
            <w:tcW w:w="874" w:type="dxa"/>
            <w:vMerge w:val="continue"/>
            <w:tcBorders>
              <w:tl2br w:val="nil"/>
              <w:tr2bl w:val="nil"/>
            </w:tcBorders>
            <w:shd w:val="clear" w:color="auto" w:fill="auto"/>
            <w:vAlign w:val="center"/>
          </w:tcPr>
          <w:p w14:paraId="6AAF2A80">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53D142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邓宏礼</w:t>
            </w:r>
          </w:p>
        </w:tc>
        <w:tc>
          <w:tcPr>
            <w:tcW w:w="1265" w:type="dxa"/>
            <w:tcBorders>
              <w:tl2br w:val="nil"/>
              <w:tr2bl w:val="nil"/>
            </w:tcBorders>
            <w:shd w:val="clear" w:color="auto" w:fill="auto"/>
            <w:vAlign w:val="center"/>
          </w:tcPr>
          <w:p w14:paraId="1E4E53E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189026E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人事活动记录</w:t>
            </w:r>
          </w:p>
        </w:tc>
        <w:tc>
          <w:tcPr>
            <w:tcW w:w="1614" w:type="dxa"/>
            <w:tcBorders>
              <w:tl2br w:val="nil"/>
              <w:tr2bl w:val="nil"/>
            </w:tcBorders>
            <w:shd w:val="clear" w:color="auto" w:fill="auto"/>
            <w:vAlign w:val="center"/>
          </w:tcPr>
          <w:p w14:paraId="4C7F8B5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地方人物</w:t>
            </w:r>
          </w:p>
        </w:tc>
      </w:tr>
      <w:tr w14:paraId="4415F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515E39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325</w:t>
            </w:r>
          </w:p>
        </w:tc>
        <w:tc>
          <w:tcPr>
            <w:tcW w:w="874" w:type="dxa"/>
            <w:vMerge w:val="continue"/>
            <w:tcBorders>
              <w:tl2br w:val="nil"/>
              <w:tr2bl w:val="nil"/>
            </w:tcBorders>
            <w:shd w:val="clear" w:color="auto" w:fill="auto"/>
            <w:vAlign w:val="center"/>
          </w:tcPr>
          <w:p w14:paraId="5B41F3C5">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622A9A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王亮亮</w:t>
            </w:r>
          </w:p>
        </w:tc>
        <w:tc>
          <w:tcPr>
            <w:tcW w:w="1265" w:type="dxa"/>
            <w:tcBorders>
              <w:tl2br w:val="nil"/>
              <w:tr2bl w:val="nil"/>
            </w:tcBorders>
            <w:shd w:val="clear" w:color="auto" w:fill="auto"/>
            <w:vAlign w:val="center"/>
          </w:tcPr>
          <w:p w14:paraId="5CD2C7B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02E2B40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人事活动记录</w:t>
            </w:r>
          </w:p>
        </w:tc>
        <w:tc>
          <w:tcPr>
            <w:tcW w:w="1614" w:type="dxa"/>
            <w:tcBorders>
              <w:tl2br w:val="nil"/>
              <w:tr2bl w:val="nil"/>
            </w:tcBorders>
            <w:shd w:val="clear" w:color="auto" w:fill="auto"/>
            <w:vAlign w:val="center"/>
          </w:tcPr>
          <w:p w14:paraId="2034BFF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地方人物</w:t>
            </w:r>
          </w:p>
        </w:tc>
      </w:tr>
      <w:tr w14:paraId="10139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8A6C7A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326</w:t>
            </w:r>
          </w:p>
        </w:tc>
        <w:tc>
          <w:tcPr>
            <w:tcW w:w="874" w:type="dxa"/>
            <w:vMerge w:val="continue"/>
            <w:tcBorders>
              <w:tl2br w:val="nil"/>
              <w:tr2bl w:val="nil"/>
            </w:tcBorders>
            <w:shd w:val="clear" w:color="auto" w:fill="auto"/>
            <w:vAlign w:val="center"/>
          </w:tcPr>
          <w:p w14:paraId="6399CF72">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FC97EC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陈来华</w:t>
            </w:r>
          </w:p>
        </w:tc>
        <w:tc>
          <w:tcPr>
            <w:tcW w:w="1265" w:type="dxa"/>
            <w:tcBorders>
              <w:tl2br w:val="nil"/>
              <w:tr2bl w:val="nil"/>
            </w:tcBorders>
            <w:shd w:val="clear" w:color="auto" w:fill="auto"/>
            <w:vAlign w:val="center"/>
          </w:tcPr>
          <w:p w14:paraId="1DB2788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0356653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人事活动记录</w:t>
            </w:r>
          </w:p>
        </w:tc>
        <w:tc>
          <w:tcPr>
            <w:tcW w:w="1614" w:type="dxa"/>
            <w:tcBorders>
              <w:tl2br w:val="nil"/>
              <w:tr2bl w:val="nil"/>
            </w:tcBorders>
            <w:shd w:val="clear" w:color="auto" w:fill="auto"/>
            <w:vAlign w:val="center"/>
          </w:tcPr>
          <w:p w14:paraId="5F0F9CB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地方人物</w:t>
            </w:r>
          </w:p>
        </w:tc>
      </w:tr>
      <w:tr w14:paraId="2FA04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4541ED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327</w:t>
            </w:r>
          </w:p>
        </w:tc>
        <w:tc>
          <w:tcPr>
            <w:tcW w:w="874" w:type="dxa"/>
            <w:vMerge w:val="continue"/>
            <w:tcBorders>
              <w:tl2br w:val="nil"/>
              <w:tr2bl w:val="nil"/>
            </w:tcBorders>
            <w:shd w:val="clear" w:color="auto" w:fill="auto"/>
            <w:vAlign w:val="center"/>
          </w:tcPr>
          <w:p w14:paraId="22B5D9B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6BE32C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靳丽萍</w:t>
            </w:r>
          </w:p>
        </w:tc>
        <w:tc>
          <w:tcPr>
            <w:tcW w:w="1265" w:type="dxa"/>
            <w:tcBorders>
              <w:tl2br w:val="nil"/>
              <w:tr2bl w:val="nil"/>
            </w:tcBorders>
            <w:shd w:val="clear" w:color="auto" w:fill="auto"/>
            <w:vAlign w:val="center"/>
          </w:tcPr>
          <w:p w14:paraId="6A94522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57D4199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人事活动记录</w:t>
            </w:r>
          </w:p>
        </w:tc>
        <w:tc>
          <w:tcPr>
            <w:tcW w:w="1614" w:type="dxa"/>
            <w:tcBorders>
              <w:tl2br w:val="nil"/>
              <w:tr2bl w:val="nil"/>
            </w:tcBorders>
            <w:shd w:val="clear" w:color="auto" w:fill="auto"/>
            <w:vAlign w:val="center"/>
          </w:tcPr>
          <w:p w14:paraId="0780ED6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地方人物</w:t>
            </w:r>
          </w:p>
        </w:tc>
      </w:tr>
      <w:tr w14:paraId="297D8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77EF8C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328</w:t>
            </w:r>
          </w:p>
        </w:tc>
        <w:tc>
          <w:tcPr>
            <w:tcW w:w="874" w:type="dxa"/>
            <w:vMerge w:val="continue"/>
            <w:tcBorders>
              <w:tl2br w:val="nil"/>
              <w:tr2bl w:val="nil"/>
            </w:tcBorders>
            <w:shd w:val="clear" w:color="auto" w:fill="auto"/>
            <w:vAlign w:val="center"/>
          </w:tcPr>
          <w:p w14:paraId="6FB0560D">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4727D4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沁阳神农山绝壁断层崖</w:t>
            </w:r>
          </w:p>
        </w:tc>
        <w:tc>
          <w:tcPr>
            <w:tcW w:w="1265" w:type="dxa"/>
            <w:tcBorders>
              <w:tl2br w:val="nil"/>
              <w:tr2bl w:val="nil"/>
            </w:tcBorders>
            <w:shd w:val="clear" w:color="auto" w:fill="auto"/>
            <w:vAlign w:val="center"/>
          </w:tcPr>
          <w:p w14:paraId="5F27BB2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44321FB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地质与构造形迹</w:t>
            </w:r>
          </w:p>
        </w:tc>
        <w:tc>
          <w:tcPr>
            <w:tcW w:w="1614" w:type="dxa"/>
            <w:tcBorders>
              <w:tl2br w:val="nil"/>
              <w:tr2bl w:val="nil"/>
            </w:tcBorders>
            <w:shd w:val="clear" w:color="auto" w:fill="auto"/>
            <w:vAlign w:val="center"/>
          </w:tcPr>
          <w:p w14:paraId="56C01F3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地层剖面</w:t>
            </w:r>
          </w:p>
        </w:tc>
      </w:tr>
      <w:tr w14:paraId="07AE0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613567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329</w:t>
            </w:r>
          </w:p>
        </w:tc>
        <w:tc>
          <w:tcPr>
            <w:tcW w:w="874" w:type="dxa"/>
            <w:vMerge w:val="continue"/>
            <w:tcBorders>
              <w:tl2br w:val="nil"/>
              <w:tr2bl w:val="nil"/>
            </w:tcBorders>
            <w:shd w:val="clear" w:color="auto" w:fill="auto"/>
            <w:vAlign w:val="center"/>
          </w:tcPr>
          <w:p w14:paraId="4DCFB8A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6E1F3F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沁阳神农山34亿年锆石采集地</w:t>
            </w:r>
          </w:p>
        </w:tc>
        <w:tc>
          <w:tcPr>
            <w:tcW w:w="1265" w:type="dxa"/>
            <w:tcBorders>
              <w:tl2br w:val="nil"/>
              <w:tr2bl w:val="nil"/>
            </w:tcBorders>
            <w:shd w:val="clear" w:color="auto" w:fill="auto"/>
            <w:vAlign w:val="center"/>
          </w:tcPr>
          <w:p w14:paraId="1BDFD24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494BE1A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地质与构造形迹</w:t>
            </w:r>
          </w:p>
        </w:tc>
        <w:tc>
          <w:tcPr>
            <w:tcW w:w="1614" w:type="dxa"/>
            <w:tcBorders>
              <w:tl2br w:val="nil"/>
              <w:tr2bl w:val="nil"/>
            </w:tcBorders>
            <w:shd w:val="clear" w:color="auto" w:fill="auto"/>
            <w:vAlign w:val="center"/>
          </w:tcPr>
          <w:p w14:paraId="026A74A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生物化石点</w:t>
            </w:r>
          </w:p>
        </w:tc>
      </w:tr>
      <w:tr w14:paraId="1C0B7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C8CD00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330</w:t>
            </w:r>
          </w:p>
        </w:tc>
        <w:tc>
          <w:tcPr>
            <w:tcW w:w="874" w:type="dxa"/>
            <w:vMerge w:val="continue"/>
            <w:tcBorders>
              <w:tl2br w:val="nil"/>
              <w:tr2bl w:val="nil"/>
            </w:tcBorders>
            <w:shd w:val="clear" w:color="auto" w:fill="auto"/>
            <w:vAlign w:val="center"/>
          </w:tcPr>
          <w:p w14:paraId="5345F658">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5CEEDB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沁阳神农山窄涧谷真谷寺太平摩崖千佛洞</w:t>
            </w:r>
          </w:p>
        </w:tc>
        <w:tc>
          <w:tcPr>
            <w:tcW w:w="1265" w:type="dxa"/>
            <w:tcBorders>
              <w:tl2br w:val="nil"/>
              <w:tr2bl w:val="nil"/>
            </w:tcBorders>
            <w:shd w:val="clear" w:color="auto" w:fill="auto"/>
            <w:vAlign w:val="center"/>
          </w:tcPr>
          <w:p w14:paraId="184A4E2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2FAB905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03F2F95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洞窟</w:t>
            </w:r>
          </w:p>
        </w:tc>
      </w:tr>
      <w:tr w14:paraId="06827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EEE328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331</w:t>
            </w:r>
          </w:p>
        </w:tc>
        <w:tc>
          <w:tcPr>
            <w:tcW w:w="874" w:type="dxa"/>
            <w:vMerge w:val="continue"/>
            <w:tcBorders>
              <w:tl2br w:val="nil"/>
              <w:tr2bl w:val="nil"/>
            </w:tcBorders>
            <w:shd w:val="clear" w:color="auto" w:fill="auto"/>
            <w:vAlign w:val="center"/>
          </w:tcPr>
          <w:p w14:paraId="490A5FE8">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D554ED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沁阳“怀府印象”文旅融合体验中心</w:t>
            </w:r>
          </w:p>
        </w:tc>
        <w:tc>
          <w:tcPr>
            <w:tcW w:w="1265" w:type="dxa"/>
            <w:tcBorders>
              <w:tl2br w:val="nil"/>
              <w:tr2bl w:val="nil"/>
            </w:tcBorders>
            <w:shd w:val="clear" w:color="auto" w:fill="auto"/>
            <w:vAlign w:val="center"/>
          </w:tcPr>
          <w:p w14:paraId="428C684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02958F5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64D29E6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文化活动场所</w:t>
            </w:r>
          </w:p>
        </w:tc>
      </w:tr>
      <w:tr w14:paraId="1FEF2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D58816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332</w:t>
            </w:r>
          </w:p>
        </w:tc>
        <w:tc>
          <w:tcPr>
            <w:tcW w:w="874" w:type="dxa"/>
            <w:vMerge w:val="continue"/>
            <w:tcBorders>
              <w:tl2br w:val="nil"/>
              <w:tr2bl w:val="nil"/>
            </w:tcBorders>
            <w:shd w:val="clear" w:color="auto" w:fill="auto"/>
            <w:vAlign w:val="center"/>
          </w:tcPr>
          <w:p w14:paraId="615AA5E3">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3A2A75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沁阳逍遥湖</w:t>
            </w:r>
          </w:p>
        </w:tc>
        <w:tc>
          <w:tcPr>
            <w:tcW w:w="1265" w:type="dxa"/>
            <w:tcBorders>
              <w:tl2br w:val="nil"/>
              <w:tr2bl w:val="nil"/>
            </w:tcBorders>
            <w:shd w:val="clear" w:color="auto" w:fill="auto"/>
            <w:vAlign w:val="center"/>
          </w:tcPr>
          <w:p w14:paraId="3FE09D5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0DE892F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湖沼</w:t>
            </w:r>
          </w:p>
        </w:tc>
        <w:tc>
          <w:tcPr>
            <w:tcW w:w="1614" w:type="dxa"/>
            <w:tcBorders>
              <w:tl2br w:val="nil"/>
              <w:tr2bl w:val="nil"/>
            </w:tcBorders>
            <w:shd w:val="clear" w:color="auto" w:fill="auto"/>
            <w:vAlign w:val="center"/>
          </w:tcPr>
          <w:p w14:paraId="60BBC2F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游憩湖区</w:t>
            </w:r>
          </w:p>
        </w:tc>
      </w:tr>
      <w:tr w14:paraId="5C5AC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02C9FE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333</w:t>
            </w:r>
          </w:p>
        </w:tc>
        <w:tc>
          <w:tcPr>
            <w:tcW w:w="874" w:type="dxa"/>
            <w:vMerge w:val="continue"/>
            <w:tcBorders>
              <w:tl2br w:val="nil"/>
              <w:tr2bl w:val="nil"/>
            </w:tcBorders>
            <w:shd w:val="clear" w:color="auto" w:fill="auto"/>
            <w:vAlign w:val="center"/>
          </w:tcPr>
          <w:p w14:paraId="7032ABD5">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E9546E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沁阳博物馆明“日月”铜菩萨</w:t>
            </w:r>
          </w:p>
        </w:tc>
        <w:tc>
          <w:tcPr>
            <w:tcW w:w="1265" w:type="dxa"/>
            <w:tcBorders>
              <w:tl2br w:val="nil"/>
              <w:tr2bl w:val="nil"/>
            </w:tcBorders>
            <w:shd w:val="clear" w:color="auto" w:fill="auto"/>
            <w:vAlign w:val="center"/>
          </w:tcPr>
          <w:p w14:paraId="4D7A842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10BAFAD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73F3FCD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可移动文物</w:t>
            </w:r>
          </w:p>
        </w:tc>
      </w:tr>
      <w:tr w14:paraId="53122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DF44C4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334</w:t>
            </w:r>
          </w:p>
        </w:tc>
        <w:tc>
          <w:tcPr>
            <w:tcW w:w="874" w:type="dxa"/>
            <w:vMerge w:val="continue"/>
            <w:tcBorders>
              <w:tl2br w:val="nil"/>
              <w:tr2bl w:val="nil"/>
            </w:tcBorders>
            <w:shd w:val="clear" w:color="auto" w:fill="auto"/>
            <w:vAlign w:val="center"/>
          </w:tcPr>
          <w:p w14:paraId="36C349DB">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A49400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沁阳丹河峡谷三佛峰</w:t>
            </w:r>
          </w:p>
        </w:tc>
        <w:tc>
          <w:tcPr>
            <w:tcW w:w="1265" w:type="dxa"/>
            <w:tcBorders>
              <w:tl2br w:val="nil"/>
              <w:tr2bl w:val="nil"/>
            </w:tcBorders>
            <w:shd w:val="clear" w:color="auto" w:fill="auto"/>
            <w:vAlign w:val="center"/>
          </w:tcPr>
          <w:p w14:paraId="0218C88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5DCF3A1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7FCE951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奇特与象形山石</w:t>
            </w:r>
          </w:p>
        </w:tc>
      </w:tr>
      <w:tr w14:paraId="3B2C4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DDC45A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335</w:t>
            </w:r>
          </w:p>
        </w:tc>
        <w:tc>
          <w:tcPr>
            <w:tcW w:w="874" w:type="dxa"/>
            <w:vMerge w:val="continue"/>
            <w:tcBorders>
              <w:tl2br w:val="nil"/>
              <w:tr2bl w:val="nil"/>
            </w:tcBorders>
            <w:shd w:val="clear" w:color="auto" w:fill="auto"/>
            <w:vAlign w:val="center"/>
          </w:tcPr>
          <w:p w14:paraId="322D1F6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BC6B99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沁阳神农山神女峡嶂谷</w:t>
            </w:r>
          </w:p>
        </w:tc>
        <w:tc>
          <w:tcPr>
            <w:tcW w:w="1265" w:type="dxa"/>
            <w:tcBorders>
              <w:tl2br w:val="nil"/>
              <w:tr2bl w:val="nil"/>
            </w:tcBorders>
            <w:shd w:val="clear" w:color="auto" w:fill="auto"/>
            <w:vAlign w:val="center"/>
          </w:tcPr>
          <w:p w14:paraId="4A2B91D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589F750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自然景观综合体</w:t>
            </w:r>
          </w:p>
        </w:tc>
        <w:tc>
          <w:tcPr>
            <w:tcW w:w="1614" w:type="dxa"/>
            <w:tcBorders>
              <w:tl2br w:val="nil"/>
              <w:tr2bl w:val="nil"/>
            </w:tcBorders>
            <w:shd w:val="clear" w:color="auto" w:fill="auto"/>
            <w:vAlign w:val="center"/>
          </w:tcPr>
          <w:p w14:paraId="3547EFB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沟谷型景观</w:t>
            </w:r>
          </w:p>
        </w:tc>
      </w:tr>
      <w:tr w14:paraId="6DE9D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A23572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336</w:t>
            </w:r>
          </w:p>
        </w:tc>
        <w:tc>
          <w:tcPr>
            <w:tcW w:w="874" w:type="dxa"/>
            <w:vMerge w:val="continue"/>
            <w:tcBorders>
              <w:tl2br w:val="nil"/>
              <w:tr2bl w:val="nil"/>
            </w:tcBorders>
            <w:shd w:val="clear" w:color="auto" w:fill="auto"/>
            <w:vAlign w:val="center"/>
          </w:tcPr>
          <w:p w14:paraId="3B0E8D9D">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77E7FC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沁阳神农山神女峡瓮谷</w:t>
            </w:r>
          </w:p>
        </w:tc>
        <w:tc>
          <w:tcPr>
            <w:tcW w:w="1265" w:type="dxa"/>
            <w:tcBorders>
              <w:tl2br w:val="nil"/>
              <w:tr2bl w:val="nil"/>
            </w:tcBorders>
            <w:shd w:val="clear" w:color="auto" w:fill="auto"/>
            <w:vAlign w:val="center"/>
          </w:tcPr>
          <w:p w14:paraId="2F6A912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0B23180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自然景观综合体</w:t>
            </w:r>
          </w:p>
        </w:tc>
        <w:tc>
          <w:tcPr>
            <w:tcW w:w="1614" w:type="dxa"/>
            <w:tcBorders>
              <w:tl2br w:val="nil"/>
              <w:tr2bl w:val="nil"/>
            </w:tcBorders>
            <w:shd w:val="clear" w:color="auto" w:fill="auto"/>
            <w:vAlign w:val="center"/>
          </w:tcPr>
          <w:p w14:paraId="46201F5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沟谷型景观</w:t>
            </w:r>
          </w:p>
        </w:tc>
      </w:tr>
      <w:tr w14:paraId="11A44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D07087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337</w:t>
            </w:r>
          </w:p>
        </w:tc>
        <w:tc>
          <w:tcPr>
            <w:tcW w:w="874" w:type="dxa"/>
            <w:vMerge w:val="continue"/>
            <w:tcBorders>
              <w:tl2br w:val="nil"/>
              <w:tr2bl w:val="nil"/>
            </w:tcBorders>
            <w:shd w:val="clear" w:color="auto" w:fill="auto"/>
            <w:vAlign w:val="center"/>
          </w:tcPr>
          <w:p w14:paraId="0C3B68D0">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A13FD8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沁阳神农山神女峡神女飞瀑</w:t>
            </w:r>
          </w:p>
        </w:tc>
        <w:tc>
          <w:tcPr>
            <w:tcW w:w="1265" w:type="dxa"/>
            <w:tcBorders>
              <w:tl2br w:val="nil"/>
              <w:tr2bl w:val="nil"/>
            </w:tcBorders>
            <w:shd w:val="clear" w:color="auto" w:fill="auto"/>
            <w:vAlign w:val="center"/>
          </w:tcPr>
          <w:p w14:paraId="6D5FE37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39CD02D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5AE8529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瀑布</w:t>
            </w:r>
          </w:p>
        </w:tc>
      </w:tr>
      <w:tr w14:paraId="6CC51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14A87B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338</w:t>
            </w:r>
          </w:p>
        </w:tc>
        <w:tc>
          <w:tcPr>
            <w:tcW w:w="874" w:type="dxa"/>
            <w:vMerge w:val="continue"/>
            <w:tcBorders>
              <w:tl2br w:val="nil"/>
              <w:tr2bl w:val="nil"/>
            </w:tcBorders>
            <w:shd w:val="clear" w:color="auto" w:fill="auto"/>
            <w:vAlign w:val="center"/>
          </w:tcPr>
          <w:p w14:paraId="3773A54C">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2E7FD7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丹河沁阳段</w:t>
            </w:r>
          </w:p>
        </w:tc>
        <w:tc>
          <w:tcPr>
            <w:tcW w:w="1265" w:type="dxa"/>
            <w:tcBorders>
              <w:tl2br w:val="nil"/>
              <w:tr2bl w:val="nil"/>
            </w:tcBorders>
            <w:shd w:val="clear" w:color="auto" w:fill="auto"/>
            <w:vAlign w:val="center"/>
          </w:tcPr>
          <w:p w14:paraId="7CC9B3D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45CF1C5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2710328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游憩河段</w:t>
            </w:r>
          </w:p>
        </w:tc>
      </w:tr>
      <w:tr w14:paraId="21E48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3EFF1E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339</w:t>
            </w:r>
          </w:p>
        </w:tc>
        <w:tc>
          <w:tcPr>
            <w:tcW w:w="874" w:type="dxa"/>
            <w:vMerge w:val="continue"/>
            <w:tcBorders>
              <w:tl2br w:val="nil"/>
              <w:tr2bl w:val="nil"/>
            </w:tcBorders>
            <w:shd w:val="clear" w:color="auto" w:fill="auto"/>
            <w:vAlign w:val="center"/>
          </w:tcPr>
          <w:p w14:paraId="250660B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7B8E02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沁阳神农山朝霞</w:t>
            </w:r>
          </w:p>
        </w:tc>
        <w:tc>
          <w:tcPr>
            <w:tcW w:w="1265" w:type="dxa"/>
            <w:tcBorders>
              <w:tl2br w:val="nil"/>
              <w:tr2bl w:val="nil"/>
            </w:tcBorders>
            <w:shd w:val="clear" w:color="auto" w:fill="auto"/>
            <w:vAlign w:val="center"/>
          </w:tcPr>
          <w:p w14:paraId="1A10D7E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天象与气候景观</w:t>
            </w:r>
          </w:p>
        </w:tc>
        <w:tc>
          <w:tcPr>
            <w:tcW w:w="1241" w:type="dxa"/>
            <w:tcBorders>
              <w:tl2br w:val="nil"/>
              <w:tr2bl w:val="nil"/>
            </w:tcBorders>
            <w:shd w:val="clear" w:color="auto" w:fill="auto"/>
            <w:vAlign w:val="center"/>
          </w:tcPr>
          <w:p w14:paraId="6763300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天象景观</w:t>
            </w:r>
          </w:p>
        </w:tc>
        <w:tc>
          <w:tcPr>
            <w:tcW w:w="1614" w:type="dxa"/>
            <w:tcBorders>
              <w:tl2br w:val="nil"/>
              <w:tr2bl w:val="nil"/>
            </w:tcBorders>
            <w:shd w:val="clear" w:color="auto" w:fill="auto"/>
            <w:vAlign w:val="center"/>
          </w:tcPr>
          <w:p w14:paraId="78AA549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地表光现象</w:t>
            </w:r>
          </w:p>
        </w:tc>
      </w:tr>
      <w:tr w14:paraId="36E29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A875EE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340</w:t>
            </w:r>
          </w:p>
        </w:tc>
        <w:tc>
          <w:tcPr>
            <w:tcW w:w="874" w:type="dxa"/>
            <w:vMerge w:val="continue"/>
            <w:tcBorders>
              <w:tl2br w:val="nil"/>
              <w:tr2bl w:val="nil"/>
            </w:tcBorders>
            <w:shd w:val="clear" w:color="auto" w:fill="auto"/>
            <w:vAlign w:val="center"/>
          </w:tcPr>
          <w:p w14:paraId="720F6DB0">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CCAE57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沁阳太行陉碗子城</w:t>
            </w:r>
          </w:p>
        </w:tc>
        <w:tc>
          <w:tcPr>
            <w:tcW w:w="1265" w:type="dxa"/>
            <w:tcBorders>
              <w:tl2br w:val="nil"/>
              <w:tr2bl w:val="nil"/>
            </w:tcBorders>
            <w:shd w:val="clear" w:color="auto" w:fill="auto"/>
            <w:vAlign w:val="center"/>
          </w:tcPr>
          <w:p w14:paraId="193B377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1ADAB88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0573C26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1D4A0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58459D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341</w:t>
            </w:r>
          </w:p>
        </w:tc>
        <w:tc>
          <w:tcPr>
            <w:tcW w:w="874" w:type="dxa"/>
            <w:vMerge w:val="continue"/>
            <w:tcBorders>
              <w:tl2br w:val="nil"/>
              <w:tr2bl w:val="nil"/>
            </w:tcBorders>
            <w:shd w:val="clear" w:color="auto" w:fill="auto"/>
            <w:vAlign w:val="center"/>
          </w:tcPr>
          <w:p w14:paraId="6CFEAC3B">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3458F1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沁阳朱载堉雅乐团雅乐表演</w:t>
            </w:r>
          </w:p>
        </w:tc>
        <w:tc>
          <w:tcPr>
            <w:tcW w:w="1265" w:type="dxa"/>
            <w:tcBorders>
              <w:tl2br w:val="nil"/>
              <w:tr2bl w:val="nil"/>
            </w:tcBorders>
            <w:shd w:val="clear" w:color="auto" w:fill="auto"/>
            <w:vAlign w:val="center"/>
          </w:tcPr>
          <w:p w14:paraId="67EDDC2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3A05261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文艺活动</w:t>
            </w:r>
          </w:p>
        </w:tc>
        <w:tc>
          <w:tcPr>
            <w:tcW w:w="1614" w:type="dxa"/>
            <w:tcBorders>
              <w:tl2br w:val="nil"/>
              <w:tr2bl w:val="nil"/>
            </w:tcBorders>
            <w:shd w:val="clear" w:color="auto" w:fill="auto"/>
            <w:vAlign w:val="center"/>
          </w:tcPr>
          <w:p w14:paraId="734F0ED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现代演艺</w:t>
            </w:r>
          </w:p>
        </w:tc>
      </w:tr>
      <w:tr w14:paraId="26EB7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528812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342</w:t>
            </w:r>
          </w:p>
        </w:tc>
        <w:tc>
          <w:tcPr>
            <w:tcW w:w="874" w:type="dxa"/>
            <w:vMerge w:val="continue"/>
            <w:tcBorders>
              <w:tl2br w:val="nil"/>
              <w:tr2bl w:val="nil"/>
            </w:tcBorders>
            <w:shd w:val="clear" w:color="auto" w:fill="auto"/>
            <w:vAlign w:val="center"/>
          </w:tcPr>
          <w:p w14:paraId="6AA867C9">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E3A07D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沁阳神农山“神农祭天”活动</w:t>
            </w:r>
          </w:p>
        </w:tc>
        <w:tc>
          <w:tcPr>
            <w:tcW w:w="1265" w:type="dxa"/>
            <w:tcBorders>
              <w:tl2br w:val="nil"/>
              <w:tr2bl w:val="nil"/>
            </w:tcBorders>
            <w:shd w:val="clear" w:color="auto" w:fill="auto"/>
            <w:vAlign w:val="center"/>
          </w:tcPr>
          <w:p w14:paraId="49FF2BD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2EED2BC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文艺活动</w:t>
            </w:r>
          </w:p>
        </w:tc>
        <w:tc>
          <w:tcPr>
            <w:tcW w:w="1614" w:type="dxa"/>
            <w:tcBorders>
              <w:tl2br w:val="nil"/>
              <w:tr2bl w:val="nil"/>
            </w:tcBorders>
            <w:shd w:val="clear" w:color="auto" w:fill="auto"/>
            <w:vAlign w:val="center"/>
          </w:tcPr>
          <w:p w14:paraId="0D85C9C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现代演艺</w:t>
            </w:r>
          </w:p>
        </w:tc>
      </w:tr>
      <w:tr w14:paraId="25B8D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94AD63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343</w:t>
            </w:r>
          </w:p>
        </w:tc>
        <w:tc>
          <w:tcPr>
            <w:tcW w:w="874" w:type="dxa"/>
            <w:vMerge w:val="continue"/>
            <w:tcBorders>
              <w:tl2br w:val="nil"/>
              <w:tr2bl w:val="nil"/>
            </w:tcBorders>
            <w:shd w:val="clear" w:color="auto" w:fill="auto"/>
            <w:vAlign w:val="center"/>
          </w:tcPr>
          <w:p w14:paraId="331BBF53">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A49091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沁阳神农山“三山同登”健身节</w:t>
            </w:r>
          </w:p>
        </w:tc>
        <w:tc>
          <w:tcPr>
            <w:tcW w:w="1265" w:type="dxa"/>
            <w:tcBorders>
              <w:tl2br w:val="nil"/>
              <w:tr2bl w:val="nil"/>
            </w:tcBorders>
            <w:shd w:val="clear" w:color="auto" w:fill="auto"/>
            <w:vAlign w:val="center"/>
          </w:tcPr>
          <w:p w14:paraId="220EED3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0FB6710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岁时节令</w:t>
            </w:r>
          </w:p>
        </w:tc>
        <w:tc>
          <w:tcPr>
            <w:tcW w:w="1614" w:type="dxa"/>
            <w:tcBorders>
              <w:tl2br w:val="nil"/>
              <w:tr2bl w:val="nil"/>
            </w:tcBorders>
            <w:shd w:val="clear" w:color="auto" w:fill="auto"/>
            <w:vAlign w:val="center"/>
          </w:tcPr>
          <w:p w14:paraId="24DB2D3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现代节庆</w:t>
            </w:r>
          </w:p>
        </w:tc>
      </w:tr>
      <w:tr w14:paraId="15A11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BE876A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344</w:t>
            </w:r>
          </w:p>
        </w:tc>
        <w:tc>
          <w:tcPr>
            <w:tcW w:w="874" w:type="dxa"/>
            <w:vMerge w:val="continue"/>
            <w:tcBorders>
              <w:tl2br w:val="nil"/>
              <w:tr2bl w:val="nil"/>
            </w:tcBorders>
            <w:shd w:val="clear" w:color="auto" w:fill="auto"/>
            <w:vAlign w:val="center"/>
          </w:tcPr>
          <w:p w14:paraId="374A2EE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31E3FC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沁阳太行陉古羊肠坂道</w:t>
            </w:r>
          </w:p>
        </w:tc>
        <w:tc>
          <w:tcPr>
            <w:tcW w:w="1265" w:type="dxa"/>
            <w:tcBorders>
              <w:tl2br w:val="nil"/>
              <w:tr2bl w:val="nil"/>
            </w:tcBorders>
            <w:shd w:val="clear" w:color="auto" w:fill="auto"/>
            <w:vAlign w:val="center"/>
          </w:tcPr>
          <w:p w14:paraId="02E6A82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3FE97A4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02C9555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7A7DB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E3D907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345</w:t>
            </w:r>
          </w:p>
        </w:tc>
        <w:tc>
          <w:tcPr>
            <w:tcW w:w="874" w:type="dxa"/>
            <w:vMerge w:val="continue"/>
            <w:tcBorders>
              <w:tl2br w:val="nil"/>
              <w:tr2bl w:val="nil"/>
            </w:tcBorders>
            <w:shd w:val="clear" w:color="auto" w:fill="auto"/>
            <w:vAlign w:val="center"/>
          </w:tcPr>
          <w:p w14:paraId="2488E345">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108E20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沁阳神农山神农天梯</w:t>
            </w:r>
          </w:p>
        </w:tc>
        <w:tc>
          <w:tcPr>
            <w:tcW w:w="1265" w:type="dxa"/>
            <w:tcBorders>
              <w:tl2br w:val="nil"/>
              <w:tr2bl w:val="nil"/>
            </w:tcBorders>
            <w:shd w:val="clear" w:color="auto" w:fill="auto"/>
            <w:vAlign w:val="center"/>
          </w:tcPr>
          <w:p w14:paraId="791F3D1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6F94941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景观与小品建筑</w:t>
            </w:r>
          </w:p>
        </w:tc>
        <w:tc>
          <w:tcPr>
            <w:tcW w:w="1614" w:type="dxa"/>
            <w:tcBorders>
              <w:tl2br w:val="nil"/>
              <w:tr2bl w:val="nil"/>
            </w:tcBorders>
            <w:shd w:val="clear" w:color="auto" w:fill="auto"/>
            <w:vAlign w:val="center"/>
          </w:tcPr>
          <w:p w14:paraId="41BFA70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景观步道、甬路</w:t>
            </w:r>
          </w:p>
        </w:tc>
      </w:tr>
      <w:tr w14:paraId="6B76C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566073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346</w:t>
            </w:r>
          </w:p>
        </w:tc>
        <w:tc>
          <w:tcPr>
            <w:tcW w:w="874" w:type="dxa"/>
            <w:vMerge w:val="continue"/>
            <w:tcBorders>
              <w:tl2br w:val="nil"/>
              <w:tr2bl w:val="nil"/>
            </w:tcBorders>
            <w:shd w:val="clear" w:color="auto" w:fill="auto"/>
            <w:vAlign w:val="center"/>
          </w:tcPr>
          <w:p w14:paraId="2CD3070C">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835CBA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沁阳张坡朱载堉墓</w:t>
            </w:r>
          </w:p>
        </w:tc>
        <w:tc>
          <w:tcPr>
            <w:tcW w:w="1265" w:type="dxa"/>
            <w:tcBorders>
              <w:tl2br w:val="nil"/>
              <w:tr2bl w:val="nil"/>
            </w:tcBorders>
            <w:shd w:val="clear" w:color="auto" w:fill="auto"/>
            <w:vAlign w:val="center"/>
          </w:tcPr>
          <w:p w14:paraId="7DB6F38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3AA2F42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507AC38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陵墓</w:t>
            </w:r>
          </w:p>
        </w:tc>
      </w:tr>
      <w:tr w14:paraId="7066E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3C2C41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347</w:t>
            </w:r>
          </w:p>
        </w:tc>
        <w:tc>
          <w:tcPr>
            <w:tcW w:w="874" w:type="dxa"/>
            <w:vMerge w:val="continue"/>
            <w:tcBorders>
              <w:tl2br w:val="nil"/>
              <w:tr2bl w:val="nil"/>
            </w:tcBorders>
            <w:shd w:val="clear" w:color="auto" w:fill="auto"/>
            <w:vAlign w:val="center"/>
          </w:tcPr>
          <w:p w14:paraId="1C4C1E5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9F6D57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沁阳神农山风雨石</w:t>
            </w:r>
          </w:p>
        </w:tc>
        <w:tc>
          <w:tcPr>
            <w:tcW w:w="1265" w:type="dxa"/>
            <w:tcBorders>
              <w:tl2br w:val="nil"/>
              <w:tr2bl w:val="nil"/>
            </w:tcBorders>
            <w:shd w:val="clear" w:color="auto" w:fill="auto"/>
            <w:vAlign w:val="center"/>
          </w:tcPr>
          <w:p w14:paraId="2EB9B93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3FFEA9C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78B45F2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奇特与象形山石</w:t>
            </w:r>
          </w:p>
        </w:tc>
      </w:tr>
      <w:tr w14:paraId="4470E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278625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348</w:t>
            </w:r>
          </w:p>
        </w:tc>
        <w:tc>
          <w:tcPr>
            <w:tcW w:w="874" w:type="dxa"/>
            <w:vMerge w:val="continue"/>
            <w:tcBorders>
              <w:tl2br w:val="nil"/>
              <w:tr2bl w:val="nil"/>
            </w:tcBorders>
            <w:shd w:val="clear" w:color="auto" w:fill="auto"/>
            <w:vAlign w:val="center"/>
          </w:tcPr>
          <w:p w14:paraId="53BE6040">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7E377A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沁阳神农山猕猴苑始祖峰</w:t>
            </w:r>
          </w:p>
        </w:tc>
        <w:tc>
          <w:tcPr>
            <w:tcW w:w="1265" w:type="dxa"/>
            <w:tcBorders>
              <w:tl2br w:val="nil"/>
              <w:tr2bl w:val="nil"/>
            </w:tcBorders>
            <w:shd w:val="clear" w:color="auto" w:fill="auto"/>
            <w:vAlign w:val="center"/>
          </w:tcPr>
          <w:p w14:paraId="5E473B9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09C8B74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3CD8D34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峰柱状地景</w:t>
            </w:r>
          </w:p>
        </w:tc>
      </w:tr>
      <w:tr w14:paraId="3C230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7B905F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349</w:t>
            </w:r>
          </w:p>
        </w:tc>
        <w:tc>
          <w:tcPr>
            <w:tcW w:w="874" w:type="dxa"/>
            <w:vMerge w:val="continue"/>
            <w:tcBorders>
              <w:tl2br w:val="nil"/>
              <w:tr2bl w:val="nil"/>
            </w:tcBorders>
            <w:shd w:val="clear" w:color="auto" w:fill="auto"/>
            <w:vAlign w:val="center"/>
          </w:tcPr>
          <w:p w14:paraId="4AA103AD">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12411B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沁阳神农山紫金顶生物化石点</w:t>
            </w:r>
          </w:p>
        </w:tc>
        <w:tc>
          <w:tcPr>
            <w:tcW w:w="1265" w:type="dxa"/>
            <w:tcBorders>
              <w:tl2br w:val="nil"/>
              <w:tr2bl w:val="nil"/>
            </w:tcBorders>
            <w:shd w:val="clear" w:color="auto" w:fill="auto"/>
            <w:vAlign w:val="center"/>
          </w:tcPr>
          <w:p w14:paraId="79C24D4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144D0B1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地质与构造形迹</w:t>
            </w:r>
          </w:p>
        </w:tc>
        <w:tc>
          <w:tcPr>
            <w:tcW w:w="1614" w:type="dxa"/>
            <w:tcBorders>
              <w:tl2br w:val="nil"/>
              <w:tr2bl w:val="nil"/>
            </w:tcBorders>
            <w:shd w:val="clear" w:color="auto" w:fill="auto"/>
            <w:vAlign w:val="center"/>
          </w:tcPr>
          <w:p w14:paraId="3B171E6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生物化石点</w:t>
            </w:r>
          </w:p>
        </w:tc>
      </w:tr>
      <w:tr w14:paraId="21305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5236C7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350</w:t>
            </w:r>
          </w:p>
        </w:tc>
        <w:tc>
          <w:tcPr>
            <w:tcW w:w="874" w:type="dxa"/>
            <w:vMerge w:val="continue"/>
            <w:tcBorders>
              <w:tl2br w:val="nil"/>
              <w:tr2bl w:val="nil"/>
            </w:tcBorders>
            <w:shd w:val="clear" w:color="auto" w:fill="auto"/>
            <w:vAlign w:val="center"/>
          </w:tcPr>
          <w:p w14:paraId="247CC4A6">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6A0494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沁阳神农山窄涧谷围谷</w:t>
            </w:r>
          </w:p>
        </w:tc>
        <w:tc>
          <w:tcPr>
            <w:tcW w:w="1265" w:type="dxa"/>
            <w:tcBorders>
              <w:tl2br w:val="nil"/>
              <w:tr2bl w:val="nil"/>
            </w:tcBorders>
            <w:shd w:val="clear" w:color="auto" w:fill="auto"/>
            <w:vAlign w:val="center"/>
          </w:tcPr>
          <w:p w14:paraId="05C5636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6AE1199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自然景观综合体</w:t>
            </w:r>
          </w:p>
        </w:tc>
        <w:tc>
          <w:tcPr>
            <w:tcW w:w="1614" w:type="dxa"/>
            <w:tcBorders>
              <w:tl2br w:val="nil"/>
              <w:tr2bl w:val="nil"/>
            </w:tcBorders>
            <w:shd w:val="clear" w:color="auto" w:fill="auto"/>
            <w:vAlign w:val="center"/>
          </w:tcPr>
          <w:p w14:paraId="0D61BEE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沟谷型景观</w:t>
            </w:r>
          </w:p>
        </w:tc>
      </w:tr>
      <w:tr w14:paraId="1555D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AA248B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351</w:t>
            </w:r>
          </w:p>
        </w:tc>
        <w:tc>
          <w:tcPr>
            <w:tcW w:w="874" w:type="dxa"/>
            <w:vMerge w:val="continue"/>
            <w:tcBorders>
              <w:tl2br w:val="nil"/>
              <w:tr2bl w:val="nil"/>
            </w:tcBorders>
            <w:shd w:val="clear" w:color="auto" w:fill="auto"/>
            <w:vAlign w:val="center"/>
          </w:tcPr>
          <w:p w14:paraId="6EA0454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F7F97C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沁阳神农山一天门“咬定青山”景观</w:t>
            </w:r>
          </w:p>
        </w:tc>
        <w:tc>
          <w:tcPr>
            <w:tcW w:w="1265" w:type="dxa"/>
            <w:tcBorders>
              <w:tl2br w:val="nil"/>
              <w:tr2bl w:val="nil"/>
            </w:tcBorders>
            <w:shd w:val="clear" w:color="auto" w:fill="auto"/>
            <w:vAlign w:val="center"/>
          </w:tcPr>
          <w:p w14:paraId="7A72CF9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6253E87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自然标记与自然现象</w:t>
            </w:r>
          </w:p>
        </w:tc>
        <w:tc>
          <w:tcPr>
            <w:tcW w:w="1614" w:type="dxa"/>
            <w:tcBorders>
              <w:tl2br w:val="nil"/>
              <w:tr2bl w:val="nil"/>
            </w:tcBorders>
            <w:shd w:val="clear" w:color="auto" w:fill="auto"/>
            <w:vAlign w:val="center"/>
          </w:tcPr>
          <w:p w14:paraId="00E0D78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奇异自然现象</w:t>
            </w:r>
          </w:p>
        </w:tc>
      </w:tr>
      <w:tr w14:paraId="5AF56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7421C3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352</w:t>
            </w:r>
          </w:p>
        </w:tc>
        <w:tc>
          <w:tcPr>
            <w:tcW w:w="874" w:type="dxa"/>
            <w:vMerge w:val="continue"/>
            <w:tcBorders>
              <w:tl2br w:val="nil"/>
              <w:tr2bl w:val="nil"/>
            </w:tcBorders>
            <w:shd w:val="clear" w:color="auto" w:fill="auto"/>
            <w:vAlign w:val="center"/>
          </w:tcPr>
          <w:p w14:paraId="38B3E20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D3D4C4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沁阳神农山一天门九龙峰</w:t>
            </w:r>
          </w:p>
        </w:tc>
        <w:tc>
          <w:tcPr>
            <w:tcW w:w="1265" w:type="dxa"/>
            <w:tcBorders>
              <w:tl2br w:val="nil"/>
              <w:tr2bl w:val="nil"/>
            </w:tcBorders>
            <w:shd w:val="clear" w:color="auto" w:fill="auto"/>
            <w:vAlign w:val="center"/>
          </w:tcPr>
          <w:p w14:paraId="522E43D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470012B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10B4F7C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峰柱状地景</w:t>
            </w:r>
          </w:p>
        </w:tc>
      </w:tr>
      <w:tr w14:paraId="005D1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A5F288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353</w:t>
            </w:r>
          </w:p>
        </w:tc>
        <w:tc>
          <w:tcPr>
            <w:tcW w:w="874" w:type="dxa"/>
            <w:vMerge w:val="continue"/>
            <w:tcBorders>
              <w:tl2br w:val="nil"/>
              <w:tr2bl w:val="nil"/>
            </w:tcBorders>
            <w:shd w:val="clear" w:color="auto" w:fill="auto"/>
            <w:vAlign w:val="center"/>
          </w:tcPr>
          <w:p w14:paraId="39161159">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4CD3B1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沁阳朱载堉纪念馆编磬</w:t>
            </w:r>
          </w:p>
        </w:tc>
        <w:tc>
          <w:tcPr>
            <w:tcW w:w="1265" w:type="dxa"/>
            <w:tcBorders>
              <w:tl2br w:val="nil"/>
              <w:tr2bl w:val="nil"/>
            </w:tcBorders>
            <w:shd w:val="clear" w:color="auto" w:fill="auto"/>
            <w:vAlign w:val="center"/>
          </w:tcPr>
          <w:p w14:paraId="1D7351F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6A560B6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手工工艺品</w:t>
            </w:r>
          </w:p>
        </w:tc>
        <w:tc>
          <w:tcPr>
            <w:tcW w:w="1614" w:type="dxa"/>
            <w:tcBorders>
              <w:tl2br w:val="nil"/>
              <w:tr2bl w:val="nil"/>
            </w:tcBorders>
            <w:shd w:val="clear" w:color="auto" w:fill="auto"/>
            <w:vAlign w:val="center"/>
          </w:tcPr>
          <w:p w14:paraId="4B103C2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金石雕刻、雕塑制品</w:t>
            </w:r>
          </w:p>
        </w:tc>
      </w:tr>
      <w:tr w14:paraId="0E54B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05A720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354</w:t>
            </w:r>
          </w:p>
        </w:tc>
        <w:tc>
          <w:tcPr>
            <w:tcW w:w="874" w:type="dxa"/>
            <w:vMerge w:val="continue"/>
            <w:tcBorders>
              <w:tl2br w:val="nil"/>
              <w:tr2bl w:val="nil"/>
            </w:tcBorders>
            <w:shd w:val="clear" w:color="auto" w:fill="auto"/>
            <w:vAlign w:val="center"/>
          </w:tcPr>
          <w:p w14:paraId="365AF8DD">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5B9AF9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沁阳神农山猕猴苑</w:t>
            </w:r>
          </w:p>
        </w:tc>
        <w:tc>
          <w:tcPr>
            <w:tcW w:w="1265" w:type="dxa"/>
            <w:tcBorders>
              <w:tl2br w:val="nil"/>
              <w:tr2bl w:val="nil"/>
            </w:tcBorders>
            <w:shd w:val="clear" w:color="auto" w:fill="auto"/>
            <w:vAlign w:val="center"/>
          </w:tcPr>
          <w:p w14:paraId="3361693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03AD0B0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3B8A81A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独立场、所</w:t>
            </w:r>
          </w:p>
        </w:tc>
      </w:tr>
      <w:tr w14:paraId="11D20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D61163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355</w:t>
            </w:r>
          </w:p>
        </w:tc>
        <w:tc>
          <w:tcPr>
            <w:tcW w:w="874" w:type="dxa"/>
            <w:vMerge w:val="continue"/>
            <w:tcBorders>
              <w:tl2br w:val="nil"/>
              <w:tr2bl w:val="nil"/>
            </w:tcBorders>
            <w:shd w:val="clear" w:color="auto" w:fill="auto"/>
            <w:vAlign w:val="center"/>
          </w:tcPr>
          <w:p w14:paraId="772A7049">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D611BA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沁阳怀府恐龙园</w:t>
            </w:r>
          </w:p>
        </w:tc>
        <w:tc>
          <w:tcPr>
            <w:tcW w:w="1265" w:type="dxa"/>
            <w:tcBorders>
              <w:tl2br w:val="nil"/>
              <w:tr2bl w:val="nil"/>
            </w:tcBorders>
            <w:shd w:val="clear" w:color="auto" w:fill="auto"/>
            <w:vAlign w:val="center"/>
          </w:tcPr>
          <w:p w14:paraId="102A44D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43B352B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3829F0F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016E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1AEE46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356</w:t>
            </w:r>
          </w:p>
        </w:tc>
        <w:tc>
          <w:tcPr>
            <w:tcW w:w="874" w:type="dxa"/>
            <w:vMerge w:val="continue"/>
            <w:tcBorders>
              <w:tl2br w:val="nil"/>
              <w:tr2bl w:val="nil"/>
            </w:tcBorders>
            <w:shd w:val="clear" w:color="auto" w:fill="auto"/>
            <w:vAlign w:val="center"/>
          </w:tcPr>
          <w:p w14:paraId="1CED6339">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D18E47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沁阳太行陉“古羊肠坂”摩崖刻石</w:t>
            </w:r>
          </w:p>
        </w:tc>
        <w:tc>
          <w:tcPr>
            <w:tcW w:w="1265" w:type="dxa"/>
            <w:tcBorders>
              <w:tl2br w:val="nil"/>
              <w:tr2bl w:val="nil"/>
            </w:tcBorders>
            <w:shd w:val="clear" w:color="auto" w:fill="auto"/>
            <w:vAlign w:val="center"/>
          </w:tcPr>
          <w:p w14:paraId="1948AD2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41B38B7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景观与小品建筑</w:t>
            </w:r>
          </w:p>
        </w:tc>
        <w:tc>
          <w:tcPr>
            <w:tcW w:w="1614" w:type="dxa"/>
            <w:tcBorders>
              <w:tl2br w:val="nil"/>
              <w:tr2bl w:val="nil"/>
            </w:tcBorders>
            <w:shd w:val="clear" w:color="auto" w:fill="auto"/>
            <w:vAlign w:val="center"/>
          </w:tcPr>
          <w:p w14:paraId="56CE377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碑碣、碑林、经幢</w:t>
            </w:r>
          </w:p>
        </w:tc>
      </w:tr>
      <w:tr w14:paraId="049B0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BF46D8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357</w:t>
            </w:r>
          </w:p>
        </w:tc>
        <w:tc>
          <w:tcPr>
            <w:tcW w:w="874" w:type="dxa"/>
            <w:vMerge w:val="continue"/>
            <w:tcBorders>
              <w:tl2br w:val="nil"/>
              <w:tr2bl w:val="nil"/>
            </w:tcBorders>
            <w:shd w:val="clear" w:color="auto" w:fill="auto"/>
            <w:vAlign w:val="center"/>
          </w:tcPr>
          <w:p w14:paraId="0575C40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B93428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沁阳丹河峡谷九渡寨</w:t>
            </w:r>
          </w:p>
        </w:tc>
        <w:tc>
          <w:tcPr>
            <w:tcW w:w="1265" w:type="dxa"/>
            <w:tcBorders>
              <w:tl2br w:val="nil"/>
              <w:tr2bl w:val="nil"/>
            </w:tcBorders>
            <w:shd w:val="clear" w:color="auto" w:fill="auto"/>
            <w:vAlign w:val="center"/>
          </w:tcPr>
          <w:p w14:paraId="3AE43D7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1FA537F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31642B3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6FDE2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523E0C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358</w:t>
            </w:r>
          </w:p>
        </w:tc>
        <w:tc>
          <w:tcPr>
            <w:tcW w:w="874" w:type="dxa"/>
            <w:vMerge w:val="continue"/>
            <w:tcBorders>
              <w:tl2br w:val="nil"/>
              <w:tr2bl w:val="nil"/>
            </w:tcBorders>
            <w:shd w:val="clear" w:color="auto" w:fill="auto"/>
            <w:vAlign w:val="center"/>
          </w:tcPr>
          <w:p w14:paraId="2C559523">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A2A1E7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沁阳怀姜</w:t>
            </w:r>
          </w:p>
        </w:tc>
        <w:tc>
          <w:tcPr>
            <w:tcW w:w="1265" w:type="dxa"/>
            <w:tcBorders>
              <w:tl2br w:val="nil"/>
              <w:tr2bl w:val="nil"/>
            </w:tcBorders>
            <w:shd w:val="clear" w:color="auto" w:fill="auto"/>
            <w:vAlign w:val="center"/>
          </w:tcPr>
          <w:p w14:paraId="0944329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57B231B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农业产品</w:t>
            </w:r>
          </w:p>
        </w:tc>
        <w:tc>
          <w:tcPr>
            <w:tcW w:w="1614" w:type="dxa"/>
            <w:tcBorders>
              <w:tl2br w:val="nil"/>
              <w:tr2bl w:val="nil"/>
            </w:tcBorders>
            <w:shd w:val="clear" w:color="auto" w:fill="auto"/>
            <w:vAlign w:val="center"/>
          </w:tcPr>
          <w:p w14:paraId="50A93F3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种植业产品及制品</w:t>
            </w:r>
          </w:p>
        </w:tc>
      </w:tr>
      <w:tr w14:paraId="41BB7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DE55CB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359</w:t>
            </w:r>
          </w:p>
        </w:tc>
        <w:tc>
          <w:tcPr>
            <w:tcW w:w="874" w:type="dxa"/>
            <w:vMerge w:val="continue"/>
            <w:tcBorders>
              <w:tl2br w:val="nil"/>
              <w:tr2bl w:val="nil"/>
            </w:tcBorders>
            <w:shd w:val="clear" w:color="auto" w:fill="auto"/>
            <w:vAlign w:val="center"/>
          </w:tcPr>
          <w:p w14:paraId="4555762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B405AF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沁阳太行径窑头段</w:t>
            </w:r>
          </w:p>
        </w:tc>
        <w:tc>
          <w:tcPr>
            <w:tcW w:w="1265" w:type="dxa"/>
            <w:tcBorders>
              <w:tl2br w:val="nil"/>
              <w:tr2bl w:val="nil"/>
            </w:tcBorders>
            <w:shd w:val="clear" w:color="auto" w:fill="auto"/>
            <w:vAlign w:val="center"/>
          </w:tcPr>
          <w:p w14:paraId="7AC2A96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3A34FB5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2999C2C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65831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43AC7C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360</w:t>
            </w:r>
          </w:p>
        </w:tc>
        <w:tc>
          <w:tcPr>
            <w:tcW w:w="874" w:type="dxa"/>
            <w:vMerge w:val="continue"/>
            <w:tcBorders>
              <w:tl2br w:val="nil"/>
              <w:tr2bl w:val="nil"/>
            </w:tcBorders>
            <w:shd w:val="clear" w:color="auto" w:fill="auto"/>
            <w:vAlign w:val="center"/>
          </w:tcPr>
          <w:p w14:paraId="61702D0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F25879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沁阳滨河公园</w:t>
            </w:r>
          </w:p>
        </w:tc>
        <w:tc>
          <w:tcPr>
            <w:tcW w:w="1265" w:type="dxa"/>
            <w:tcBorders>
              <w:tl2br w:val="nil"/>
              <w:tr2bl w:val="nil"/>
            </w:tcBorders>
            <w:shd w:val="clear" w:color="auto" w:fill="auto"/>
            <w:vAlign w:val="center"/>
          </w:tcPr>
          <w:p w14:paraId="27178C6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55499BF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4F99693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635EB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52037A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361</w:t>
            </w:r>
          </w:p>
        </w:tc>
        <w:tc>
          <w:tcPr>
            <w:tcW w:w="874" w:type="dxa"/>
            <w:vMerge w:val="continue"/>
            <w:tcBorders>
              <w:tl2br w:val="nil"/>
              <w:tr2bl w:val="nil"/>
            </w:tcBorders>
            <w:shd w:val="clear" w:color="auto" w:fill="auto"/>
            <w:vAlign w:val="center"/>
          </w:tcPr>
          <w:p w14:paraId="61D8F3E3">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700DE3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沁阳怀府古街</w:t>
            </w:r>
          </w:p>
        </w:tc>
        <w:tc>
          <w:tcPr>
            <w:tcW w:w="1265" w:type="dxa"/>
            <w:tcBorders>
              <w:tl2br w:val="nil"/>
              <w:tr2bl w:val="nil"/>
            </w:tcBorders>
            <w:shd w:val="clear" w:color="auto" w:fill="auto"/>
            <w:vAlign w:val="center"/>
          </w:tcPr>
          <w:p w14:paraId="253D533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009AB0F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2917ACD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特色街区</w:t>
            </w:r>
          </w:p>
        </w:tc>
      </w:tr>
      <w:tr w14:paraId="706FA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32BA34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362</w:t>
            </w:r>
          </w:p>
        </w:tc>
        <w:tc>
          <w:tcPr>
            <w:tcW w:w="874" w:type="dxa"/>
            <w:vMerge w:val="continue"/>
            <w:tcBorders>
              <w:tl2br w:val="nil"/>
              <w:tr2bl w:val="nil"/>
            </w:tcBorders>
            <w:shd w:val="clear" w:color="auto" w:fill="auto"/>
            <w:vAlign w:val="center"/>
          </w:tcPr>
          <w:p w14:paraId="20B5EDF9">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04EDE3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沁阳烈士陵园宋学义墓</w:t>
            </w:r>
          </w:p>
        </w:tc>
        <w:tc>
          <w:tcPr>
            <w:tcW w:w="1265" w:type="dxa"/>
            <w:tcBorders>
              <w:tl2br w:val="nil"/>
              <w:tr2bl w:val="nil"/>
            </w:tcBorders>
            <w:shd w:val="clear" w:color="auto" w:fill="auto"/>
            <w:vAlign w:val="center"/>
          </w:tcPr>
          <w:p w14:paraId="59A692A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0CB0FEC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235D819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纪念地与纪念活动场所</w:t>
            </w:r>
          </w:p>
        </w:tc>
      </w:tr>
      <w:tr w14:paraId="0B2BD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464696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363</w:t>
            </w:r>
          </w:p>
        </w:tc>
        <w:tc>
          <w:tcPr>
            <w:tcW w:w="874" w:type="dxa"/>
            <w:vMerge w:val="continue"/>
            <w:tcBorders>
              <w:tl2br w:val="nil"/>
              <w:tr2bl w:val="nil"/>
            </w:tcBorders>
            <w:shd w:val="clear" w:color="auto" w:fill="auto"/>
            <w:vAlign w:val="center"/>
          </w:tcPr>
          <w:p w14:paraId="0D9E3B3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650B59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沁阳宋学义故居</w:t>
            </w:r>
          </w:p>
        </w:tc>
        <w:tc>
          <w:tcPr>
            <w:tcW w:w="1265" w:type="dxa"/>
            <w:tcBorders>
              <w:tl2br w:val="nil"/>
              <w:tr2bl w:val="nil"/>
            </w:tcBorders>
            <w:shd w:val="clear" w:color="auto" w:fill="auto"/>
            <w:vAlign w:val="center"/>
          </w:tcPr>
          <w:p w14:paraId="301334E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37550AD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5E09825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纪念地与纪念活动场所</w:t>
            </w:r>
          </w:p>
        </w:tc>
      </w:tr>
      <w:tr w14:paraId="3AEBC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8150F3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364</w:t>
            </w:r>
          </w:p>
        </w:tc>
        <w:tc>
          <w:tcPr>
            <w:tcW w:w="874" w:type="dxa"/>
            <w:vMerge w:val="continue"/>
            <w:tcBorders>
              <w:tl2br w:val="nil"/>
              <w:tr2bl w:val="nil"/>
            </w:tcBorders>
            <w:shd w:val="clear" w:color="auto" w:fill="auto"/>
            <w:vAlign w:val="center"/>
          </w:tcPr>
          <w:p w14:paraId="772D22F7">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500A89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沁阳神农山神农云海</w:t>
            </w:r>
          </w:p>
        </w:tc>
        <w:tc>
          <w:tcPr>
            <w:tcW w:w="1265" w:type="dxa"/>
            <w:tcBorders>
              <w:tl2br w:val="nil"/>
              <w:tr2bl w:val="nil"/>
            </w:tcBorders>
            <w:shd w:val="clear" w:color="auto" w:fill="auto"/>
            <w:vAlign w:val="center"/>
          </w:tcPr>
          <w:p w14:paraId="3DF5A41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天象与气候景观</w:t>
            </w:r>
          </w:p>
        </w:tc>
        <w:tc>
          <w:tcPr>
            <w:tcW w:w="1241" w:type="dxa"/>
            <w:tcBorders>
              <w:tl2br w:val="nil"/>
              <w:tr2bl w:val="nil"/>
            </w:tcBorders>
            <w:shd w:val="clear" w:color="auto" w:fill="auto"/>
            <w:vAlign w:val="center"/>
          </w:tcPr>
          <w:p w14:paraId="50DD0BA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天气与气候现象</w:t>
            </w:r>
          </w:p>
        </w:tc>
        <w:tc>
          <w:tcPr>
            <w:tcW w:w="1614" w:type="dxa"/>
            <w:tcBorders>
              <w:tl2br w:val="nil"/>
              <w:tr2bl w:val="nil"/>
            </w:tcBorders>
            <w:shd w:val="clear" w:color="auto" w:fill="auto"/>
            <w:vAlign w:val="center"/>
          </w:tcPr>
          <w:p w14:paraId="6895526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云雾多发区</w:t>
            </w:r>
          </w:p>
        </w:tc>
      </w:tr>
      <w:tr w14:paraId="6F133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13F6E2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365</w:t>
            </w:r>
          </w:p>
        </w:tc>
        <w:tc>
          <w:tcPr>
            <w:tcW w:w="874" w:type="dxa"/>
            <w:vMerge w:val="continue"/>
            <w:tcBorders>
              <w:tl2br w:val="nil"/>
              <w:tr2bl w:val="nil"/>
            </w:tcBorders>
            <w:shd w:val="clear" w:color="auto" w:fill="auto"/>
            <w:vAlign w:val="center"/>
          </w:tcPr>
          <w:p w14:paraId="15160E7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89F45E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沁阳野王纻器漆器</w:t>
            </w:r>
          </w:p>
        </w:tc>
        <w:tc>
          <w:tcPr>
            <w:tcW w:w="1265" w:type="dxa"/>
            <w:tcBorders>
              <w:tl2br w:val="nil"/>
              <w:tr2bl w:val="nil"/>
            </w:tcBorders>
            <w:shd w:val="clear" w:color="auto" w:fill="auto"/>
            <w:vAlign w:val="center"/>
          </w:tcPr>
          <w:p w14:paraId="14877FE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56134EC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手工工艺品</w:t>
            </w:r>
          </w:p>
        </w:tc>
        <w:tc>
          <w:tcPr>
            <w:tcW w:w="1614" w:type="dxa"/>
            <w:tcBorders>
              <w:tl2br w:val="nil"/>
              <w:tr2bl w:val="nil"/>
            </w:tcBorders>
            <w:shd w:val="clear" w:color="auto" w:fill="auto"/>
            <w:vAlign w:val="center"/>
          </w:tcPr>
          <w:p w14:paraId="46B4D29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金石雕刻、雕塑制品</w:t>
            </w:r>
          </w:p>
        </w:tc>
      </w:tr>
      <w:tr w14:paraId="3144A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B1D15C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366</w:t>
            </w:r>
          </w:p>
        </w:tc>
        <w:tc>
          <w:tcPr>
            <w:tcW w:w="874" w:type="dxa"/>
            <w:vMerge w:val="continue"/>
            <w:tcBorders>
              <w:tl2br w:val="nil"/>
              <w:tr2bl w:val="nil"/>
            </w:tcBorders>
            <w:shd w:val="clear" w:color="auto" w:fill="auto"/>
            <w:vAlign w:val="center"/>
          </w:tcPr>
          <w:p w14:paraId="20407989">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04E0FE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沁阳铁棍山药</w:t>
            </w:r>
          </w:p>
        </w:tc>
        <w:tc>
          <w:tcPr>
            <w:tcW w:w="1265" w:type="dxa"/>
            <w:tcBorders>
              <w:tl2br w:val="nil"/>
              <w:tr2bl w:val="nil"/>
            </w:tcBorders>
            <w:shd w:val="clear" w:color="auto" w:fill="auto"/>
            <w:vAlign w:val="center"/>
          </w:tcPr>
          <w:p w14:paraId="2E37E5B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2CF1DEE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农业产品</w:t>
            </w:r>
          </w:p>
        </w:tc>
        <w:tc>
          <w:tcPr>
            <w:tcW w:w="1614" w:type="dxa"/>
            <w:tcBorders>
              <w:tl2br w:val="nil"/>
              <w:tr2bl w:val="nil"/>
            </w:tcBorders>
            <w:shd w:val="clear" w:color="auto" w:fill="auto"/>
            <w:vAlign w:val="center"/>
          </w:tcPr>
          <w:p w14:paraId="6BC9409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种植业产品及制品</w:t>
            </w:r>
          </w:p>
        </w:tc>
      </w:tr>
      <w:tr w14:paraId="70745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B89E21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367</w:t>
            </w:r>
          </w:p>
        </w:tc>
        <w:tc>
          <w:tcPr>
            <w:tcW w:w="874" w:type="dxa"/>
            <w:vMerge w:val="continue"/>
            <w:tcBorders>
              <w:tl2br w:val="nil"/>
              <w:tr2bl w:val="nil"/>
            </w:tcBorders>
            <w:shd w:val="clear" w:color="auto" w:fill="auto"/>
            <w:vAlign w:val="center"/>
          </w:tcPr>
          <w:p w14:paraId="172574E5">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405D5F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沁阳野王古城遗址</w:t>
            </w:r>
          </w:p>
        </w:tc>
        <w:tc>
          <w:tcPr>
            <w:tcW w:w="1265" w:type="dxa"/>
            <w:tcBorders>
              <w:tl2br w:val="nil"/>
              <w:tr2bl w:val="nil"/>
            </w:tcBorders>
            <w:shd w:val="clear" w:color="auto" w:fill="auto"/>
            <w:vAlign w:val="center"/>
          </w:tcPr>
          <w:p w14:paraId="68E878D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5FCF8F0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60D7C4C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095BC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0D9465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368</w:t>
            </w:r>
          </w:p>
        </w:tc>
        <w:tc>
          <w:tcPr>
            <w:tcW w:w="874" w:type="dxa"/>
            <w:vMerge w:val="continue"/>
            <w:tcBorders>
              <w:tl2br w:val="nil"/>
              <w:tr2bl w:val="nil"/>
            </w:tcBorders>
            <w:shd w:val="clear" w:color="auto" w:fill="auto"/>
            <w:vAlign w:val="center"/>
          </w:tcPr>
          <w:p w14:paraId="72D0F4F6">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D34CFE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沁阳邘国故城</w:t>
            </w:r>
          </w:p>
        </w:tc>
        <w:tc>
          <w:tcPr>
            <w:tcW w:w="1265" w:type="dxa"/>
            <w:tcBorders>
              <w:tl2br w:val="nil"/>
              <w:tr2bl w:val="nil"/>
            </w:tcBorders>
            <w:shd w:val="clear" w:color="auto" w:fill="auto"/>
            <w:vAlign w:val="center"/>
          </w:tcPr>
          <w:p w14:paraId="0C62C12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42CB23E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78B4025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170D8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631F00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369</w:t>
            </w:r>
          </w:p>
        </w:tc>
        <w:tc>
          <w:tcPr>
            <w:tcW w:w="874" w:type="dxa"/>
            <w:vMerge w:val="continue"/>
            <w:tcBorders>
              <w:tl2br w:val="nil"/>
              <w:tr2bl w:val="nil"/>
            </w:tcBorders>
            <w:shd w:val="clear" w:color="auto" w:fill="auto"/>
            <w:vAlign w:val="center"/>
          </w:tcPr>
          <w:p w14:paraId="2163C7A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AC3CCE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沁阳李商隐墓</w:t>
            </w:r>
          </w:p>
        </w:tc>
        <w:tc>
          <w:tcPr>
            <w:tcW w:w="1265" w:type="dxa"/>
            <w:tcBorders>
              <w:tl2br w:val="nil"/>
              <w:tr2bl w:val="nil"/>
            </w:tcBorders>
            <w:shd w:val="clear" w:color="auto" w:fill="auto"/>
            <w:vAlign w:val="center"/>
          </w:tcPr>
          <w:p w14:paraId="790E500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74DEAA7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60B4D87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陵墓</w:t>
            </w:r>
          </w:p>
        </w:tc>
      </w:tr>
      <w:tr w14:paraId="20DAD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AB0007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370</w:t>
            </w:r>
          </w:p>
        </w:tc>
        <w:tc>
          <w:tcPr>
            <w:tcW w:w="874" w:type="dxa"/>
            <w:vMerge w:val="continue"/>
            <w:tcBorders>
              <w:tl2br w:val="nil"/>
              <w:tr2bl w:val="nil"/>
            </w:tcBorders>
            <w:shd w:val="clear" w:color="auto" w:fill="auto"/>
            <w:vAlign w:val="center"/>
          </w:tcPr>
          <w:p w14:paraId="7D61B788">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609133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沁阳曹谨纪念馆曹谨墓</w:t>
            </w:r>
          </w:p>
        </w:tc>
        <w:tc>
          <w:tcPr>
            <w:tcW w:w="1265" w:type="dxa"/>
            <w:tcBorders>
              <w:tl2br w:val="nil"/>
              <w:tr2bl w:val="nil"/>
            </w:tcBorders>
            <w:shd w:val="clear" w:color="auto" w:fill="auto"/>
            <w:vAlign w:val="center"/>
          </w:tcPr>
          <w:p w14:paraId="36F5BCA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534556E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03C84A1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陵墓</w:t>
            </w:r>
          </w:p>
        </w:tc>
      </w:tr>
      <w:tr w14:paraId="1B28A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8C6A29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371</w:t>
            </w:r>
          </w:p>
        </w:tc>
        <w:tc>
          <w:tcPr>
            <w:tcW w:w="874" w:type="dxa"/>
            <w:vMerge w:val="continue"/>
            <w:tcBorders>
              <w:tl2br w:val="nil"/>
              <w:tr2bl w:val="nil"/>
            </w:tcBorders>
            <w:shd w:val="clear" w:color="auto" w:fill="auto"/>
            <w:vAlign w:val="center"/>
          </w:tcPr>
          <w:p w14:paraId="0E6061D5">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705C05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沁阳神农山临川寺</w:t>
            </w:r>
          </w:p>
        </w:tc>
        <w:tc>
          <w:tcPr>
            <w:tcW w:w="1265" w:type="dxa"/>
            <w:tcBorders>
              <w:tl2br w:val="nil"/>
              <w:tr2bl w:val="nil"/>
            </w:tcBorders>
            <w:shd w:val="clear" w:color="auto" w:fill="auto"/>
            <w:vAlign w:val="center"/>
          </w:tcPr>
          <w:p w14:paraId="7DBC169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147785B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0ECA239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宗教与祭祀活动场所</w:t>
            </w:r>
          </w:p>
        </w:tc>
      </w:tr>
      <w:tr w14:paraId="31BB4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373685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372</w:t>
            </w:r>
          </w:p>
        </w:tc>
        <w:tc>
          <w:tcPr>
            <w:tcW w:w="874" w:type="dxa"/>
            <w:vMerge w:val="continue"/>
            <w:tcBorders>
              <w:tl2br w:val="nil"/>
              <w:tr2bl w:val="nil"/>
            </w:tcBorders>
            <w:shd w:val="clear" w:color="auto" w:fill="auto"/>
            <w:vAlign w:val="center"/>
          </w:tcPr>
          <w:p w14:paraId="7FDFD625">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190220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沁阳神农山云阳寺</w:t>
            </w:r>
          </w:p>
        </w:tc>
        <w:tc>
          <w:tcPr>
            <w:tcW w:w="1265" w:type="dxa"/>
            <w:tcBorders>
              <w:tl2br w:val="nil"/>
              <w:tr2bl w:val="nil"/>
            </w:tcBorders>
            <w:shd w:val="clear" w:color="auto" w:fill="auto"/>
            <w:vAlign w:val="center"/>
          </w:tcPr>
          <w:p w14:paraId="5133525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799E906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10770B5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宗教与祭祀活动场所</w:t>
            </w:r>
          </w:p>
        </w:tc>
      </w:tr>
      <w:tr w14:paraId="58F2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6BF6EF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373</w:t>
            </w:r>
          </w:p>
        </w:tc>
        <w:tc>
          <w:tcPr>
            <w:tcW w:w="874" w:type="dxa"/>
            <w:vMerge w:val="continue"/>
            <w:tcBorders>
              <w:tl2br w:val="nil"/>
              <w:tr2bl w:val="nil"/>
            </w:tcBorders>
            <w:shd w:val="clear" w:color="auto" w:fill="auto"/>
            <w:vAlign w:val="center"/>
          </w:tcPr>
          <w:p w14:paraId="6803D5A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6855E1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沁阳邘邰村静应庙</w:t>
            </w:r>
          </w:p>
        </w:tc>
        <w:tc>
          <w:tcPr>
            <w:tcW w:w="1265" w:type="dxa"/>
            <w:tcBorders>
              <w:tl2br w:val="nil"/>
              <w:tr2bl w:val="nil"/>
            </w:tcBorders>
            <w:shd w:val="clear" w:color="auto" w:fill="auto"/>
            <w:vAlign w:val="center"/>
          </w:tcPr>
          <w:p w14:paraId="7BD2BC9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601A56C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0692F20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宗教与祭祀活动场所</w:t>
            </w:r>
          </w:p>
        </w:tc>
      </w:tr>
      <w:tr w14:paraId="36A3A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1D66CF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374</w:t>
            </w:r>
          </w:p>
        </w:tc>
        <w:tc>
          <w:tcPr>
            <w:tcW w:w="874" w:type="dxa"/>
            <w:vMerge w:val="continue"/>
            <w:tcBorders>
              <w:tl2br w:val="nil"/>
              <w:tr2bl w:val="nil"/>
            </w:tcBorders>
            <w:shd w:val="clear" w:color="auto" w:fill="auto"/>
            <w:vAlign w:val="center"/>
          </w:tcPr>
          <w:p w14:paraId="056D013D">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593E28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沁阳博物馆</w:t>
            </w:r>
          </w:p>
        </w:tc>
        <w:tc>
          <w:tcPr>
            <w:tcW w:w="1265" w:type="dxa"/>
            <w:tcBorders>
              <w:tl2br w:val="nil"/>
              <w:tr2bl w:val="nil"/>
            </w:tcBorders>
            <w:shd w:val="clear" w:color="auto" w:fill="auto"/>
            <w:vAlign w:val="center"/>
          </w:tcPr>
          <w:p w14:paraId="68BCC83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26F43F6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674D30A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文化活动场所</w:t>
            </w:r>
          </w:p>
        </w:tc>
      </w:tr>
      <w:tr w14:paraId="325F3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2842D1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375</w:t>
            </w:r>
          </w:p>
        </w:tc>
        <w:tc>
          <w:tcPr>
            <w:tcW w:w="874" w:type="dxa"/>
            <w:vMerge w:val="continue"/>
            <w:tcBorders>
              <w:tl2br w:val="nil"/>
              <w:tr2bl w:val="nil"/>
            </w:tcBorders>
            <w:shd w:val="clear" w:color="auto" w:fill="auto"/>
            <w:vAlign w:val="center"/>
          </w:tcPr>
          <w:p w14:paraId="36DC70A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E0F2F2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沁阳盆窑村</w:t>
            </w:r>
          </w:p>
        </w:tc>
        <w:tc>
          <w:tcPr>
            <w:tcW w:w="1265" w:type="dxa"/>
            <w:tcBorders>
              <w:tl2br w:val="nil"/>
              <w:tr2bl w:val="nil"/>
            </w:tcBorders>
            <w:shd w:val="clear" w:color="auto" w:fill="auto"/>
            <w:vAlign w:val="center"/>
          </w:tcPr>
          <w:p w14:paraId="50D5597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3EEECC0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4F21DBF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0055D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C8E5D7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376</w:t>
            </w:r>
          </w:p>
        </w:tc>
        <w:tc>
          <w:tcPr>
            <w:tcW w:w="874" w:type="dxa"/>
            <w:vMerge w:val="continue"/>
            <w:tcBorders>
              <w:tl2br w:val="nil"/>
              <w:tr2bl w:val="nil"/>
            </w:tcBorders>
            <w:shd w:val="clear" w:color="auto" w:fill="auto"/>
            <w:vAlign w:val="center"/>
          </w:tcPr>
          <w:p w14:paraId="519FF286">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A10B0D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沁阳神农陶创意园</w:t>
            </w:r>
          </w:p>
        </w:tc>
        <w:tc>
          <w:tcPr>
            <w:tcW w:w="1265" w:type="dxa"/>
            <w:tcBorders>
              <w:tl2br w:val="nil"/>
              <w:tr2bl w:val="nil"/>
            </w:tcBorders>
            <w:shd w:val="clear" w:color="auto" w:fill="auto"/>
            <w:vAlign w:val="center"/>
          </w:tcPr>
          <w:p w14:paraId="5D36126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1A5461D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13228FD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文化活动场所</w:t>
            </w:r>
          </w:p>
        </w:tc>
      </w:tr>
      <w:tr w14:paraId="7D12D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E8DDF0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377</w:t>
            </w:r>
          </w:p>
        </w:tc>
        <w:tc>
          <w:tcPr>
            <w:tcW w:w="874" w:type="dxa"/>
            <w:vMerge w:val="continue"/>
            <w:tcBorders>
              <w:tl2br w:val="nil"/>
              <w:tr2bl w:val="nil"/>
            </w:tcBorders>
            <w:shd w:val="clear" w:color="auto" w:fill="auto"/>
            <w:vAlign w:val="center"/>
          </w:tcPr>
          <w:p w14:paraId="491004F2">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B9D6B3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沁阳盆窑黑陶小镇</w:t>
            </w:r>
          </w:p>
        </w:tc>
        <w:tc>
          <w:tcPr>
            <w:tcW w:w="1265" w:type="dxa"/>
            <w:tcBorders>
              <w:tl2br w:val="nil"/>
              <w:tr2bl w:val="nil"/>
            </w:tcBorders>
            <w:shd w:val="clear" w:color="auto" w:fill="auto"/>
            <w:vAlign w:val="center"/>
          </w:tcPr>
          <w:p w14:paraId="7192EA9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085249A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523BA29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63794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0AD86F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378</w:t>
            </w:r>
          </w:p>
        </w:tc>
        <w:tc>
          <w:tcPr>
            <w:tcW w:w="874" w:type="dxa"/>
            <w:vMerge w:val="continue"/>
            <w:tcBorders>
              <w:tl2br w:val="nil"/>
              <w:tr2bl w:val="nil"/>
            </w:tcBorders>
            <w:shd w:val="clear" w:color="auto" w:fill="auto"/>
            <w:vAlign w:val="center"/>
          </w:tcPr>
          <w:p w14:paraId="38CC0010">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B11DD5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沁阳李商隐纪念馆</w:t>
            </w:r>
          </w:p>
        </w:tc>
        <w:tc>
          <w:tcPr>
            <w:tcW w:w="1265" w:type="dxa"/>
            <w:tcBorders>
              <w:tl2br w:val="nil"/>
              <w:tr2bl w:val="nil"/>
            </w:tcBorders>
            <w:shd w:val="clear" w:color="auto" w:fill="auto"/>
            <w:vAlign w:val="center"/>
          </w:tcPr>
          <w:p w14:paraId="5C451F0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5F26290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39BDA96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纪念地与纪念活动场所</w:t>
            </w:r>
          </w:p>
        </w:tc>
      </w:tr>
      <w:tr w14:paraId="00435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AC4F64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379</w:t>
            </w:r>
          </w:p>
        </w:tc>
        <w:tc>
          <w:tcPr>
            <w:tcW w:w="874" w:type="dxa"/>
            <w:vMerge w:val="continue"/>
            <w:tcBorders>
              <w:tl2br w:val="nil"/>
              <w:tr2bl w:val="nil"/>
            </w:tcBorders>
            <w:shd w:val="clear" w:color="auto" w:fill="auto"/>
            <w:vAlign w:val="center"/>
          </w:tcPr>
          <w:p w14:paraId="7061859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4C11FB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沁阳曹谨纪念馆</w:t>
            </w:r>
          </w:p>
        </w:tc>
        <w:tc>
          <w:tcPr>
            <w:tcW w:w="1265" w:type="dxa"/>
            <w:tcBorders>
              <w:tl2br w:val="nil"/>
              <w:tr2bl w:val="nil"/>
            </w:tcBorders>
            <w:shd w:val="clear" w:color="auto" w:fill="auto"/>
            <w:vAlign w:val="center"/>
          </w:tcPr>
          <w:p w14:paraId="11AA051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2249A67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5E5F617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纪念地与纪念活动场所</w:t>
            </w:r>
          </w:p>
        </w:tc>
      </w:tr>
      <w:tr w14:paraId="6B394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FC23C5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380</w:t>
            </w:r>
          </w:p>
        </w:tc>
        <w:tc>
          <w:tcPr>
            <w:tcW w:w="874" w:type="dxa"/>
            <w:vMerge w:val="continue"/>
            <w:tcBorders>
              <w:tl2br w:val="nil"/>
              <w:tr2bl w:val="nil"/>
            </w:tcBorders>
            <w:shd w:val="clear" w:color="auto" w:fill="auto"/>
            <w:vAlign w:val="center"/>
          </w:tcPr>
          <w:p w14:paraId="2A99D58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D6AF81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沁阳博物馆元邠国公塔</w:t>
            </w:r>
          </w:p>
        </w:tc>
        <w:tc>
          <w:tcPr>
            <w:tcW w:w="1265" w:type="dxa"/>
            <w:tcBorders>
              <w:tl2br w:val="nil"/>
              <w:tr2bl w:val="nil"/>
            </w:tcBorders>
            <w:shd w:val="clear" w:color="auto" w:fill="auto"/>
            <w:vAlign w:val="center"/>
          </w:tcPr>
          <w:p w14:paraId="1791FB9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05445D1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景观与小品建筑</w:t>
            </w:r>
          </w:p>
        </w:tc>
        <w:tc>
          <w:tcPr>
            <w:tcW w:w="1614" w:type="dxa"/>
            <w:tcBorders>
              <w:tl2br w:val="nil"/>
              <w:tr2bl w:val="nil"/>
            </w:tcBorders>
            <w:shd w:val="clear" w:color="auto" w:fill="auto"/>
            <w:vAlign w:val="center"/>
          </w:tcPr>
          <w:p w14:paraId="356F979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塔形建筑</w:t>
            </w:r>
          </w:p>
        </w:tc>
      </w:tr>
      <w:tr w14:paraId="7DDD4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2D2CA2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381</w:t>
            </w:r>
          </w:p>
        </w:tc>
        <w:tc>
          <w:tcPr>
            <w:tcW w:w="874" w:type="dxa"/>
            <w:vMerge w:val="continue"/>
            <w:tcBorders>
              <w:tl2br w:val="nil"/>
              <w:tr2bl w:val="nil"/>
            </w:tcBorders>
            <w:shd w:val="clear" w:color="auto" w:fill="auto"/>
            <w:vAlign w:val="center"/>
          </w:tcPr>
          <w:p w14:paraId="30896D6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65BB7A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沁阳神农山紫金顶</w:t>
            </w:r>
          </w:p>
        </w:tc>
        <w:tc>
          <w:tcPr>
            <w:tcW w:w="1265" w:type="dxa"/>
            <w:tcBorders>
              <w:tl2br w:val="nil"/>
              <w:tr2bl w:val="nil"/>
            </w:tcBorders>
            <w:shd w:val="clear" w:color="auto" w:fill="auto"/>
            <w:vAlign w:val="center"/>
          </w:tcPr>
          <w:p w14:paraId="355C0F3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52BECC9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地表形态</w:t>
            </w:r>
          </w:p>
        </w:tc>
        <w:tc>
          <w:tcPr>
            <w:tcW w:w="1614" w:type="dxa"/>
            <w:tcBorders>
              <w:tl2br w:val="nil"/>
              <w:tr2bl w:val="nil"/>
            </w:tcBorders>
            <w:shd w:val="clear" w:color="auto" w:fill="auto"/>
            <w:vAlign w:val="center"/>
          </w:tcPr>
          <w:p w14:paraId="098503B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台丘状地景</w:t>
            </w:r>
          </w:p>
        </w:tc>
      </w:tr>
      <w:tr w14:paraId="723EE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A9A5B8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382</w:t>
            </w:r>
          </w:p>
        </w:tc>
        <w:tc>
          <w:tcPr>
            <w:tcW w:w="874" w:type="dxa"/>
            <w:vMerge w:val="continue"/>
            <w:tcBorders>
              <w:tl2br w:val="nil"/>
              <w:tr2bl w:val="nil"/>
            </w:tcBorders>
            <w:shd w:val="clear" w:color="auto" w:fill="auto"/>
            <w:vAlign w:val="center"/>
          </w:tcPr>
          <w:p w14:paraId="1C9577E7">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345ABB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沁阳博物馆唐石龙头</w:t>
            </w:r>
          </w:p>
        </w:tc>
        <w:tc>
          <w:tcPr>
            <w:tcW w:w="1265" w:type="dxa"/>
            <w:tcBorders>
              <w:tl2br w:val="nil"/>
              <w:tr2bl w:val="nil"/>
            </w:tcBorders>
            <w:shd w:val="clear" w:color="auto" w:fill="auto"/>
            <w:vAlign w:val="center"/>
          </w:tcPr>
          <w:p w14:paraId="272A92E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0612D5C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62D2892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可移动文物</w:t>
            </w:r>
          </w:p>
        </w:tc>
      </w:tr>
      <w:tr w14:paraId="43822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9980F5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383</w:t>
            </w:r>
          </w:p>
        </w:tc>
        <w:tc>
          <w:tcPr>
            <w:tcW w:w="874" w:type="dxa"/>
            <w:vMerge w:val="continue"/>
            <w:tcBorders>
              <w:tl2br w:val="nil"/>
              <w:tr2bl w:val="nil"/>
            </w:tcBorders>
            <w:shd w:val="clear" w:color="auto" w:fill="auto"/>
            <w:vAlign w:val="center"/>
          </w:tcPr>
          <w:p w14:paraId="6726E9C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E219C8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沁阳神农山一线天</w:t>
            </w:r>
          </w:p>
        </w:tc>
        <w:tc>
          <w:tcPr>
            <w:tcW w:w="1265" w:type="dxa"/>
            <w:tcBorders>
              <w:tl2br w:val="nil"/>
              <w:tr2bl w:val="nil"/>
            </w:tcBorders>
            <w:shd w:val="clear" w:color="auto" w:fill="auto"/>
            <w:vAlign w:val="center"/>
          </w:tcPr>
          <w:p w14:paraId="3273DB5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地文景观</w:t>
            </w:r>
          </w:p>
        </w:tc>
        <w:tc>
          <w:tcPr>
            <w:tcW w:w="1241" w:type="dxa"/>
            <w:tcBorders>
              <w:tl2br w:val="nil"/>
              <w:tr2bl w:val="nil"/>
            </w:tcBorders>
            <w:shd w:val="clear" w:color="auto" w:fill="auto"/>
            <w:vAlign w:val="center"/>
          </w:tcPr>
          <w:p w14:paraId="3C93E9E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地质与构造形迹</w:t>
            </w:r>
          </w:p>
        </w:tc>
        <w:tc>
          <w:tcPr>
            <w:tcW w:w="1614" w:type="dxa"/>
            <w:tcBorders>
              <w:tl2br w:val="nil"/>
              <w:tr2bl w:val="nil"/>
            </w:tcBorders>
            <w:shd w:val="clear" w:color="auto" w:fill="auto"/>
            <w:vAlign w:val="center"/>
          </w:tcPr>
          <w:p w14:paraId="2866C24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断裂景观</w:t>
            </w:r>
          </w:p>
        </w:tc>
      </w:tr>
      <w:tr w14:paraId="731DB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EEC009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384</w:t>
            </w:r>
          </w:p>
        </w:tc>
        <w:tc>
          <w:tcPr>
            <w:tcW w:w="874" w:type="dxa"/>
            <w:vMerge w:val="continue"/>
            <w:tcBorders>
              <w:tl2br w:val="nil"/>
              <w:tr2bl w:val="nil"/>
            </w:tcBorders>
            <w:shd w:val="clear" w:color="auto" w:fill="auto"/>
            <w:vAlign w:val="center"/>
          </w:tcPr>
          <w:p w14:paraId="6E36FDE5">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C0AA3F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沁阳景明“耍老虎”</w:t>
            </w:r>
          </w:p>
        </w:tc>
        <w:tc>
          <w:tcPr>
            <w:tcW w:w="1265" w:type="dxa"/>
            <w:tcBorders>
              <w:tl2br w:val="nil"/>
              <w:tr2bl w:val="nil"/>
            </w:tcBorders>
            <w:shd w:val="clear" w:color="auto" w:fill="auto"/>
            <w:vAlign w:val="center"/>
          </w:tcPr>
          <w:p w14:paraId="5D69C3E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2212A9E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非物质类文化遗存</w:t>
            </w:r>
          </w:p>
        </w:tc>
        <w:tc>
          <w:tcPr>
            <w:tcW w:w="1614" w:type="dxa"/>
            <w:tcBorders>
              <w:tl2br w:val="nil"/>
              <w:tr2bl w:val="nil"/>
            </w:tcBorders>
            <w:shd w:val="clear" w:color="auto" w:fill="auto"/>
            <w:vAlign w:val="center"/>
          </w:tcPr>
          <w:p w14:paraId="5BF8757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传统演艺</w:t>
            </w:r>
          </w:p>
        </w:tc>
      </w:tr>
      <w:tr w14:paraId="76190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A7C64D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385</w:t>
            </w:r>
          </w:p>
        </w:tc>
        <w:tc>
          <w:tcPr>
            <w:tcW w:w="874" w:type="dxa"/>
            <w:vMerge w:val="continue"/>
            <w:tcBorders>
              <w:tl2br w:val="nil"/>
              <w:tr2bl w:val="nil"/>
            </w:tcBorders>
            <w:shd w:val="clear" w:color="auto" w:fill="auto"/>
            <w:vAlign w:val="center"/>
          </w:tcPr>
          <w:p w14:paraId="0BF78FF5">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45C493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沁阳神农山神农传说</w:t>
            </w:r>
          </w:p>
        </w:tc>
        <w:tc>
          <w:tcPr>
            <w:tcW w:w="1265" w:type="dxa"/>
            <w:tcBorders>
              <w:tl2br w:val="nil"/>
              <w:tr2bl w:val="nil"/>
            </w:tcBorders>
            <w:shd w:val="clear" w:color="auto" w:fill="auto"/>
            <w:vAlign w:val="center"/>
          </w:tcPr>
          <w:p w14:paraId="771D7D4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6F06DA6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非物质类文化遗存</w:t>
            </w:r>
          </w:p>
        </w:tc>
        <w:tc>
          <w:tcPr>
            <w:tcW w:w="1614" w:type="dxa"/>
            <w:tcBorders>
              <w:tl2br w:val="nil"/>
              <w:tr2bl w:val="nil"/>
            </w:tcBorders>
            <w:shd w:val="clear" w:color="auto" w:fill="auto"/>
            <w:vAlign w:val="center"/>
          </w:tcPr>
          <w:p w14:paraId="3D37A87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民间文学艺术</w:t>
            </w:r>
          </w:p>
        </w:tc>
      </w:tr>
      <w:tr w14:paraId="630D0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AFF436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386</w:t>
            </w:r>
          </w:p>
        </w:tc>
        <w:tc>
          <w:tcPr>
            <w:tcW w:w="874" w:type="dxa"/>
            <w:vMerge w:val="continue"/>
            <w:tcBorders>
              <w:tl2br w:val="nil"/>
              <w:tr2bl w:val="nil"/>
            </w:tcBorders>
            <w:shd w:val="clear" w:color="auto" w:fill="auto"/>
            <w:vAlign w:val="center"/>
          </w:tcPr>
          <w:p w14:paraId="1B4811D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800175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沁阳野王纻器制作技艺</w:t>
            </w:r>
          </w:p>
        </w:tc>
        <w:tc>
          <w:tcPr>
            <w:tcW w:w="1265" w:type="dxa"/>
            <w:tcBorders>
              <w:tl2br w:val="nil"/>
              <w:tr2bl w:val="nil"/>
            </w:tcBorders>
            <w:shd w:val="clear" w:color="auto" w:fill="auto"/>
            <w:vAlign w:val="center"/>
          </w:tcPr>
          <w:p w14:paraId="3FC193C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581E76A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非物质类文化遗存</w:t>
            </w:r>
          </w:p>
        </w:tc>
        <w:tc>
          <w:tcPr>
            <w:tcW w:w="1614" w:type="dxa"/>
            <w:tcBorders>
              <w:tl2br w:val="nil"/>
              <w:tr2bl w:val="nil"/>
            </w:tcBorders>
            <w:shd w:val="clear" w:color="auto" w:fill="auto"/>
            <w:vAlign w:val="center"/>
          </w:tcPr>
          <w:p w14:paraId="7A8E101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民间文学艺术</w:t>
            </w:r>
          </w:p>
        </w:tc>
      </w:tr>
      <w:tr w14:paraId="68306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ABC0CB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387</w:t>
            </w:r>
          </w:p>
        </w:tc>
        <w:tc>
          <w:tcPr>
            <w:tcW w:w="874" w:type="dxa"/>
            <w:vMerge w:val="continue"/>
            <w:tcBorders>
              <w:tl2br w:val="nil"/>
              <w:tr2bl w:val="nil"/>
            </w:tcBorders>
            <w:shd w:val="clear" w:color="auto" w:fill="auto"/>
            <w:vAlign w:val="center"/>
          </w:tcPr>
          <w:p w14:paraId="3491BEEB">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8B1563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杨介人</w:t>
            </w:r>
          </w:p>
        </w:tc>
        <w:tc>
          <w:tcPr>
            <w:tcW w:w="1265" w:type="dxa"/>
            <w:tcBorders>
              <w:tl2br w:val="nil"/>
              <w:tr2bl w:val="nil"/>
            </w:tcBorders>
            <w:shd w:val="clear" w:color="auto" w:fill="auto"/>
            <w:vAlign w:val="center"/>
          </w:tcPr>
          <w:p w14:paraId="4DC9D5F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58EA987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人事活动记录</w:t>
            </w:r>
          </w:p>
        </w:tc>
        <w:tc>
          <w:tcPr>
            <w:tcW w:w="1614" w:type="dxa"/>
            <w:tcBorders>
              <w:tl2br w:val="nil"/>
              <w:tr2bl w:val="nil"/>
            </w:tcBorders>
            <w:shd w:val="clear" w:color="auto" w:fill="auto"/>
            <w:vAlign w:val="center"/>
          </w:tcPr>
          <w:p w14:paraId="6DE7061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地方人物</w:t>
            </w:r>
          </w:p>
        </w:tc>
      </w:tr>
      <w:tr w14:paraId="2CDBB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CD6903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388</w:t>
            </w:r>
          </w:p>
        </w:tc>
        <w:tc>
          <w:tcPr>
            <w:tcW w:w="874" w:type="dxa"/>
            <w:vMerge w:val="continue"/>
            <w:tcBorders>
              <w:tl2br w:val="nil"/>
              <w:tr2bl w:val="nil"/>
            </w:tcBorders>
            <w:shd w:val="clear" w:color="auto" w:fill="auto"/>
            <w:vAlign w:val="center"/>
          </w:tcPr>
          <w:p w14:paraId="6A0DA19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22D5E3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宋学义</w:t>
            </w:r>
          </w:p>
        </w:tc>
        <w:tc>
          <w:tcPr>
            <w:tcW w:w="1265" w:type="dxa"/>
            <w:tcBorders>
              <w:tl2br w:val="nil"/>
              <w:tr2bl w:val="nil"/>
            </w:tcBorders>
            <w:shd w:val="clear" w:color="auto" w:fill="auto"/>
            <w:vAlign w:val="center"/>
          </w:tcPr>
          <w:p w14:paraId="597523C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10A5B20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人事活动记录</w:t>
            </w:r>
          </w:p>
        </w:tc>
        <w:tc>
          <w:tcPr>
            <w:tcW w:w="1614" w:type="dxa"/>
            <w:tcBorders>
              <w:tl2br w:val="nil"/>
              <w:tr2bl w:val="nil"/>
            </w:tcBorders>
            <w:shd w:val="clear" w:color="auto" w:fill="auto"/>
            <w:vAlign w:val="center"/>
          </w:tcPr>
          <w:p w14:paraId="3372A50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地方人物</w:t>
            </w:r>
          </w:p>
        </w:tc>
      </w:tr>
      <w:tr w14:paraId="30D82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CF2B11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389</w:t>
            </w:r>
          </w:p>
        </w:tc>
        <w:tc>
          <w:tcPr>
            <w:tcW w:w="874" w:type="dxa"/>
            <w:vMerge w:val="continue"/>
            <w:tcBorders>
              <w:tl2br w:val="nil"/>
              <w:tr2bl w:val="nil"/>
            </w:tcBorders>
            <w:shd w:val="clear" w:color="auto" w:fill="auto"/>
            <w:vAlign w:val="center"/>
          </w:tcPr>
          <w:p w14:paraId="36864DD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5A618A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沁阳和生森林动物乐园</w:t>
            </w:r>
          </w:p>
        </w:tc>
        <w:tc>
          <w:tcPr>
            <w:tcW w:w="1265" w:type="dxa"/>
            <w:tcBorders>
              <w:tl2br w:val="nil"/>
              <w:tr2bl w:val="nil"/>
            </w:tcBorders>
            <w:shd w:val="clear" w:color="auto" w:fill="auto"/>
            <w:vAlign w:val="center"/>
          </w:tcPr>
          <w:p w14:paraId="5D62B7D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3A4BDA4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043601E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57A4B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59A173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390</w:t>
            </w:r>
          </w:p>
        </w:tc>
        <w:tc>
          <w:tcPr>
            <w:tcW w:w="874" w:type="dxa"/>
            <w:vMerge w:val="continue"/>
            <w:tcBorders>
              <w:tl2br w:val="nil"/>
              <w:tr2bl w:val="nil"/>
            </w:tcBorders>
            <w:shd w:val="clear" w:color="auto" w:fill="auto"/>
            <w:vAlign w:val="center"/>
          </w:tcPr>
          <w:p w14:paraId="48E2ABCC">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F8C8EE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沁阳野王怀山药酒</w:t>
            </w:r>
          </w:p>
        </w:tc>
        <w:tc>
          <w:tcPr>
            <w:tcW w:w="1265" w:type="dxa"/>
            <w:tcBorders>
              <w:tl2br w:val="nil"/>
              <w:tr2bl w:val="nil"/>
            </w:tcBorders>
            <w:shd w:val="clear" w:color="auto" w:fill="auto"/>
            <w:vAlign w:val="center"/>
          </w:tcPr>
          <w:p w14:paraId="2E72507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6F4322D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特色饮食</w:t>
            </w:r>
          </w:p>
        </w:tc>
        <w:tc>
          <w:tcPr>
            <w:tcW w:w="1614" w:type="dxa"/>
            <w:tcBorders>
              <w:tl2br w:val="nil"/>
              <w:tr2bl w:val="nil"/>
            </w:tcBorders>
            <w:shd w:val="clear" w:color="auto" w:fill="auto"/>
            <w:vAlign w:val="center"/>
          </w:tcPr>
          <w:p w14:paraId="27C1C5C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特色饮品</w:t>
            </w:r>
          </w:p>
        </w:tc>
      </w:tr>
      <w:tr w14:paraId="4EEF3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3AE6700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391</w:t>
            </w:r>
          </w:p>
        </w:tc>
        <w:tc>
          <w:tcPr>
            <w:tcW w:w="874" w:type="dxa"/>
            <w:vMerge w:val="continue"/>
            <w:tcBorders>
              <w:tl2br w:val="nil"/>
              <w:tr2bl w:val="nil"/>
            </w:tcBorders>
            <w:shd w:val="clear" w:color="auto" w:fill="auto"/>
            <w:vAlign w:val="center"/>
          </w:tcPr>
          <w:p w14:paraId="5E3D3FB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974A85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沁阳神农山仙神谷静应湖</w:t>
            </w:r>
          </w:p>
        </w:tc>
        <w:tc>
          <w:tcPr>
            <w:tcW w:w="1265" w:type="dxa"/>
            <w:tcBorders>
              <w:tl2br w:val="nil"/>
              <w:tr2bl w:val="nil"/>
            </w:tcBorders>
            <w:shd w:val="clear" w:color="auto" w:fill="auto"/>
            <w:vAlign w:val="center"/>
          </w:tcPr>
          <w:p w14:paraId="62EFC57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6A2D024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湖沼</w:t>
            </w:r>
          </w:p>
        </w:tc>
        <w:tc>
          <w:tcPr>
            <w:tcW w:w="1614" w:type="dxa"/>
            <w:tcBorders>
              <w:tl2br w:val="nil"/>
              <w:tr2bl w:val="nil"/>
            </w:tcBorders>
            <w:shd w:val="clear" w:color="auto" w:fill="auto"/>
            <w:vAlign w:val="center"/>
          </w:tcPr>
          <w:p w14:paraId="55144B9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游憩湖区</w:t>
            </w:r>
          </w:p>
        </w:tc>
      </w:tr>
      <w:tr w14:paraId="0DE98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63E7291">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392</w:t>
            </w:r>
          </w:p>
        </w:tc>
        <w:tc>
          <w:tcPr>
            <w:tcW w:w="874" w:type="dxa"/>
            <w:vMerge w:val="continue"/>
            <w:tcBorders>
              <w:tl2br w:val="nil"/>
              <w:tr2bl w:val="nil"/>
            </w:tcBorders>
            <w:shd w:val="clear" w:color="auto" w:fill="auto"/>
            <w:vAlign w:val="center"/>
          </w:tcPr>
          <w:p w14:paraId="2492BC1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C13604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沁阳朱载堉纪念馆</w:t>
            </w:r>
          </w:p>
        </w:tc>
        <w:tc>
          <w:tcPr>
            <w:tcW w:w="1265" w:type="dxa"/>
            <w:tcBorders>
              <w:tl2br w:val="nil"/>
              <w:tr2bl w:val="nil"/>
            </w:tcBorders>
            <w:shd w:val="clear" w:color="auto" w:fill="auto"/>
            <w:vAlign w:val="center"/>
          </w:tcPr>
          <w:p w14:paraId="3952002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25BF279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672DFDA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纪念地与纪念活动场所</w:t>
            </w:r>
          </w:p>
        </w:tc>
      </w:tr>
      <w:tr w14:paraId="07BE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BC2F34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393</w:t>
            </w:r>
          </w:p>
        </w:tc>
        <w:tc>
          <w:tcPr>
            <w:tcW w:w="874" w:type="dxa"/>
            <w:vMerge w:val="restart"/>
            <w:tcBorders>
              <w:tl2br w:val="nil"/>
              <w:tr2bl w:val="nil"/>
            </w:tcBorders>
            <w:shd w:val="clear" w:color="auto" w:fill="auto"/>
            <w:vAlign w:val="center"/>
          </w:tcPr>
          <w:p w14:paraId="4E8428A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孟州市</w:t>
            </w:r>
          </w:p>
        </w:tc>
        <w:tc>
          <w:tcPr>
            <w:tcW w:w="3438" w:type="dxa"/>
            <w:tcBorders>
              <w:tl2br w:val="nil"/>
              <w:tr2bl w:val="nil"/>
            </w:tcBorders>
            <w:shd w:val="clear" w:color="auto" w:fill="auto"/>
            <w:vAlign w:val="center"/>
          </w:tcPr>
          <w:p w14:paraId="7008FACC">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孟州黄河鲤鱼</w:t>
            </w:r>
          </w:p>
        </w:tc>
        <w:tc>
          <w:tcPr>
            <w:tcW w:w="1265" w:type="dxa"/>
            <w:tcBorders>
              <w:tl2br w:val="nil"/>
              <w:tr2bl w:val="nil"/>
            </w:tcBorders>
            <w:shd w:val="clear" w:color="auto" w:fill="auto"/>
            <w:vAlign w:val="center"/>
          </w:tcPr>
          <w:p w14:paraId="0DFEB26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7308DD0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特色饮食</w:t>
            </w:r>
          </w:p>
        </w:tc>
        <w:tc>
          <w:tcPr>
            <w:tcW w:w="1614" w:type="dxa"/>
            <w:tcBorders>
              <w:tl2br w:val="nil"/>
              <w:tr2bl w:val="nil"/>
            </w:tcBorders>
            <w:shd w:val="clear" w:color="auto" w:fill="auto"/>
            <w:vAlign w:val="center"/>
          </w:tcPr>
          <w:p w14:paraId="26FED0A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特色美食</w:t>
            </w:r>
          </w:p>
        </w:tc>
      </w:tr>
      <w:tr w14:paraId="283BD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556756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394</w:t>
            </w:r>
          </w:p>
        </w:tc>
        <w:tc>
          <w:tcPr>
            <w:tcW w:w="874" w:type="dxa"/>
            <w:vMerge w:val="continue"/>
            <w:tcBorders>
              <w:tl2br w:val="nil"/>
              <w:tr2bl w:val="nil"/>
            </w:tcBorders>
            <w:shd w:val="clear" w:color="auto" w:fill="auto"/>
            <w:vAlign w:val="center"/>
          </w:tcPr>
          <w:p w14:paraId="44170806">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6D1CF8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乔伯文</w:t>
            </w:r>
          </w:p>
        </w:tc>
        <w:tc>
          <w:tcPr>
            <w:tcW w:w="1265" w:type="dxa"/>
            <w:tcBorders>
              <w:tl2br w:val="nil"/>
              <w:tr2bl w:val="nil"/>
            </w:tcBorders>
            <w:shd w:val="clear" w:color="auto" w:fill="auto"/>
            <w:vAlign w:val="center"/>
          </w:tcPr>
          <w:p w14:paraId="470E0AF2">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62CA5DB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人事活动记录</w:t>
            </w:r>
          </w:p>
        </w:tc>
        <w:tc>
          <w:tcPr>
            <w:tcW w:w="1614" w:type="dxa"/>
            <w:tcBorders>
              <w:tl2br w:val="nil"/>
              <w:tr2bl w:val="nil"/>
            </w:tcBorders>
            <w:shd w:val="clear" w:color="auto" w:fill="auto"/>
            <w:vAlign w:val="center"/>
          </w:tcPr>
          <w:p w14:paraId="72C5801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地方人物</w:t>
            </w:r>
          </w:p>
        </w:tc>
      </w:tr>
      <w:tr w14:paraId="1BC6C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98D259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395</w:t>
            </w:r>
          </w:p>
        </w:tc>
        <w:tc>
          <w:tcPr>
            <w:tcW w:w="874" w:type="dxa"/>
            <w:vMerge w:val="continue"/>
            <w:tcBorders>
              <w:tl2br w:val="nil"/>
              <w:tr2bl w:val="nil"/>
            </w:tcBorders>
            <w:shd w:val="clear" w:color="auto" w:fill="auto"/>
            <w:vAlign w:val="center"/>
          </w:tcPr>
          <w:p w14:paraId="3AFEF6F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8469C3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李伟</w:t>
            </w:r>
          </w:p>
        </w:tc>
        <w:tc>
          <w:tcPr>
            <w:tcW w:w="1265" w:type="dxa"/>
            <w:tcBorders>
              <w:tl2br w:val="nil"/>
              <w:tr2bl w:val="nil"/>
            </w:tcBorders>
            <w:shd w:val="clear" w:color="auto" w:fill="auto"/>
            <w:vAlign w:val="center"/>
          </w:tcPr>
          <w:p w14:paraId="3D9D9559">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09829A8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人事活动记录</w:t>
            </w:r>
          </w:p>
        </w:tc>
        <w:tc>
          <w:tcPr>
            <w:tcW w:w="1614" w:type="dxa"/>
            <w:tcBorders>
              <w:tl2br w:val="nil"/>
              <w:tr2bl w:val="nil"/>
            </w:tcBorders>
            <w:shd w:val="clear" w:color="auto" w:fill="auto"/>
            <w:vAlign w:val="center"/>
          </w:tcPr>
          <w:p w14:paraId="3B1B60A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地方人物</w:t>
            </w:r>
          </w:p>
        </w:tc>
      </w:tr>
      <w:tr w14:paraId="47813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417993E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396</w:t>
            </w:r>
          </w:p>
        </w:tc>
        <w:tc>
          <w:tcPr>
            <w:tcW w:w="874" w:type="dxa"/>
            <w:vMerge w:val="continue"/>
            <w:tcBorders>
              <w:tl2br w:val="nil"/>
              <w:tr2bl w:val="nil"/>
            </w:tcBorders>
            <w:shd w:val="clear" w:color="auto" w:fill="auto"/>
            <w:vAlign w:val="center"/>
          </w:tcPr>
          <w:p w14:paraId="2D80FCE0">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36DE87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王蒙玲</w:t>
            </w:r>
          </w:p>
        </w:tc>
        <w:tc>
          <w:tcPr>
            <w:tcW w:w="1265" w:type="dxa"/>
            <w:tcBorders>
              <w:tl2br w:val="nil"/>
              <w:tr2bl w:val="nil"/>
            </w:tcBorders>
            <w:shd w:val="clear" w:color="auto" w:fill="auto"/>
            <w:vAlign w:val="center"/>
          </w:tcPr>
          <w:p w14:paraId="0C90B7D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39B9B55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人事活动记录</w:t>
            </w:r>
          </w:p>
        </w:tc>
        <w:tc>
          <w:tcPr>
            <w:tcW w:w="1614" w:type="dxa"/>
            <w:tcBorders>
              <w:tl2br w:val="nil"/>
              <w:tr2bl w:val="nil"/>
            </w:tcBorders>
            <w:shd w:val="clear" w:color="auto" w:fill="auto"/>
            <w:vAlign w:val="center"/>
          </w:tcPr>
          <w:p w14:paraId="37275DF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地方人物</w:t>
            </w:r>
          </w:p>
        </w:tc>
      </w:tr>
      <w:tr w14:paraId="5DE84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7C6E658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397</w:t>
            </w:r>
          </w:p>
        </w:tc>
        <w:tc>
          <w:tcPr>
            <w:tcW w:w="874" w:type="dxa"/>
            <w:vMerge w:val="continue"/>
            <w:tcBorders>
              <w:tl2br w:val="nil"/>
              <w:tr2bl w:val="nil"/>
            </w:tcBorders>
            <w:shd w:val="clear" w:color="auto" w:fill="auto"/>
            <w:vAlign w:val="center"/>
          </w:tcPr>
          <w:p w14:paraId="7D4A246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AA9407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汤金明</w:t>
            </w:r>
          </w:p>
        </w:tc>
        <w:tc>
          <w:tcPr>
            <w:tcW w:w="1265" w:type="dxa"/>
            <w:tcBorders>
              <w:tl2br w:val="nil"/>
              <w:tr2bl w:val="nil"/>
            </w:tcBorders>
            <w:shd w:val="clear" w:color="auto" w:fill="auto"/>
            <w:vAlign w:val="center"/>
          </w:tcPr>
          <w:p w14:paraId="41175CB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人文活动</w:t>
            </w:r>
          </w:p>
        </w:tc>
        <w:tc>
          <w:tcPr>
            <w:tcW w:w="1241" w:type="dxa"/>
            <w:tcBorders>
              <w:tl2br w:val="nil"/>
              <w:tr2bl w:val="nil"/>
            </w:tcBorders>
            <w:shd w:val="clear" w:color="auto" w:fill="auto"/>
            <w:vAlign w:val="center"/>
          </w:tcPr>
          <w:p w14:paraId="0874A6D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人事活动记录</w:t>
            </w:r>
          </w:p>
        </w:tc>
        <w:tc>
          <w:tcPr>
            <w:tcW w:w="1614" w:type="dxa"/>
            <w:tcBorders>
              <w:tl2br w:val="nil"/>
              <w:tr2bl w:val="nil"/>
            </w:tcBorders>
            <w:shd w:val="clear" w:color="auto" w:fill="auto"/>
            <w:vAlign w:val="center"/>
          </w:tcPr>
          <w:p w14:paraId="7B2C110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地方人物</w:t>
            </w:r>
          </w:p>
        </w:tc>
      </w:tr>
      <w:tr w14:paraId="62166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1182C4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398</w:t>
            </w:r>
          </w:p>
        </w:tc>
        <w:tc>
          <w:tcPr>
            <w:tcW w:w="874" w:type="dxa"/>
            <w:vMerge w:val="continue"/>
            <w:tcBorders>
              <w:tl2br w:val="nil"/>
              <w:tr2bl w:val="nil"/>
            </w:tcBorders>
            <w:shd w:val="clear" w:color="auto" w:fill="auto"/>
            <w:vAlign w:val="center"/>
          </w:tcPr>
          <w:p w14:paraId="77EF946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6D00C1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孟州黄河文化苑</w:t>
            </w:r>
          </w:p>
        </w:tc>
        <w:tc>
          <w:tcPr>
            <w:tcW w:w="1265" w:type="dxa"/>
            <w:tcBorders>
              <w:tl2br w:val="nil"/>
              <w:tr2bl w:val="nil"/>
            </w:tcBorders>
            <w:shd w:val="clear" w:color="auto" w:fill="auto"/>
            <w:vAlign w:val="center"/>
          </w:tcPr>
          <w:p w14:paraId="360A747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041EFA9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7F47E78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4F023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B0A2C8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399</w:t>
            </w:r>
          </w:p>
        </w:tc>
        <w:tc>
          <w:tcPr>
            <w:tcW w:w="874" w:type="dxa"/>
            <w:vMerge w:val="continue"/>
            <w:tcBorders>
              <w:tl2br w:val="nil"/>
              <w:tr2bl w:val="nil"/>
            </w:tcBorders>
            <w:shd w:val="clear" w:color="auto" w:fill="auto"/>
            <w:vAlign w:val="center"/>
          </w:tcPr>
          <w:p w14:paraId="2492505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B89B32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孟州老家莫沟</w:t>
            </w:r>
          </w:p>
        </w:tc>
        <w:tc>
          <w:tcPr>
            <w:tcW w:w="1265" w:type="dxa"/>
            <w:tcBorders>
              <w:tl2br w:val="nil"/>
              <w:tr2bl w:val="nil"/>
            </w:tcBorders>
            <w:shd w:val="clear" w:color="auto" w:fill="auto"/>
            <w:vAlign w:val="center"/>
          </w:tcPr>
          <w:p w14:paraId="1BAD3A5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2C07335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64C3CE8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6E5A3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C41DA6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400</w:t>
            </w:r>
          </w:p>
        </w:tc>
        <w:tc>
          <w:tcPr>
            <w:tcW w:w="874" w:type="dxa"/>
            <w:vMerge w:val="continue"/>
            <w:tcBorders>
              <w:tl2br w:val="nil"/>
              <w:tr2bl w:val="nil"/>
            </w:tcBorders>
            <w:shd w:val="clear" w:color="auto" w:fill="auto"/>
            <w:vAlign w:val="center"/>
          </w:tcPr>
          <w:p w14:paraId="2ED54A3A">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8E31C4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孟州美丽源沟</w:t>
            </w:r>
          </w:p>
        </w:tc>
        <w:tc>
          <w:tcPr>
            <w:tcW w:w="1265" w:type="dxa"/>
            <w:tcBorders>
              <w:tl2br w:val="nil"/>
              <w:tr2bl w:val="nil"/>
            </w:tcBorders>
            <w:shd w:val="clear" w:color="auto" w:fill="auto"/>
            <w:vAlign w:val="center"/>
          </w:tcPr>
          <w:p w14:paraId="27EA2A9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1FA8291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27361A0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46779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690C6C4">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401</w:t>
            </w:r>
          </w:p>
        </w:tc>
        <w:tc>
          <w:tcPr>
            <w:tcW w:w="874" w:type="dxa"/>
            <w:vMerge w:val="continue"/>
            <w:tcBorders>
              <w:tl2br w:val="nil"/>
              <w:tr2bl w:val="nil"/>
            </w:tcBorders>
            <w:shd w:val="clear" w:color="auto" w:fill="auto"/>
            <w:vAlign w:val="center"/>
          </w:tcPr>
          <w:p w14:paraId="2952CF7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7199A4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孟州黄河日出</w:t>
            </w:r>
          </w:p>
        </w:tc>
        <w:tc>
          <w:tcPr>
            <w:tcW w:w="1265" w:type="dxa"/>
            <w:tcBorders>
              <w:tl2br w:val="nil"/>
              <w:tr2bl w:val="nil"/>
            </w:tcBorders>
            <w:shd w:val="clear" w:color="auto" w:fill="auto"/>
            <w:vAlign w:val="center"/>
          </w:tcPr>
          <w:p w14:paraId="7925927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天象与气候景观</w:t>
            </w:r>
          </w:p>
        </w:tc>
        <w:tc>
          <w:tcPr>
            <w:tcW w:w="1241" w:type="dxa"/>
            <w:tcBorders>
              <w:tl2br w:val="nil"/>
              <w:tr2bl w:val="nil"/>
            </w:tcBorders>
            <w:shd w:val="clear" w:color="auto" w:fill="auto"/>
            <w:vAlign w:val="center"/>
          </w:tcPr>
          <w:p w14:paraId="000A5B6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天象景观</w:t>
            </w:r>
          </w:p>
        </w:tc>
        <w:tc>
          <w:tcPr>
            <w:tcW w:w="1614" w:type="dxa"/>
            <w:tcBorders>
              <w:tl2br w:val="nil"/>
              <w:tr2bl w:val="nil"/>
            </w:tcBorders>
            <w:shd w:val="clear" w:color="auto" w:fill="auto"/>
            <w:vAlign w:val="center"/>
          </w:tcPr>
          <w:p w14:paraId="0EB7DBF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太空景象观赏地</w:t>
            </w:r>
          </w:p>
        </w:tc>
      </w:tr>
      <w:tr w14:paraId="3D3A8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F44F33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402</w:t>
            </w:r>
          </w:p>
        </w:tc>
        <w:tc>
          <w:tcPr>
            <w:tcW w:w="874" w:type="dxa"/>
            <w:vMerge w:val="continue"/>
            <w:tcBorders>
              <w:tl2br w:val="nil"/>
              <w:tr2bl w:val="nil"/>
            </w:tcBorders>
            <w:shd w:val="clear" w:color="auto" w:fill="auto"/>
            <w:vAlign w:val="center"/>
          </w:tcPr>
          <w:p w14:paraId="319C1B03">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060B22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黄河孟州段</w:t>
            </w:r>
          </w:p>
        </w:tc>
        <w:tc>
          <w:tcPr>
            <w:tcW w:w="1265" w:type="dxa"/>
            <w:tcBorders>
              <w:tl2br w:val="nil"/>
              <w:tr2bl w:val="nil"/>
            </w:tcBorders>
            <w:shd w:val="clear" w:color="auto" w:fill="auto"/>
            <w:vAlign w:val="center"/>
          </w:tcPr>
          <w:p w14:paraId="6B4EF94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76603AE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河系</w:t>
            </w:r>
          </w:p>
        </w:tc>
        <w:tc>
          <w:tcPr>
            <w:tcW w:w="1614" w:type="dxa"/>
            <w:tcBorders>
              <w:tl2br w:val="nil"/>
              <w:tr2bl w:val="nil"/>
            </w:tcBorders>
            <w:shd w:val="clear" w:color="auto" w:fill="auto"/>
            <w:vAlign w:val="center"/>
          </w:tcPr>
          <w:p w14:paraId="1EC64A2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游憩河段</w:t>
            </w:r>
          </w:p>
        </w:tc>
      </w:tr>
      <w:tr w14:paraId="57733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024A96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403</w:t>
            </w:r>
          </w:p>
        </w:tc>
        <w:tc>
          <w:tcPr>
            <w:tcW w:w="874" w:type="dxa"/>
            <w:vMerge w:val="continue"/>
            <w:tcBorders>
              <w:tl2br w:val="nil"/>
              <w:tr2bl w:val="nil"/>
            </w:tcBorders>
            <w:shd w:val="clear" w:color="auto" w:fill="auto"/>
            <w:vAlign w:val="center"/>
          </w:tcPr>
          <w:p w14:paraId="62A4B71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7D3F94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孟州莫沟村</w:t>
            </w:r>
          </w:p>
        </w:tc>
        <w:tc>
          <w:tcPr>
            <w:tcW w:w="1265" w:type="dxa"/>
            <w:tcBorders>
              <w:tl2br w:val="nil"/>
              <w:tr2bl w:val="nil"/>
            </w:tcBorders>
            <w:shd w:val="clear" w:color="auto" w:fill="auto"/>
            <w:vAlign w:val="center"/>
          </w:tcPr>
          <w:p w14:paraId="346CE90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5A2A42F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317648F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1F3E0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77751B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404</w:t>
            </w:r>
          </w:p>
        </w:tc>
        <w:tc>
          <w:tcPr>
            <w:tcW w:w="874" w:type="dxa"/>
            <w:vMerge w:val="continue"/>
            <w:tcBorders>
              <w:tl2br w:val="nil"/>
              <w:tr2bl w:val="nil"/>
            </w:tcBorders>
            <w:shd w:val="clear" w:color="auto" w:fill="auto"/>
            <w:vAlign w:val="center"/>
          </w:tcPr>
          <w:p w14:paraId="29890A6D">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CBB41B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孟州乔家制鼓</w:t>
            </w:r>
          </w:p>
        </w:tc>
        <w:tc>
          <w:tcPr>
            <w:tcW w:w="1265" w:type="dxa"/>
            <w:tcBorders>
              <w:tl2br w:val="nil"/>
              <w:tr2bl w:val="nil"/>
            </w:tcBorders>
            <w:shd w:val="clear" w:color="auto" w:fill="auto"/>
            <w:vAlign w:val="center"/>
          </w:tcPr>
          <w:p w14:paraId="76D1B89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158FD9F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农业产品</w:t>
            </w:r>
          </w:p>
        </w:tc>
        <w:tc>
          <w:tcPr>
            <w:tcW w:w="1614" w:type="dxa"/>
            <w:tcBorders>
              <w:tl2br w:val="nil"/>
              <w:tr2bl w:val="nil"/>
            </w:tcBorders>
            <w:shd w:val="clear" w:color="auto" w:fill="auto"/>
            <w:vAlign w:val="center"/>
          </w:tcPr>
          <w:p w14:paraId="6B7E1A6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种植业产品及制品</w:t>
            </w:r>
          </w:p>
        </w:tc>
      </w:tr>
      <w:tr w14:paraId="5A0A1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4D0259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405</w:t>
            </w:r>
          </w:p>
        </w:tc>
        <w:tc>
          <w:tcPr>
            <w:tcW w:w="874" w:type="dxa"/>
            <w:vMerge w:val="continue"/>
            <w:tcBorders>
              <w:tl2br w:val="nil"/>
              <w:tr2bl w:val="nil"/>
            </w:tcBorders>
            <w:shd w:val="clear" w:color="auto" w:fill="auto"/>
            <w:vAlign w:val="center"/>
          </w:tcPr>
          <w:p w14:paraId="16323E79">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75EA51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孟州大型古装曲剧《韩愈》</w:t>
            </w:r>
          </w:p>
        </w:tc>
        <w:tc>
          <w:tcPr>
            <w:tcW w:w="1265" w:type="dxa"/>
            <w:tcBorders>
              <w:tl2br w:val="nil"/>
              <w:tr2bl w:val="nil"/>
            </w:tcBorders>
            <w:shd w:val="clear" w:color="auto" w:fill="auto"/>
            <w:vAlign w:val="center"/>
          </w:tcPr>
          <w:p w14:paraId="70A5380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24672BD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非物质类文化遗存</w:t>
            </w:r>
          </w:p>
        </w:tc>
        <w:tc>
          <w:tcPr>
            <w:tcW w:w="1614" w:type="dxa"/>
            <w:tcBorders>
              <w:tl2br w:val="nil"/>
              <w:tr2bl w:val="nil"/>
            </w:tcBorders>
            <w:shd w:val="clear" w:color="auto" w:fill="auto"/>
            <w:vAlign w:val="center"/>
          </w:tcPr>
          <w:p w14:paraId="5AF5777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民间文学艺术</w:t>
            </w:r>
          </w:p>
        </w:tc>
      </w:tr>
      <w:tr w14:paraId="5C221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6350A4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406</w:t>
            </w:r>
          </w:p>
        </w:tc>
        <w:tc>
          <w:tcPr>
            <w:tcW w:w="874" w:type="dxa"/>
            <w:vMerge w:val="continue"/>
            <w:tcBorders>
              <w:tl2br w:val="nil"/>
              <w:tr2bl w:val="nil"/>
            </w:tcBorders>
            <w:shd w:val="clear" w:color="auto" w:fill="auto"/>
            <w:vAlign w:val="center"/>
          </w:tcPr>
          <w:p w14:paraId="36679798">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380F66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孟州大型古装曲剧《韩愈释奴》</w:t>
            </w:r>
          </w:p>
        </w:tc>
        <w:tc>
          <w:tcPr>
            <w:tcW w:w="1265" w:type="dxa"/>
            <w:tcBorders>
              <w:tl2br w:val="nil"/>
              <w:tr2bl w:val="nil"/>
            </w:tcBorders>
            <w:shd w:val="clear" w:color="auto" w:fill="auto"/>
            <w:vAlign w:val="center"/>
          </w:tcPr>
          <w:p w14:paraId="4803E591">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37BF1F3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非物质类文化遗存</w:t>
            </w:r>
          </w:p>
        </w:tc>
        <w:tc>
          <w:tcPr>
            <w:tcW w:w="1614" w:type="dxa"/>
            <w:tcBorders>
              <w:tl2br w:val="nil"/>
              <w:tr2bl w:val="nil"/>
            </w:tcBorders>
            <w:shd w:val="clear" w:color="auto" w:fill="auto"/>
            <w:vAlign w:val="center"/>
          </w:tcPr>
          <w:p w14:paraId="70527B2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民间文学艺术</w:t>
            </w:r>
          </w:p>
        </w:tc>
      </w:tr>
      <w:tr w14:paraId="475C5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B6D040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407</w:t>
            </w:r>
          </w:p>
        </w:tc>
        <w:tc>
          <w:tcPr>
            <w:tcW w:w="874" w:type="dxa"/>
            <w:vMerge w:val="continue"/>
            <w:tcBorders>
              <w:tl2br w:val="nil"/>
              <w:tr2bl w:val="nil"/>
            </w:tcBorders>
            <w:shd w:val="clear" w:color="auto" w:fill="auto"/>
            <w:vAlign w:val="center"/>
          </w:tcPr>
          <w:p w14:paraId="69846BE8">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BB1326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孟州麦草画</w:t>
            </w:r>
          </w:p>
        </w:tc>
        <w:tc>
          <w:tcPr>
            <w:tcW w:w="1265" w:type="dxa"/>
            <w:tcBorders>
              <w:tl2br w:val="nil"/>
              <w:tr2bl w:val="nil"/>
            </w:tcBorders>
            <w:shd w:val="clear" w:color="auto" w:fill="auto"/>
            <w:vAlign w:val="center"/>
          </w:tcPr>
          <w:p w14:paraId="1F6501E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6EC0FBF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农业产品</w:t>
            </w:r>
          </w:p>
        </w:tc>
        <w:tc>
          <w:tcPr>
            <w:tcW w:w="1614" w:type="dxa"/>
            <w:tcBorders>
              <w:tl2br w:val="nil"/>
              <w:tr2bl w:val="nil"/>
            </w:tcBorders>
            <w:shd w:val="clear" w:color="auto" w:fill="auto"/>
            <w:vAlign w:val="center"/>
          </w:tcPr>
          <w:p w14:paraId="595002A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种植业产品及制品</w:t>
            </w:r>
          </w:p>
        </w:tc>
      </w:tr>
      <w:tr w14:paraId="78053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E271810">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408</w:t>
            </w:r>
          </w:p>
        </w:tc>
        <w:tc>
          <w:tcPr>
            <w:tcW w:w="874" w:type="dxa"/>
            <w:vMerge w:val="continue"/>
            <w:tcBorders>
              <w:tl2br w:val="nil"/>
              <w:tr2bl w:val="nil"/>
            </w:tcBorders>
            <w:shd w:val="clear" w:color="auto" w:fill="auto"/>
            <w:vAlign w:val="center"/>
          </w:tcPr>
          <w:p w14:paraId="2704C2B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A9160B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孟州韩园景区唐柏双奇</w:t>
            </w:r>
          </w:p>
        </w:tc>
        <w:tc>
          <w:tcPr>
            <w:tcW w:w="1265" w:type="dxa"/>
            <w:tcBorders>
              <w:tl2br w:val="nil"/>
              <w:tr2bl w:val="nil"/>
            </w:tcBorders>
            <w:shd w:val="clear" w:color="auto" w:fill="auto"/>
            <w:vAlign w:val="center"/>
          </w:tcPr>
          <w:p w14:paraId="0B4D6FA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生物景观</w:t>
            </w:r>
          </w:p>
        </w:tc>
        <w:tc>
          <w:tcPr>
            <w:tcW w:w="1241" w:type="dxa"/>
            <w:tcBorders>
              <w:tl2br w:val="nil"/>
              <w:tr2bl w:val="nil"/>
            </w:tcBorders>
            <w:shd w:val="clear" w:color="auto" w:fill="auto"/>
            <w:vAlign w:val="center"/>
          </w:tcPr>
          <w:p w14:paraId="502CFC3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植被景观</w:t>
            </w:r>
          </w:p>
        </w:tc>
        <w:tc>
          <w:tcPr>
            <w:tcW w:w="1614" w:type="dxa"/>
            <w:tcBorders>
              <w:tl2br w:val="nil"/>
              <w:tr2bl w:val="nil"/>
            </w:tcBorders>
            <w:shd w:val="clear" w:color="auto" w:fill="auto"/>
            <w:vAlign w:val="center"/>
          </w:tcPr>
          <w:p w14:paraId="57C72F36">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独树与丛树</w:t>
            </w:r>
          </w:p>
        </w:tc>
      </w:tr>
      <w:tr w14:paraId="360FD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71F591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409</w:t>
            </w:r>
          </w:p>
        </w:tc>
        <w:tc>
          <w:tcPr>
            <w:tcW w:w="874" w:type="dxa"/>
            <w:vMerge w:val="continue"/>
            <w:tcBorders>
              <w:tl2br w:val="nil"/>
              <w:tr2bl w:val="nil"/>
            </w:tcBorders>
            <w:shd w:val="clear" w:color="auto" w:fill="auto"/>
            <w:vAlign w:val="center"/>
          </w:tcPr>
          <w:p w14:paraId="0F3D2C1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0AE9C1B8">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孟州锁水阁</w:t>
            </w:r>
          </w:p>
        </w:tc>
        <w:tc>
          <w:tcPr>
            <w:tcW w:w="1265" w:type="dxa"/>
            <w:tcBorders>
              <w:tl2br w:val="nil"/>
              <w:tr2bl w:val="nil"/>
            </w:tcBorders>
            <w:shd w:val="clear" w:color="auto" w:fill="auto"/>
            <w:vAlign w:val="center"/>
          </w:tcPr>
          <w:p w14:paraId="4FEF2975">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1CD3657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景观与小品建筑</w:t>
            </w:r>
          </w:p>
        </w:tc>
        <w:tc>
          <w:tcPr>
            <w:tcW w:w="1614" w:type="dxa"/>
            <w:tcBorders>
              <w:tl2br w:val="nil"/>
              <w:tr2bl w:val="nil"/>
            </w:tcBorders>
            <w:shd w:val="clear" w:color="auto" w:fill="auto"/>
            <w:vAlign w:val="center"/>
          </w:tcPr>
          <w:p w14:paraId="2F07112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亭、台、楼、阁</w:t>
            </w:r>
          </w:p>
        </w:tc>
      </w:tr>
      <w:tr w14:paraId="20E4D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DAAF7A7">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410</w:t>
            </w:r>
          </w:p>
        </w:tc>
        <w:tc>
          <w:tcPr>
            <w:tcW w:w="874" w:type="dxa"/>
            <w:vMerge w:val="continue"/>
            <w:tcBorders>
              <w:tl2br w:val="nil"/>
              <w:tr2bl w:val="nil"/>
            </w:tcBorders>
            <w:shd w:val="clear" w:color="auto" w:fill="auto"/>
            <w:vAlign w:val="center"/>
          </w:tcPr>
          <w:p w14:paraId="4B86271E">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612FE31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孟州河阳故城</w:t>
            </w:r>
          </w:p>
        </w:tc>
        <w:tc>
          <w:tcPr>
            <w:tcW w:w="1265" w:type="dxa"/>
            <w:tcBorders>
              <w:tl2br w:val="nil"/>
              <w:tr2bl w:val="nil"/>
            </w:tcBorders>
            <w:shd w:val="clear" w:color="auto" w:fill="auto"/>
            <w:vAlign w:val="center"/>
          </w:tcPr>
          <w:p w14:paraId="3F2800F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4747D85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物质类文化遗存</w:t>
            </w:r>
          </w:p>
        </w:tc>
        <w:tc>
          <w:tcPr>
            <w:tcW w:w="1614" w:type="dxa"/>
            <w:tcBorders>
              <w:tl2br w:val="nil"/>
              <w:tr2bl w:val="nil"/>
            </w:tcBorders>
            <w:shd w:val="clear" w:color="auto" w:fill="auto"/>
            <w:vAlign w:val="center"/>
          </w:tcPr>
          <w:p w14:paraId="7F443BC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建筑遗迹</w:t>
            </w:r>
          </w:p>
        </w:tc>
      </w:tr>
      <w:tr w14:paraId="16BF4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9405A1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411</w:t>
            </w:r>
          </w:p>
        </w:tc>
        <w:tc>
          <w:tcPr>
            <w:tcW w:w="874" w:type="dxa"/>
            <w:vMerge w:val="continue"/>
            <w:tcBorders>
              <w:tl2br w:val="nil"/>
              <w:tr2bl w:val="nil"/>
            </w:tcBorders>
            <w:shd w:val="clear" w:color="auto" w:fill="auto"/>
            <w:vAlign w:val="center"/>
          </w:tcPr>
          <w:p w14:paraId="5BC073FD">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40A189F">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孟州老家莫沟景区老苗书馆</w:t>
            </w:r>
          </w:p>
        </w:tc>
        <w:tc>
          <w:tcPr>
            <w:tcW w:w="1265" w:type="dxa"/>
            <w:tcBorders>
              <w:tl2br w:val="nil"/>
              <w:tr2bl w:val="nil"/>
            </w:tcBorders>
            <w:shd w:val="clear" w:color="auto" w:fill="auto"/>
            <w:vAlign w:val="center"/>
          </w:tcPr>
          <w:p w14:paraId="464D24B3">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2C22666C">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4CEF657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文化活动场所</w:t>
            </w:r>
          </w:p>
        </w:tc>
      </w:tr>
      <w:tr w14:paraId="3BAAF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CA84F8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412</w:t>
            </w:r>
          </w:p>
        </w:tc>
        <w:tc>
          <w:tcPr>
            <w:tcW w:w="874" w:type="dxa"/>
            <w:vMerge w:val="continue"/>
            <w:tcBorders>
              <w:tl2br w:val="nil"/>
              <w:tr2bl w:val="nil"/>
            </w:tcBorders>
            <w:shd w:val="clear" w:color="auto" w:fill="auto"/>
            <w:vAlign w:val="center"/>
          </w:tcPr>
          <w:p w14:paraId="3F3E3BE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C6AADB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孟州黄河湿地</w:t>
            </w:r>
          </w:p>
        </w:tc>
        <w:tc>
          <w:tcPr>
            <w:tcW w:w="1265" w:type="dxa"/>
            <w:tcBorders>
              <w:tl2br w:val="nil"/>
              <w:tr2bl w:val="nil"/>
            </w:tcBorders>
            <w:shd w:val="clear" w:color="auto" w:fill="auto"/>
            <w:vAlign w:val="center"/>
          </w:tcPr>
          <w:p w14:paraId="06B8818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水域景观</w:t>
            </w:r>
          </w:p>
        </w:tc>
        <w:tc>
          <w:tcPr>
            <w:tcW w:w="1241" w:type="dxa"/>
            <w:tcBorders>
              <w:tl2br w:val="nil"/>
              <w:tr2bl w:val="nil"/>
            </w:tcBorders>
            <w:shd w:val="clear" w:color="auto" w:fill="auto"/>
            <w:vAlign w:val="center"/>
          </w:tcPr>
          <w:p w14:paraId="4BD0AA3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湖沼</w:t>
            </w:r>
          </w:p>
        </w:tc>
        <w:tc>
          <w:tcPr>
            <w:tcW w:w="1614" w:type="dxa"/>
            <w:tcBorders>
              <w:tl2br w:val="nil"/>
              <w:tr2bl w:val="nil"/>
            </w:tcBorders>
            <w:shd w:val="clear" w:color="auto" w:fill="auto"/>
            <w:vAlign w:val="center"/>
          </w:tcPr>
          <w:p w14:paraId="1C6E5C4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湿地</w:t>
            </w:r>
          </w:p>
        </w:tc>
      </w:tr>
      <w:tr w14:paraId="612C8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100988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413</w:t>
            </w:r>
          </w:p>
        </w:tc>
        <w:tc>
          <w:tcPr>
            <w:tcW w:w="874" w:type="dxa"/>
            <w:vMerge w:val="continue"/>
            <w:tcBorders>
              <w:tl2br w:val="nil"/>
              <w:tr2bl w:val="nil"/>
            </w:tcBorders>
            <w:shd w:val="clear" w:color="auto" w:fill="auto"/>
            <w:vAlign w:val="center"/>
          </w:tcPr>
          <w:p w14:paraId="56AA31EB">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A9A4E6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孟州显圣王庙</w:t>
            </w:r>
          </w:p>
        </w:tc>
        <w:tc>
          <w:tcPr>
            <w:tcW w:w="1265" w:type="dxa"/>
            <w:tcBorders>
              <w:tl2br w:val="nil"/>
              <w:tr2bl w:val="nil"/>
            </w:tcBorders>
            <w:shd w:val="clear" w:color="auto" w:fill="auto"/>
            <w:vAlign w:val="center"/>
          </w:tcPr>
          <w:p w14:paraId="6B9886D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075ED22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677DE69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宗教与祭祀活动场所</w:t>
            </w:r>
          </w:p>
        </w:tc>
      </w:tr>
      <w:tr w14:paraId="70638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D354BCA">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414</w:t>
            </w:r>
          </w:p>
        </w:tc>
        <w:tc>
          <w:tcPr>
            <w:tcW w:w="874" w:type="dxa"/>
            <w:vMerge w:val="continue"/>
            <w:tcBorders>
              <w:tl2br w:val="nil"/>
              <w:tr2bl w:val="nil"/>
            </w:tcBorders>
            <w:shd w:val="clear" w:color="auto" w:fill="auto"/>
            <w:vAlign w:val="center"/>
          </w:tcPr>
          <w:p w14:paraId="352B718F">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4EB5435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孟州土硪号子</w:t>
            </w:r>
          </w:p>
        </w:tc>
        <w:tc>
          <w:tcPr>
            <w:tcW w:w="1265" w:type="dxa"/>
            <w:tcBorders>
              <w:tl2br w:val="nil"/>
              <w:tr2bl w:val="nil"/>
            </w:tcBorders>
            <w:shd w:val="clear" w:color="auto" w:fill="auto"/>
            <w:vAlign w:val="center"/>
          </w:tcPr>
          <w:p w14:paraId="5A5864B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历史遗迹</w:t>
            </w:r>
          </w:p>
        </w:tc>
        <w:tc>
          <w:tcPr>
            <w:tcW w:w="1241" w:type="dxa"/>
            <w:tcBorders>
              <w:tl2br w:val="nil"/>
              <w:tr2bl w:val="nil"/>
            </w:tcBorders>
            <w:shd w:val="clear" w:color="auto" w:fill="auto"/>
            <w:vAlign w:val="center"/>
          </w:tcPr>
          <w:p w14:paraId="291FD30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非物质类文化遗存</w:t>
            </w:r>
          </w:p>
        </w:tc>
        <w:tc>
          <w:tcPr>
            <w:tcW w:w="1614" w:type="dxa"/>
            <w:tcBorders>
              <w:tl2br w:val="nil"/>
              <w:tr2bl w:val="nil"/>
            </w:tcBorders>
            <w:shd w:val="clear" w:color="auto" w:fill="auto"/>
            <w:vAlign w:val="center"/>
          </w:tcPr>
          <w:p w14:paraId="629B571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传统演艺</w:t>
            </w:r>
          </w:p>
        </w:tc>
      </w:tr>
      <w:tr w14:paraId="5A29C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7F7CF2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415</w:t>
            </w:r>
          </w:p>
        </w:tc>
        <w:tc>
          <w:tcPr>
            <w:tcW w:w="874" w:type="dxa"/>
            <w:vMerge w:val="continue"/>
            <w:tcBorders>
              <w:tl2br w:val="nil"/>
              <w:tr2bl w:val="nil"/>
            </w:tcBorders>
            <w:shd w:val="clear" w:color="auto" w:fill="auto"/>
            <w:vAlign w:val="center"/>
          </w:tcPr>
          <w:p w14:paraId="6F6BD635">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3D1657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孟州老家莫沟景区望舒民宿</w:t>
            </w:r>
          </w:p>
        </w:tc>
        <w:tc>
          <w:tcPr>
            <w:tcW w:w="1265" w:type="dxa"/>
            <w:tcBorders>
              <w:tl2br w:val="nil"/>
              <w:tr2bl w:val="nil"/>
            </w:tcBorders>
            <w:shd w:val="clear" w:color="auto" w:fill="auto"/>
            <w:vAlign w:val="center"/>
          </w:tcPr>
          <w:p w14:paraId="71EE0BC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6A13EA2E">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实用建筑与核心设施</w:t>
            </w:r>
          </w:p>
        </w:tc>
        <w:tc>
          <w:tcPr>
            <w:tcW w:w="1614" w:type="dxa"/>
            <w:tcBorders>
              <w:tl2br w:val="nil"/>
              <w:tr2bl w:val="nil"/>
            </w:tcBorders>
            <w:shd w:val="clear" w:color="auto" w:fill="auto"/>
            <w:vAlign w:val="center"/>
          </w:tcPr>
          <w:p w14:paraId="657CC1C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特性屋舍</w:t>
            </w:r>
          </w:p>
        </w:tc>
      </w:tr>
      <w:tr w14:paraId="37D1A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2D21742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416</w:t>
            </w:r>
          </w:p>
        </w:tc>
        <w:tc>
          <w:tcPr>
            <w:tcW w:w="874" w:type="dxa"/>
            <w:vMerge w:val="continue"/>
            <w:tcBorders>
              <w:tl2br w:val="nil"/>
              <w:tr2bl w:val="nil"/>
            </w:tcBorders>
            <w:shd w:val="clear" w:color="auto" w:fill="auto"/>
            <w:vAlign w:val="center"/>
          </w:tcPr>
          <w:p w14:paraId="7F727314">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745D7844">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孟州韩园</w:t>
            </w:r>
          </w:p>
        </w:tc>
        <w:tc>
          <w:tcPr>
            <w:tcW w:w="1265" w:type="dxa"/>
            <w:tcBorders>
              <w:tl2br w:val="nil"/>
              <w:tr2bl w:val="nil"/>
            </w:tcBorders>
            <w:shd w:val="clear" w:color="auto" w:fill="auto"/>
            <w:vAlign w:val="center"/>
          </w:tcPr>
          <w:p w14:paraId="31C16387">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77281C9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7D6EC05B">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纪念地与纪念活动场所</w:t>
            </w:r>
          </w:p>
        </w:tc>
      </w:tr>
      <w:tr w14:paraId="7AB41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6993112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417</w:t>
            </w:r>
          </w:p>
        </w:tc>
        <w:tc>
          <w:tcPr>
            <w:tcW w:w="874" w:type="dxa"/>
            <w:vMerge w:val="continue"/>
            <w:tcBorders>
              <w:tl2br w:val="nil"/>
              <w:tr2bl w:val="nil"/>
            </w:tcBorders>
            <w:shd w:val="clear" w:color="auto" w:fill="auto"/>
            <w:vAlign w:val="center"/>
          </w:tcPr>
          <w:p w14:paraId="33B3260C">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3861B9B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孟州韩愈墓碑</w:t>
            </w:r>
          </w:p>
        </w:tc>
        <w:tc>
          <w:tcPr>
            <w:tcW w:w="1265" w:type="dxa"/>
            <w:tcBorders>
              <w:tl2br w:val="nil"/>
              <w:tr2bl w:val="nil"/>
            </w:tcBorders>
            <w:shd w:val="clear" w:color="auto" w:fill="auto"/>
            <w:vAlign w:val="center"/>
          </w:tcPr>
          <w:p w14:paraId="7100CF90">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32FE295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景观与小品建筑</w:t>
            </w:r>
          </w:p>
        </w:tc>
        <w:tc>
          <w:tcPr>
            <w:tcW w:w="1614" w:type="dxa"/>
            <w:tcBorders>
              <w:tl2br w:val="nil"/>
              <w:tr2bl w:val="nil"/>
            </w:tcBorders>
            <w:shd w:val="clear" w:color="auto" w:fill="auto"/>
            <w:vAlign w:val="center"/>
          </w:tcPr>
          <w:p w14:paraId="37CC670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碑碣、碑林、经幢</w:t>
            </w:r>
          </w:p>
        </w:tc>
      </w:tr>
      <w:tr w14:paraId="1732D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186CB8FD">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418</w:t>
            </w:r>
          </w:p>
        </w:tc>
        <w:tc>
          <w:tcPr>
            <w:tcW w:w="874" w:type="dxa"/>
            <w:vMerge w:val="continue"/>
            <w:tcBorders>
              <w:tl2br w:val="nil"/>
              <w:tr2bl w:val="nil"/>
            </w:tcBorders>
            <w:shd w:val="clear" w:color="auto" w:fill="auto"/>
            <w:vAlign w:val="center"/>
          </w:tcPr>
          <w:p w14:paraId="23ED3036">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24D9014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孟州四好农村路</w:t>
            </w:r>
          </w:p>
        </w:tc>
        <w:tc>
          <w:tcPr>
            <w:tcW w:w="1265" w:type="dxa"/>
            <w:tcBorders>
              <w:tl2br w:val="nil"/>
              <w:tr2bl w:val="nil"/>
            </w:tcBorders>
            <w:shd w:val="clear" w:color="auto" w:fill="auto"/>
            <w:vAlign w:val="center"/>
          </w:tcPr>
          <w:p w14:paraId="26B6D19A">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2F63BDC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067D77EF">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交通运输场站</w:t>
            </w:r>
          </w:p>
        </w:tc>
      </w:tr>
      <w:tr w14:paraId="7B4B6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09A43658">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419</w:t>
            </w:r>
          </w:p>
        </w:tc>
        <w:tc>
          <w:tcPr>
            <w:tcW w:w="874" w:type="dxa"/>
            <w:vMerge w:val="continue"/>
            <w:tcBorders>
              <w:tl2br w:val="nil"/>
              <w:tr2bl w:val="nil"/>
            </w:tcBorders>
            <w:shd w:val="clear" w:color="auto" w:fill="auto"/>
            <w:vAlign w:val="center"/>
          </w:tcPr>
          <w:p w14:paraId="06DFC821">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1649879B">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孟州源沟村</w:t>
            </w:r>
          </w:p>
        </w:tc>
        <w:tc>
          <w:tcPr>
            <w:tcW w:w="1265" w:type="dxa"/>
            <w:tcBorders>
              <w:tl2br w:val="nil"/>
              <w:tr2bl w:val="nil"/>
            </w:tcBorders>
            <w:shd w:val="clear" w:color="auto" w:fill="auto"/>
            <w:vAlign w:val="center"/>
          </w:tcPr>
          <w:p w14:paraId="16EA8B2E">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建筑与设施</w:t>
            </w:r>
          </w:p>
        </w:tc>
        <w:tc>
          <w:tcPr>
            <w:tcW w:w="1241" w:type="dxa"/>
            <w:tcBorders>
              <w:tl2br w:val="nil"/>
              <w:tr2bl w:val="nil"/>
            </w:tcBorders>
            <w:shd w:val="clear" w:color="auto" w:fill="auto"/>
            <w:vAlign w:val="center"/>
          </w:tcPr>
          <w:p w14:paraId="12080173">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人文景观综合体</w:t>
            </w:r>
          </w:p>
        </w:tc>
        <w:tc>
          <w:tcPr>
            <w:tcW w:w="1614" w:type="dxa"/>
            <w:tcBorders>
              <w:tl2br w:val="nil"/>
              <w:tr2bl w:val="nil"/>
            </w:tcBorders>
            <w:shd w:val="clear" w:color="auto" w:fill="auto"/>
            <w:vAlign w:val="center"/>
          </w:tcPr>
          <w:p w14:paraId="54FD2502">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康体游乐休闲度假地</w:t>
            </w:r>
          </w:p>
        </w:tc>
      </w:tr>
      <w:tr w14:paraId="78661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6" w:type="dxa"/>
            <w:tcBorders>
              <w:tl2br w:val="nil"/>
              <w:tr2bl w:val="nil"/>
            </w:tcBorders>
            <w:shd w:val="clear" w:color="auto" w:fill="auto"/>
            <w:vAlign w:val="center"/>
          </w:tcPr>
          <w:p w14:paraId="56C40B2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420</w:t>
            </w:r>
          </w:p>
        </w:tc>
        <w:tc>
          <w:tcPr>
            <w:tcW w:w="874" w:type="dxa"/>
            <w:vMerge w:val="continue"/>
            <w:tcBorders>
              <w:tl2br w:val="nil"/>
              <w:tr2bl w:val="nil"/>
            </w:tcBorders>
            <w:shd w:val="clear" w:color="auto" w:fill="auto"/>
            <w:vAlign w:val="center"/>
          </w:tcPr>
          <w:p w14:paraId="6EFE5BD7">
            <w:pPr>
              <w:snapToGrid w:val="0"/>
              <w:jc w:val="center"/>
              <w:rPr>
                <w:rFonts w:hint="eastAsia" w:asciiTheme="minorEastAsia" w:hAnsiTheme="minorEastAsia" w:eastAsiaTheme="minorEastAsia" w:cstheme="minorEastAsia"/>
                <w:i w:val="0"/>
                <w:iCs w:val="0"/>
                <w:color w:val="000000"/>
                <w:sz w:val="20"/>
                <w:szCs w:val="20"/>
                <w:u w:val="none"/>
              </w:rPr>
            </w:pPr>
          </w:p>
        </w:tc>
        <w:tc>
          <w:tcPr>
            <w:tcW w:w="3438" w:type="dxa"/>
            <w:tcBorders>
              <w:tl2br w:val="nil"/>
              <w:tr2bl w:val="nil"/>
            </w:tcBorders>
            <w:shd w:val="clear" w:color="auto" w:fill="auto"/>
            <w:vAlign w:val="center"/>
          </w:tcPr>
          <w:p w14:paraId="5E148356">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孟州黄河澄泥砚</w:t>
            </w:r>
          </w:p>
        </w:tc>
        <w:tc>
          <w:tcPr>
            <w:tcW w:w="1265" w:type="dxa"/>
            <w:tcBorders>
              <w:tl2br w:val="nil"/>
              <w:tr2bl w:val="nil"/>
            </w:tcBorders>
            <w:shd w:val="clear" w:color="auto" w:fill="auto"/>
            <w:vAlign w:val="center"/>
          </w:tcPr>
          <w:p w14:paraId="5FB0BC6D">
            <w:pPr>
              <w:keepNext w:val="0"/>
              <w:keepLines w:val="0"/>
              <w:widowControl/>
              <w:suppressLineNumbers w:val="0"/>
              <w:snapToGrid w:val="0"/>
              <w:jc w:val="center"/>
              <w:textAlignment w:val="bottom"/>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旅游购品</w:t>
            </w:r>
          </w:p>
        </w:tc>
        <w:tc>
          <w:tcPr>
            <w:tcW w:w="1241" w:type="dxa"/>
            <w:tcBorders>
              <w:tl2br w:val="nil"/>
              <w:tr2bl w:val="nil"/>
            </w:tcBorders>
            <w:shd w:val="clear" w:color="auto" w:fill="auto"/>
            <w:vAlign w:val="center"/>
          </w:tcPr>
          <w:p w14:paraId="26AB94E9">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手工工艺品</w:t>
            </w:r>
          </w:p>
        </w:tc>
        <w:tc>
          <w:tcPr>
            <w:tcW w:w="1614" w:type="dxa"/>
            <w:tcBorders>
              <w:tl2br w:val="nil"/>
              <w:tr2bl w:val="nil"/>
            </w:tcBorders>
            <w:shd w:val="clear" w:color="auto" w:fill="auto"/>
            <w:vAlign w:val="center"/>
          </w:tcPr>
          <w:p w14:paraId="26DBF315">
            <w:pPr>
              <w:keepNext w:val="0"/>
              <w:keepLines w:val="0"/>
              <w:widowControl/>
              <w:suppressLineNumbers w:val="0"/>
              <w:snapToGrid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陶瓷</w:t>
            </w:r>
          </w:p>
        </w:tc>
      </w:tr>
    </w:tbl>
    <w:p w14:paraId="452DA046">
      <w:pPr>
        <w:rPr>
          <w:rFonts w:hint="default"/>
          <w:b/>
          <w:bCs/>
          <w:color w:val="auto"/>
          <w:sz w:val="24"/>
          <w:szCs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14:paraId="55A6770F">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0"/>
        <w:rPr>
          <w:rFonts w:hint="eastAsia" w:ascii="Times New Roman" w:hAnsi="Times New Roman" w:cs="Times New Roman"/>
          <w:b/>
          <w:bCs w:val="0"/>
          <w:color w:val="auto"/>
          <w:kern w:val="2"/>
          <w:sz w:val="24"/>
          <w:szCs w:val="24"/>
          <w:lang w:val="en-US" w:eastAsia="zh-CN" w:bidi="ar-SA"/>
        </w:rPr>
      </w:pPr>
      <w:bookmarkStart w:id="156" w:name="_Toc22367"/>
      <w:r>
        <w:rPr>
          <w:rFonts w:hint="eastAsia" w:ascii="Times New Roman" w:hAnsi="Times New Roman" w:cs="Times New Roman"/>
          <w:b/>
          <w:bCs w:val="0"/>
          <w:color w:val="auto"/>
          <w:kern w:val="2"/>
          <w:sz w:val="24"/>
          <w:szCs w:val="24"/>
          <w:lang w:val="en-US" w:eastAsia="zh-CN" w:bidi="ar-SA"/>
        </w:rPr>
        <w:t>附图1：焦作市区位交通图</w:t>
      </w:r>
      <w:bookmarkEnd w:id="156"/>
    </w:p>
    <w:p w14:paraId="438A8CB8">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Times New Roman" w:hAnsi="Times New Roman" w:cs="Times New Roman"/>
          <w:b/>
          <w:bCs w:val="0"/>
          <w:color w:val="auto"/>
          <w:kern w:val="2"/>
          <w:sz w:val="24"/>
          <w:szCs w:val="24"/>
          <w:lang w:val="en-US" w:eastAsia="zh-CN" w:bidi="ar-SA"/>
        </w:rPr>
      </w:pPr>
      <w:r>
        <w:rPr>
          <w:rFonts w:hint="eastAsia" w:ascii="Times New Roman" w:hAnsi="Times New Roman" w:cs="Times New Roman"/>
          <w:b/>
          <w:bCs w:val="0"/>
          <w:color w:val="auto"/>
          <w:kern w:val="2"/>
          <w:sz w:val="24"/>
          <w:szCs w:val="24"/>
          <w:lang w:val="en-US" w:eastAsia="zh-CN" w:bidi="ar-SA"/>
        </w:rPr>
        <w:drawing>
          <wp:inline distT="0" distB="0" distL="114300" distR="114300">
            <wp:extent cx="6664325" cy="4712970"/>
            <wp:effectExtent l="0" t="0" r="3175" b="11430"/>
            <wp:docPr id="24" name="图片 24" descr="区位交通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区位交通图"/>
                    <pic:cNvPicPr>
                      <a:picLocks noChangeAspect="1"/>
                    </pic:cNvPicPr>
                  </pic:nvPicPr>
                  <pic:blipFill>
                    <a:blip r:embed="rId41"/>
                    <a:stretch>
                      <a:fillRect/>
                    </a:stretch>
                  </pic:blipFill>
                  <pic:spPr>
                    <a:xfrm>
                      <a:off x="0" y="0"/>
                      <a:ext cx="6664325" cy="4712970"/>
                    </a:xfrm>
                    <a:prstGeom prst="rect">
                      <a:avLst/>
                    </a:prstGeom>
                  </pic:spPr>
                </pic:pic>
              </a:graphicData>
            </a:graphic>
          </wp:inline>
        </w:drawing>
      </w:r>
    </w:p>
    <w:p w14:paraId="39548A1F">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0"/>
        <w:rPr>
          <w:rFonts w:hint="eastAsia" w:ascii="Times New Roman" w:hAnsi="Times New Roman" w:cs="Times New Roman"/>
          <w:b/>
          <w:bCs w:val="0"/>
          <w:color w:val="auto"/>
          <w:kern w:val="2"/>
          <w:sz w:val="24"/>
          <w:szCs w:val="24"/>
          <w:lang w:val="en-US" w:eastAsia="zh-CN" w:bidi="ar-SA"/>
        </w:rPr>
      </w:pPr>
      <w:bookmarkStart w:id="157" w:name="_Toc13964"/>
      <w:r>
        <w:rPr>
          <w:rFonts w:hint="eastAsia" w:ascii="Times New Roman" w:hAnsi="Times New Roman" w:cs="Times New Roman"/>
          <w:b/>
          <w:bCs w:val="0"/>
          <w:color w:val="auto"/>
          <w:kern w:val="2"/>
          <w:sz w:val="24"/>
          <w:szCs w:val="24"/>
          <w:lang w:val="en-US" w:eastAsia="zh-CN" w:bidi="ar-SA"/>
        </w:rPr>
        <w:t>附图2：焦作市遥感影像图</w:t>
      </w:r>
      <w:bookmarkEnd w:id="157"/>
    </w:p>
    <w:p w14:paraId="55FD809C">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cs="Times New Roman"/>
          <w:b/>
          <w:bCs w:val="0"/>
          <w:color w:val="auto"/>
          <w:kern w:val="2"/>
          <w:sz w:val="24"/>
          <w:szCs w:val="24"/>
          <w:lang w:val="en-US" w:eastAsia="zh-CN" w:bidi="ar-SA"/>
        </w:rPr>
      </w:pPr>
      <w:r>
        <w:rPr>
          <w:rFonts w:hint="default" w:ascii="Times New Roman" w:hAnsi="Times New Roman" w:cs="Times New Roman"/>
          <w:b/>
          <w:bCs w:val="0"/>
          <w:color w:val="auto"/>
          <w:kern w:val="2"/>
          <w:sz w:val="24"/>
          <w:szCs w:val="24"/>
          <w:lang w:val="en-US" w:eastAsia="zh-CN" w:bidi="ar-SA"/>
        </w:rPr>
        <w:drawing>
          <wp:inline distT="0" distB="0" distL="114300" distR="114300">
            <wp:extent cx="6671945" cy="4718050"/>
            <wp:effectExtent l="0" t="0" r="14605" b="6350"/>
            <wp:docPr id="33" name="图片 33" descr="遥感影像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遥感影像图2"/>
                    <pic:cNvPicPr>
                      <a:picLocks noChangeAspect="1"/>
                    </pic:cNvPicPr>
                  </pic:nvPicPr>
                  <pic:blipFill>
                    <a:blip r:embed="rId42"/>
                    <a:stretch>
                      <a:fillRect/>
                    </a:stretch>
                  </pic:blipFill>
                  <pic:spPr>
                    <a:xfrm>
                      <a:off x="0" y="0"/>
                      <a:ext cx="6671945" cy="4718050"/>
                    </a:xfrm>
                    <a:prstGeom prst="rect">
                      <a:avLst/>
                    </a:prstGeom>
                  </pic:spPr>
                </pic:pic>
              </a:graphicData>
            </a:graphic>
          </wp:inline>
        </w:drawing>
      </w:r>
    </w:p>
    <w:p w14:paraId="7BE17D65">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0"/>
        <w:rPr>
          <w:rFonts w:hint="eastAsia" w:ascii="Times New Roman" w:hAnsi="Times New Roman" w:cs="Times New Roman"/>
          <w:b/>
          <w:bCs w:val="0"/>
          <w:color w:val="auto"/>
          <w:kern w:val="2"/>
          <w:sz w:val="24"/>
          <w:szCs w:val="24"/>
          <w:lang w:val="en-US" w:eastAsia="zh-CN" w:bidi="ar-SA"/>
        </w:rPr>
      </w:pPr>
      <w:bookmarkStart w:id="158" w:name="_Toc22510"/>
      <w:r>
        <w:rPr>
          <w:rFonts w:hint="eastAsia" w:ascii="Times New Roman" w:hAnsi="Times New Roman" w:cs="Times New Roman"/>
          <w:b/>
          <w:bCs w:val="0"/>
          <w:color w:val="auto"/>
          <w:kern w:val="2"/>
          <w:sz w:val="24"/>
          <w:szCs w:val="24"/>
          <w:lang w:val="en-US" w:eastAsia="zh-CN" w:bidi="ar-SA"/>
        </w:rPr>
        <w:t>附图3：焦作市旅游资源类型总图</w:t>
      </w:r>
      <w:bookmarkEnd w:id="158"/>
    </w:p>
    <w:p w14:paraId="5F742A99">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Times New Roman" w:hAnsi="Times New Roman" w:cs="Times New Roman"/>
          <w:b/>
          <w:bCs w:val="0"/>
          <w:color w:val="auto"/>
          <w:kern w:val="2"/>
          <w:sz w:val="24"/>
          <w:szCs w:val="24"/>
          <w:lang w:val="en-US" w:eastAsia="zh-CN" w:bidi="ar-SA"/>
        </w:rPr>
      </w:pPr>
      <w:r>
        <w:rPr>
          <w:rFonts w:hint="eastAsia" w:ascii="Times New Roman" w:hAnsi="Times New Roman" w:cs="Times New Roman"/>
          <w:b/>
          <w:bCs w:val="0"/>
          <w:color w:val="auto"/>
          <w:kern w:val="2"/>
          <w:sz w:val="24"/>
          <w:szCs w:val="24"/>
          <w:lang w:val="en-US" w:eastAsia="zh-CN" w:bidi="ar-SA"/>
        </w:rPr>
        <w:drawing>
          <wp:inline distT="0" distB="0" distL="114300" distR="114300">
            <wp:extent cx="6833235" cy="4831715"/>
            <wp:effectExtent l="0" t="0" r="5715" b="6985"/>
            <wp:docPr id="40" name="图片 40" descr="总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总图"/>
                    <pic:cNvPicPr>
                      <a:picLocks noChangeAspect="1"/>
                    </pic:cNvPicPr>
                  </pic:nvPicPr>
                  <pic:blipFill>
                    <a:blip r:embed="rId43"/>
                    <a:stretch>
                      <a:fillRect/>
                    </a:stretch>
                  </pic:blipFill>
                  <pic:spPr>
                    <a:xfrm>
                      <a:off x="0" y="0"/>
                      <a:ext cx="6833235" cy="4831715"/>
                    </a:xfrm>
                    <a:prstGeom prst="rect">
                      <a:avLst/>
                    </a:prstGeom>
                  </pic:spPr>
                </pic:pic>
              </a:graphicData>
            </a:graphic>
          </wp:inline>
        </w:drawing>
      </w:r>
    </w:p>
    <w:p w14:paraId="699C6006">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0"/>
        <w:rPr>
          <w:rFonts w:hint="eastAsia" w:ascii="Times New Roman" w:hAnsi="Times New Roman" w:cs="Times New Roman"/>
          <w:b/>
          <w:bCs w:val="0"/>
          <w:color w:val="auto"/>
          <w:kern w:val="2"/>
          <w:sz w:val="24"/>
          <w:szCs w:val="24"/>
          <w:lang w:val="en-US" w:eastAsia="zh-CN" w:bidi="ar-SA"/>
        </w:rPr>
      </w:pPr>
      <w:bookmarkStart w:id="159" w:name="_Toc22328"/>
      <w:r>
        <w:rPr>
          <w:rFonts w:hint="eastAsia" w:ascii="Times New Roman" w:hAnsi="Times New Roman" w:cs="Times New Roman"/>
          <w:b/>
          <w:bCs w:val="0"/>
          <w:color w:val="auto"/>
          <w:kern w:val="2"/>
          <w:sz w:val="24"/>
          <w:szCs w:val="24"/>
          <w:lang w:val="en-US" w:eastAsia="zh-CN" w:bidi="ar-SA"/>
        </w:rPr>
        <w:t>附图4：焦作市旅游资源等级分布图</w:t>
      </w:r>
      <w:bookmarkEnd w:id="159"/>
    </w:p>
    <w:p w14:paraId="2E5E9CB7">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Times New Roman" w:hAnsi="Times New Roman" w:cs="Times New Roman"/>
          <w:b/>
          <w:bCs w:val="0"/>
          <w:color w:val="auto"/>
          <w:kern w:val="2"/>
          <w:sz w:val="24"/>
          <w:szCs w:val="24"/>
          <w:lang w:val="en-US" w:eastAsia="zh-CN" w:bidi="ar-SA"/>
        </w:rPr>
      </w:pPr>
      <w:r>
        <w:rPr>
          <w:rFonts w:hint="eastAsia" w:ascii="Times New Roman" w:hAnsi="Times New Roman" w:cs="Times New Roman"/>
          <w:b/>
          <w:bCs w:val="0"/>
          <w:color w:val="auto"/>
          <w:kern w:val="2"/>
          <w:sz w:val="24"/>
          <w:szCs w:val="24"/>
          <w:lang w:val="en-US" w:eastAsia="zh-CN" w:bidi="ar-SA"/>
        </w:rPr>
        <w:drawing>
          <wp:inline distT="0" distB="0" distL="114300" distR="114300">
            <wp:extent cx="6623050" cy="4683125"/>
            <wp:effectExtent l="0" t="0" r="6350" b="3175"/>
            <wp:docPr id="41" name="图片 41" descr="微信图片_20251025192521_281_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微信图片_20251025192521_281_145"/>
                    <pic:cNvPicPr>
                      <a:picLocks noChangeAspect="1"/>
                    </pic:cNvPicPr>
                  </pic:nvPicPr>
                  <pic:blipFill>
                    <a:blip r:embed="rId44"/>
                    <a:stretch>
                      <a:fillRect/>
                    </a:stretch>
                  </pic:blipFill>
                  <pic:spPr>
                    <a:xfrm>
                      <a:off x="0" y="0"/>
                      <a:ext cx="6623050" cy="4683125"/>
                    </a:xfrm>
                    <a:prstGeom prst="rect">
                      <a:avLst/>
                    </a:prstGeom>
                  </pic:spPr>
                </pic:pic>
              </a:graphicData>
            </a:graphic>
          </wp:inline>
        </w:drawing>
      </w:r>
    </w:p>
    <w:p w14:paraId="360C8B37">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0"/>
        <w:rPr>
          <w:rFonts w:hint="eastAsia" w:ascii="Times New Roman" w:hAnsi="Times New Roman" w:cs="Times New Roman"/>
          <w:b/>
          <w:bCs w:val="0"/>
          <w:color w:val="auto"/>
          <w:kern w:val="2"/>
          <w:sz w:val="24"/>
          <w:szCs w:val="24"/>
          <w:lang w:val="en-US" w:eastAsia="zh-CN" w:bidi="ar-SA"/>
        </w:rPr>
      </w:pPr>
      <w:bookmarkStart w:id="160" w:name="_Toc3704"/>
      <w:r>
        <w:rPr>
          <w:rFonts w:hint="eastAsia" w:ascii="Times New Roman" w:hAnsi="Times New Roman" w:cs="Times New Roman"/>
          <w:b/>
          <w:bCs w:val="0"/>
          <w:color w:val="auto"/>
          <w:kern w:val="2"/>
          <w:sz w:val="24"/>
          <w:szCs w:val="24"/>
          <w:lang w:val="en-US" w:eastAsia="zh-CN" w:bidi="ar-SA"/>
        </w:rPr>
        <w:t>附图5：焦作市旅游资源分布图</w:t>
      </w:r>
      <w:bookmarkEnd w:id="160"/>
    </w:p>
    <w:p w14:paraId="33C15031">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Times New Roman" w:hAnsi="Times New Roman" w:cs="Times New Roman"/>
          <w:b/>
          <w:bCs w:val="0"/>
          <w:color w:val="auto"/>
          <w:kern w:val="2"/>
          <w:sz w:val="24"/>
          <w:szCs w:val="24"/>
          <w:lang w:val="en-US" w:eastAsia="zh-CN" w:bidi="ar-SA"/>
        </w:rPr>
      </w:pPr>
      <w:r>
        <w:rPr>
          <w:rFonts w:hint="eastAsia" w:ascii="Times New Roman" w:hAnsi="Times New Roman" w:cs="Times New Roman"/>
          <w:b/>
          <w:bCs w:val="0"/>
          <w:color w:val="auto"/>
          <w:kern w:val="2"/>
          <w:sz w:val="24"/>
          <w:szCs w:val="24"/>
          <w:lang w:val="en-US" w:eastAsia="zh-CN" w:bidi="ar-SA"/>
        </w:rPr>
        <w:drawing>
          <wp:inline distT="0" distB="0" distL="114300" distR="114300">
            <wp:extent cx="6991985" cy="4944110"/>
            <wp:effectExtent l="0" t="0" r="18415" b="8890"/>
            <wp:docPr id="45" name="图片 45" descr="1旅游资源分布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1旅游资源分布图"/>
                    <pic:cNvPicPr>
                      <a:picLocks noChangeAspect="1"/>
                    </pic:cNvPicPr>
                  </pic:nvPicPr>
                  <pic:blipFill>
                    <a:blip r:embed="rId45"/>
                    <a:stretch>
                      <a:fillRect/>
                    </a:stretch>
                  </pic:blipFill>
                  <pic:spPr>
                    <a:xfrm>
                      <a:off x="0" y="0"/>
                      <a:ext cx="6991985" cy="4944110"/>
                    </a:xfrm>
                    <a:prstGeom prst="rect">
                      <a:avLst/>
                    </a:prstGeom>
                  </pic:spPr>
                </pic:pic>
              </a:graphicData>
            </a:graphic>
          </wp:inline>
        </w:drawing>
      </w:r>
    </w:p>
    <w:p w14:paraId="3C381543">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0"/>
        <w:rPr>
          <w:rFonts w:hint="eastAsia" w:ascii="Times New Roman" w:hAnsi="Times New Roman" w:cs="Times New Roman"/>
          <w:b/>
          <w:bCs w:val="0"/>
          <w:color w:val="auto"/>
          <w:kern w:val="2"/>
          <w:sz w:val="24"/>
          <w:szCs w:val="24"/>
          <w:lang w:val="en-US" w:eastAsia="zh-CN" w:bidi="ar-SA"/>
        </w:rPr>
      </w:pPr>
      <w:bookmarkStart w:id="161" w:name="_Toc27409"/>
      <w:r>
        <w:rPr>
          <w:rFonts w:hint="eastAsia" w:ascii="Times New Roman" w:hAnsi="Times New Roman" w:cs="Times New Roman"/>
          <w:b/>
          <w:bCs w:val="0"/>
          <w:color w:val="auto"/>
          <w:kern w:val="2"/>
          <w:sz w:val="24"/>
          <w:szCs w:val="24"/>
          <w:lang w:val="en-US" w:eastAsia="zh-CN" w:bidi="ar-SA"/>
        </w:rPr>
        <w:t>附图6：焦作市旅游资源核密度图</w:t>
      </w:r>
      <w:bookmarkEnd w:id="161"/>
    </w:p>
    <w:p w14:paraId="7A5A5EB7">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cs="Times New Roman"/>
          <w:b/>
          <w:bCs w:val="0"/>
          <w:color w:val="auto"/>
          <w:kern w:val="2"/>
          <w:sz w:val="24"/>
          <w:szCs w:val="24"/>
          <w:lang w:val="en-US" w:eastAsia="zh-CN" w:bidi="ar-SA"/>
        </w:rPr>
      </w:pPr>
      <w:r>
        <w:rPr>
          <w:rFonts w:hint="default" w:ascii="Times New Roman" w:hAnsi="Times New Roman" w:cs="Times New Roman"/>
          <w:b/>
          <w:bCs w:val="0"/>
          <w:color w:val="auto"/>
          <w:kern w:val="2"/>
          <w:sz w:val="24"/>
          <w:szCs w:val="24"/>
          <w:lang w:val="en-US" w:eastAsia="zh-CN" w:bidi="ar-SA"/>
        </w:rPr>
        <w:drawing>
          <wp:inline distT="0" distB="0" distL="114300" distR="114300">
            <wp:extent cx="6483350" cy="4584700"/>
            <wp:effectExtent l="0" t="0" r="12700" b="6350"/>
            <wp:docPr id="43" name="图片 43" descr="核密度分布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核密度分布图"/>
                    <pic:cNvPicPr>
                      <a:picLocks noChangeAspect="1"/>
                    </pic:cNvPicPr>
                  </pic:nvPicPr>
                  <pic:blipFill>
                    <a:blip r:embed="rId46"/>
                    <a:stretch>
                      <a:fillRect/>
                    </a:stretch>
                  </pic:blipFill>
                  <pic:spPr>
                    <a:xfrm>
                      <a:off x="0" y="0"/>
                      <a:ext cx="6483350" cy="4584700"/>
                    </a:xfrm>
                    <a:prstGeom prst="rect">
                      <a:avLst/>
                    </a:prstGeom>
                  </pic:spPr>
                </pic:pic>
              </a:graphicData>
            </a:graphic>
          </wp:inline>
        </w:drawing>
      </w:r>
    </w:p>
    <w:p w14:paraId="1C8796DD">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0"/>
        <w:rPr>
          <w:rFonts w:hint="eastAsia" w:ascii="Times New Roman" w:hAnsi="Times New Roman" w:cs="Times New Roman"/>
          <w:b/>
          <w:bCs w:val="0"/>
          <w:color w:val="auto"/>
          <w:kern w:val="2"/>
          <w:sz w:val="24"/>
          <w:szCs w:val="24"/>
          <w:lang w:val="en-US" w:eastAsia="zh-CN" w:bidi="ar-SA"/>
        </w:rPr>
      </w:pPr>
      <w:bookmarkStart w:id="162" w:name="_Toc10537"/>
      <w:r>
        <w:rPr>
          <w:rFonts w:hint="eastAsia" w:ascii="Times New Roman" w:hAnsi="Times New Roman" w:cs="Times New Roman"/>
          <w:b/>
          <w:bCs w:val="0"/>
          <w:color w:val="auto"/>
          <w:kern w:val="2"/>
          <w:sz w:val="24"/>
          <w:szCs w:val="24"/>
          <w:lang w:val="en-US" w:eastAsia="zh-CN" w:bidi="ar-SA"/>
        </w:rPr>
        <w:t>附图7：焦作市优良级旅游资源分布图</w:t>
      </w:r>
      <w:bookmarkEnd w:id="162"/>
    </w:p>
    <w:p w14:paraId="6CDF0CF6">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Times New Roman" w:hAnsi="Times New Roman" w:cs="Times New Roman"/>
          <w:b/>
          <w:bCs w:val="0"/>
          <w:color w:val="auto"/>
          <w:kern w:val="2"/>
          <w:sz w:val="24"/>
          <w:szCs w:val="24"/>
          <w:lang w:val="en-US" w:eastAsia="zh-CN" w:bidi="ar-SA"/>
        </w:rPr>
      </w:pPr>
      <w:r>
        <w:rPr>
          <w:rFonts w:hint="eastAsia" w:ascii="Times New Roman" w:hAnsi="Times New Roman" w:cs="Times New Roman"/>
          <w:b/>
          <w:bCs w:val="0"/>
          <w:color w:val="auto"/>
          <w:kern w:val="2"/>
          <w:sz w:val="24"/>
          <w:szCs w:val="24"/>
          <w:lang w:val="en-US" w:eastAsia="zh-CN" w:bidi="ar-SA"/>
        </w:rPr>
        <w:drawing>
          <wp:inline distT="0" distB="0" distL="114300" distR="114300">
            <wp:extent cx="6858635" cy="4849495"/>
            <wp:effectExtent l="0" t="0" r="18415" b="8255"/>
            <wp:docPr id="42" name="图片 42" descr="旅游资源分布总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旅游资源分布总图"/>
                    <pic:cNvPicPr>
                      <a:picLocks noChangeAspect="1"/>
                    </pic:cNvPicPr>
                  </pic:nvPicPr>
                  <pic:blipFill>
                    <a:blip r:embed="rId47"/>
                    <a:stretch>
                      <a:fillRect/>
                    </a:stretch>
                  </pic:blipFill>
                  <pic:spPr>
                    <a:xfrm>
                      <a:off x="0" y="0"/>
                      <a:ext cx="6858635" cy="4849495"/>
                    </a:xfrm>
                    <a:prstGeom prst="rect">
                      <a:avLst/>
                    </a:prstGeom>
                  </pic:spPr>
                </pic:pic>
              </a:graphicData>
            </a:graphic>
          </wp:inline>
        </w:drawing>
      </w:r>
    </w:p>
    <w:p w14:paraId="11089647">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0"/>
        <w:rPr>
          <w:rFonts w:hint="eastAsia" w:ascii="Times New Roman" w:hAnsi="Times New Roman" w:cs="Times New Roman"/>
          <w:b/>
          <w:bCs w:val="0"/>
          <w:color w:val="auto"/>
          <w:kern w:val="2"/>
          <w:sz w:val="24"/>
          <w:szCs w:val="24"/>
          <w:lang w:val="en-US" w:eastAsia="zh-CN" w:bidi="ar-SA"/>
        </w:rPr>
      </w:pPr>
      <w:bookmarkStart w:id="163" w:name="_Toc8810"/>
      <w:r>
        <w:rPr>
          <w:rFonts w:hint="eastAsia" w:ascii="Times New Roman" w:hAnsi="Times New Roman" w:cs="Times New Roman"/>
          <w:b/>
          <w:bCs w:val="0"/>
          <w:color w:val="auto"/>
          <w:kern w:val="2"/>
          <w:sz w:val="24"/>
          <w:szCs w:val="24"/>
          <w:lang w:val="en-US" w:eastAsia="zh-CN" w:bidi="ar-SA"/>
        </w:rPr>
        <w:t>附图8：焦作市五级旅游资源分布图</w:t>
      </w:r>
      <w:bookmarkEnd w:id="163"/>
    </w:p>
    <w:p w14:paraId="7498A479">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Times New Roman" w:hAnsi="Times New Roman" w:cs="Times New Roman"/>
          <w:b/>
          <w:bCs w:val="0"/>
          <w:color w:val="auto"/>
          <w:kern w:val="2"/>
          <w:sz w:val="24"/>
          <w:szCs w:val="24"/>
          <w:lang w:val="en-US" w:eastAsia="zh-CN" w:bidi="ar-SA"/>
        </w:rPr>
      </w:pPr>
      <w:r>
        <w:rPr>
          <w:rFonts w:hint="eastAsia" w:ascii="Times New Roman" w:hAnsi="Times New Roman" w:cs="Times New Roman"/>
          <w:b/>
          <w:bCs w:val="0"/>
          <w:color w:val="auto"/>
          <w:kern w:val="2"/>
          <w:sz w:val="24"/>
          <w:szCs w:val="24"/>
          <w:lang w:val="en-US" w:eastAsia="zh-CN" w:bidi="ar-SA"/>
        </w:rPr>
        <w:drawing>
          <wp:inline distT="0" distB="0" distL="114300" distR="114300">
            <wp:extent cx="6546850" cy="4629150"/>
            <wp:effectExtent l="0" t="0" r="6350" b="0"/>
            <wp:docPr id="46" name="图片 46" descr="五级资源分布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五级资源分布图"/>
                    <pic:cNvPicPr>
                      <a:picLocks noChangeAspect="1"/>
                    </pic:cNvPicPr>
                  </pic:nvPicPr>
                  <pic:blipFill>
                    <a:blip r:embed="rId48"/>
                    <a:stretch>
                      <a:fillRect/>
                    </a:stretch>
                  </pic:blipFill>
                  <pic:spPr>
                    <a:xfrm>
                      <a:off x="0" y="0"/>
                      <a:ext cx="6546850" cy="4629150"/>
                    </a:xfrm>
                    <a:prstGeom prst="rect">
                      <a:avLst/>
                    </a:prstGeom>
                  </pic:spPr>
                </pic:pic>
              </a:graphicData>
            </a:graphic>
          </wp:inline>
        </w:drawing>
      </w:r>
    </w:p>
    <w:p w14:paraId="638B6B30">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0"/>
        <w:rPr>
          <w:rFonts w:hint="default" w:ascii="Times New Roman" w:hAnsi="Times New Roman" w:cs="Times New Roman"/>
          <w:b/>
          <w:bCs w:val="0"/>
          <w:color w:val="auto"/>
          <w:kern w:val="2"/>
          <w:sz w:val="24"/>
          <w:szCs w:val="24"/>
          <w:lang w:val="en-US" w:eastAsia="zh-CN" w:bidi="ar-SA"/>
        </w:rPr>
      </w:pPr>
      <w:bookmarkStart w:id="164" w:name="_Toc20089"/>
      <w:r>
        <w:rPr>
          <w:rFonts w:hint="eastAsia" w:ascii="Times New Roman" w:hAnsi="Times New Roman" w:cs="Times New Roman"/>
          <w:b/>
          <w:bCs w:val="0"/>
          <w:color w:val="auto"/>
          <w:kern w:val="2"/>
          <w:sz w:val="24"/>
          <w:szCs w:val="24"/>
          <w:lang w:val="en-US" w:eastAsia="zh-CN" w:bidi="ar-SA"/>
        </w:rPr>
        <w:t>附图9：焦作市红色资源访问点</w:t>
      </w:r>
      <w:bookmarkEnd w:id="164"/>
    </w:p>
    <w:p w14:paraId="5A97D236">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Times New Roman" w:hAnsi="Times New Roman" w:cs="Times New Roman"/>
          <w:b/>
          <w:bCs w:val="0"/>
          <w:color w:val="auto"/>
          <w:kern w:val="2"/>
          <w:sz w:val="24"/>
          <w:szCs w:val="24"/>
          <w:lang w:val="en-US" w:eastAsia="zh-CN" w:bidi="ar-SA"/>
        </w:rPr>
      </w:pPr>
      <w:r>
        <w:rPr>
          <w:rFonts w:hint="eastAsia" w:ascii="Times New Roman" w:hAnsi="Times New Roman" w:cs="Times New Roman"/>
          <w:b/>
          <w:bCs w:val="0"/>
          <w:color w:val="auto"/>
          <w:kern w:val="2"/>
          <w:sz w:val="24"/>
          <w:szCs w:val="24"/>
          <w:lang w:val="en-US" w:eastAsia="zh-CN" w:bidi="ar-SA"/>
        </w:rPr>
        <w:drawing>
          <wp:inline distT="0" distB="0" distL="114300" distR="114300">
            <wp:extent cx="6811010" cy="4816475"/>
            <wp:effectExtent l="0" t="0" r="8890" b="3175"/>
            <wp:docPr id="47" name="图片 47" descr="红色资源访问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红色资源访问点"/>
                    <pic:cNvPicPr>
                      <a:picLocks noChangeAspect="1"/>
                    </pic:cNvPicPr>
                  </pic:nvPicPr>
                  <pic:blipFill>
                    <a:blip r:embed="rId49"/>
                    <a:stretch>
                      <a:fillRect/>
                    </a:stretch>
                  </pic:blipFill>
                  <pic:spPr>
                    <a:xfrm>
                      <a:off x="0" y="0"/>
                      <a:ext cx="6811010" cy="4816475"/>
                    </a:xfrm>
                    <a:prstGeom prst="rect">
                      <a:avLst/>
                    </a:prstGeom>
                  </pic:spPr>
                </pic:pic>
              </a:graphicData>
            </a:graphic>
          </wp:inline>
        </w:drawing>
      </w:r>
    </w:p>
    <w:p w14:paraId="5C83E3E2">
      <w:pPr>
        <w:keepNext w:val="0"/>
        <w:keepLines w:val="0"/>
        <w:pageBreakBefore w:val="0"/>
        <w:widowControl w:val="0"/>
        <w:kinsoku/>
        <w:wordWrap/>
        <w:overflowPunct/>
        <w:topLinePunct w:val="0"/>
        <w:autoSpaceDE/>
        <w:autoSpaceDN/>
        <w:bidi w:val="0"/>
        <w:adjustRightInd/>
        <w:snapToGrid/>
        <w:spacing w:line="360" w:lineRule="auto"/>
        <w:ind w:left="0" w:hanging="1928" w:hangingChars="800"/>
        <w:jc w:val="left"/>
        <w:textAlignment w:val="auto"/>
        <w:outlineLvl w:val="0"/>
        <w:rPr>
          <w:rFonts w:hint="eastAsia" w:ascii="Times New Roman" w:hAnsi="Times New Roman" w:cs="Times New Roman"/>
          <w:b/>
          <w:bCs w:val="0"/>
          <w:color w:val="auto"/>
          <w:kern w:val="2"/>
          <w:sz w:val="24"/>
          <w:szCs w:val="24"/>
          <w:lang w:val="en-US" w:eastAsia="zh-CN" w:bidi="ar-SA"/>
        </w:rPr>
      </w:pPr>
      <w:bookmarkStart w:id="165" w:name="_Toc11141"/>
      <w:r>
        <w:rPr>
          <w:rFonts w:hint="eastAsia" w:ascii="Times New Roman" w:hAnsi="Times New Roman" w:cs="Times New Roman"/>
          <w:b/>
          <w:bCs w:val="0"/>
          <w:color w:val="auto"/>
          <w:kern w:val="2"/>
          <w:sz w:val="24"/>
          <w:szCs w:val="24"/>
          <w:lang w:val="en-US" w:eastAsia="zh-CN" w:bidi="ar-SA"/>
        </w:rPr>
        <w:t>附图10：焦作市旅游资源富集区分布图</w:t>
      </w:r>
      <w:bookmarkEnd w:id="165"/>
    </w:p>
    <w:p w14:paraId="46419B70">
      <w:pPr>
        <w:keepNext w:val="0"/>
        <w:keepLines w:val="0"/>
        <w:pageBreakBefore w:val="0"/>
        <w:widowControl w:val="0"/>
        <w:kinsoku/>
        <w:wordWrap/>
        <w:overflowPunct/>
        <w:topLinePunct w:val="0"/>
        <w:autoSpaceDE/>
        <w:autoSpaceDN/>
        <w:bidi w:val="0"/>
        <w:adjustRightInd/>
        <w:snapToGrid/>
        <w:spacing w:line="360" w:lineRule="auto"/>
        <w:ind w:left="0" w:hanging="1928" w:hangingChars="800"/>
        <w:jc w:val="center"/>
        <w:textAlignment w:val="auto"/>
        <w:outlineLvl w:val="9"/>
        <w:rPr>
          <w:rFonts w:hint="eastAsia" w:ascii="Times New Roman" w:hAnsi="Times New Roman" w:cs="Times New Roman"/>
          <w:b/>
          <w:bCs w:val="0"/>
          <w:color w:val="auto"/>
          <w:kern w:val="2"/>
          <w:sz w:val="24"/>
          <w:szCs w:val="24"/>
          <w:lang w:val="en-US" w:eastAsia="zh-CN" w:bidi="ar-SA"/>
        </w:rPr>
      </w:pPr>
      <w:r>
        <w:rPr>
          <w:rFonts w:hint="eastAsia" w:ascii="Times New Roman" w:hAnsi="Times New Roman" w:cs="Times New Roman"/>
          <w:b/>
          <w:bCs w:val="0"/>
          <w:color w:val="auto"/>
          <w:kern w:val="2"/>
          <w:sz w:val="24"/>
          <w:szCs w:val="24"/>
          <w:lang w:val="en-US" w:eastAsia="zh-CN" w:bidi="ar-SA"/>
        </w:rPr>
        <w:drawing>
          <wp:inline distT="0" distB="0" distL="114300" distR="114300">
            <wp:extent cx="6684645" cy="4726940"/>
            <wp:effectExtent l="0" t="0" r="1905" b="16510"/>
            <wp:docPr id="49" name="图片 49" descr="富集区分布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富集区分布图"/>
                    <pic:cNvPicPr>
                      <a:picLocks noChangeAspect="1"/>
                    </pic:cNvPicPr>
                  </pic:nvPicPr>
                  <pic:blipFill>
                    <a:blip r:embed="rId50"/>
                    <a:stretch>
                      <a:fillRect/>
                    </a:stretch>
                  </pic:blipFill>
                  <pic:spPr>
                    <a:xfrm>
                      <a:off x="0" y="0"/>
                      <a:ext cx="6684645" cy="4726940"/>
                    </a:xfrm>
                    <a:prstGeom prst="rect">
                      <a:avLst/>
                    </a:prstGeom>
                  </pic:spPr>
                </pic:pic>
              </a:graphicData>
            </a:graphic>
          </wp:inline>
        </w:drawing>
      </w:r>
    </w:p>
    <w:p w14:paraId="38ECE8A1">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0"/>
        <w:rPr>
          <w:rFonts w:hint="eastAsia" w:ascii="Times New Roman" w:hAnsi="Times New Roman" w:cs="Times New Roman"/>
          <w:b/>
          <w:bCs w:val="0"/>
          <w:color w:val="auto"/>
          <w:kern w:val="2"/>
          <w:sz w:val="24"/>
          <w:szCs w:val="24"/>
          <w:lang w:val="en-US" w:eastAsia="zh-CN" w:bidi="ar-SA"/>
        </w:rPr>
      </w:pPr>
      <w:bookmarkStart w:id="166" w:name="_Toc13992"/>
      <w:r>
        <w:rPr>
          <w:rFonts w:hint="eastAsia" w:ascii="Times New Roman" w:hAnsi="Times New Roman" w:cs="Times New Roman"/>
          <w:b/>
          <w:bCs w:val="0"/>
          <w:color w:val="auto"/>
          <w:kern w:val="2"/>
          <w:sz w:val="24"/>
          <w:szCs w:val="24"/>
          <w:lang w:val="en-US" w:eastAsia="zh-CN" w:bidi="ar-SA"/>
        </w:rPr>
        <w:t>附图11：焦作市旅游资源普查开发利用规划图</w:t>
      </w:r>
      <w:bookmarkEnd w:id="166"/>
    </w:p>
    <w:p w14:paraId="712A14AB">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b/>
          <w:bCs/>
          <w:color w:val="auto"/>
          <w:sz w:val="24"/>
          <w:szCs w:val="24"/>
          <w:lang w:val="en-US" w:eastAsia="zh-CN"/>
        </w:rPr>
      </w:pPr>
      <w:r>
        <w:rPr>
          <w:rFonts w:hint="default" w:ascii="Times New Roman" w:hAnsi="Times New Roman" w:cs="Times New Roman"/>
          <w:b/>
          <w:bCs w:val="0"/>
          <w:color w:val="auto"/>
          <w:kern w:val="2"/>
          <w:sz w:val="24"/>
          <w:szCs w:val="24"/>
          <w:lang w:val="en-US" w:eastAsia="zh-CN" w:bidi="ar-SA"/>
        </w:rPr>
        <w:drawing>
          <wp:inline distT="0" distB="0" distL="114300" distR="114300">
            <wp:extent cx="6713220" cy="4747260"/>
            <wp:effectExtent l="0" t="0" r="11430" b="15240"/>
            <wp:docPr id="48" name="图片 48" descr="开发利用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开发利用规划图"/>
                    <pic:cNvPicPr>
                      <a:picLocks noChangeAspect="1"/>
                    </pic:cNvPicPr>
                  </pic:nvPicPr>
                  <pic:blipFill>
                    <a:blip r:embed="rId51"/>
                    <a:stretch>
                      <a:fillRect/>
                    </a:stretch>
                  </pic:blipFill>
                  <pic:spPr>
                    <a:xfrm>
                      <a:off x="0" y="0"/>
                      <a:ext cx="6713220" cy="4747260"/>
                    </a:xfrm>
                    <a:prstGeom prst="rect">
                      <a:avLst/>
                    </a:prstGeom>
                  </pic:spPr>
                </pic:pic>
              </a:graphicData>
            </a:graphic>
          </wp:inline>
        </w:drawing>
      </w:r>
    </w:p>
    <w:sectPr>
      <w:pgSz w:w="16838" w:h="11906" w:orient="landscape"/>
      <w:pgMar w:top="1800" w:right="1440" w:bottom="1800" w:left="1440"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汉仪细等线繁">
    <w:altName w:val="宋体"/>
    <w:panose1 w:val="02010600000101010101"/>
    <w:charset w:val="86"/>
    <w:family w:val="auto"/>
    <w:pitch w:val="default"/>
    <w:sig w:usb0="00000000" w:usb1="00000000" w:usb2="00000002"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AC17EB">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31BCDE">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5B31BCDE">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E09AF">
    <w:pPr>
      <w:pStyle w:val="1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C7AA58">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7R3IzAgAAY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87R3IzAgAAYwQAAA4AAAAAAAAAAQAgAAAAHwEAAGRycy9lMm9Eb2MueG1sUEsF&#10;BgAAAAAGAAYAWQEAAMQFAAAAAA==&#10;">
              <v:fill on="f" focussize="0,0"/>
              <v:stroke on="f" weight="0.5pt"/>
              <v:imagedata o:title=""/>
              <o:lock v:ext="edit" aspectratio="f"/>
              <v:textbox inset="0mm,0mm,0mm,0mm" style="mso-fit-shape-to-text:t;">
                <w:txbxContent>
                  <w:p w14:paraId="38C7AA58">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0FA553">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755707">
                          <w:pPr>
                            <w:pStyle w:val="10"/>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4D755707">
                    <w:pPr>
                      <w:pStyle w:val="10"/>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D2D44F"/>
    <w:multiLevelType w:val="singleLevel"/>
    <w:tmpl w:val="86D2D44F"/>
    <w:lvl w:ilvl="0" w:tentative="0">
      <w:start w:val="7"/>
      <w:numFmt w:val="chineseCounting"/>
      <w:suff w:val="nothing"/>
      <w:lvlText w:val="%1、"/>
      <w:lvlJc w:val="left"/>
      <w:rPr>
        <w:rFonts w:hint="eastAsia"/>
      </w:rPr>
    </w:lvl>
  </w:abstractNum>
  <w:abstractNum w:abstractNumId="1">
    <w:nsid w:val="9F123F60"/>
    <w:multiLevelType w:val="singleLevel"/>
    <w:tmpl w:val="9F123F60"/>
    <w:lvl w:ilvl="0" w:tentative="0">
      <w:start w:val="1"/>
      <w:numFmt w:val="chineseCounting"/>
      <w:suff w:val="nothing"/>
      <w:lvlText w:val="（%1）"/>
      <w:lvlJc w:val="left"/>
      <w:rPr>
        <w:rFonts w:hint="eastAsia"/>
      </w:rPr>
    </w:lvl>
  </w:abstractNum>
  <w:abstractNum w:abstractNumId="2">
    <w:nsid w:val="A937BBDC"/>
    <w:multiLevelType w:val="singleLevel"/>
    <w:tmpl w:val="A937BBDC"/>
    <w:lvl w:ilvl="0" w:tentative="0">
      <w:start w:val="2"/>
      <w:numFmt w:val="chineseCounting"/>
      <w:suff w:val="space"/>
      <w:lvlText w:val="第%1节"/>
      <w:lvlJc w:val="left"/>
      <w:pPr>
        <w:ind w:left="3780"/>
      </w:pPr>
      <w:rPr>
        <w:rFonts w:hint="eastAsia"/>
      </w:rPr>
    </w:lvl>
  </w:abstractNum>
  <w:abstractNum w:abstractNumId="3">
    <w:nsid w:val="AFEB79CD"/>
    <w:multiLevelType w:val="singleLevel"/>
    <w:tmpl w:val="AFEB79CD"/>
    <w:lvl w:ilvl="0" w:tentative="0">
      <w:start w:val="1"/>
      <w:numFmt w:val="chineseCounting"/>
      <w:suff w:val="nothing"/>
      <w:lvlText w:val="（%1）"/>
      <w:lvlJc w:val="left"/>
      <w:rPr>
        <w:rFonts w:hint="eastAsia"/>
      </w:rPr>
    </w:lvl>
  </w:abstractNum>
  <w:abstractNum w:abstractNumId="4">
    <w:nsid w:val="BE988A94"/>
    <w:multiLevelType w:val="singleLevel"/>
    <w:tmpl w:val="BE988A94"/>
    <w:lvl w:ilvl="0" w:tentative="0">
      <w:start w:val="3"/>
      <w:numFmt w:val="chineseCounting"/>
      <w:suff w:val="space"/>
      <w:lvlText w:val="第%1节"/>
      <w:lvlJc w:val="left"/>
      <w:rPr>
        <w:rFonts w:hint="eastAsia"/>
      </w:rPr>
    </w:lvl>
  </w:abstractNum>
  <w:abstractNum w:abstractNumId="5">
    <w:nsid w:val="C3507E80"/>
    <w:multiLevelType w:val="singleLevel"/>
    <w:tmpl w:val="C3507E80"/>
    <w:lvl w:ilvl="0" w:tentative="0">
      <w:start w:val="1"/>
      <w:numFmt w:val="chineseCounting"/>
      <w:suff w:val="nothing"/>
      <w:lvlText w:val="（%1）"/>
      <w:lvlJc w:val="left"/>
      <w:rPr>
        <w:rFonts w:hint="eastAsia"/>
      </w:rPr>
    </w:lvl>
  </w:abstractNum>
  <w:abstractNum w:abstractNumId="6">
    <w:nsid w:val="C795E9C0"/>
    <w:multiLevelType w:val="singleLevel"/>
    <w:tmpl w:val="C795E9C0"/>
    <w:lvl w:ilvl="0" w:tentative="0">
      <w:start w:val="2"/>
      <w:numFmt w:val="chineseCounting"/>
      <w:suff w:val="nothing"/>
      <w:lvlText w:val="（%1）"/>
      <w:lvlJc w:val="left"/>
      <w:rPr>
        <w:rFonts w:hint="eastAsia"/>
      </w:rPr>
    </w:lvl>
  </w:abstractNum>
  <w:abstractNum w:abstractNumId="7">
    <w:nsid w:val="CF55A0C2"/>
    <w:multiLevelType w:val="singleLevel"/>
    <w:tmpl w:val="CF55A0C2"/>
    <w:lvl w:ilvl="0" w:tentative="0">
      <w:start w:val="1"/>
      <w:numFmt w:val="chineseCounting"/>
      <w:suff w:val="nothing"/>
      <w:lvlText w:val="（%1）"/>
      <w:lvlJc w:val="left"/>
      <w:rPr>
        <w:rFonts w:hint="eastAsia"/>
      </w:rPr>
    </w:lvl>
  </w:abstractNum>
  <w:abstractNum w:abstractNumId="8">
    <w:nsid w:val="CF6620AA"/>
    <w:multiLevelType w:val="singleLevel"/>
    <w:tmpl w:val="CF6620AA"/>
    <w:lvl w:ilvl="0" w:tentative="0">
      <w:start w:val="1"/>
      <w:numFmt w:val="chineseCounting"/>
      <w:suff w:val="nothing"/>
      <w:lvlText w:val="（%1）"/>
      <w:lvlJc w:val="left"/>
      <w:rPr>
        <w:rFonts w:hint="eastAsia"/>
      </w:rPr>
    </w:lvl>
  </w:abstractNum>
  <w:abstractNum w:abstractNumId="9">
    <w:nsid w:val="D57FF3E0"/>
    <w:multiLevelType w:val="singleLevel"/>
    <w:tmpl w:val="D57FF3E0"/>
    <w:lvl w:ilvl="0" w:tentative="0">
      <w:start w:val="2"/>
      <w:numFmt w:val="chineseCounting"/>
      <w:suff w:val="nothing"/>
      <w:lvlText w:val="（%1）"/>
      <w:lvlJc w:val="left"/>
      <w:rPr>
        <w:rFonts w:hint="eastAsia"/>
      </w:rPr>
    </w:lvl>
  </w:abstractNum>
  <w:abstractNum w:abstractNumId="10">
    <w:nsid w:val="D78A325E"/>
    <w:multiLevelType w:val="singleLevel"/>
    <w:tmpl w:val="D78A325E"/>
    <w:lvl w:ilvl="0" w:tentative="0">
      <w:start w:val="1"/>
      <w:numFmt w:val="chineseCounting"/>
      <w:suff w:val="nothing"/>
      <w:lvlText w:val="（%1）"/>
      <w:lvlJc w:val="left"/>
      <w:rPr>
        <w:rFonts w:hint="eastAsia"/>
      </w:rPr>
    </w:lvl>
  </w:abstractNum>
  <w:abstractNum w:abstractNumId="11">
    <w:nsid w:val="DAD67AD8"/>
    <w:multiLevelType w:val="singleLevel"/>
    <w:tmpl w:val="DAD67AD8"/>
    <w:lvl w:ilvl="0" w:tentative="0">
      <w:start w:val="3"/>
      <w:numFmt w:val="chineseCounting"/>
      <w:suff w:val="nothing"/>
      <w:lvlText w:val="%1、"/>
      <w:lvlJc w:val="left"/>
      <w:rPr>
        <w:rFonts w:hint="eastAsia"/>
      </w:rPr>
    </w:lvl>
  </w:abstractNum>
  <w:abstractNum w:abstractNumId="12">
    <w:nsid w:val="E0A7358C"/>
    <w:multiLevelType w:val="singleLevel"/>
    <w:tmpl w:val="E0A7358C"/>
    <w:lvl w:ilvl="0" w:tentative="0">
      <w:start w:val="1"/>
      <w:numFmt w:val="chineseCounting"/>
      <w:suff w:val="nothing"/>
      <w:lvlText w:val="（%1）"/>
      <w:lvlJc w:val="left"/>
      <w:rPr>
        <w:rFonts w:hint="eastAsia"/>
      </w:rPr>
    </w:lvl>
  </w:abstractNum>
  <w:abstractNum w:abstractNumId="13">
    <w:nsid w:val="E1F25CAE"/>
    <w:multiLevelType w:val="singleLevel"/>
    <w:tmpl w:val="E1F25CAE"/>
    <w:lvl w:ilvl="0" w:tentative="0">
      <w:start w:val="1"/>
      <w:numFmt w:val="chineseCounting"/>
      <w:suff w:val="nothing"/>
      <w:lvlText w:val="（%1）"/>
      <w:lvlJc w:val="left"/>
      <w:rPr>
        <w:rFonts w:hint="eastAsia"/>
      </w:rPr>
    </w:lvl>
  </w:abstractNum>
  <w:abstractNum w:abstractNumId="14">
    <w:nsid w:val="EBD08591"/>
    <w:multiLevelType w:val="singleLevel"/>
    <w:tmpl w:val="EBD08591"/>
    <w:lvl w:ilvl="0" w:tentative="0">
      <w:start w:val="2"/>
      <w:numFmt w:val="decimal"/>
      <w:suff w:val="nothing"/>
      <w:lvlText w:val="%1、"/>
      <w:lvlJc w:val="left"/>
    </w:lvl>
  </w:abstractNum>
  <w:abstractNum w:abstractNumId="15">
    <w:nsid w:val="F23DB52F"/>
    <w:multiLevelType w:val="singleLevel"/>
    <w:tmpl w:val="F23DB52F"/>
    <w:lvl w:ilvl="0" w:tentative="0">
      <w:start w:val="1"/>
      <w:numFmt w:val="chineseCounting"/>
      <w:suff w:val="nothing"/>
      <w:lvlText w:val="（%1）"/>
      <w:lvlJc w:val="left"/>
      <w:rPr>
        <w:rFonts w:hint="eastAsia"/>
      </w:rPr>
    </w:lvl>
  </w:abstractNum>
  <w:abstractNum w:abstractNumId="16">
    <w:nsid w:val="F523C81D"/>
    <w:multiLevelType w:val="singleLevel"/>
    <w:tmpl w:val="F523C81D"/>
    <w:lvl w:ilvl="0" w:tentative="0">
      <w:start w:val="1"/>
      <w:numFmt w:val="chineseCounting"/>
      <w:suff w:val="nothing"/>
      <w:lvlText w:val="（%1）"/>
      <w:lvlJc w:val="left"/>
      <w:rPr>
        <w:rFonts w:hint="eastAsia"/>
      </w:rPr>
    </w:lvl>
  </w:abstractNum>
  <w:abstractNum w:abstractNumId="17">
    <w:nsid w:val="F771C63D"/>
    <w:multiLevelType w:val="singleLevel"/>
    <w:tmpl w:val="F771C63D"/>
    <w:lvl w:ilvl="0" w:tentative="0">
      <w:start w:val="1"/>
      <w:numFmt w:val="chineseCounting"/>
      <w:suff w:val="nothing"/>
      <w:lvlText w:val="（%1）"/>
      <w:lvlJc w:val="left"/>
      <w:rPr>
        <w:rFonts w:hint="eastAsia"/>
      </w:rPr>
    </w:lvl>
  </w:abstractNum>
  <w:abstractNum w:abstractNumId="18">
    <w:nsid w:val="FED7CBCA"/>
    <w:multiLevelType w:val="singleLevel"/>
    <w:tmpl w:val="FED7CBCA"/>
    <w:lvl w:ilvl="0" w:tentative="0">
      <w:start w:val="1"/>
      <w:numFmt w:val="chineseCounting"/>
      <w:suff w:val="nothing"/>
      <w:lvlText w:val="（%1）"/>
      <w:lvlJc w:val="left"/>
      <w:rPr>
        <w:rFonts w:hint="eastAsia"/>
      </w:rPr>
    </w:lvl>
  </w:abstractNum>
  <w:abstractNum w:abstractNumId="19">
    <w:nsid w:val="FF177A93"/>
    <w:multiLevelType w:val="singleLevel"/>
    <w:tmpl w:val="FF177A93"/>
    <w:lvl w:ilvl="0" w:tentative="0">
      <w:start w:val="2"/>
      <w:numFmt w:val="chineseCounting"/>
      <w:suff w:val="nothing"/>
      <w:lvlText w:val="%1、"/>
      <w:lvlJc w:val="left"/>
      <w:rPr>
        <w:rFonts w:hint="eastAsia"/>
      </w:rPr>
    </w:lvl>
  </w:abstractNum>
  <w:abstractNum w:abstractNumId="20">
    <w:nsid w:val="0E417295"/>
    <w:multiLevelType w:val="singleLevel"/>
    <w:tmpl w:val="0E417295"/>
    <w:lvl w:ilvl="0" w:tentative="0">
      <w:start w:val="1"/>
      <w:numFmt w:val="chineseCounting"/>
      <w:suff w:val="nothing"/>
      <w:lvlText w:val="（%1）"/>
      <w:lvlJc w:val="left"/>
      <w:rPr>
        <w:rFonts w:hint="eastAsia"/>
      </w:rPr>
    </w:lvl>
  </w:abstractNum>
  <w:abstractNum w:abstractNumId="21">
    <w:nsid w:val="2296EE4F"/>
    <w:multiLevelType w:val="singleLevel"/>
    <w:tmpl w:val="2296EE4F"/>
    <w:lvl w:ilvl="0" w:tentative="0">
      <w:start w:val="2"/>
      <w:numFmt w:val="chineseCounting"/>
      <w:suff w:val="nothing"/>
      <w:lvlText w:val="（%1）"/>
      <w:lvlJc w:val="left"/>
      <w:rPr>
        <w:rFonts w:hint="eastAsia"/>
      </w:rPr>
    </w:lvl>
  </w:abstractNum>
  <w:abstractNum w:abstractNumId="22">
    <w:nsid w:val="38CA5025"/>
    <w:multiLevelType w:val="singleLevel"/>
    <w:tmpl w:val="38CA5025"/>
    <w:lvl w:ilvl="0" w:tentative="0">
      <w:start w:val="1"/>
      <w:numFmt w:val="decimal"/>
      <w:lvlText w:val="%1."/>
      <w:lvlJc w:val="left"/>
      <w:pPr>
        <w:tabs>
          <w:tab w:val="left" w:pos="312"/>
        </w:tabs>
      </w:pPr>
    </w:lvl>
  </w:abstractNum>
  <w:abstractNum w:abstractNumId="23">
    <w:nsid w:val="40621AB5"/>
    <w:multiLevelType w:val="singleLevel"/>
    <w:tmpl w:val="40621AB5"/>
    <w:lvl w:ilvl="0" w:tentative="0">
      <w:start w:val="1"/>
      <w:numFmt w:val="chineseCounting"/>
      <w:suff w:val="nothing"/>
      <w:lvlText w:val="（%1）"/>
      <w:lvlJc w:val="left"/>
      <w:rPr>
        <w:rFonts w:hint="eastAsia"/>
      </w:rPr>
    </w:lvl>
  </w:abstractNum>
  <w:abstractNum w:abstractNumId="24">
    <w:nsid w:val="574A03CA"/>
    <w:multiLevelType w:val="singleLevel"/>
    <w:tmpl w:val="574A03CA"/>
    <w:lvl w:ilvl="0" w:tentative="0">
      <w:start w:val="1"/>
      <w:numFmt w:val="chineseCounting"/>
      <w:suff w:val="nothing"/>
      <w:lvlText w:val="%1、"/>
      <w:lvlJc w:val="left"/>
      <w:rPr>
        <w:rFonts w:hint="eastAsia"/>
      </w:rPr>
    </w:lvl>
  </w:abstractNum>
  <w:abstractNum w:abstractNumId="25">
    <w:nsid w:val="582A824D"/>
    <w:multiLevelType w:val="singleLevel"/>
    <w:tmpl w:val="582A824D"/>
    <w:lvl w:ilvl="0" w:tentative="0">
      <w:start w:val="1"/>
      <w:numFmt w:val="chineseCounting"/>
      <w:suff w:val="nothing"/>
      <w:lvlText w:val="（%1）"/>
      <w:lvlJc w:val="left"/>
      <w:rPr>
        <w:rFonts w:hint="eastAsia"/>
      </w:rPr>
    </w:lvl>
  </w:abstractNum>
  <w:abstractNum w:abstractNumId="26">
    <w:nsid w:val="5AE4D963"/>
    <w:multiLevelType w:val="singleLevel"/>
    <w:tmpl w:val="5AE4D963"/>
    <w:lvl w:ilvl="0" w:tentative="0">
      <w:start w:val="1"/>
      <w:numFmt w:val="chineseCounting"/>
      <w:suff w:val="nothing"/>
      <w:lvlText w:val="（%1）"/>
      <w:lvlJc w:val="left"/>
      <w:pPr>
        <w:ind w:left="420"/>
      </w:pPr>
      <w:rPr>
        <w:rFonts w:hint="eastAsia"/>
      </w:rPr>
    </w:lvl>
  </w:abstractNum>
  <w:abstractNum w:abstractNumId="27">
    <w:nsid w:val="6D952C4C"/>
    <w:multiLevelType w:val="singleLevel"/>
    <w:tmpl w:val="6D952C4C"/>
    <w:lvl w:ilvl="0" w:tentative="0">
      <w:start w:val="1"/>
      <w:numFmt w:val="chineseCounting"/>
      <w:suff w:val="nothing"/>
      <w:lvlText w:val="（%1）"/>
      <w:lvlJc w:val="left"/>
      <w:rPr>
        <w:rFonts w:hint="eastAsia"/>
      </w:rPr>
    </w:lvl>
  </w:abstractNum>
  <w:abstractNum w:abstractNumId="28">
    <w:nsid w:val="6E282E7D"/>
    <w:multiLevelType w:val="singleLevel"/>
    <w:tmpl w:val="6E282E7D"/>
    <w:lvl w:ilvl="0" w:tentative="0">
      <w:start w:val="4"/>
      <w:numFmt w:val="decimal"/>
      <w:lvlText w:val="%1."/>
      <w:lvlJc w:val="left"/>
      <w:pPr>
        <w:tabs>
          <w:tab w:val="left" w:pos="312"/>
        </w:tabs>
      </w:pPr>
    </w:lvl>
  </w:abstractNum>
  <w:num w:numId="1">
    <w:abstractNumId w:val="14"/>
  </w:num>
  <w:num w:numId="2">
    <w:abstractNumId w:val="6"/>
  </w:num>
  <w:num w:numId="3">
    <w:abstractNumId w:val="22"/>
  </w:num>
  <w:num w:numId="4">
    <w:abstractNumId w:val="11"/>
  </w:num>
  <w:num w:numId="5">
    <w:abstractNumId w:val="9"/>
  </w:num>
  <w:num w:numId="6">
    <w:abstractNumId w:val="19"/>
  </w:num>
  <w:num w:numId="7">
    <w:abstractNumId w:val="15"/>
  </w:num>
  <w:num w:numId="8">
    <w:abstractNumId w:val="3"/>
  </w:num>
  <w:num w:numId="9">
    <w:abstractNumId w:val="23"/>
  </w:num>
  <w:num w:numId="10">
    <w:abstractNumId w:val="1"/>
  </w:num>
  <w:num w:numId="11">
    <w:abstractNumId w:val="0"/>
  </w:num>
  <w:num w:numId="12">
    <w:abstractNumId w:val="13"/>
  </w:num>
  <w:num w:numId="13">
    <w:abstractNumId w:val="21"/>
  </w:num>
  <w:num w:numId="14">
    <w:abstractNumId w:val="25"/>
  </w:num>
  <w:num w:numId="15">
    <w:abstractNumId w:val="2"/>
  </w:num>
  <w:num w:numId="16">
    <w:abstractNumId w:val="12"/>
  </w:num>
  <w:num w:numId="17">
    <w:abstractNumId w:val="5"/>
  </w:num>
  <w:num w:numId="18">
    <w:abstractNumId w:val="8"/>
  </w:num>
  <w:num w:numId="19">
    <w:abstractNumId w:val="20"/>
  </w:num>
  <w:num w:numId="20">
    <w:abstractNumId w:val="7"/>
  </w:num>
  <w:num w:numId="21">
    <w:abstractNumId w:val="10"/>
  </w:num>
  <w:num w:numId="22">
    <w:abstractNumId w:val="16"/>
  </w:num>
  <w:num w:numId="23">
    <w:abstractNumId w:val="27"/>
  </w:num>
  <w:num w:numId="24">
    <w:abstractNumId w:val="17"/>
  </w:num>
  <w:num w:numId="25">
    <w:abstractNumId w:val="26"/>
  </w:num>
  <w:num w:numId="26">
    <w:abstractNumId w:val="24"/>
  </w:num>
  <w:num w:numId="27">
    <w:abstractNumId w:val="4"/>
  </w:num>
  <w:num w:numId="28">
    <w:abstractNumId w:val="18"/>
  </w:num>
  <w:num w:numId="2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5255B2"/>
    <w:rsid w:val="001B7E5E"/>
    <w:rsid w:val="0029419D"/>
    <w:rsid w:val="002D269B"/>
    <w:rsid w:val="00416146"/>
    <w:rsid w:val="004D4138"/>
    <w:rsid w:val="006E7817"/>
    <w:rsid w:val="00AA3166"/>
    <w:rsid w:val="00DD4D9C"/>
    <w:rsid w:val="01356AA2"/>
    <w:rsid w:val="015123B9"/>
    <w:rsid w:val="01714809"/>
    <w:rsid w:val="01922417"/>
    <w:rsid w:val="019A4C69"/>
    <w:rsid w:val="0207550E"/>
    <w:rsid w:val="023C7FED"/>
    <w:rsid w:val="027225E3"/>
    <w:rsid w:val="02DA7E2B"/>
    <w:rsid w:val="02E112F9"/>
    <w:rsid w:val="03433F84"/>
    <w:rsid w:val="0383262B"/>
    <w:rsid w:val="03FE7EAB"/>
    <w:rsid w:val="040C414F"/>
    <w:rsid w:val="04710CD6"/>
    <w:rsid w:val="04753803"/>
    <w:rsid w:val="047B414D"/>
    <w:rsid w:val="04E90B5B"/>
    <w:rsid w:val="04FF4A5A"/>
    <w:rsid w:val="051416B1"/>
    <w:rsid w:val="0520689E"/>
    <w:rsid w:val="052120A3"/>
    <w:rsid w:val="0559710A"/>
    <w:rsid w:val="05E5747F"/>
    <w:rsid w:val="062C2516"/>
    <w:rsid w:val="06766753"/>
    <w:rsid w:val="06862B05"/>
    <w:rsid w:val="06BC6527"/>
    <w:rsid w:val="06D7175F"/>
    <w:rsid w:val="06E7601A"/>
    <w:rsid w:val="0720703D"/>
    <w:rsid w:val="078057A6"/>
    <w:rsid w:val="07992EC0"/>
    <w:rsid w:val="07AC659B"/>
    <w:rsid w:val="07CA1246"/>
    <w:rsid w:val="07FF71DB"/>
    <w:rsid w:val="080A13B8"/>
    <w:rsid w:val="08103F1A"/>
    <w:rsid w:val="08511726"/>
    <w:rsid w:val="085515AE"/>
    <w:rsid w:val="08BE5599"/>
    <w:rsid w:val="08CB0CA3"/>
    <w:rsid w:val="08DA08BA"/>
    <w:rsid w:val="093F0884"/>
    <w:rsid w:val="09404E4B"/>
    <w:rsid w:val="094E4E48"/>
    <w:rsid w:val="097F55EA"/>
    <w:rsid w:val="09AA6B0A"/>
    <w:rsid w:val="09F3430E"/>
    <w:rsid w:val="0A2A5F2B"/>
    <w:rsid w:val="0A410AF1"/>
    <w:rsid w:val="0A7E76D2"/>
    <w:rsid w:val="0AAC2E21"/>
    <w:rsid w:val="0ABA6668"/>
    <w:rsid w:val="0ACC485F"/>
    <w:rsid w:val="0AED7ED3"/>
    <w:rsid w:val="0B5A630E"/>
    <w:rsid w:val="0B833B10"/>
    <w:rsid w:val="0B9F26A8"/>
    <w:rsid w:val="0BB90D2C"/>
    <w:rsid w:val="0BDC1FBC"/>
    <w:rsid w:val="0BE8391A"/>
    <w:rsid w:val="0C1E10EA"/>
    <w:rsid w:val="0C28640C"/>
    <w:rsid w:val="0C495875"/>
    <w:rsid w:val="0C707A49"/>
    <w:rsid w:val="0CAE03A5"/>
    <w:rsid w:val="0CF07607"/>
    <w:rsid w:val="0D464D9C"/>
    <w:rsid w:val="0D544F9F"/>
    <w:rsid w:val="0D766D04"/>
    <w:rsid w:val="0D7F6DB5"/>
    <w:rsid w:val="0D954021"/>
    <w:rsid w:val="0DEC43B3"/>
    <w:rsid w:val="0E240A20"/>
    <w:rsid w:val="0E6574A4"/>
    <w:rsid w:val="0E8C6AAC"/>
    <w:rsid w:val="0E8F4521"/>
    <w:rsid w:val="0E97177E"/>
    <w:rsid w:val="0EC57F43"/>
    <w:rsid w:val="0ED31029"/>
    <w:rsid w:val="0F00541F"/>
    <w:rsid w:val="0F117D24"/>
    <w:rsid w:val="0F276507"/>
    <w:rsid w:val="0F8153AF"/>
    <w:rsid w:val="0F927CB0"/>
    <w:rsid w:val="0FB07E4D"/>
    <w:rsid w:val="0FBF3CD6"/>
    <w:rsid w:val="0FF8501B"/>
    <w:rsid w:val="0FF93D8E"/>
    <w:rsid w:val="101412D3"/>
    <w:rsid w:val="101B2DF0"/>
    <w:rsid w:val="102D4054"/>
    <w:rsid w:val="10A1053B"/>
    <w:rsid w:val="10BE10ED"/>
    <w:rsid w:val="1111746F"/>
    <w:rsid w:val="112278CE"/>
    <w:rsid w:val="11395A4B"/>
    <w:rsid w:val="11634274"/>
    <w:rsid w:val="1178129C"/>
    <w:rsid w:val="11F8062F"/>
    <w:rsid w:val="121B083E"/>
    <w:rsid w:val="121C3110"/>
    <w:rsid w:val="123442B3"/>
    <w:rsid w:val="12723F3D"/>
    <w:rsid w:val="12850115"/>
    <w:rsid w:val="12893AD1"/>
    <w:rsid w:val="128A63ED"/>
    <w:rsid w:val="1346659E"/>
    <w:rsid w:val="137F4B64"/>
    <w:rsid w:val="13913395"/>
    <w:rsid w:val="13B41DD7"/>
    <w:rsid w:val="13D5558E"/>
    <w:rsid w:val="13F35604"/>
    <w:rsid w:val="14134ABE"/>
    <w:rsid w:val="1424164E"/>
    <w:rsid w:val="14274C93"/>
    <w:rsid w:val="144C58AD"/>
    <w:rsid w:val="149A777C"/>
    <w:rsid w:val="14A32AD4"/>
    <w:rsid w:val="14CD3D4D"/>
    <w:rsid w:val="14E560A6"/>
    <w:rsid w:val="152D51D7"/>
    <w:rsid w:val="155974B9"/>
    <w:rsid w:val="15732BC6"/>
    <w:rsid w:val="157F52EF"/>
    <w:rsid w:val="157F7528"/>
    <w:rsid w:val="15B8435D"/>
    <w:rsid w:val="15BD7BC5"/>
    <w:rsid w:val="15D01A52"/>
    <w:rsid w:val="15D74F6B"/>
    <w:rsid w:val="160F7CF5"/>
    <w:rsid w:val="161D2054"/>
    <w:rsid w:val="165878EE"/>
    <w:rsid w:val="165A3FD9"/>
    <w:rsid w:val="16881F81"/>
    <w:rsid w:val="168D7129"/>
    <w:rsid w:val="16944DCE"/>
    <w:rsid w:val="16DA0303"/>
    <w:rsid w:val="1715758D"/>
    <w:rsid w:val="17283764"/>
    <w:rsid w:val="175D7952"/>
    <w:rsid w:val="1767588B"/>
    <w:rsid w:val="17880B43"/>
    <w:rsid w:val="17CB120E"/>
    <w:rsid w:val="17EA27C8"/>
    <w:rsid w:val="180715CC"/>
    <w:rsid w:val="18506ACF"/>
    <w:rsid w:val="18581E27"/>
    <w:rsid w:val="186603EA"/>
    <w:rsid w:val="189604DC"/>
    <w:rsid w:val="18A2602C"/>
    <w:rsid w:val="18BB53A4"/>
    <w:rsid w:val="18BC3EAF"/>
    <w:rsid w:val="18C63CD8"/>
    <w:rsid w:val="191C10A7"/>
    <w:rsid w:val="192561AE"/>
    <w:rsid w:val="192F6B03"/>
    <w:rsid w:val="19325A62"/>
    <w:rsid w:val="194916C8"/>
    <w:rsid w:val="194F6D87"/>
    <w:rsid w:val="1954064E"/>
    <w:rsid w:val="198737BD"/>
    <w:rsid w:val="198D5586"/>
    <w:rsid w:val="198F1879"/>
    <w:rsid w:val="19B47531"/>
    <w:rsid w:val="19B56B40"/>
    <w:rsid w:val="19C06AF4"/>
    <w:rsid w:val="19E716B5"/>
    <w:rsid w:val="1A42779C"/>
    <w:rsid w:val="1A6E68CA"/>
    <w:rsid w:val="1A8707A2"/>
    <w:rsid w:val="1A8B7A46"/>
    <w:rsid w:val="1B1242BE"/>
    <w:rsid w:val="1B8B6070"/>
    <w:rsid w:val="1B9211AC"/>
    <w:rsid w:val="1BB543B0"/>
    <w:rsid w:val="1BD21E23"/>
    <w:rsid w:val="1BE0016A"/>
    <w:rsid w:val="1BE37925"/>
    <w:rsid w:val="1C0E33F1"/>
    <w:rsid w:val="1C100EC7"/>
    <w:rsid w:val="1CC8130B"/>
    <w:rsid w:val="1CC932F4"/>
    <w:rsid w:val="1CC96E50"/>
    <w:rsid w:val="1CEB56F0"/>
    <w:rsid w:val="1D5A654D"/>
    <w:rsid w:val="1D625607"/>
    <w:rsid w:val="1D6D72AE"/>
    <w:rsid w:val="1D721295"/>
    <w:rsid w:val="1D9F120F"/>
    <w:rsid w:val="1E48118A"/>
    <w:rsid w:val="1E48649A"/>
    <w:rsid w:val="1E7947AA"/>
    <w:rsid w:val="1E7A7721"/>
    <w:rsid w:val="1E877D62"/>
    <w:rsid w:val="1EA124B5"/>
    <w:rsid w:val="1EAD699C"/>
    <w:rsid w:val="1F1333AE"/>
    <w:rsid w:val="1F4F447E"/>
    <w:rsid w:val="1F7237CF"/>
    <w:rsid w:val="1FBD4751"/>
    <w:rsid w:val="1FD664AC"/>
    <w:rsid w:val="1FFD3A32"/>
    <w:rsid w:val="202820DF"/>
    <w:rsid w:val="203211B0"/>
    <w:rsid w:val="20503FE2"/>
    <w:rsid w:val="20804538"/>
    <w:rsid w:val="20A976C4"/>
    <w:rsid w:val="20C41134"/>
    <w:rsid w:val="20D9162C"/>
    <w:rsid w:val="2112296A"/>
    <w:rsid w:val="21426C1E"/>
    <w:rsid w:val="21815F4B"/>
    <w:rsid w:val="21921F06"/>
    <w:rsid w:val="21B64D45"/>
    <w:rsid w:val="21BE396B"/>
    <w:rsid w:val="22E42C35"/>
    <w:rsid w:val="234611FA"/>
    <w:rsid w:val="23883BCE"/>
    <w:rsid w:val="23A21E1F"/>
    <w:rsid w:val="23CA575C"/>
    <w:rsid w:val="23CE7442"/>
    <w:rsid w:val="23EA2447"/>
    <w:rsid w:val="23ED6568"/>
    <w:rsid w:val="23ED78C8"/>
    <w:rsid w:val="23F6215B"/>
    <w:rsid w:val="241035B6"/>
    <w:rsid w:val="24183F62"/>
    <w:rsid w:val="242B4894"/>
    <w:rsid w:val="242E3CA9"/>
    <w:rsid w:val="24373239"/>
    <w:rsid w:val="244311F8"/>
    <w:rsid w:val="24575689"/>
    <w:rsid w:val="24A26DD3"/>
    <w:rsid w:val="24AC1531"/>
    <w:rsid w:val="24BD4E28"/>
    <w:rsid w:val="25210113"/>
    <w:rsid w:val="25275B5F"/>
    <w:rsid w:val="252B7FC4"/>
    <w:rsid w:val="253865C0"/>
    <w:rsid w:val="256B319A"/>
    <w:rsid w:val="257749F8"/>
    <w:rsid w:val="25F72C80"/>
    <w:rsid w:val="26064C71"/>
    <w:rsid w:val="26094761"/>
    <w:rsid w:val="262F4DCB"/>
    <w:rsid w:val="2652435A"/>
    <w:rsid w:val="265D2158"/>
    <w:rsid w:val="26681488"/>
    <w:rsid w:val="26B26BA7"/>
    <w:rsid w:val="26B50445"/>
    <w:rsid w:val="26C0485B"/>
    <w:rsid w:val="272D27FE"/>
    <w:rsid w:val="27424254"/>
    <w:rsid w:val="276B7B29"/>
    <w:rsid w:val="27C208D3"/>
    <w:rsid w:val="27D019DA"/>
    <w:rsid w:val="27D3336B"/>
    <w:rsid w:val="27F531EF"/>
    <w:rsid w:val="28592AD9"/>
    <w:rsid w:val="2866443A"/>
    <w:rsid w:val="289522DC"/>
    <w:rsid w:val="28A13CF3"/>
    <w:rsid w:val="28EE75A9"/>
    <w:rsid w:val="291A3A54"/>
    <w:rsid w:val="293461B3"/>
    <w:rsid w:val="298732DA"/>
    <w:rsid w:val="29DE443A"/>
    <w:rsid w:val="29E607C4"/>
    <w:rsid w:val="29FC0E6A"/>
    <w:rsid w:val="2A164385"/>
    <w:rsid w:val="2A3F0751"/>
    <w:rsid w:val="2A9E6B51"/>
    <w:rsid w:val="2AA43F0E"/>
    <w:rsid w:val="2AAD44A3"/>
    <w:rsid w:val="2AE06C7D"/>
    <w:rsid w:val="2AF965BC"/>
    <w:rsid w:val="2B2B79AC"/>
    <w:rsid w:val="2B541FB4"/>
    <w:rsid w:val="2B724B56"/>
    <w:rsid w:val="2B765275"/>
    <w:rsid w:val="2BB65148"/>
    <w:rsid w:val="2BBB4E9B"/>
    <w:rsid w:val="2BBF5FB9"/>
    <w:rsid w:val="2C2B2489"/>
    <w:rsid w:val="2C522201"/>
    <w:rsid w:val="2D4928B7"/>
    <w:rsid w:val="2D674407"/>
    <w:rsid w:val="2DE34367"/>
    <w:rsid w:val="2E0F7B46"/>
    <w:rsid w:val="2E3A5291"/>
    <w:rsid w:val="2E3D144C"/>
    <w:rsid w:val="2E5256D1"/>
    <w:rsid w:val="2E751744"/>
    <w:rsid w:val="2E7D7A9A"/>
    <w:rsid w:val="2E9B1CED"/>
    <w:rsid w:val="2EAD4823"/>
    <w:rsid w:val="2EBB6DE3"/>
    <w:rsid w:val="2EE458FD"/>
    <w:rsid w:val="2F155C96"/>
    <w:rsid w:val="2F971BDD"/>
    <w:rsid w:val="30636BD2"/>
    <w:rsid w:val="30874C00"/>
    <w:rsid w:val="30925931"/>
    <w:rsid w:val="30B55C11"/>
    <w:rsid w:val="30B8300C"/>
    <w:rsid w:val="30C2211F"/>
    <w:rsid w:val="31377C8E"/>
    <w:rsid w:val="315259E6"/>
    <w:rsid w:val="316F3706"/>
    <w:rsid w:val="31836925"/>
    <w:rsid w:val="31C0526B"/>
    <w:rsid w:val="31D77015"/>
    <w:rsid w:val="31E10D97"/>
    <w:rsid w:val="32026C34"/>
    <w:rsid w:val="320A3D3B"/>
    <w:rsid w:val="3239017C"/>
    <w:rsid w:val="3241357F"/>
    <w:rsid w:val="32CE6B16"/>
    <w:rsid w:val="33227F80"/>
    <w:rsid w:val="332901F1"/>
    <w:rsid w:val="3364747B"/>
    <w:rsid w:val="336F654B"/>
    <w:rsid w:val="3397181D"/>
    <w:rsid w:val="33AA70C8"/>
    <w:rsid w:val="33AD4E53"/>
    <w:rsid w:val="33F35416"/>
    <w:rsid w:val="3428494C"/>
    <w:rsid w:val="344C6627"/>
    <w:rsid w:val="34506700"/>
    <w:rsid w:val="349D1206"/>
    <w:rsid w:val="34AA5361"/>
    <w:rsid w:val="34AF1AE7"/>
    <w:rsid w:val="34D63FBD"/>
    <w:rsid w:val="34EA65BA"/>
    <w:rsid w:val="34F52A80"/>
    <w:rsid w:val="35342E46"/>
    <w:rsid w:val="35557039"/>
    <w:rsid w:val="359D3485"/>
    <w:rsid w:val="35B30245"/>
    <w:rsid w:val="35ED736B"/>
    <w:rsid w:val="36254176"/>
    <w:rsid w:val="365161F0"/>
    <w:rsid w:val="366F6862"/>
    <w:rsid w:val="3692680D"/>
    <w:rsid w:val="369747F8"/>
    <w:rsid w:val="36CA5847"/>
    <w:rsid w:val="36DE2915"/>
    <w:rsid w:val="373A29CC"/>
    <w:rsid w:val="376A5ACE"/>
    <w:rsid w:val="37715244"/>
    <w:rsid w:val="37A809B4"/>
    <w:rsid w:val="37AC4C98"/>
    <w:rsid w:val="37C86A79"/>
    <w:rsid w:val="37DF3574"/>
    <w:rsid w:val="37E2716F"/>
    <w:rsid w:val="38087178"/>
    <w:rsid w:val="383218F5"/>
    <w:rsid w:val="38610338"/>
    <w:rsid w:val="388574DC"/>
    <w:rsid w:val="388E422F"/>
    <w:rsid w:val="38983E4E"/>
    <w:rsid w:val="38C703C0"/>
    <w:rsid w:val="38CC7F9C"/>
    <w:rsid w:val="391D25A6"/>
    <w:rsid w:val="395C1320"/>
    <w:rsid w:val="39605B77"/>
    <w:rsid w:val="39664F02"/>
    <w:rsid w:val="39873A0D"/>
    <w:rsid w:val="39B77A0C"/>
    <w:rsid w:val="39DA3FF3"/>
    <w:rsid w:val="39F17049"/>
    <w:rsid w:val="3A281107"/>
    <w:rsid w:val="3A443B62"/>
    <w:rsid w:val="3A540410"/>
    <w:rsid w:val="3A5C5C73"/>
    <w:rsid w:val="3A6303AE"/>
    <w:rsid w:val="3A850402"/>
    <w:rsid w:val="3AA0523C"/>
    <w:rsid w:val="3AA30888"/>
    <w:rsid w:val="3AEA4709"/>
    <w:rsid w:val="3AFB1334"/>
    <w:rsid w:val="3AFD4A44"/>
    <w:rsid w:val="3B053652"/>
    <w:rsid w:val="3B0F46A5"/>
    <w:rsid w:val="3B1B3F10"/>
    <w:rsid w:val="3B204BD4"/>
    <w:rsid w:val="3B245E6D"/>
    <w:rsid w:val="3B3B4F65"/>
    <w:rsid w:val="3B3D1DAB"/>
    <w:rsid w:val="3B4D119B"/>
    <w:rsid w:val="3BB62F58"/>
    <w:rsid w:val="3BBC0194"/>
    <w:rsid w:val="3BF07939"/>
    <w:rsid w:val="3C262240"/>
    <w:rsid w:val="3C316DE5"/>
    <w:rsid w:val="3C380467"/>
    <w:rsid w:val="3C8F13A7"/>
    <w:rsid w:val="3CA34FD4"/>
    <w:rsid w:val="3CBA021E"/>
    <w:rsid w:val="3CDD2778"/>
    <w:rsid w:val="3D0C4E0B"/>
    <w:rsid w:val="3D0F2205"/>
    <w:rsid w:val="3D121CF5"/>
    <w:rsid w:val="3D4932E8"/>
    <w:rsid w:val="3D5543D2"/>
    <w:rsid w:val="3D5E1C6F"/>
    <w:rsid w:val="3D7F1CA7"/>
    <w:rsid w:val="3DB33860"/>
    <w:rsid w:val="3DC265EB"/>
    <w:rsid w:val="3DD97850"/>
    <w:rsid w:val="3E0E070F"/>
    <w:rsid w:val="3E0E4BB3"/>
    <w:rsid w:val="3E5C2D20"/>
    <w:rsid w:val="3EE108F2"/>
    <w:rsid w:val="3EE37DED"/>
    <w:rsid w:val="3F0C2C2C"/>
    <w:rsid w:val="3F317DB2"/>
    <w:rsid w:val="3F373773"/>
    <w:rsid w:val="3F6A2E3E"/>
    <w:rsid w:val="3FDE5CBC"/>
    <w:rsid w:val="405D2E71"/>
    <w:rsid w:val="405F16F6"/>
    <w:rsid w:val="40DE086C"/>
    <w:rsid w:val="40FC5196"/>
    <w:rsid w:val="41253F70"/>
    <w:rsid w:val="41490140"/>
    <w:rsid w:val="415012BF"/>
    <w:rsid w:val="41555D12"/>
    <w:rsid w:val="41677B4A"/>
    <w:rsid w:val="418111A6"/>
    <w:rsid w:val="41DF3535"/>
    <w:rsid w:val="42097B6B"/>
    <w:rsid w:val="422216D3"/>
    <w:rsid w:val="42564890"/>
    <w:rsid w:val="429B2A93"/>
    <w:rsid w:val="42B0199B"/>
    <w:rsid w:val="42D9578F"/>
    <w:rsid w:val="434E2F9B"/>
    <w:rsid w:val="43BD69CC"/>
    <w:rsid w:val="43EE7018"/>
    <w:rsid w:val="441B1DD7"/>
    <w:rsid w:val="442A43CC"/>
    <w:rsid w:val="4436276D"/>
    <w:rsid w:val="445C3567"/>
    <w:rsid w:val="446606E4"/>
    <w:rsid w:val="446E06C5"/>
    <w:rsid w:val="45061FB9"/>
    <w:rsid w:val="450C0B21"/>
    <w:rsid w:val="45331B88"/>
    <w:rsid w:val="458624A4"/>
    <w:rsid w:val="458A0186"/>
    <w:rsid w:val="45A20F70"/>
    <w:rsid w:val="45B90E82"/>
    <w:rsid w:val="45D71407"/>
    <w:rsid w:val="45DB35CC"/>
    <w:rsid w:val="45E238AD"/>
    <w:rsid w:val="46005DBE"/>
    <w:rsid w:val="460F32AA"/>
    <w:rsid w:val="461D1E37"/>
    <w:rsid w:val="46284338"/>
    <w:rsid w:val="464D4788"/>
    <w:rsid w:val="46CB2C22"/>
    <w:rsid w:val="470B249F"/>
    <w:rsid w:val="473B3D2D"/>
    <w:rsid w:val="473E1A52"/>
    <w:rsid w:val="47612F3E"/>
    <w:rsid w:val="47633D95"/>
    <w:rsid w:val="47811F51"/>
    <w:rsid w:val="47B10A89"/>
    <w:rsid w:val="481F2ADD"/>
    <w:rsid w:val="48231A04"/>
    <w:rsid w:val="486057F4"/>
    <w:rsid w:val="488548FE"/>
    <w:rsid w:val="48BB6798"/>
    <w:rsid w:val="48E41A34"/>
    <w:rsid w:val="48F078DC"/>
    <w:rsid w:val="48F5780A"/>
    <w:rsid w:val="49900B72"/>
    <w:rsid w:val="49DC5B65"/>
    <w:rsid w:val="4A266DE0"/>
    <w:rsid w:val="4A3414FD"/>
    <w:rsid w:val="4A50090D"/>
    <w:rsid w:val="4A581927"/>
    <w:rsid w:val="4A5D0A54"/>
    <w:rsid w:val="4A5E793B"/>
    <w:rsid w:val="4A602DAC"/>
    <w:rsid w:val="4A7472DD"/>
    <w:rsid w:val="4A831396"/>
    <w:rsid w:val="4AC82FF0"/>
    <w:rsid w:val="4AD62456"/>
    <w:rsid w:val="4B4E65EF"/>
    <w:rsid w:val="4B63653E"/>
    <w:rsid w:val="4B95246F"/>
    <w:rsid w:val="4B9D5B96"/>
    <w:rsid w:val="4BA858AF"/>
    <w:rsid w:val="4BBD5522"/>
    <w:rsid w:val="4BC44B03"/>
    <w:rsid w:val="4C067392"/>
    <w:rsid w:val="4C331A33"/>
    <w:rsid w:val="4C6205A3"/>
    <w:rsid w:val="4C63431C"/>
    <w:rsid w:val="4C9E5354"/>
    <w:rsid w:val="4CAD656F"/>
    <w:rsid w:val="4CE769E2"/>
    <w:rsid w:val="4CE97CB1"/>
    <w:rsid w:val="4CF246E4"/>
    <w:rsid w:val="4D015F66"/>
    <w:rsid w:val="4D196FC1"/>
    <w:rsid w:val="4D203FBB"/>
    <w:rsid w:val="4D2C0BB1"/>
    <w:rsid w:val="4D331F40"/>
    <w:rsid w:val="4D597787"/>
    <w:rsid w:val="4D6640B0"/>
    <w:rsid w:val="4DA072DA"/>
    <w:rsid w:val="4DA92202"/>
    <w:rsid w:val="4DD252B5"/>
    <w:rsid w:val="4DF83356"/>
    <w:rsid w:val="4EA74993"/>
    <w:rsid w:val="4EAD187E"/>
    <w:rsid w:val="4EB32690"/>
    <w:rsid w:val="4EB801CD"/>
    <w:rsid w:val="4ECC7F56"/>
    <w:rsid w:val="4EDB3915"/>
    <w:rsid w:val="4EFE0388"/>
    <w:rsid w:val="4F752F48"/>
    <w:rsid w:val="4F885330"/>
    <w:rsid w:val="4FCE4484"/>
    <w:rsid w:val="4FE40CB7"/>
    <w:rsid w:val="4FF43C08"/>
    <w:rsid w:val="501C315F"/>
    <w:rsid w:val="502B33A2"/>
    <w:rsid w:val="50552DBA"/>
    <w:rsid w:val="507C0624"/>
    <w:rsid w:val="50A85887"/>
    <w:rsid w:val="50A941CF"/>
    <w:rsid w:val="50FD4E06"/>
    <w:rsid w:val="513B13C3"/>
    <w:rsid w:val="51477D68"/>
    <w:rsid w:val="51736DAF"/>
    <w:rsid w:val="51A30F55"/>
    <w:rsid w:val="52383B54"/>
    <w:rsid w:val="52641CA4"/>
    <w:rsid w:val="52B137A1"/>
    <w:rsid w:val="52C11D9C"/>
    <w:rsid w:val="52C553E8"/>
    <w:rsid w:val="52D95337"/>
    <w:rsid w:val="531B536B"/>
    <w:rsid w:val="53553256"/>
    <w:rsid w:val="53727E3B"/>
    <w:rsid w:val="53D80EDC"/>
    <w:rsid w:val="54872935"/>
    <w:rsid w:val="54A717B5"/>
    <w:rsid w:val="54B1054E"/>
    <w:rsid w:val="54B76472"/>
    <w:rsid w:val="54BF40B9"/>
    <w:rsid w:val="54D73AF9"/>
    <w:rsid w:val="556366D3"/>
    <w:rsid w:val="557D59D2"/>
    <w:rsid w:val="55A15CF6"/>
    <w:rsid w:val="55BC52DB"/>
    <w:rsid w:val="55C156A5"/>
    <w:rsid w:val="55C231D1"/>
    <w:rsid w:val="55FA78AE"/>
    <w:rsid w:val="562A4684"/>
    <w:rsid w:val="56424FA2"/>
    <w:rsid w:val="568D2A2B"/>
    <w:rsid w:val="56980AF2"/>
    <w:rsid w:val="5730129E"/>
    <w:rsid w:val="5783121E"/>
    <w:rsid w:val="578414F1"/>
    <w:rsid w:val="57BB237D"/>
    <w:rsid w:val="57EC6E02"/>
    <w:rsid w:val="5843507A"/>
    <w:rsid w:val="5846660D"/>
    <w:rsid w:val="587F28E3"/>
    <w:rsid w:val="58B008E9"/>
    <w:rsid w:val="58DC4C6A"/>
    <w:rsid w:val="58FC65C6"/>
    <w:rsid w:val="592133EA"/>
    <w:rsid w:val="593F3437"/>
    <w:rsid w:val="595C637A"/>
    <w:rsid w:val="59F40CA9"/>
    <w:rsid w:val="59F95D30"/>
    <w:rsid w:val="5A276988"/>
    <w:rsid w:val="5A310538"/>
    <w:rsid w:val="5A394AB7"/>
    <w:rsid w:val="5A513E8F"/>
    <w:rsid w:val="5AB81CD6"/>
    <w:rsid w:val="5AE843BC"/>
    <w:rsid w:val="5AEB7A30"/>
    <w:rsid w:val="5B0159E0"/>
    <w:rsid w:val="5B0373F5"/>
    <w:rsid w:val="5B051843"/>
    <w:rsid w:val="5B217A48"/>
    <w:rsid w:val="5B586072"/>
    <w:rsid w:val="5BD54697"/>
    <w:rsid w:val="5BDE751B"/>
    <w:rsid w:val="5C0E47F8"/>
    <w:rsid w:val="5C106837"/>
    <w:rsid w:val="5C2215F5"/>
    <w:rsid w:val="5CC91F79"/>
    <w:rsid w:val="5CC934CD"/>
    <w:rsid w:val="5CD32DF8"/>
    <w:rsid w:val="5D1256CE"/>
    <w:rsid w:val="5D1C785D"/>
    <w:rsid w:val="5D5C109E"/>
    <w:rsid w:val="5DA54794"/>
    <w:rsid w:val="5DC44938"/>
    <w:rsid w:val="5DD56FF0"/>
    <w:rsid w:val="5DE9448F"/>
    <w:rsid w:val="5E1123EA"/>
    <w:rsid w:val="5E3D1951"/>
    <w:rsid w:val="5E7D126D"/>
    <w:rsid w:val="5E820631"/>
    <w:rsid w:val="5E9A6B1F"/>
    <w:rsid w:val="5E9C4B6B"/>
    <w:rsid w:val="5ED37CF9"/>
    <w:rsid w:val="5EDD1D0C"/>
    <w:rsid w:val="5EF332DD"/>
    <w:rsid w:val="5EFB03E4"/>
    <w:rsid w:val="5F061262"/>
    <w:rsid w:val="5F065290"/>
    <w:rsid w:val="5F80616F"/>
    <w:rsid w:val="5F9E593F"/>
    <w:rsid w:val="5FC272CE"/>
    <w:rsid w:val="5FFD6B08"/>
    <w:rsid w:val="603C7AFC"/>
    <w:rsid w:val="606F2632"/>
    <w:rsid w:val="609162BC"/>
    <w:rsid w:val="60A86E0A"/>
    <w:rsid w:val="60AA27D0"/>
    <w:rsid w:val="60C03693"/>
    <w:rsid w:val="60D40EEC"/>
    <w:rsid w:val="60DD5FF3"/>
    <w:rsid w:val="60E76E71"/>
    <w:rsid w:val="610C68D8"/>
    <w:rsid w:val="611475B8"/>
    <w:rsid w:val="61237CA6"/>
    <w:rsid w:val="613320B7"/>
    <w:rsid w:val="616821E1"/>
    <w:rsid w:val="618A05C6"/>
    <w:rsid w:val="620076EF"/>
    <w:rsid w:val="62335455"/>
    <w:rsid w:val="623C770E"/>
    <w:rsid w:val="624A3B5C"/>
    <w:rsid w:val="624C1D02"/>
    <w:rsid w:val="62532A44"/>
    <w:rsid w:val="62736D6B"/>
    <w:rsid w:val="62CC4571"/>
    <w:rsid w:val="62ED5AF5"/>
    <w:rsid w:val="630250FB"/>
    <w:rsid w:val="63496724"/>
    <w:rsid w:val="635848F3"/>
    <w:rsid w:val="638D1ED6"/>
    <w:rsid w:val="6399610D"/>
    <w:rsid w:val="63A17904"/>
    <w:rsid w:val="63AB687C"/>
    <w:rsid w:val="63B7592D"/>
    <w:rsid w:val="63DD0638"/>
    <w:rsid w:val="64367174"/>
    <w:rsid w:val="644B14E1"/>
    <w:rsid w:val="646D3B32"/>
    <w:rsid w:val="64B81251"/>
    <w:rsid w:val="65FD3F05"/>
    <w:rsid w:val="666351EC"/>
    <w:rsid w:val="66682803"/>
    <w:rsid w:val="667C613E"/>
    <w:rsid w:val="66844523"/>
    <w:rsid w:val="66B15F8B"/>
    <w:rsid w:val="671E7365"/>
    <w:rsid w:val="67380427"/>
    <w:rsid w:val="676B07FC"/>
    <w:rsid w:val="678C1B0B"/>
    <w:rsid w:val="67DD18DC"/>
    <w:rsid w:val="67F66438"/>
    <w:rsid w:val="683C3F47"/>
    <w:rsid w:val="684213C6"/>
    <w:rsid w:val="685F0D7E"/>
    <w:rsid w:val="685F3791"/>
    <w:rsid w:val="687234C5"/>
    <w:rsid w:val="68921DB9"/>
    <w:rsid w:val="689B2529"/>
    <w:rsid w:val="689F21F5"/>
    <w:rsid w:val="69194288"/>
    <w:rsid w:val="691C4217"/>
    <w:rsid w:val="692A5E68"/>
    <w:rsid w:val="69620955"/>
    <w:rsid w:val="698A66BE"/>
    <w:rsid w:val="699102C2"/>
    <w:rsid w:val="699E71D2"/>
    <w:rsid w:val="6A3A0552"/>
    <w:rsid w:val="6A3F387A"/>
    <w:rsid w:val="6A5A6A27"/>
    <w:rsid w:val="6A6E110B"/>
    <w:rsid w:val="6A876FE1"/>
    <w:rsid w:val="6B440ED4"/>
    <w:rsid w:val="6B532FEE"/>
    <w:rsid w:val="6B697849"/>
    <w:rsid w:val="6B811C71"/>
    <w:rsid w:val="6B8B5B32"/>
    <w:rsid w:val="6BAD751C"/>
    <w:rsid w:val="6BDB00C7"/>
    <w:rsid w:val="6BDE7201"/>
    <w:rsid w:val="6BE27812"/>
    <w:rsid w:val="6C365E0E"/>
    <w:rsid w:val="6C387C2D"/>
    <w:rsid w:val="6C563129"/>
    <w:rsid w:val="6C614DB7"/>
    <w:rsid w:val="6C6E2AD2"/>
    <w:rsid w:val="6CC948AD"/>
    <w:rsid w:val="6CCD6F13"/>
    <w:rsid w:val="6CF05300"/>
    <w:rsid w:val="6CF82AE3"/>
    <w:rsid w:val="6D361896"/>
    <w:rsid w:val="6D5255B2"/>
    <w:rsid w:val="6D65184A"/>
    <w:rsid w:val="6D7B2E1B"/>
    <w:rsid w:val="6DB66BCF"/>
    <w:rsid w:val="6E0701F5"/>
    <w:rsid w:val="6E1D6721"/>
    <w:rsid w:val="6EA7038A"/>
    <w:rsid w:val="6EDA52E6"/>
    <w:rsid w:val="6F1042C1"/>
    <w:rsid w:val="6F1F1ECC"/>
    <w:rsid w:val="6F241291"/>
    <w:rsid w:val="6F312E2E"/>
    <w:rsid w:val="6F481423"/>
    <w:rsid w:val="6F5736B5"/>
    <w:rsid w:val="6FAF786B"/>
    <w:rsid w:val="6FF94604"/>
    <w:rsid w:val="706175FE"/>
    <w:rsid w:val="70860455"/>
    <w:rsid w:val="70937E1E"/>
    <w:rsid w:val="70D0347E"/>
    <w:rsid w:val="70E35C37"/>
    <w:rsid w:val="710425EA"/>
    <w:rsid w:val="714D67C3"/>
    <w:rsid w:val="715F5BE7"/>
    <w:rsid w:val="7169742F"/>
    <w:rsid w:val="71A861A9"/>
    <w:rsid w:val="71AD7C63"/>
    <w:rsid w:val="71E620F8"/>
    <w:rsid w:val="71ED7A82"/>
    <w:rsid w:val="722A12B4"/>
    <w:rsid w:val="724255F5"/>
    <w:rsid w:val="72665484"/>
    <w:rsid w:val="734C547A"/>
    <w:rsid w:val="73C54EE2"/>
    <w:rsid w:val="73C826A9"/>
    <w:rsid w:val="73EC1205"/>
    <w:rsid w:val="742247AB"/>
    <w:rsid w:val="742C776D"/>
    <w:rsid w:val="744245F4"/>
    <w:rsid w:val="7450410E"/>
    <w:rsid w:val="747A2B1D"/>
    <w:rsid w:val="74B054A1"/>
    <w:rsid w:val="74D3178F"/>
    <w:rsid w:val="74FF2584"/>
    <w:rsid w:val="753366D1"/>
    <w:rsid w:val="756F0AB5"/>
    <w:rsid w:val="75881536"/>
    <w:rsid w:val="75DF6126"/>
    <w:rsid w:val="76200A04"/>
    <w:rsid w:val="76754900"/>
    <w:rsid w:val="76976614"/>
    <w:rsid w:val="76A80FD6"/>
    <w:rsid w:val="76B80C3C"/>
    <w:rsid w:val="76BB75A1"/>
    <w:rsid w:val="76DD06A3"/>
    <w:rsid w:val="76E62EB5"/>
    <w:rsid w:val="76F53C3E"/>
    <w:rsid w:val="76F61765"/>
    <w:rsid w:val="77487377"/>
    <w:rsid w:val="774D71D8"/>
    <w:rsid w:val="77A411C1"/>
    <w:rsid w:val="77E93077"/>
    <w:rsid w:val="77EB5E45"/>
    <w:rsid w:val="77EF68E0"/>
    <w:rsid w:val="783C2F03"/>
    <w:rsid w:val="7847671C"/>
    <w:rsid w:val="78BB510D"/>
    <w:rsid w:val="78F244F2"/>
    <w:rsid w:val="790D05ED"/>
    <w:rsid w:val="791132D6"/>
    <w:rsid w:val="79426F50"/>
    <w:rsid w:val="7967609A"/>
    <w:rsid w:val="79AC2F32"/>
    <w:rsid w:val="79B31B8F"/>
    <w:rsid w:val="79C23A46"/>
    <w:rsid w:val="7A697D45"/>
    <w:rsid w:val="7A6C3C87"/>
    <w:rsid w:val="7AA0097F"/>
    <w:rsid w:val="7AD641FA"/>
    <w:rsid w:val="7AF17F08"/>
    <w:rsid w:val="7B0703E4"/>
    <w:rsid w:val="7B081877"/>
    <w:rsid w:val="7B7D06A6"/>
    <w:rsid w:val="7BBB4D2B"/>
    <w:rsid w:val="7BD21935"/>
    <w:rsid w:val="7BFF5F09"/>
    <w:rsid w:val="7C2C47DA"/>
    <w:rsid w:val="7C72581A"/>
    <w:rsid w:val="7C8949A7"/>
    <w:rsid w:val="7C90654D"/>
    <w:rsid w:val="7D0034CD"/>
    <w:rsid w:val="7D0F1D0F"/>
    <w:rsid w:val="7D24527D"/>
    <w:rsid w:val="7D2721ED"/>
    <w:rsid w:val="7D5316BF"/>
    <w:rsid w:val="7D5E1E12"/>
    <w:rsid w:val="7D781125"/>
    <w:rsid w:val="7D9D6076"/>
    <w:rsid w:val="7DB163E5"/>
    <w:rsid w:val="7E0D225E"/>
    <w:rsid w:val="7E2B6198"/>
    <w:rsid w:val="7E891110"/>
    <w:rsid w:val="7EB64559"/>
    <w:rsid w:val="7EC23841"/>
    <w:rsid w:val="7EED78F1"/>
    <w:rsid w:val="7F0C2BFC"/>
    <w:rsid w:val="7F1E3F4E"/>
    <w:rsid w:val="7F222DC9"/>
    <w:rsid w:val="7F29660B"/>
    <w:rsid w:val="7F557EB4"/>
    <w:rsid w:val="7FC464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99"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21"/>
    <w:unhideWhenUsed/>
    <w:qFormat/>
    <w:uiPriority w:val="0"/>
    <w:pPr>
      <w:keepNext/>
      <w:keepLines/>
      <w:spacing w:before="260" w:after="260" w:line="413" w:lineRule="auto"/>
      <w:outlineLvl w:val="1"/>
    </w:pPr>
    <w:rPr>
      <w:rFonts w:ascii="Arial" w:hAnsi="Arial" w:eastAsia="黑体"/>
      <w:b/>
      <w:sz w:val="32"/>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5">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Salutation"/>
    <w:basedOn w:val="1"/>
    <w:next w:val="1"/>
    <w:qFormat/>
    <w:uiPriority w:val="99"/>
  </w:style>
  <w:style w:type="paragraph" w:styleId="8">
    <w:name w:val="Body Text"/>
    <w:basedOn w:val="1"/>
    <w:semiHidden/>
    <w:qFormat/>
    <w:uiPriority w:val="0"/>
    <w:rPr>
      <w:rFonts w:ascii="Arial" w:hAnsi="Arial" w:eastAsia="Arial" w:cs="Arial"/>
      <w:sz w:val="21"/>
      <w:szCs w:val="21"/>
      <w:lang w:val="en-US" w:eastAsia="en-US" w:bidi="ar-SA"/>
    </w:rPr>
  </w:style>
  <w:style w:type="paragraph" w:styleId="9">
    <w:name w:val="toc 3"/>
    <w:basedOn w:val="1"/>
    <w:next w:val="1"/>
    <w:qFormat/>
    <w:uiPriority w:val="0"/>
    <w:pPr>
      <w:ind w:left="840" w:leftChars="400"/>
    </w:p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qFormat/>
    <w:uiPriority w:val="0"/>
  </w:style>
  <w:style w:type="paragraph" w:styleId="13">
    <w:name w:val="toc 2"/>
    <w:basedOn w:val="1"/>
    <w:next w:val="1"/>
    <w:qFormat/>
    <w:uiPriority w:val="0"/>
    <w:pPr>
      <w:ind w:left="420" w:leftChars="200"/>
    </w:pPr>
  </w:style>
  <w:style w:type="paragraph" w:styleId="14">
    <w:name w:val="Normal (Web)"/>
    <w:basedOn w:val="1"/>
    <w:qFormat/>
    <w:uiPriority w:val="0"/>
    <w:pPr>
      <w:spacing w:before="0" w:beforeAutospacing="1" w:after="0" w:afterAutospacing="1"/>
      <w:ind w:left="0" w:right="0"/>
      <w:jc w:val="left"/>
    </w:pPr>
    <w:rPr>
      <w:kern w:val="0"/>
      <w:sz w:val="24"/>
      <w:lang w:val="en-US" w:eastAsia="zh-CN" w:bidi="ar"/>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rPr>
      <w:b/>
    </w:rPr>
  </w:style>
  <w:style w:type="character" w:styleId="19">
    <w:name w:val="Emphasis"/>
    <w:basedOn w:val="17"/>
    <w:qFormat/>
    <w:uiPriority w:val="0"/>
    <w:rPr>
      <w:i/>
    </w:rPr>
  </w:style>
  <w:style w:type="paragraph" w:customStyle="1" w:styleId="20">
    <w:name w:val="正文首行缩进 21"/>
    <w:basedOn w:val="1"/>
    <w:qFormat/>
    <w:uiPriority w:val="0"/>
    <w:pPr>
      <w:spacing w:line="550" w:lineRule="exact"/>
      <w:ind w:firstLine="420" w:firstLineChars="200"/>
    </w:pPr>
    <w:rPr>
      <w:rFonts w:ascii="汉仪细等线繁" w:hAnsi="汉仪细等线繁"/>
      <w:sz w:val="30"/>
      <w:szCs w:val="30"/>
    </w:rPr>
  </w:style>
  <w:style w:type="character" w:customStyle="1" w:styleId="21">
    <w:name w:val="标题 2 字符"/>
    <w:link w:val="2"/>
    <w:qFormat/>
    <w:uiPriority w:val="0"/>
    <w:rPr>
      <w:rFonts w:ascii="Arial" w:hAnsi="Arial" w:eastAsia="黑体"/>
      <w:b/>
      <w:sz w:val="32"/>
    </w:rPr>
  </w:style>
  <w:style w:type="character" w:customStyle="1" w:styleId="22">
    <w:name w:val="font61"/>
    <w:basedOn w:val="17"/>
    <w:qFormat/>
    <w:uiPriority w:val="0"/>
    <w:rPr>
      <w:rFonts w:hint="eastAsia" w:ascii="仿宋" w:hAnsi="仿宋" w:eastAsia="仿宋" w:cs="仿宋"/>
      <w:color w:val="0000FF"/>
      <w:sz w:val="16"/>
      <w:szCs w:val="16"/>
      <w:u w:val="none"/>
    </w:rPr>
  </w:style>
  <w:style w:type="character" w:customStyle="1" w:styleId="23">
    <w:name w:val="font41"/>
    <w:basedOn w:val="17"/>
    <w:qFormat/>
    <w:uiPriority w:val="0"/>
    <w:rPr>
      <w:rFonts w:ascii="Calibri" w:hAnsi="Calibri" w:cs="Calibri"/>
      <w:color w:val="000000"/>
      <w:sz w:val="20"/>
      <w:szCs w:val="20"/>
      <w:u w:val="none"/>
    </w:rPr>
  </w:style>
  <w:style w:type="character" w:customStyle="1" w:styleId="24">
    <w:name w:val="font31"/>
    <w:basedOn w:val="17"/>
    <w:qFormat/>
    <w:uiPriority w:val="0"/>
    <w:rPr>
      <w:rFonts w:hint="eastAsia" w:ascii="宋体" w:hAnsi="宋体" w:eastAsia="宋体" w:cs="宋体"/>
      <w:color w:val="000000"/>
      <w:sz w:val="20"/>
      <w:szCs w:val="20"/>
      <w:u w:val="none"/>
    </w:rPr>
  </w:style>
  <w:style w:type="character" w:customStyle="1" w:styleId="25">
    <w:name w:val="font21"/>
    <w:basedOn w:val="17"/>
    <w:qFormat/>
    <w:uiPriority w:val="0"/>
    <w:rPr>
      <w:rFonts w:hint="default" w:ascii="Calibri" w:hAnsi="Calibri" w:cs="Calibri"/>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chart" Target="charts/chart1.xml"/><Relationship Id="rId7" Type="http://schemas.openxmlformats.org/officeDocument/2006/relationships/image" Target="media/image1.png"/><Relationship Id="rId6" Type="http://schemas.openxmlformats.org/officeDocument/2006/relationships/theme" Target="theme/theme1.xml"/><Relationship Id="rId55" Type="http://schemas.openxmlformats.org/officeDocument/2006/relationships/fontTable" Target="fontTable.xml"/><Relationship Id="rId54" Type="http://schemas.openxmlformats.org/officeDocument/2006/relationships/customXml" Target="../customXml/item2.xml"/><Relationship Id="rId53" Type="http://schemas.openxmlformats.org/officeDocument/2006/relationships/numbering" Target="numbering.xml"/><Relationship Id="rId52" Type="http://schemas.openxmlformats.org/officeDocument/2006/relationships/customXml" Target="../customXml/item1.xml"/><Relationship Id="rId51" Type="http://schemas.openxmlformats.org/officeDocument/2006/relationships/image" Target="media/image14.jpeg"/><Relationship Id="rId50" Type="http://schemas.openxmlformats.org/officeDocument/2006/relationships/image" Target="media/image13.jpeg"/><Relationship Id="rId5" Type="http://schemas.openxmlformats.org/officeDocument/2006/relationships/footer" Target="footer3.xml"/><Relationship Id="rId49" Type="http://schemas.openxmlformats.org/officeDocument/2006/relationships/image" Target="media/image12.jpeg"/><Relationship Id="rId48" Type="http://schemas.openxmlformats.org/officeDocument/2006/relationships/image" Target="media/image11.jpeg"/><Relationship Id="rId47" Type="http://schemas.openxmlformats.org/officeDocument/2006/relationships/image" Target="media/image10.jpeg"/><Relationship Id="rId46" Type="http://schemas.openxmlformats.org/officeDocument/2006/relationships/image" Target="media/image9.jpeg"/><Relationship Id="rId45" Type="http://schemas.openxmlformats.org/officeDocument/2006/relationships/image" Target="media/image8.jpeg"/><Relationship Id="rId44" Type="http://schemas.openxmlformats.org/officeDocument/2006/relationships/image" Target="media/image7.jpeg"/><Relationship Id="rId43" Type="http://schemas.openxmlformats.org/officeDocument/2006/relationships/image" Target="media/image6.jpeg"/><Relationship Id="rId42" Type="http://schemas.openxmlformats.org/officeDocument/2006/relationships/image" Target="media/image5.jpeg"/><Relationship Id="rId41" Type="http://schemas.openxmlformats.org/officeDocument/2006/relationships/image" Target="media/image4.jpeg"/><Relationship Id="rId40" Type="http://schemas.openxmlformats.org/officeDocument/2006/relationships/chart" Target="charts/chart31.xml"/><Relationship Id="rId4" Type="http://schemas.openxmlformats.org/officeDocument/2006/relationships/footer" Target="footer2.xml"/><Relationship Id="rId39" Type="http://schemas.openxmlformats.org/officeDocument/2006/relationships/chart" Target="charts/chart30.xml"/><Relationship Id="rId38" Type="http://schemas.openxmlformats.org/officeDocument/2006/relationships/chart" Target="charts/chart29.xml"/><Relationship Id="rId37" Type="http://schemas.openxmlformats.org/officeDocument/2006/relationships/chart" Target="charts/chart28.xml"/><Relationship Id="rId36" Type="http://schemas.openxmlformats.org/officeDocument/2006/relationships/chart" Target="charts/chart27.xml"/><Relationship Id="rId35" Type="http://schemas.openxmlformats.org/officeDocument/2006/relationships/chart" Target="charts/chart26.xml"/><Relationship Id="rId34" Type="http://schemas.openxmlformats.org/officeDocument/2006/relationships/chart" Target="charts/chart25.xml"/><Relationship Id="rId33" Type="http://schemas.openxmlformats.org/officeDocument/2006/relationships/chart" Target="charts/chart24.xml"/><Relationship Id="rId32" Type="http://schemas.openxmlformats.org/officeDocument/2006/relationships/chart" Target="charts/chart23.xml"/><Relationship Id="rId31" Type="http://schemas.openxmlformats.org/officeDocument/2006/relationships/chart" Target="charts/chart22.xml"/><Relationship Id="rId30" Type="http://schemas.openxmlformats.org/officeDocument/2006/relationships/chart" Target="charts/chart21.xml"/><Relationship Id="rId3" Type="http://schemas.openxmlformats.org/officeDocument/2006/relationships/footer" Target="footer1.xml"/><Relationship Id="rId29" Type="http://schemas.openxmlformats.org/officeDocument/2006/relationships/chart" Target="charts/chart20.xml"/><Relationship Id="rId28" Type="http://schemas.openxmlformats.org/officeDocument/2006/relationships/chart" Target="charts/chart19.xml"/><Relationship Id="rId27" Type="http://schemas.openxmlformats.org/officeDocument/2006/relationships/chart" Target="charts/chart18.xml"/><Relationship Id="rId26" Type="http://schemas.openxmlformats.org/officeDocument/2006/relationships/chart" Target="charts/chart17.xml"/><Relationship Id="rId25" Type="http://schemas.openxmlformats.org/officeDocument/2006/relationships/chart" Target="charts/chart16.xml"/><Relationship Id="rId24" Type="http://schemas.openxmlformats.org/officeDocument/2006/relationships/chart" Target="charts/chart15.xml"/><Relationship Id="rId23" Type="http://schemas.openxmlformats.org/officeDocument/2006/relationships/chart" Target="charts/chart14.xml"/><Relationship Id="rId22" Type="http://schemas.openxmlformats.org/officeDocument/2006/relationships/chart" Target="charts/chart13.xml"/><Relationship Id="rId21" Type="http://schemas.openxmlformats.org/officeDocument/2006/relationships/chart" Target="charts/chart12.xml"/><Relationship Id="rId20" Type="http://schemas.openxmlformats.org/officeDocument/2006/relationships/chart" Target="charts/chart11.xml"/><Relationship Id="rId2" Type="http://schemas.openxmlformats.org/officeDocument/2006/relationships/settings" Target="settings.xml"/><Relationship Id="rId19" Type="http://schemas.openxmlformats.org/officeDocument/2006/relationships/chart" Target="charts/chart10.xml"/><Relationship Id="rId18" Type="http://schemas.openxmlformats.org/officeDocument/2006/relationships/chart" Target="charts/chart9.xml"/><Relationship Id="rId17" Type="http://schemas.openxmlformats.org/officeDocument/2006/relationships/chart" Target="charts/chart8.xml"/><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image" Target="media/image3.jpe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1.xlsx"/></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24037;&#20316;&#31807;1"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istrator\Desktop\&#24037;&#20316;&#31807;1.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istrator\Desktop\&#24037;&#20316;&#31807;1.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2.xlsx"/></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3.xlsx"/></Relationships>
</file>

<file path=word/charts/_rels/chart8.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package" Target="../embeddings/Workbook4.xlsx"/></Relationships>
</file>

<file path=word/charts/_rels/chart9.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package" Target="../embeddings/Workbook5.xlsx"/></Relationships>
</file>

<file path=word/charts/_rels/chart10.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package" Target="../embeddings/Workbook6.xlsx"/></Relationships>
</file>

<file path=word/charts/_rels/chart11.xml.rels><?xml version="1.0" encoding="UTF-8" standalone="yes"?>
<Relationships xmlns="http://schemas.openxmlformats.org/package/2006/relationships"><Relationship Id="rId3" Type="http://schemas.microsoft.com/office/2011/relationships/chartColorStyle" Target="colors11.xml"/><Relationship Id="rId2" Type="http://schemas.microsoft.com/office/2011/relationships/chartStyle" Target="style11.xml"/><Relationship Id="rId1" Type="http://schemas.openxmlformats.org/officeDocument/2006/relationships/package" Target="../embeddings/Workbook7.xlsx"/></Relationships>
</file>

<file path=word/charts/_rels/chart12.xml.rels><?xml version="1.0" encoding="UTF-8" standalone="yes"?>
<Relationships xmlns="http://schemas.openxmlformats.org/package/2006/relationships"><Relationship Id="rId3" Type="http://schemas.microsoft.com/office/2011/relationships/chartColorStyle" Target="colors12.xml"/><Relationship Id="rId2" Type="http://schemas.microsoft.com/office/2011/relationships/chartStyle" Target="style12.xml"/><Relationship Id="rId1" Type="http://schemas.openxmlformats.org/officeDocument/2006/relationships/package" Target="../embeddings/Workbook8.xlsx"/></Relationships>
</file>

<file path=word/charts/_rels/chart13.xml.rels><?xml version="1.0" encoding="UTF-8" standalone="yes"?>
<Relationships xmlns="http://schemas.openxmlformats.org/package/2006/relationships"><Relationship Id="rId3" Type="http://schemas.microsoft.com/office/2011/relationships/chartColorStyle" Target="colors13.xml"/><Relationship Id="rId2" Type="http://schemas.microsoft.com/office/2011/relationships/chartStyle" Target="style13.xml"/><Relationship Id="rId1" Type="http://schemas.openxmlformats.org/officeDocument/2006/relationships/package" Target="../embeddings/Workbook9.xlsx"/></Relationships>
</file>

<file path=word/charts/_rels/chart14.xml.rels><?xml version="1.0" encoding="UTF-8" standalone="yes"?>
<Relationships xmlns="http://schemas.openxmlformats.org/package/2006/relationships"><Relationship Id="rId3" Type="http://schemas.microsoft.com/office/2011/relationships/chartColorStyle" Target="colors14.xml"/><Relationship Id="rId2" Type="http://schemas.microsoft.com/office/2011/relationships/chartStyle" Target="style14.xml"/><Relationship Id="rId1" Type="http://schemas.openxmlformats.org/officeDocument/2006/relationships/package" Target="../embeddings/Workbook10.xlsx"/></Relationships>
</file>

<file path=word/charts/_rels/chart15.xml.rels><?xml version="1.0" encoding="UTF-8" standalone="yes"?>
<Relationships xmlns="http://schemas.openxmlformats.org/package/2006/relationships"><Relationship Id="rId3" Type="http://schemas.microsoft.com/office/2011/relationships/chartColorStyle" Target="colors15.xml"/><Relationship Id="rId2" Type="http://schemas.microsoft.com/office/2011/relationships/chartStyle" Target="style15.xml"/><Relationship Id="rId1" Type="http://schemas.openxmlformats.org/officeDocument/2006/relationships/package" Target="../embeddings/Workbook11.xlsx"/></Relationships>
</file>

<file path=word/charts/_rels/chart16.xml.rels><?xml version="1.0" encoding="UTF-8" standalone="yes"?>
<Relationships xmlns="http://schemas.openxmlformats.org/package/2006/relationships"><Relationship Id="rId3" Type="http://schemas.microsoft.com/office/2011/relationships/chartColorStyle" Target="colors16.xml"/><Relationship Id="rId2" Type="http://schemas.microsoft.com/office/2011/relationships/chartStyle" Target="style16.xml"/><Relationship Id="rId1" Type="http://schemas.openxmlformats.org/officeDocument/2006/relationships/package" Target="../embeddings/Workbook12.xlsx"/></Relationships>
</file>

<file path=word/charts/_rels/chart17.xml.rels><?xml version="1.0" encoding="UTF-8" standalone="yes"?>
<Relationships xmlns="http://schemas.openxmlformats.org/package/2006/relationships"><Relationship Id="rId3" Type="http://schemas.microsoft.com/office/2011/relationships/chartColorStyle" Target="colors17.xml"/><Relationship Id="rId2" Type="http://schemas.microsoft.com/office/2011/relationships/chartStyle" Target="style17.xml"/><Relationship Id="rId1" Type="http://schemas.openxmlformats.org/officeDocument/2006/relationships/package" Target="../embeddings/Workbook13.xlsx"/></Relationships>
</file>

<file path=word/charts/_rels/chart18.xml.rels><?xml version="1.0" encoding="UTF-8" standalone="yes"?>
<Relationships xmlns="http://schemas.openxmlformats.org/package/2006/relationships"><Relationship Id="rId3" Type="http://schemas.microsoft.com/office/2011/relationships/chartColorStyle" Target="colors18.xml"/><Relationship Id="rId2" Type="http://schemas.microsoft.com/office/2011/relationships/chartStyle" Target="style18.xml"/><Relationship Id="rId1" Type="http://schemas.openxmlformats.org/officeDocument/2006/relationships/package" Target="../embeddings/Workbook14.xlsx"/></Relationships>
</file>

<file path=word/charts/_rels/chart19.xml.rels><?xml version="1.0" encoding="UTF-8" standalone="yes"?>
<Relationships xmlns="http://schemas.openxmlformats.org/package/2006/relationships"><Relationship Id="rId3" Type="http://schemas.microsoft.com/office/2011/relationships/chartColorStyle" Target="colors19.xml"/><Relationship Id="rId2" Type="http://schemas.microsoft.com/office/2011/relationships/chartStyle" Target="style19.xml"/><Relationship Id="rId1" Type="http://schemas.openxmlformats.org/officeDocument/2006/relationships/package" Target="../embeddings/Workbook15.xlsx"/></Relationships>
</file>

<file path=word/charts/_rels/chart20.xml.rels><?xml version="1.0" encoding="UTF-8" standalone="yes"?>
<Relationships xmlns="http://schemas.openxmlformats.org/package/2006/relationships"><Relationship Id="rId3" Type="http://schemas.microsoft.com/office/2011/relationships/chartColorStyle" Target="colors21.xml"/><Relationship Id="rId2" Type="http://schemas.microsoft.com/office/2011/relationships/chartStyle" Target="style21.xml"/><Relationship Id="rId1" Type="http://schemas.openxmlformats.org/officeDocument/2006/relationships/package" Target="../embeddings/Workbook16.xlsx"/></Relationships>
</file>

<file path=word/charts/_rels/chart21.xml.rels><?xml version="1.0" encoding="UTF-8" standalone="yes"?>
<Relationships xmlns="http://schemas.openxmlformats.org/package/2006/relationships"><Relationship Id="rId3" Type="http://schemas.microsoft.com/office/2011/relationships/chartColorStyle" Target="colors22.xml"/><Relationship Id="rId2" Type="http://schemas.microsoft.com/office/2011/relationships/chartStyle" Target="style22.xml"/><Relationship Id="rId1" Type="http://schemas.openxmlformats.org/officeDocument/2006/relationships/package" Target="../embeddings/Workbook17.xlsx"/></Relationships>
</file>

<file path=word/charts/_rels/chart22.xml.rels><?xml version="1.0" encoding="UTF-8" standalone="yes"?>
<Relationships xmlns="http://schemas.openxmlformats.org/package/2006/relationships"><Relationship Id="rId3" Type="http://schemas.microsoft.com/office/2011/relationships/chartColorStyle" Target="colors23.xml"/><Relationship Id="rId2" Type="http://schemas.microsoft.com/office/2011/relationships/chartStyle" Target="style23.xml"/><Relationship Id="rId1" Type="http://schemas.openxmlformats.org/officeDocument/2006/relationships/package" Target="../embeddings/Workbook18.xlsx"/></Relationships>
</file>

<file path=word/charts/_rels/chart23.xml.rels><?xml version="1.0" encoding="UTF-8" standalone="yes"?>
<Relationships xmlns="http://schemas.openxmlformats.org/package/2006/relationships"><Relationship Id="rId3" Type="http://schemas.microsoft.com/office/2011/relationships/chartColorStyle" Target="colors24.xml"/><Relationship Id="rId2" Type="http://schemas.microsoft.com/office/2011/relationships/chartStyle" Target="style24.xml"/><Relationship Id="rId1" Type="http://schemas.openxmlformats.org/officeDocument/2006/relationships/package" Target="../embeddings/Workbook19.xlsx"/></Relationships>
</file>

<file path=word/charts/_rels/chart24.xml.rels><?xml version="1.0" encoding="UTF-8" standalone="yes"?>
<Relationships xmlns="http://schemas.openxmlformats.org/package/2006/relationships"><Relationship Id="rId3" Type="http://schemas.microsoft.com/office/2011/relationships/chartColorStyle" Target="colors25.xml"/><Relationship Id="rId2" Type="http://schemas.microsoft.com/office/2011/relationships/chartStyle" Target="style25.xml"/><Relationship Id="rId1" Type="http://schemas.openxmlformats.org/officeDocument/2006/relationships/package" Target="../embeddings/Workbook20.xlsx"/></Relationships>
</file>

<file path=word/charts/_rels/chart25.xml.rels><?xml version="1.0" encoding="UTF-8" standalone="yes"?>
<Relationships xmlns="http://schemas.openxmlformats.org/package/2006/relationships"><Relationship Id="rId3" Type="http://schemas.microsoft.com/office/2011/relationships/chartColorStyle" Target="colors26.xml"/><Relationship Id="rId2" Type="http://schemas.microsoft.com/office/2011/relationships/chartStyle" Target="style26.xml"/><Relationship Id="rId1" Type="http://schemas.openxmlformats.org/officeDocument/2006/relationships/package" Target="../embeddings/Workbook21.xlsx"/></Relationships>
</file>

<file path=word/charts/_rels/chart26.xml.rels><?xml version="1.0" encoding="UTF-8" standalone="yes"?>
<Relationships xmlns="http://schemas.openxmlformats.org/package/2006/relationships"><Relationship Id="rId3" Type="http://schemas.microsoft.com/office/2011/relationships/chartColorStyle" Target="colors27.xml"/><Relationship Id="rId2" Type="http://schemas.microsoft.com/office/2011/relationships/chartStyle" Target="style27.xml"/><Relationship Id="rId1" Type="http://schemas.openxmlformats.org/officeDocument/2006/relationships/oleObject" Target="file:///C:\Users\Administrator\Desktop\&#24037;&#20316;&#31807;1.xlsx" TargetMode="External"/></Relationships>
</file>

<file path=word/charts/_rels/chart27.xml.rels><?xml version="1.0" encoding="UTF-8" standalone="yes"?>
<Relationships xmlns="http://schemas.openxmlformats.org/package/2006/relationships"><Relationship Id="rId3" Type="http://schemas.microsoft.com/office/2011/relationships/chartColorStyle" Target="colors28.xml"/><Relationship Id="rId2" Type="http://schemas.microsoft.com/office/2011/relationships/chartStyle" Target="style28.xml"/><Relationship Id="rId1" Type="http://schemas.openxmlformats.org/officeDocument/2006/relationships/oleObject" Target="file:///C:\Users\Administrator\Desktop\&#24037;&#20316;&#31807;1.xlsx" TargetMode="External"/></Relationships>
</file>

<file path=word/charts/_rels/chart28.xml.rels><?xml version="1.0" encoding="UTF-8" standalone="yes"?>
<Relationships xmlns="http://schemas.openxmlformats.org/package/2006/relationships"><Relationship Id="rId3" Type="http://schemas.microsoft.com/office/2011/relationships/chartColorStyle" Target="colors20.xml"/><Relationship Id="rId2" Type="http://schemas.microsoft.com/office/2011/relationships/chartStyle" Target="style20.xml"/><Relationship Id="rId1" Type="http://schemas.openxmlformats.org/officeDocument/2006/relationships/oleObject" Target="file:///C:\Users\Administrator\Desktop\&#24037;&#20316;&#31807;1.xlsx" TargetMode="External"/></Relationships>
</file>

<file path=word/charts/_rels/chart29.xml.rels><?xml version="1.0" encoding="UTF-8" standalone="yes"?>
<Relationships xmlns="http://schemas.openxmlformats.org/package/2006/relationships"><Relationship Id="rId3" Type="http://schemas.microsoft.com/office/2011/relationships/chartColorStyle" Target="colors29.xml"/><Relationship Id="rId2" Type="http://schemas.microsoft.com/office/2011/relationships/chartStyle" Target="style29.xml"/><Relationship Id="rId1" Type="http://schemas.openxmlformats.org/officeDocument/2006/relationships/oleObject" Target="file:///C:\Users\Administrator\Desktop\&#24037;&#20316;&#31807;1.xlsx" TargetMode="External"/></Relationships>
</file>

<file path=word/charts/_rels/chart30.xml.rels><?xml version="1.0" encoding="UTF-8" standalone="yes"?>
<Relationships xmlns="http://schemas.openxmlformats.org/package/2006/relationships"><Relationship Id="rId3" Type="http://schemas.microsoft.com/office/2011/relationships/chartColorStyle" Target="colors30.xml"/><Relationship Id="rId2" Type="http://schemas.microsoft.com/office/2011/relationships/chartStyle" Target="style30.xml"/><Relationship Id="rId1" Type="http://schemas.openxmlformats.org/officeDocument/2006/relationships/oleObject" Target="file:///C:\Users\Administrator\Desktop\&#24037;&#20316;&#31807;1.xlsx" TargetMode="External"/></Relationships>
</file>

<file path=word/charts/_rels/chart31.xml.rels><?xml version="1.0" encoding="UTF-8" standalone="yes"?>
<Relationships xmlns="http://schemas.openxmlformats.org/package/2006/relationships"><Relationship Id="rId3" Type="http://schemas.microsoft.com/office/2011/relationships/chartColorStyle" Target="colors31.xml"/><Relationship Id="rId2" Type="http://schemas.microsoft.com/office/2011/relationships/chartStyle" Target="style31.xml"/><Relationship Id="rId1" Type="http://schemas.openxmlformats.org/officeDocument/2006/relationships/oleObject" Target="file:///C:\Users\Administrator\Desktop\&#24037;&#20316;&#31807;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Pt>
            <c:idx val="7"/>
            <c:bubble3D val="0"/>
            <c:spPr>
              <a:solidFill>
                <a:schemeClr val="accent2">
                  <a:lumMod val="60000"/>
                </a:schemeClr>
              </a:solidFill>
              <a:ln>
                <a:solidFill>
                  <a:schemeClr val="bg1"/>
                </a:solidFill>
              </a:ln>
              <a:effectLst/>
            </c:spPr>
          </c:dPt>
          <c:dLbls>
            <c:dLbl>
              <c:idx val="0"/>
              <c:layout/>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baseline="0">
                      <a:solidFill>
                        <a:srgbClr val="0070C0"/>
                      </a:solidFill>
                      <a:latin typeface="+mn-lt"/>
                      <a:ea typeface="+mn-ea"/>
                      <a:cs typeface="+mn-cs"/>
                    </a:defRPr>
                  </a:pPr>
                </a:p>
              </c:txPr>
              <c:dLblPos val="outEnd"/>
              <c:showLegendKey val="0"/>
              <c:showVal val="1"/>
              <c:showCatName val="0"/>
              <c:showSerName val="0"/>
              <c:showPercent val="1"/>
              <c:showBubbleSize val="0"/>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1"/>
                  <a:lstStyle/>
                  <a:p>
                    <a:pPr defTabSz="914400">
                      <a:defRPr lang="zh-CN" sz="1000" b="1" i="0" u="none" strike="noStrike" kern="1200" baseline="0">
                        <a:solidFill>
                          <a:schemeClr val="accent5"/>
                        </a:solidFill>
                        <a:latin typeface="+mn-lt"/>
                        <a:ea typeface="+mn-ea"/>
                        <a:cs typeface="+mn-cs"/>
                      </a:defRPr>
                    </a:pPr>
                    <a:r>
                      <a:rPr b="1">
                        <a:solidFill>
                          <a:schemeClr val="accent2"/>
                        </a:solidFill>
                      </a:rPr>
                      <a:t>611, 5.09%</a:t>
                    </a:r>
                    <a:endParaRPr b="1">
                      <a:solidFill>
                        <a:schemeClr val="accent2"/>
                      </a:solidFill>
                    </a:endParaRPr>
                  </a:p>
                </c:rich>
              </c:tx>
              <c:dLblPos val="outEnd"/>
              <c:showLegendKey val="0"/>
              <c:showVal val="1"/>
              <c:showCatName val="0"/>
              <c:showSerName val="0"/>
              <c:showPercent val="1"/>
              <c:showBubbleSize val="0"/>
              <c:extLst>
                <c:ext xmlns:c15="http://schemas.microsoft.com/office/drawing/2012/chart" uri="{CE6537A1-D6FC-4f65-9D91-7224C49458BB}"/>
              </c:extLst>
            </c:dLbl>
            <c:dLbl>
              <c:idx val="2"/>
              <c:layout>
                <c:manualLayout>
                  <c:x val="-0.00657894736842105"/>
                  <c:y val="0.0115740740740741"/>
                </c:manualLayout>
              </c:layout>
              <c:tx>
                <c:rich>
                  <a:bodyPr rot="0" spcFirstLastPara="0" vertOverflow="ellipsis" vert="horz" wrap="square" lIns="38100" tIns="19050" rIns="38100" bIns="19050" anchor="ctr" anchorCtr="1"/>
                  <a:lstStyle/>
                  <a:p>
                    <a:pPr defTabSz="914400">
                      <a:defRPr lang="zh-CN" sz="1000" b="1" i="0" u="none" strike="noStrike" kern="1200" baseline="0">
                        <a:solidFill>
                          <a:schemeClr val="accent5"/>
                        </a:solidFill>
                        <a:latin typeface="+mn-lt"/>
                        <a:ea typeface="+mn-ea"/>
                        <a:cs typeface="+mn-cs"/>
                      </a:defRPr>
                    </a:pPr>
                    <a:r>
                      <a:rPr b="1">
                        <a:solidFill>
                          <a:schemeClr val="accent3"/>
                        </a:solidFill>
                      </a:rPr>
                      <a:t>1075, 8.95%</a:t>
                    </a:r>
                    <a:endParaRPr b="1">
                      <a:solidFill>
                        <a:schemeClr val="accent3"/>
                      </a:solidFill>
                    </a:endParaRPr>
                  </a:p>
                </c:rich>
              </c:tx>
              <c:dLblPos val="bestFit"/>
              <c:showLegendKey val="0"/>
              <c:showVal val="1"/>
              <c:showCatName val="0"/>
              <c:showSerName val="0"/>
              <c:showPercent val="1"/>
              <c:showBubbleSize val="0"/>
              <c:extLst>
                <c:ext xmlns:c15="http://schemas.microsoft.com/office/drawing/2012/chart" uri="{CE6537A1-D6FC-4f65-9D91-7224C49458BB}">
                  <c15:layout/>
                </c:ext>
              </c:extLst>
            </c:dLbl>
            <c:dLbl>
              <c:idx val="3"/>
              <c:layout/>
              <c:tx>
                <c:rich>
                  <a:bodyPr rot="0" spcFirstLastPara="0" vertOverflow="ellipsis" vert="horz" wrap="square" lIns="38100" tIns="19050" rIns="38100" bIns="19050" anchor="ctr" anchorCtr="1"/>
                  <a:lstStyle/>
                  <a:p>
                    <a:pPr defTabSz="914400">
                      <a:defRPr lang="zh-CN" sz="1000" b="1" i="0" u="none" strike="noStrike" kern="1200" baseline="0">
                        <a:solidFill>
                          <a:schemeClr val="accent5"/>
                        </a:solidFill>
                        <a:latin typeface="+mn-lt"/>
                        <a:ea typeface="+mn-ea"/>
                        <a:cs typeface="+mn-cs"/>
                      </a:defRPr>
                    </a:pPr>
                    <a:r>
                      <a:rPr b="1">
                        <a:solidFill>
                          <a:schemeClr val="accent4">
                            <a:lumMod val="75000"/>
                          </a:schemeClr>
                        </a:solidFill>
                      </a:rPr>
                      <a:t>80, 0.67%</a:t>
                    </a:r>
                    <a:endParaRPr b="1">
                      <a:solidFill>
                        <a:schemeClr val="accent4">
                          <a:lumMod val="75000"/>
                        </a:schemeClr>
                      </a:solidFill>
                    </a:endParaRPr>
                  </a:p>
                </c:rich>
              </c:tx>
              <c:dLblPos val="outEnd"/>
              <c:showLegendKey val="0"/>
              <c:showVal val="1"/>
              <c:showCatName val="0"/>
              <c:showSerName val="0"/>
              <c:showPercent val="1"/>
              <c:showBubbleSize val="0"/>
              <c:extLst>
                <c:ext xmlns:c15="http://schemas.microsoft.com/office/drawing/2012/chart" uri="{CE6537A1-D6FC-4f65-9D91-7224C49458BB}"/>
              </c:extLst>
            </c:dLbl>
            <c:dLbl>
              <c:idx val="4"/>
              <c:layout>
                <c:manualLayout>
                  <c:x val="0.153947368421053"/>
                  <c:y val="-0.0601851851851852"/>
                </c:manualLayout>
              </c:layout>
              <c:tx>
                <c:rich>
                  <a:bodyPr rot="0" spcFirstLastPara="0" vertOverflow="ellipsis" vert="horz" wrap="square" lIns="38100" tIns="19050" rIns="38100" bIns="19050" anchor="ctr" anchorCtr="1"/>
                  <a:lstStyle/>
                  <a:p>
                    <a:pPr defTabSz="914400">
                      <a:defRPr lang="zh-CN" sz="1000" b="1" i="0" u="none" strike="noStrike" kern="1200" baseline="0">
                        <a:solidFill>
                          <a:schemeClr val="accent5"/>
                        </a:solidFill>
                        <a:latin typeface="+mn-lt"/>
                        <a:ea typeface="+mn-ea"/>
                        <a:cs typeface="+mn-cs"/>
                      </a:defRPr>
                    </a:pPr>
                    <a:r>
                      <a:rPr b="1">
                        <a:solidFill>
                          <a:schemeClr val="accent5"/>
                        </a:solidFill>
                      </a:rPr>
                      <a:t>6265, 52.17%</a:t>
                    </a:r>
                    <a:endParaRPr b="1">
                      <a:solidFill>
                        <a:schemeClr val="accent5"/>
                      </a:solidFill>
                    </a:endParaRPr>
                  </a:p>
                </c:rich>
              </c:tx>
              <c:dLblPos val="bestFit"/>
              <c:showLegendKey val="0"/>
              <c:showVal val="1"/>
              <c:showCatName val="0"/>
              <c:showSerName val="0"/>
              <c:showPercent val="1"/>
              <c:showBubbleSize val="0"/>
              <c:extLst>
                <c:ext xmlns:c15="http://schemas.microsoft.com/office/drawing/2012/chart" uri="{CE6537A1-D6FC-4f65-9D91-7224C49458BB}">
                  <c15:layout/>
                </c:ext>
              </c:extLst>
            </c:dLbl>
            <c:dLbl>
              <c:idx val="5"/>
              <c:layout>
                <c:manualLayout>
                  <c:x val="0.0135508313984064"/>
                  <c:y val="-0.0642209593441132"/>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baseline="0">
                      <a:solidFill>
                        <a:schemeClr val="accent6"/>
                      </a:solidFill>
                      <a:latin typeface="+mn-lt"/>
                      <a:ea typeface="+mn-ea"/>
                      <a:cs typeface="+mn-cs"/>
                    </a:defRPr>
                  </a:pPr>
                </a:p>
              </c:txPr>
              <c:dLblPos val="bestFit"/>
              <c:showLegendKey val="0"/>
              <c:showVal val="1"/>
              <c:showCatName val="0"/>
              <c:showSerName val="0"/>
              <c:showPercent val="1"/>
              <c:showBubbleSize val="0"/>
              <c:extLst>
                <c:ext xmlns:c15="http://schemas.microsoft.com/office/drawing/2012/chart" uri="{CE6537A1-D6FC-4f65-9D91-7224C49458BB}">
                  <c15:layout/>
                </c:ext>
              </c:extLst>
            </c:dLbl>
            <c:dLbl>
              <c:idx val="6"/>
              <c:layout/>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baseline="0">
                      <a:solidFill>
                        <a:schemeClr val="accent1"/>
                      </a:solidFill>
                      <a:latin typeface="+mn-lt"/>
                      <a:ea typeface="+mn-ea"/>
                      <a:cs typeface="+mn-cs"/>
                    </a:defRPr>
                  </a:pPr>
                </a:p>
              </c:txPr>
              <c:dLblPos val="outEnd"/>
              <c:showLegendKey val="0"/>
              <c:showVal val="1"/>
              <c:showCatName val="0"/>
              <c:showSerName val="0"/>
              <c:showPercent val="1"/>
              <c:showBubbleSize val="0"/>
              <c:extLst>
                <c:ext xmlns:c15="http://schemas.microsoft.com/office/drawing/2012/chart" uri="{CE6537A1-D6FC-4f65-9D91-7224C49458BB}"/>
              </c:extLst>
            </c:dLbl>
            <c:dLbl>
              <c:idx val="7"/>
              <c:layout/>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baseline="0">
                      <a:solidFill>
                        <a:schemeClr val="accent2">
                          <a:lumMod val="75000"/>
                        </a:schemeClr>
                      </a:solidFill>
                      <a:latin typeface="+mn-lt"/>
                      <a:ea typeface="+mn-ea"/>
                      <a:cs typeface="+mn-cs"/>
                    </a:defRPr>
                  </a:pPr>
                </a:p>
              </c:txPr>
              <c:dLblPos val="outEnd"/>
              <c:showLegendKey val="0"/>
              <c:showVal val="1"/>
              <c:showCatName val="0"/>
              <c:showSerName val="0"/>
              <c:showPercent val="1"/>
              <c:showBubbleSize val="0"/>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baseline="0">
                    <a:solidFill>
                      <a:schemeClr val="accent5"/>
                    </a:solidFill>
                    <a:latin typeface="+mn-lt"/>
                    <a:ea typeface="+mn-ea"/>
                    <a:cs typeface="+mn-cs"/>
                  </a:defRPr>
                </a:pPr>
              </a:p>
            </c:txPr>
            <c:dLblPos val="outEnd"/>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[工作簿1]Sheet1!$H$2:$H$9</c:f>
              <c:strCache>
                <c:ptCount val="8"/>
                <c:pt idx="0">
                  <c:v>地文景观</c:v>
                </c:pt>
                <c:pt idx="1">
                  <c:v>水域景观</c:v>
                </c:pt>
                <c:pt idx="2">
                  <c:v>生物景观</c:v>
                </c:pt>
                <c:pt idx="3">
                  <c:v>天气与气候景观</c:v>
                </c:pt>
                <c:pt idx="4">
                  <c:v>建筑与设施</c:v>
                </c:pt>
                <c:pt idx="5">
                  <c:v>历史遗迹</c:v>
                </c:pt>
                <c:pt idx="6">
                  <c:v>旅游购品</c:v>
                </c:pt>
                <c:pt idx="7">
                  <c:v>人文活动</c:v>
                </c:pt>
              </c:strCache>
            </c:strRef>
          </c:cat>
          <c:val>
            <c:numRef>
              <c:f>[工作簿1]Sheet1!$I$2:$I$9</c:f>
              <c:numCache>
                <c:formatCode>General</c:formatCode>
                <c:ptCount val="8"/>
                <c:pt idx="0">
                  <c:v>940</c:v>
                </c:pt>
                <c:pt idx="1">
                  <c:v>611</c:v>
                </c:pt>
                <c:pt idx="2">
                  <c:v>1075</c:v>
                </c:pt>
                <c:pt idx="3">
                  <c:v>80</c:v>
                </c:pt>
                <c:pt idx="4">
                  <c:v>6265</c:v>
                </c:pt>
                <c:pt idx="5">
                  <c:v>1463</c:v>
                </c:pt>
                <c:pt idx="6">
                  <c:v>824</c:v>
                </c:pt>
                <c:pt idx="7">
                  <c:v>750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egendEntry>
        <c:idx val="0"/>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4"/>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5"/>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6"/>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7"/>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94c63e14-e096-4011-afb2-bff4b3ca3cb5}"/>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760570186035274"/>
          <c:y val="0.0414364640883978"/>
          <c:w val="0.89736651365064"/>
          <c:h val="0.850913727156821"/>
        </c:manualLayout>
      </c:layout>
      <c:barChart>
        <c:barDir val="col"/>
        <c:grouping val="clustered"/>
        <c:varyColors val="0"/>
        <c:ser>
          <c:idx val="0"/>
          <c:order val="0"/>
          <c:tx>
            <c:strRef>
              <c:f>Sheet1!$B$1</c:f>
              <c:strCache>
                <c:ptCount val="1"/>
                <c:pt idx="0">
                  <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Sheet1!$A$2:$A$11</c:f>
              <c:strCache>
                <c:ptCount val="10"/>
                <c:pt idx="0">
                  <c:v>修武县</c:v>
                </c:pt>
                <c:pt idx="1">
                  <c:v>博爱县</c:v>
                </c:pt>
                <c:pt idx="2">
                  <c:v>沁阳市</c:v>
                </c:pt>
                <c:pt idx="3">
                  <c:v>山阳区</c:v>
                </c:pt>
                <c:pt idx="4">
                  <c:v>温县</c:v>
                </c:pt>
                <c:pt idx="5">
                  <c:v>孟州市</c:v>
                </c:pt>
                <c:pt idx="6">
                  <c:v>武陟县</c:v>
                </c:pt>
                <c:pt idx="7">
                  <c:v>解放区</c:v>
                </c:pt>
                <c:pt idx="8">
                  <c:v>中站区</c:v>
                </c:pt>
                <c:pt idx="9">
                  <c:v>马村区</c:v>
                </c:pt>
              </c:strCache>
            </c:strRef>
          </c:cat>
          <c:val>
            <c:numRef>
              <c:f>Sheet1!$B$2:$B$11</c:f>
              <c:numCache>
                <c:formatCode>General</c:formatCode>
                <c:ptCount val="10"/>
                <c:pt idx="0">
                  <c:v>3029</c:v>
                </c:pt>
                <c:pt idx="1">
                  <c:v>1647</c:v>
                </c:pt>
                <c:pt idx="2">
                  <c:v>1571</c:v>
                </c:pt>
                <c:pt idx="3">
                  <c:v>1053</c:v>
                </c:pt>
                <c:pt idx="4">
                  <c:v>1031</c:v>
                </c:pt>
                <c:pt idx="5">
                  <c:v>1026</c:v>
                </c:pt>
                <c:pt idx="6">
                  <c:v>893</c:v>
                </c:pt>
                <c:pt idx="7">
                  <c:v>801</c:v>
                </c:pt>
                <c:pt idx="8">
                  <c:v>504</c:v>
                </c:pt>
                <c:pt idx="9">
                  <c:v>453</c:v>
                </c:pt>
              </c:numCache>
            </c:numRef>
          </c:val>
        </c:ser>
        <c:dLbls>
          <c:showLegendKey val="0"/>
          <c:showVal val="1"/>
          <c:showCatName val="0"/>
          <c:showSerName val="0"/>
          <c:showPercent val="0"/>
          <c:showBubbleSize val="0"/>
        </c:dLbls>
        <c:gapWidth val="246"/>
        <c:overlap val="-28"/>
        <c:axId val="769238187"/>
        <c:axId val="523118406"/>
      </c:barChart>
      <c:catAx>
        <c:axId val="769238187"/>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3118406"/>
        <c:crosses val="autoZero"/>
        <c:auto val="1"/>
        <c:lblAlgn val="ctr"/>
        <c:lblOffset val="100"/>
        <c:noMultiLvlLbl val="0"/>
      </c:catAx>
      <c:valAx>
        <c:axId val="523118406"/>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69238187"/>
        <c:crosses val="autoZero"/>
        <c:crossBetween val="between"/>
      </c:valAx>
      <c:spPr>
        <a:noFill/>
        <a:ln>
          <a:noFill/>
        </a:ln>
        <a:effectLst/>
      </c:spPr>
    </c:plotArea>
    <c:plotVisOnly val="1"/>
    <c:dispBlanksAs val="gap"/>
    <c:showDLblsOverMax val="0"/>
    <c:extLst>
      <c:ext uri="{0b15fc19-7d7d-44ad-8c2d-2c3a37ce22c3}">
        <chartProps xmlns="https://web.wps.cn/et/2018/main" chartId="{522ee060-e41f-4698-ac49-f1053f5f2723}"/>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1125534591195"/>
          <c:y val="0.0942028985507246"/>
          <c:w val="0.55559748427673"/>
          <c:h val="0.780664545775893"/>
        </c:manualLayout>
      </c:layout>
      <c:pieChart>
        <c:varyColors val="1"/>
        <c:ser>
          <c:idx val="0"/>
          <c:order val="0"/>
          <c:tx>
            <c:strRef>
              <c:f>[工作簿1]Sheet1!$F$4:$F$5</c:f>
              <c:strCache>
                <c:ptCount val="1"/>
                <c:pt idx="0">
                  <c:v>总量</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explosion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Lbls>
            <c:dLbl>
              <c:idx val="0"/>
              <c:layout>
                <c:manualLayout>
                  <c:x val="0.032051282051282"/>
                  <c:y val="0.00190512478567346"/>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sz="1000" b="1">
                        <a:solidFill>
                          <a:schemeClr val="accent1"/>
                        </a:solidFill>
                        <a:uFillTx/>
                      </a:rPr>
                      <a:t>地文景观, 187, 11.25%</a:t>
                    </a:r>
                    <a:endParaRPr sz="1000" b="1">
                      <a:solidFill>
                        <a:schemeClr val="accent1"/>
                      </a:solidFill>
                      <a:uFillTx/>
                    </a:endParaRPr>
                  </a:p>
                </c:rich>
              </c:tx>
              <c:dLblPos val="bestFit"/>
              <c:showLegendKey val="0"/>
              <c:showVal val="1"/>
              <c:showCatName val="1"/>
              <c:showSerName val="0"/>
              <c:showPercent val="1"/>
              <c:showBubbleSize val="0"/>
              <c:extLst>
                <c:ext xmlns:c15="http://schemas.microsoft.com/office/drawing/2012/chart" uri="{CE6537A1-D6FC-4f65-9D91-7224C49458BB}">
                  <c15:layout/>
                </c:ext>
              </c:extLst>
            </c:dLbl>
            <c:dLbl>
              <c:idx val="1"/>
              <c:layout>
                <c:manualLayout>
                  <c:x val="0.0243589743589744"/>
                  <c:y val="-0.0228614974280815"/>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sz="1000" b="1">
                        <a:solidFill>
                          <a:schemeClr val="accent2"/>
                        </a:solidFill>
                        <a:uFillTx/>
                      </a:rPr>
                      <a:t>水域景观, 68, 4.09%</a:t>
                    </a:r>
                    <a:endParaRPr sz="1000" b="1">
                      <a:solidFill>
                        <a:schemeClr val="accent2"/>
                      </a:solidFill>
                      <a:uFillTx/>
                    </a:endParaRPr>
                  </a:p>
                </c:rich>
              </c:tx>
              <c:dLblPos val="bestFit"/>
              <c:showLegendKey val="0"/>
              <c:showVal val="1"/>
              <c:showCatName val="1"/>
              <c:showSerName val="0"/>
              <c:showPercent val="1"/>
              <c:showBubbleSize val="0"/>
              <c:extLst>
                <c:ext xmlns:c15="http://schemas.microsoft.com/office/drawing/2012/chart" uri="{CE6537A1-D6FC-4f65-9D91-7224C49458BB}">
                  <c15:layout/>
                </c:ext>
              </c:extLst>
            </c:dLbl>
            <c:dLbl>
              <c:idx val="2"/>
              <c:layout>
                <c:manualLayout>
                  <c:x val="0.0128205128205128"/>
                  <c:y val="-0.0381024957134692"/>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sz="1000" b="1">
                        <a:solidFill>
                          <a:schemeClr val="accent3">
                            <a:lumMod val="75000"/>
                          </a:schemeClr>
                        </a:solidFill>
                        <a:uFillTx/>
                      </a:rPr>
                      <a:t>生物景观, 202, 12.15%</a:t>
                    </a:r>
                    <a:endParaRPr sz="1000" b="1">
                      <a:solidFill>
                        <a:schemeClr val="accent3">
                          <a:lumMod val="75000"/>
                        </a:schemeClr>
                      </a:solidFill>
                      <a:uFillTx/>
                    </a:endParaRPr>
                  </a:p>
                </c:rich>
              </c:tx>
              <c:dLblPos val="bestFit"/>
              <c:showLegendKey val="0"/>
              <c:showVal val="1"/>
              <c:showCatName val="1"/>
              <c:showSerName val="0"/>
              <c:showPercent val="1"/>
              <c:showBubbleSize val="0"/>
              <c:extLst>
                <c:ext xmlns:c15="http://schemas.microsoft.com/office/drawing/2012/chart" uri="{CE6537A1-D6FC-4f65-9D91-7224C49458BB}">
                  <c15:layout/>
                </c:ext>
              </c:extLst>
            </c:dLbl>
            <c:dLbl>
              <c:idx val="3"/>
              <c:layout>
                <c:manualLayout>
                  <c:x val="0.0115384615384616"/>
                  <c:y val="0.0493955286202741"/>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sz="1000" b="1">
                        <a:solidFill>
                          <a:schemeClr val="accent4"/>
                        </a:solidFill>
                        <a:uFillTx/>
                      </a:rPr>
                      <a:t>天象与气候景观, 5, 0.30%</a:t>
                    </a:r>
                    <a:endParaRPr sz="1000" b="1">
                      <a:solidFill>
                        <a:schemeClr val="accent4"/>
                      </a:solidFill>
                      <a:uFillTx/>
                    </a:endParaRPr>
                  </a:p>
                </c:rich>
              </c:tx>
              <c:dLblPos val="bestFit"/>
              <c:showLegendKey val="0"/>
              <c:showVal val="1"/>
              <c:showCatName val="1"/>
              <c:showSerName val="0"/>
              <c:showPercent val="1"/>
              <c:showBubbleSize val="0"/>
              <c:extLst>
                <c:ext xmlns:c15="http://schemas.microsoft.com/office/drawing/2012/chart" uri="{CE6537A1-D6FC-4f65-9D91-7224C49458BB}">
                  <c15:layout/>
                </c:ext>
              </c:extLst>
            </c:dLbl>
            <c:dLbl>
              <c:idx val="4"/>
              <c:layout>
                <c:manualLayout>
                  <c:x val="-0.155128205128205"/>
                  <c:y val="-0.04953324442751"/>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sz="1000" b="1">
                        <a:solidFill>
                          <a:schemeClr val="accent5"/>
                        </a:solidFill>
                        <a:uFillTx/>
                      </a:rPr>
                      <a:t>建筑与设施, 901, 54.21%</a:t>
                    </a:r>
                    <a:endParaRPr sz="1000" b="1">
                      <a:solidFill>
                        <a:schemeClr val="accent5"/>
                      </a:solidFill>
                      <a:uFillTx/>
                    </a:endParaRPr>
                  </a:p>
                </c:rich>
              </c:tx>
              <c:dLblPos val="bestFit"/>
              <c:showLegendKey val="0"/>
              <c:showVal val="1"/>
              <c:showCatName val="1"/>
              <c:showSerName val="0"/>
              <c:showPercent val="1"/>
              <c:showBubbleSize val="0"/>
              <c:extLst>
                <c:ext xmlns:c15="http://schemas.microsoft.com/office/drawing/2012/chart" uri="{CE6537A1-D6FC-4f65-9D91-7224C49458BB}">
                  <c15:layout/>
                </c:ext>
              </c:extLst>
            </c:dLbl>
            <c:dLbl>
              <c:idx val="5"/>
              <c:layout>
                <c:manualLayout>
                  <c:x val="-0.0615384615384615"/>
                  <c:y val="0.00571537435702039"/>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sz="1000" b="1">
                        <a:solidFill>
                          <a:schemeClr val="accent6"/>
                        </a:solidFill>
                        <a:uFillTx/>
                      </a:rPr>
                      <a:t>历史遗迹, 141, 8.48%</a:t>
                    </a:r>
                    <a:endParaRPr sz="1000" b="1">
                      <a:solidFill>
                        <a:schemeClr val="accent6"/>
                      </a:solidFill>
                      <a:uFillTx/>
                    </a:endParaRPr>
                  </a:p>
                </c:rich>
              </c:tx>
              <c:dLblPos val="bestFit"/>
              <c:showLegendKey val="0"/>
              <c:showVal val="1"/>
              <c:showCatName val="1"/>
              <c:showSerName val="0"/>
              <c:showPercent val="1"/>
              <c:showBubbleSize val="0"/>
              <c:extLst>
                <c:ext xmlns:c15="http://schemas.microsoft.com/office/drawing/2012/chart" uri="{CE6537A1-D6FC-4f65-9D91-7224C49458BB}">
                  <c15:layout/>
                </c:ext>
              </c:extLst>
            </c:dLbl>
            <c:dLbl>
              <c:idx val="6"/>
              <c:layout>
                <c:manualLayout>
                  <c:x val="-0.0679487179487179"/>
                  <c:y val="0.00571537435702039"/>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sz="1000" b="1">
                        <a:solidFill>
                          <a:schemeClr val="accent5">
                            <a:lumMod val="75000"/>
                          </a:schemeClr>
                        </a:solidFill>
                        <a:uFillTx/>
                      </a:rPr>
                      <a:t>旅游购品, 110, 6.62%</a:t>
                    </a:r>
                    <a:endParaRPr sz="1000" b="1">
                      <a:solidFill>
                        <a:schemeClr val="accent5">
                          <a:lumMod val="75000"/>
                        </a:schemeClr>
                      </a:solidFill>
                      <a:uFillTx/>
                    </a:endParaRPr>
                  </a:p>
                </c:rich>
              </c:tx>
              <c:dLblPos val="bestFit"/>
              <c:showLegendKey val="0"/>
              <c:showVal val="1"/>
              <c:showCatName val="1"/>
              <c:showSerName val="0"/>
              <c:showPercent val="1"/>
              <c:showBubbleSize val="0"/>
              <c:extLst>
                <c:ext xmlns:c15="http://schemas.microsoft.com/office/drawing/2012/chart" uri="{CE6537A1-D6FC-4f65-9D91-7224C49458BB}">
                  <c15:layout/>
                </c:ext>
              </c:extLst>
            </c:dLbl>
            <c:dLbl>
              <c:idx val="7"/>
              <c:layout>
                <c:manualLayout>
                  <c:x val="0"/>
                  <c:y val="0.00176740897843761"/>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sz="1000" b="1">
                        <a:solidFill>
                          <a:schemeClr val="accent2">
                            <a:lumMod val="75000"/>
                          </a:schemeClr>
                        </a:solidFill>
                        <a:uFillTx/>
                      </a:rPr>
                      <a:t>人文活动, 48, 2.89%</a:t>
                    </a:r>
                    <a:endParaRPr sz="1000" b="1">
                      <a:solidFill>
                        <a:schemeClr val="accent2">
                          <a:lumMod val="75000"/>
                        </a:schemeClr>
                      </a:solidFill>
                      <a:uFillTx/>
                    </a:endParaRPr>
                  </a:p>
                </c:rich>
              </c:tx>
              <c:dLblPos val="bestFit"/>
              <c:showLegendKey val="0"/>
              <c:showVal val="1"/>
              <c:showCatName val="1"/>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[工作簿1]Sheet1!$E$6:$E$13</c:f>
              <c:strCache>
                <c:ptCount val="8"/>
                <c:pt idx="0">
                  <c:v>地文景观</c:v>
                </c:pt>
                <c:pt idx="1">
                  <c:v>水域景观</c:v>
                </c:pt>
                <c:pt idx="2">
                  <c:v>生物景观</c:v>
                </c:pt>
                <c:pt idx="3">
                  <c:v>天象与气候景观</c:v>
                </c:pt>
                <c:pt idx="4">
                  <c:v>建筑与设施</c:v>
                </c:pt>
                <c:pt idx="5">
                  <c:v>历史遗迹</c:v>
                </c:pt>
                <c:pt idx="6">
                  <c:v>旅游购品</c:v>
                </c:pt>
                <c:pt idx="7">
                  <c:v>人文活动</c:v>
                </c:pt>
              </c:strCache>
            </c:strRef>
          </c:cat>
          <c:val>
            <c:numRef>
              <c:f>[工作簿1]Sheet1!$F$6:$F$13</c:f>
              <c:numCache>
                <c:formatCode>General</c:formatCode>
                <c:ptCount val="8"/>
                <c:pt idx="0">
                  <c:v>187</c:v>
                </c:pt>
                <c:pt idx="1">
                  <c:v>68</c:v>
                </c:pt>
                <c:pt idx="2">
                  <c:v>202</c:v>
                </c:pt>
                <c:pt idx="3">
                  <c:v>5</c:v>
                </c:pt>
                <c:pt idx="4">
                  <c:v>901</c:v>
                </c:pt>
                <c:pt idx="5">
                  <c:v>141</c:v>
                </c:pt>
                <c:pt idx="6">
                  <c:v>110</c:v>
                </c:pt>
                <c:pt idx="7">
                  <c:v>48</c:v>
                </c:pt>
              </c:numCache>
            </c:numRef>
          </c:val>
        </c:ser>
        <c:ser>
          <c:idx val="1"/>
          <c:order val="1"/>
          <c:tx>
            <c:strRef>
              <c:f>[工作簿1]Sheet1!$G$4:$G$5</c:f>
              <c:strCache>
                <c:ptCount val="1"/>
                <c:pt idx="0">
                  <c:v>资源品级 五级</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[工作簿1]Sheet1!$E$6:$E$13</c:f>
              <c:strCache>
                <c:ptCount val="8"/>
                <c:pt idx="0">
                  <c:v>地文景观</c:v>
                </c:pt>
                <c:pt idx="1">
                  <c:v>水域景观</c:v>
                </c:pt>
                <c:pt idx="2">
                  <c:v>生物景观</c:v>
                </c:pt>
                <c:pt idx="3">
                  <c:v>天象与气候景观</c:v>
                </c:pt>
                <c:pt idx="4">
                  <c:v>建筑与设施</c:v>
                </c:pt>
                <c:pt idx="5">
                  <c:v>历史遗迹</c:v>
                </c:pt>
                <c:pt idx="6">
                  <c:v>旅游购品</c:v>
                </c:pt>
                <c:pt idx="7">
                  <c:v>人文活动</c:v>
                </c:pt>
              </c:strCache>
            </c:strRef>
          </c:cat>
          <c:val>
            <c:numRef>
              <c:f>[工作簿1]Sheet1!$G$6:$G$13</c:f>
              <c:numCache>
                <c:formatCode>General</c:formatCode>
                <c:ptCount val="8"/>
                <c:pt idx="0">
                  <c:v>2</c:v>
                </c:pt>
                <c:pt idx="1">
                  <c:v>0</c:v>
                </c:pt>
                <c:pt idx="2">
                  <c:v>0</c:v>
                </c:pt>
                <c:pt idx="3">
                  <c:v>1</c:v>
                </c:pt>
                <c:pt idx="4">
                  <c:v>3</c:v>
                </c:pt>
                <c:pt idx="5">
                  <c:v>1</c:v>
                </c:pt>
                <c:pt idx="6">
                  <c:v>0</c:v>
                </c:pt>
                <c:pt idx="7">
                  <c:v>1</c:v>
                </c:pt>
              </c:numCache>
            </c:numRef>
          </c:val>
        </c:ser>
        <c:ser>
          <c:idx val="2"/>
          <c:order val="2"/>
          <c:tx>
            <c:strRef>
              <c:f>[工作簿1]Sheet1!$H$4:$H$5</c:f>
              <c:strCache>
                <c:ptCount val="1"/>
                <c:pt idx="0">
                  <c:v>资源品级 四级</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[工作簿1]Sheet1!$E$6:$E$13</c:f>
              <c:strCache>
                <c:ptCount val="8"/>
                <c:pt idx="0">
                  <c:v>地文景观</c:v>
                </c:pt>
                <c:pt idx="1">
                  <c:v>水域景观</c:v>
                </c:pt>
                <c:pt idx="2">
                  <c:v>生物景观</c:v>
                </c:pt>
                <c:pt idx="3">
                  <c:v>天象与气候景观</c:v>
                </c:pt>
                <c:pt idx="4">
                  <c:v>建筑与设施</c:v>
                </c:pt>
                <c:pt idx="5">
                  <c:v>历史遗迹</c:v>
                </c:pt>
                <c:pt idx="6">
                  <c:v>旅游购品</c:v>
                </c:pt>
                <c:pt idx="7">
                  <c:v>人文活动</c:v>
                </c:pt>
              </c:strCache>
            </c:strRef>
          </c:cat>
          <c:val>
            <c:numRef>
              <c:f>[工作簿1]Sheet1!$H$6:$H$13</c:f>
              <c:numCache>
                <c:formatCode>General</c:formatCode>
                <c:ptCount val="8"/>
                <c:pt idx="0">
                  <c:v>2</c:v>
                </c:pt>
                <c:pt idx="1">
                  <c:v>0</c:v>
                </c:pt>
                <c:pt idx="2">
                  <c:v>0</c:v>
                </c:pt>
                <c:pt idx="3">
                  <c:v>0</c:v>
                </c:pt>
                <c:pt idx="4">
                  <c:v>7</c:v>
                </c:pt>
                <c:pt idx="5">
                  <c:v>0</c:v>
                </c:pt>
                <c:pt idx="6">
                  <c:v>1</c:v>
                </c:pt>
                <c:pt idx="7">
                  <c:v>5</c:v>
                </c:pt>
              </c:numCache>
            </c:numRef>
          </c:val>
        </c:ser>
        <c:ser>
          <c:idx val="3"/>
          <c:order val="3"/>
          <c:tx>
            <c:strRef>
              <c:f>[工作簿1]Sheet1!$I$4:$I$5</c:f>
              <c:strCache>
                <c:ptCount val="1"/>
                <c:pt idx="0">
                  <c:v>资源品级 三级</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[工作簿1]Sheet1!$E$6:$E$13</c:f>
              <c:strCache>
                <c:ptCount val="8"/>
                <c:pt idx="0">
                  <c:v>地文景观</c:v>
                </c:pt>
                <c:pt idx="1">
                  <c:v>水域景观</c:v>
                </c:pt>
                <c:pt idx="2">
                  <c:v>生物景观</c:v>
                </c:pt>
                <c:pt idx="3">
                  <c:v>天象与气候景观</c:v>
                </c:pt>
                <c:pt idx="4">
                  <c:v>建筑与设施</c:v>
                </c:pt>
                <c:pt idx="5">
                  <c:v>历史遗迹</c:v>
                </c:pt>
                <c:pt idx="6">
                  <c:v>旅游购品</c:v>
                </c:pt>
                <c:pt idx="7">
                  <c:v>人文活动</c:v>
                </c:pt>
              </c:strCache>
            </c:strRef>
          </c:cat>
          <c:val>
            <c:numRef>
              <c:f>[工作簿1]Sheet1!$I$6:$I$13</c:f>
              <c:numCache>
                <c:formatCode>General</c:formatCode>
                <c:ptCount val="8"/>
                <c:pt idx="0">
                  <c:v>30</c:v>
                </c:pt>
                <c:pt idx="1">
                  <c:v>14</c:v>
                </c:pt>
                <c:pt idx="2">
                  <c:v>4</c:v>
                </c:pt>
                <c:pt idx="3">
                  <c:v>0</c:v>
                </c:pt>
                <c:pt idx="4">
                  <c:v>66</c:v>
                </c:pt>
                <c:pt idx="5">
                  <c:v>14</c:v>
                </c:pt>
                <c:pt idx="6">
                  <c:v>14</c:v>
                </c:pt>
                <c:pt idx="7">
                  <c:v>9</c:v>
                </c:pt>
              </c:numCache>
            </c:numRef>
          </c:val>
        </c:ser>
        <c:ser>
          <c:idx val="4"/>
          <c:order val="4"/>
          <c:tx>
            <c:strRef>
              <c:f>[工作簿1]Sheet1!$J$4:$J$5</c:f>
              <c:strCache>
                <c:ptCount val="1"/>
                <c:pt idx="0">
                  <c:v>资源品级 二级</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[工作簿1]Sheet1!$E$6:$E$13</c:f>
              <c:strCache>
                <c:ptCount val="8"/>
                <c:pt idx="0">
                  <c:v>地文景观</c:v>
                </c:pt>
                <c:pt idx="1">
                  <c:v>水域景观</c:v>
                </c:pt>
                <c:pt idx="2">
                  <c:v>生物景观</c:v>
                </c:pt>
                <c:pt idx="3">
                  <c:v>天象与气候景观</c:v>
                </c:pt>
                <c:pt idx="4">
                  <c:v>建筑与设施</c:v>
                </c:pt>
                <c:pt idx="5">
                  <c:v>历史遗迹</c:v>
                </c:pt>
                <c:pt idx="6">
                  <c:v>旅游购品</c:v>
                </c:pt>
                <c:pt idx="7">
                  <c:v>人文活动</c:v>
                </c:pt>
              </c:strCache>
            </c:strRef>
          </c:cat>
          <c:val>
            <c:numRef>
              <c:f>[工作簿1]Sheet1!$J$6:$J$13</c:f>
              <c:numCache>
                <c:formatCode>General</c:formatCode>
                <c:ptCount val="8"/>
                <c:pt idx="0">
                  <c:v>86</c:v>
                </c:pt>
                <c:pt idx="1">
                  <c:v>17</c:v>
                </c:pt>
                <c:pt idx="2">
                  <c:v>19</c:v>
                </c:pt>
                <c:pt idx="3">
                  <c:v>2</c:v>
                </c:pt>
                <c:pt idx="4">
                  <c:v>254</c:v>
                </c:pt>
                <c:pt idx="5">
                  <c:v>55</c:v>
                </c:pt>
                <c:pt idx="6">
                  <c:v>20</c:v>
                </c:pt>
                <c:pt idx="7">
                  <c:v>16</c:v>
                </c:pt>
              </c:numCache>
            </c:numRef>
          </c:val>
        </c:ser>
        <c:ser>
          <c:idx val="5"/>
          <c:order val="5"/>
          <c:tx>
            <c:strRef>
              <c:f>[工作簿1]Sheet1!$K$4:$K$5</c:f>
              <c:strCache>
                <c:ptCount val="1"/>
                <c:pt idx="0">
                  <c:v>资源品级 一级</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[工作簿1]Sheet1!$E$6:$E$13</c:f>
              <c:strCache>
                <c:ptCount val="8"/>
                <c:pt idx="0">
                  <c:v>地文景观</c:v>
                </c:pt>
                <c:pt idx="1">
                  <c:v>水域景观</c:v>
                </c:pt>
                <c:pt idx="2">
                  <c:v>生物景观</c:v>
                </c:pt>
                <c:pt idx="3">
                  <c:v>天象与气候景观</c:v>
                </c:pt>
                <c:pt idx="4">
                  <c:v>建筑与设施</c:v>
                </c:pt>
                <c:pt idx="5">
                  <c:v>历史遗迹</c:v>
                </c:pt>
                <c:pt idx="6">
                  <c:v>旅游购品</c:v>
                </c:pt>
                <c:pt idx="7">
                  <c:v>人文活动</c:v>
                </c:pt>
              </c:strCache>
            </c:strRef>
          </c:cat>
          <c:val>
            <c:numRef>
              <c:f>[工作簿1]Sheet1!$K$6:$K$13</c:f>
              <c:numCache>
                <c:formatCode>General</c:formatCode>
                <c:ptCount val="8"/>
                <c:pt idx="0">
                  <c:v>67</c:v>
                </c:pt>
                <c:pt idx="1">
                  <c:v>37</c:v>
                </c:pt>
                <c:pt idx="2">
                  <c:v>173</c:v>
                </c:pt>
                <c:pt idx="3">
                  <c:v>2</c:v>
                </c:pt>
                <c:pt idx="4">
                  <c:v>563</c:v>
                </c:pt>
                <c:pt idx="5">
                  <c:v>69</c:v>
                </c:pt>
                <c:pt idx="6">
                  <c:v>74</c:v>
                </c:pt>
                <c:pt idx="7">
                  <c:v>17</c:v>
                </c:pt>
              </c:numCache>
            </c:numRef>
          </c:val>
        </c:ser>
        <c:ser>
          <c:idx val="6"/>
          <c:order val="6"/>
          <c:tx>
            <c:strRef>
              <c:f>[工作簿1]Sheet1!$L$4:$L$5</c:f>
              <c:strCache>
                <c:ptCount val="1"/>
                <c:pt idx="0">
                  <c:v>资源品级 未定级</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[工作簿1]Sheet1!$E$6:$E$13</c:f>
              <c:strCache>
                <c:ptCount val="8"/>
                <c:pt idx="0">
                  <c:v>地文景观</c:v>
                </c:pt>
                <c:pt idx="1">
                  <c:v>水域景观</c:v>
                </c:pt>
                <c:pt idx="2">
                  <c:v>生物景观</c:v>
                </c:pt>
                <c:pt idx="3">
                  <c:v>天象与气候景观</c:v>
                </c:pt>
                <c:pt idx="4">
                  <c:v>建筑与设施</c:v>
                </c:pt>
                <c:pt idx="5">
                  <c:v>历史遗迹</c:v>
                </c:pt>
                <c:pt idx="6">
                  <c:v>旅游购品</c:v>
                </c:pt>
                <c:pt idx="7">
                  <c:v>人文活动</c:v>
                </c:pt>
              </c:strCache>
            </c:strRef>
          </c:cat>
          <c:val>
            <c:numRef>
              <c:f>[工作簿1]Sheet1!$L$6:$L$13</c:f>
              <c:numCache>
                <c:formatCode>General</c:formatCode>
                <c:ptCount val="8"/>
                <c:pt idx="0">
                  <c:v>0</c:v>
                </c:pt>
                <c:pt idx="1">
                  <c:v>0</c:v>
                </c:pt>
                <c:pt idx="2">
                  <c:v>6</c:v>
                </c:pt>
                <c:pt idx="3">
                  <c:v>0</c:v>
                </c:pt>
                <c:pt idx="4">
                  <c:v>8</c:v>
                </c:pt>
                <c:pt idx="5">
                  <c:v>2</c:v>
                </c:pt>
                <c:pt idx="6">
                  <c:v>1</c:v>
                </c:pt>
                <c:pt idx="7">
                  <c:v>0</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gap"/>
    <c:showDLblsOverMax val="0"/>
    <c:extLst>
      <c:ext uri="{0b15fc19-7d7d-44ad-8c2d-2c3a37ce22c3}">
        <chartProps xmlns="https://web.wps.cn/et/2018/main" chartId="{636a56fa-b5b3-47c6-8421-9b1f21c58381}"/>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Pt>
            <c:idx val="8"/>
            <c:bubble3D val="0"/>
            <c:spPr>
              <a:solidFill>
                <a:schemeClr val="accent3">
                  <a:lumMod val="60000"/>
                </a:schemeClr>
              </a:solidFill>
              <a:ln w="19050">
                <a:solidFill>
                  <a:schemeClr val="lt1"/>
                </a:solidFill>
              </a:ln>
              <a:effectLst/>
            </c:spPr>
          </c:dPt>
          <c:dPt>
            <c:idx val="9"/>
            <c:bubble3D val="0"/>
            <c:spPr>
              <a:solidFill>
                <a:schemeClr val="accent4">
                  <a:lumMod val="60000"/>
                </a:schemeClr>
              </a:solidFill>
              <a:ln w="19050">
                <a:solidFill>
                  <a:schemeClr val="lt1"/>
                </a:solidFill>
              </a:ln>
              <a:effectLst/>
            </c:spPr>
          </c:dPt>
          <c:dLbls>
            <c:dLbl>
              <c:idx val="0"/>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sz="1000" b="1">
                        <a:solidFill>
                          <a:schemeClr val="accent1"/>
                        </a:solidFill>
                      </a:rPr>
                      <a:t>修武县, 543, 29.49%</a:t>
                    </a:r>
                    <a:endParaRPr sz="1000" b="1">
                      <a:solidFill>
                        <a:schemeClr val="accent1"/>
                      </a:solidFill>
                    </a:endParaRPr>
                  </a:p>
                </c:rich>
              </c:tx>
              <c:dLblPos val="outEnd"/>
              <c:showLegendKey val="0"/>
              <c:showVal val="1"/>
              <c:showCatName val="1"/>
              <c:showSerName val="0"/>
              <c:showPercent val="1"/>
              <c:showBubbleSize val="0"/>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sz="1000" b="1">
                        <a:solidFill>
                          <a:schemeClr val="accent2"/>
                        </a:solidFill>
                      </a:rPr>
                      <a:t>博爱县, 199, 10.81%</a:t>
                    </a:r>
                    <a:endParaRPr sz="1000" b="1">
                      <a:solidFill>
                        <a:schemeClr val="accent2"/>
                      </a:solidFill>
                    </a:endParaRPr>
                  </a:p>
                </c:rich>
              </c:tx>
              <c:dLblPos val="outEnd"/>
              <c:showLegendKey val="0"/>
              <c:showVal val="1"/>
              <c:showCatName val="1"/>
              <c:showSerName val="0"/>
              <c:showPercent val="1"/>
              <c:showBubbleSize val="0"/>
              <c:extLst>
                <c:ext xmlns:c15="http://schemas.microsoft.com/office/drawing/2012/chart" uri="{CE6537A1-D6FC-4f65-9D91-7224C49458BB}"/>
              </c:extLst>
            </c:dLbl>
            <c:dLbl>
              <c:idx val="2"/>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sz="1000" b="1">
                        <a:solidFill>
                          <a:schemeClr val="bg2">
                            <a:lumMod val="75000"/>
                          </a:schemeClr>
                        </a:solidFill>
                      </a:rPr>
                      <a:t>沁阳市, 236, 12.82%</a:t>
                    </a:r>
                    <a:endParaRPr sz="1000" b="1">
                      <a:solidFill>
                        <a:schemeClr val="bg2">
                          <a:lumMod val="75000"/>
                        </a:schemeClr>
                      </a:solidFill>
                    </a:endParaRPr>
                  </a:p>
                </c:rich>
              </c:tx>
              <c:dLblPos val="outEnd"/>
              <c:showLegendKey val="0"/>
              <c:showVal val="1"/>
              <c:showCatName val="1"/>
              <c:showSerName val="0"/>
              <c:showPercent val="1"/>
              <c:showBubbleSize val="0"/>
              <c:extLst>
                <c:ext xmlns:c15="http://schemas.microsoft.com/office/drawing/2012/chart" uri="{CE6537A1-D6FC-4f65-9D91-7224C49458BB}"/>
              </c:extLst>
            </c:dLbl>
            <c:dLbl>
              <c:idx val="3"/>
              <c:layout>
                <c:manualLayout>
                  <c:x val="-0.0108394556184512"/>
                  <c:y val="0"/>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sz="1000" b="1">
                        <a:solidFill>
                          <a:srgbClr val="FFC000"/>
                        </a:solidFill>
                      </a:rPr>
                      <a:t>山阳区, 105, 5.70%</a:t>
                    </a:r>
                    <a:endParaRPr sz="1000" b="1">
                      <a:solidFill>
                        <a:srgbClr val="FFC000"/>
                      </a:solidFill>
                    </a:endParaRPr>
                  </a:p>
                </c:rich>
              </c:tx>
              <c:dLblPos val="bestFit"/>
              <c:showLegendKey val="0"/>
              <c:showVal val="1"/>
              <c:showCatName val="1"/>
              <c:showSerName val="0"/>
              <c:showPercent val="1"/>
              <c:showBubbleSize val="0"/>
              <c:extLst>
                <c:ext xmlns:c15="http://schemas.microsoft.com/office/drawing/2012/chart" uri="{CE6537A1-D6FC-4f65-9D91-7224C49458BB}">
                  <c15:layout/>
                </c:ext>
              </c:extLst>
            </c:dLbl>
            <c:dLbl>
              <c:idx val="4"/>
              <c:layout>
                <c:manualLayout>
                  <c:x val="-0.0313139828977478"/>
                  <c:y val="0.00200601805416249"/>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sz="1000" b="1">
                        <a:solidFill>
                          <a:schemeClr val="accent5"/>
                        </a:solidFill>
                      </a:rPr>
                      <a:t>温县, 205, 11.14%</a:t>
                    </a:r>
                    <a:endParaRPr sz="1000" b="1">
                      <a:solidFill>
                        <a:schemeClr val="accent5"/>
                      </a:solidFill>
                    </a:endParaRPr>
                  </a:p>
                </c:rich>
              </c:tx>
              <c:dLblPos val="bestFit"/>
              <c:showLegendKey val="0"/>
              <c:showVal val="1"/>
              <c:showCatName val="1"/>
              <c:showSerName val="0"/>
              <c:showPercent val="1"/>
              <c:showBubbleSize val="0"/>
              <c:extLst>
                <c:ext xmlns:c15="http://schemas.microsoft.com/office/drawing/2012/chart" uri="{CE6537A1-D6FC-4f65-9D91-7224C49458BB}">
                  <c15:layout/>
                </c:ext>
              </c:extLst>
            </c:dLbl>
            <c:dLbl>
              <c:idx val="5"/>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sz="1000" b="1">
                        <a:solidFill>
                          <a:schemeClr val="accent6"/>
                        </a:solidFill>
                      </a:rPr>
                      <a:t>孟州市, 230, 12.49%</a:t>
                    </a:r>
                    <a:endParaRPr sz="1000" b="1">
                      <a:solidFill>
                        <a:schemeClr val="accent6"/>
                      </a:solidFill>
                    </a:endParaRPr>
                  </a:p>
                </c:rich>
              </c:tx>
              <c:dLblPos val="outEnd"/>
              <c:showLegendKey val="0"/>
              <c:showVal val="1"/>
              <c:showCatName val="1"/>
              <c:showSerName val="0"/>
              <c:showPercent val="1"/>
              <c:showBubbleSize val="0"/>
              <c:extLst>
                <c:ext xmlns:c15="http://schemas.microsoft.com/office/drawing/2012/chart" uri="{CE6537A1-D6FC-4f65-9D91-7224C49458BB}"/>
              </c:extLst>
            </c:dLbl>
            <c:dLbl>
              <c:idx val="6"/>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sz="1000" b="1">
                        <a:solidFill>
                          <a:schemeClr val="accent5">
                            <a:lumMod val="75000"/>
                          </a:schemeClr>
                        </a:solidFill>
                      </a:rPr>
                      <a:t>武陟县, 71, 3.86%</a:t>
                    </a:r>
                    <a:endParaRPr sz="1000" b="1">
                      <a:solidFill>
                        <a:schemeClr val="accent5">
                          <a:lumMod val="75000"/>
                        </a:schemeClr>
                      </a:solidFill>
                    </a:endParaRPr>
                  </a:p>
                </c:rich>
              </c:tx>
              <c:dLblPos val="outEnd"/>
              <c:showLegendKey val="0"/>
              <c:showVal val="1"/>
              <c:showCatName val="1"/>
              <c:showSerName val="0"/>
              <c:showPercent val="1"/>
              <c:showBubbleSize val="0"/>
              <c:extLst>
                <c:ext xmlns:c15="http://schemas.microsoft.com/office/drawing/2012/chart" uri="{CE6537A1-D6FC-4f65-9D91-7224C49458BB}"/>
              </c:extLst>
            </c:dLbl>
            <c:dLbl>
              <c:idx val="7"/>
              <c:layout>
                <c:manualLayout>
                  <c:x val="-0.087920028905215"/>
                  <c:y val="0.0381143430290873"/>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sz="1000" b="1">
                        <a:solidFill>
                          <a:schemeClr val="accent2">
                            <a:lumMod val="75000"/>
                          </a:schemeClr>
                        </a:solidFill>
                      </a:rPr>
                      <a:t>解放区, 201, 10.92%</a:t>
                    </a:r>
                    <a:endParaRPr sz="1000" b="1">
                      <a:solidFill>
                        <a:schemeClr val="accent2">
                          <a:lumMod val="75000"/>
                        </a:schemeClr>
                      </a:solidFill>
                    </a:endParaRPr>
                  </a:p>
                </c:rich>
              </c:tx>
              <c:dLblPos val="bestFit"/>
              <c:showLegendKey val="0"/>
              <c:showVal val="1"/>
              <c:showCatName val="1"/>
              <c:showSerName val="0"/>
              <c:showPercent val="1"/>
              <c:showBubbleSize val="0"/>
              <c:extLst>
                <c:ext xmlns:c15="http://schemas.microsoft.com/office/drawing/2012/chart" uri="{CE6537A1-D6FC-4f65-9D91-7224C49458BB}">
                  <c15:layout/>
                </c:ext>
              </c:extLst>
            </c:dLbl>
            <c:dLbl>
              <c:idx val="8"/>
              <c:layout>
                <c:manualLayout>
                  <c:x val="-0.0758761893291581"/>
                  <c:y val="-0.00601805416248746"/>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sz="1000" b="1">
                        <a:solidFill>
                          <a:schemeClr val="bg2">
                            <a:lumMod val="50000"/>
                          </a:schemeClr>
                        </a:solidFill>
                      </a:rPr>
                      <a:t>中站区, 40, 2.17%</a:t>
                    </a:r>
                    <a:endParaRPr sz="1000" b="1">
                      <a:solidFill>
                        <a:schemeClr val="bg2">
                          <a:lumMod val="50000"/>
                        </a:schemeClr>
                      </a:solidFill>
                    </a:endParaRPr>
                  </a:p>
                </c:rich>
              </c:tx>
              <c:dLblPos val="bestFit"/>
              <c:showLegendKey val="0"/>
              <c:showVal val="1"/>
              <c:showCatName val="1"/>
              <c:showSerName val="0"/>
              <c:showPercent val="1"/>
              <c:showBubbleSize val="0"/>
              <c:extLst>
                <c:ext xmlns:c15="http://schemas.microsoft.com/office/drawing/2012/chart" uri="{CE6537A1-D6FC-4f65-9D91-7224C49458BB}">
                  <c15:layout/>
                </c:ext>
              </c:extLst>
            </c:dLbl>
            <c:dLbl>
              <c:idx val="9"/>
              <c:layout>
                <c:manualLayout>
                  <c:x val="0.189950232108399"/>
                  <c:y val="0"/>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sz="1000" b="1">
                        <a:solidFill>
                          <a:schemeClr val="accent4">
                            <a:lumMod val="75000"/>
                          </a:schemeClr>
                        </a:solidFill>
                      </a:rPr>
                      <a:t>马村区, 11, 0.60%</a:t>
                    </a:r>
                    <a:endParaRPr sz="1000" b="1">
                      <a:solidFill>
                        <a:schemeClr val="accent4">
                          <a:lumMod val="75000"/>
                        </a:schemeClr>
                      </a:solidFill>
                    </a:endParaRPr>
                  </a:p>
                </c:rich>
              </c:tx>
              <c:dLblPos val="bestFit"/>
              <c:showLegendKey val="0"/>
              <c:showVal val="1"/>
              <c:showCatName val="1"/>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[工作簿1.xlsx]Sheet8!$B$23:$B$32</c:f>
              <c:strCache>
                <c:ptCount val="10"/>
                <c:pt idx="0">
                  <c:v>修武县</c:v>
                </c:pt>
                <c:pt idx="1">
                  <c:v>博爱县</c:v>
                </c:pt>
                <c:pt idx="2">
                  <c:v>沁阳市</c:v>
                </c:pt>
                <c:pt idx="3">
                  <c:v>山阳区</c:v>
                </c:pt>
                <c:pt idx="4">
                  <c:v>温县</c:v>
                </c:pt>
                <c:pt idx="5">
                  <c:v>孟州市</c:v>
                </c:pt>
                <c:pt idx="6">
                  <c:v>武陟县</c:v>
                </c:pt>
                <c:pt idx="7">
                  <c:v>解放区</c:v>
                </c:pt>
                <c:pt idx="8">
                  <c:v>中站区</c:v>
                </c:pt>
                <c:pt idx="9">
                  <c:v>马村区</c:v>
                </c:pt>
              </c:strCache>
            </c:strRef>
          </c:cat>
          <c:val>
            <c:numRef>
              <c:f>[工作簿1.xlsx]Sheet8!$C$23:$C$32</c:f>
              <c:numCache>
                <c:formatCode>General</c:formatCode>
                <c:ptCount val="10"/>
                <c:pt idx="0">
                  <c:v>543</c:v>
                </c:pt>
                <c:pt idx="1">
                  <c:v>199</c:v>
                </c:pt>
                <c:pt idx="2">
                  <c:v>236</c:v>
                </c:pt>
                <c:pt idx="3">
                  <c:v>105</c:v>
                </c:pt>
                <c:pt idx="4">
                  <c:v>205</c:v>
                </c:pt>
                <c:pt idx="5">
                  <c:v>230</c:v>
                </c:pt>
                <c:pt idx="6">
                  <c:v>71</c:v>
                </c:pt>
                <c:pt idx="7">
                  <c:v>201</c:v>
                </c:pt>
                <c:pt idx="8">
                  <c:v>40</c:v>
                </c:pt>
                <c:pt idx="9">
                  <c:v>11</c:v>
                </c:pt>
              </c:numCache>
            </c:numRef>
          </c:val>
        </c:ser>
        <c:dLbls>
          <c:showLegendKey val="0"/>
          <c:showVal val="0"/>
          <c:showCatName val="1"/>
          <c:showSerName val="0"/>
          <c:showPercent val="0"/>
          <c:showBubbleSize val="0"/>
          <c:showLeaderLines val="1"/>
        </c:dLbls>
        <c:firstSliceAng val="0"/>
      </c:pieChart>
      <c:spPr>
        <a:noFill/>
        <a:ln>
          <a:noFill/>
        </a:ln>
        <a:effectLst/>
      </c:spPr>
    </c:plotArea>
    <c:plotVisOnly val="1"/>
    <c:dispBlanksAs val="gap"/>
    <c:showDLblsOverMax val="0"/>
    <c:extLst>
      <c:ext uri="{0b15fc19-7d7d-44ad-8c2d-2c3a37ce22c3}">
        <chartProps xmlns="https://web.wps.cn/et/2018/main" chartId="{8658980a-28d9-434f-ba53-6e38561551fc}"/>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c:explosion val="0"/>
          <c:dPt>
            <c:idx val="0"/>
            <c:bubble3D val="0"/>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c:spPr>
          </c:dPt>
          <c:dPt>
            <c:idx val="1"/>
            <c:bubble3D val="0"/>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c:spPr>
          </c:dPt>
          <c:dPt>
            <c:idx val="2"/>
            <c:bubble3D val="0"/>
            <c:spPr>
              <a:gradFill>
                <a:gsLst>
                  <a:gs pos="0">
                    <a:schemeClr val="accent3">
                      <a:lumMod val="40000"/>
                      <a:lumOff val="60000"/>
                    </a:schemeClr>
                  </a:gs>
                  <a:gs pos="90000">
                    <a:schemeClr val="accent3"/>
                  </a:gs>
                </a:gsLst>
                <a:lin ang="5400000" scaled="0"/>
              </a:gradFill>
              <a:ln>
                <a:gradFill>
                  <a:gsLst>
                    <a:gs pos="0">
                      <a:schemeClr val="accent3"/>
                    </a:gs>
                    <a:gs pos="100000">
                      <a:schemeClr val="accent3">
                        <a:lumMod val="75000"/>
                      </a:schemeClr>
                    </a:gs>
                  </a:gsLst>
                  <a:lin ang="5400000" scaled="1"/>
                </a:gradFill>
              </a:ln>
              <a:effectLst/>
            </c:spPr>
          </c:dPt>
          <c:dPt>
            <c:idx val="3"/>
            <c:bubble3D val="0"/>
            <c:spPr>
              <a:gradFill>
                <a:gsLst>
                  <a:gs pos="0">
                    <a:schemeClr val="accent4">
                      <a:lumMod val="40000"/>
                      <a:lumOff val="60000"/>
                    </a:schemeClr>
                  </a:gs>
                  <a:gs pos="90000">
                    <a:schemeClr val="accent4"/>
                  </a:gs>
                </a:gsLst>
                <a:lin ang="5400000" scaled="0"/>
              </a:gradFill>
              <a:ln>
                <a:gradFill>
                  <a:gsLst>
                    <a:gs pos="0">
                      <a:schemeClr val="accent4"/>
                    </a:gs>
                    <a:gs pos="100000">
                      <a:schemeClr val="accent4">
                        <a:lumMod val="75000"/>
                      </a:schemeClr>
                    </a:gs>
                  </a:gsLst>
                  <a:lin ang="5400000" scaled="1"/>
                </a:gradFill>
              </a:ln>
              <a:effectLst/>
            </c:spPr>
          </c:dPt>
          <c:dPt>
            <c:idx val="4"/>
            <c:bubble3D val="0"/>
            <c:spPr>
              <a:gradFill>
                <a:gsLst>
                  <a:gs pos="0">
                    <a:schemeClr val="accent5">
                      <a:lumMod val="40000"/>
                      <a:lumOff val="60000"/>
                    </a:schemeClr>
                  </a:gs>
                  <a:gs pos="90000">
                    <a:schemeClr val="accent5"/>
                  </a:gs>
                </a:gsLst>
                <a:lin ang="5400000" scaled="0"/>
              </a:gradFill>
              <a:ln>
                <a:gradFill>
                  <a:gsLst>
                    <a:gs pos="0">
                      <a:schemeClr val="accent5"/>
                    </a:gs>
                    <a:gs pos="100000">
                      <a:schemeClr val="accent5">
                        <a:lumMod val="75000"/>
                      </a:schemeClr>
                    </a:gs>
                  </a:gsLst>
                  <a:lin ang="5400000" scaled="1"/>
                </a:gradFill>
              </a:ln>
              <a:effectLst/>
            </c:spPr>
          </c:dPt>
          <c:dPt>
            <c:idx val="5"/>
            <c:bubble3D val="0"/>
            <c:spPr>
              <a:gradFill>
                <a:gsLst>
                  <a:gs pos="0">
                    <a:schemeClr val="accent6">
                      <a:lumMod val="40000"/>
                      <a:lumOff val="60000"/>
                    </a:schemeClr>
                  </a:gs>
                  <a:gs pos="90000">
                    <a:schemeClr val="accent6"/>
                  </a:gs>
                </a:gsLst>
                <a:lin ang="5400000" scaled="0"/>
              </a:gradFill>
              <a:ln>
                <a:gradFill>
                  <a:gsLst>
                    <a:gs pos="0">
                      <a:schemeClr val="accent6"/>
                    </a:gs>
                    <a:gs pos="100000">
                      <a:schemeClr val="accent6">
                        <a:lumMod val="75000"/>
                      </a:schemeClr>
                    </a:gs>
                  </a:gsLst>
                  <a:lin ang="5400000" scaled="1"/>
                </a:gradFill>
              </a:ln>
              <a:effectLst/>
            </c:spPr>
          </c:dPt>
          <c:dPt>
            <c:idx val="6"/>
            <c:bubble3D val="0"/>
            <c:spPr>
              <a:gradFill>
                <a:gsLst>
                  <a:gs pos="0">
                    <a:schemeClr val="accent1">
                      <a:lumMod val="60000"/>
                      <a:lumMod val="40000"/>
                      <a:lumOff val="60000"/>
                    </a:schemeClr>
                  </a:gs>
                  <a:gs pos="90000">
                    <a:schemeClr val="accent1">
                      <a:lumMod val="60000"/>
                    </a:schemeClr>
                  </a:gs>
                </a:gsLst>
                <a:lin ang="5400000" scaled="0"/>
              </a:gradFill>
              <a:ln>
                <a:gradFill>
                  <a:gsLst>
                    <a:gs pos="0">
                      <a:schemeClr val="accent1">
                        <a:lumMod val="60000"/>
                      </a:schemeClr>
                    </a:gs>
                    <a:gs pos="100000">
                      <a:schemeClr val="accent1">
                        <a:lumMod val="60000"/>
                        <a:lumMod val="75000"/>
                      </a:schemeClr>
                    </a:gs>
                  </a:gsLst>
                  <a:lin ang="5400000" scaled="1"/>
                </a:gradFill>
              </a:ln>
              <a:effectLst/>
            </c:spPr>
          </c:dPt>
          <c:dPt>
            <c:idx val="7"/>
            <c:bubble3D val="0"/>
            <c:spPr>
              <a:gradFill>
                <a:gsLst>
                  <a:gs pos="0">
                    <a:schemeClr val="accent2">
                      <a:lumMod val="60000"/>
                      <a:lumMod val="40000"/>
                      <a:lumOff val="60000"/>
                    </a:schemeClr>
                  </a:gs>
                  <a:gs pos="90000">
                    <a:schemeClr val="accent2">
                      <a:lumMod val="60000"/>
                    </a:schemeClr>
                  </a:gs>
                </a:gsLst>
                <a:lin ang="5400000" scaled="0"/>
              </a:gradFill>
              <a:ln>
                <a:gradFill>
                  <a:gsLst>
                    <a:gs pos="0">
                      <a:schemeClr val="accent2">
                        <a:lumMod val="60000"/>
                      </a:schemeClr>
                    </a:gs>
                    <a:gs pos="100000">
                      <a:schemeClr val="accent2">
                        <a:lumMod val="60000"/>
                        <a:lumMod val="75000"/>
                      </a:schemeClr>
                    </a:gs>
                  </a:gsLst>
                  <a:lin ang="5400000" scaled="1"/>
                </a:gradFill>
              </a:ln>
              <a:effectLst/>
            </c:spPr>
          </c:dPt>
          <c:dLbls>
            <c:dLbl>
              <c:idx val="0"/>
              <c:layout>
                <c:manualLayout>
                  <c:x val="0.0855318636308878"/>
                  <c:y val="0"/>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bestFit"/>
              <c:showLegendKey val="0"/>
              <c:showVal val="1"/>
              <c:showCatName val="1"/>
              <c:showSerName val="0"/>
              <c:showPercent val="1"/>
              <c:showBubbleSize val="0"/>
              <c:extLst>
                <c:ext xmlns:c15="http://schemas.microsoft.com/office/drawing/2012/chart" uri="{CE6537A1-D6FC-4f65-9D91-7224C49458BB}">
                  <c15:layout/>
                </c:ext>
              </c:extLst>
            </c:dLbl>
            <c:dLbl>
              <c:idx val="1"/>
              <c:layout>
                <c:manualLayout>
                  <c:x val="0.0385495723406818"/>
                  <c:y val="0"/>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2"/>
                      </a:solidFill>
                      <a:latin typeface="+mn-lt"/>
                      <a:ea typeface="+mn-ea"/>
                      <a:cs typeface="+mn-cs"/>
                    </a:defRPr>
                  </a:pPr>
                </a:p>
              </c:txPr>
              <c:dLblPos val="bestFit"/>
              <c:showLegendKey val="0"/>
              <c:showVal val="1"/>
              <c:showCatName val="1"/>
              <c:showSerName val="0"/>
              <c:showPercent val="1"/>
              <c:showBubbleSize val="0"/>
              <c:extLst>
                <c:ext xmlns:c15="http://schemas.microsoft.com/office/drawing/2012/chart" uri="{CE6537A1-D6FC-4f65-9D91-7224C49458BB}">
                  <c15:layout/>
                </c:ext>
              </c:extLst>
            </c:dLbl>
            <c:dLbl>
              <c:idx val="2"/>
              <c:layout>
                <c:manualLayout>
                  <c:x val="0.00963739308517046"/>
                  <c:y val="-0.0108719286801479"/>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3"/>
                      </a:solidFill>
                      <a:latin typeface="+mn-lt"/>
                      <a:ea typeface="+mn-ea"/>
                      <a:cs typeface="+mn-cs"/>
                    </a:defRPr>
                  </a:pPr>
                </a:p>
              </c:txPr>
              <c:dLblPos val="bestFit"/>
              <c:showLegendKey val="0"/>
              <c:showVal val="1"/>
              <c:showCatName val="1"/>
              <c:showSerName val="0"/>
              <c:showPercent val="1"/>
              <c:showBubbleSize val="0"/>
              <c:extLst>
                <c:ext xmlns:c15="http://schemas.microsoft.com/office/drawing/2012/chart" uri="{CE6537A1-D6FC-4f65-9D91-7224C49458BB}">
                  <c15:layout/>
                </c:ext>
              </c:extLst>
            </c:dLbl>
            <c:dLbl>
              <c:idx val="3"/>
              <c:layout>
                <c:manualLayout>
                  <c:x val="0"/>
                  <c:y val="0.0695803435529462"/>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4"/>
                      </a:solidFill>
                      <a:latin typeface="+mn-lt"/>
                      <a:ea typeface="+mn-ea"/>
                      <a:cs typeface="+mn-cs"/>
                    </a:defRPr>
                  </a:pPr>
                </a:p>
              </c:txPr>
              <c:dLblPos val="bestFit"/>
              <c:showLegendKey val="0"/>
              <c:showVal val="1"/>
              <c:showCatName val="1"/>
              <c:showSerName val="0"/>
              <c:showPercent val="1"/>
              <c:showBubbleSize val="0"/>
              <c:extLst>
                <c:ext xmlns:c15="http://schemas.microsoft.com/office/drawing/2012/chart" uri="{CE6537A1-D6FC-4f65-9D91-7224C49458BB}">
                  <c15:layout/>
                </c:ext>
              </c:extLst>
            </c:dLbl>
            <c:dLbl>
              <c:idx val="4"/>
              <c:layout>
                <c:manualLayout>
                  <c:x val="-0.191543187567763"/>
                  <c:y val="-0.045662100456621"/>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5"/>
                      </a:solidFill>
                      <a:latin typeface="+mn-lt"/>
                      <a:ea typeface="+mn-ea"/>
                      <a:cs typeface="+mn-cs"/>
                    </a:defRPr>
                  </a:pPr>
                </a:p>
              </c:txPr>
              <c:dLblPos val="bestFit"/>
              <c:showLegendKey val="0"/>
              <c:showVal val="1"/>
              <c:showCatName val="1"/>
              <c:showSerName val="0"/>
              <c:showPercent val="1"/>
              <c:showBubbleSize val="0"/>
              <c:extLst>
                <c:ext xmlns:c15="http://schemas.microsoft.com/office/drawing/2012/chart" uri="{CE6537A1-D6FC-4f65-9D91-7224C49458BB}">
                  <c15:layout/>
                </c:ext>
              </c:extLst>
            </c:dLbl>
            <c:dLbl>
              <c:idx val="5"/>
              <c:layout>
                <c:manualLayout>
                  <c:x val="-0.0301168533911577"/>
                  <c:y val="-0.0173950858882366"/>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6"/>
                      </a:solidFill>
                      <a:latin typeface="+mn-lt"/>
                      <a:ea typeface="+mn-ea"/>
                      <a:cs typeface="+mn-cs"/>
                    </a:defRPr>
                  </a:pPr>
                </a:p>
              </c:txPr>
              <c:dLblPos val="bestFit"/>
              <c:showLegendKey val="0"/>
              <c:showVal val="1"/>
              <c:showCatName val="1"/>
              <c:showSerName val="0"/>
              <c:showPercent val="1"/>
              <c:showBubbleSize val="0"/>
              <c:extLst>
                <c:ext xmlns:c15="http://schemas.microsoft.com/office/drawing/2012/chart" uri="{CE6537A1-D6FC-4f65-9D91-7224C49458BB}">
                  <c15:layout/>
                </c:ext>
              </c:extLst>
            </c:dLbl>
            <c:dLbl>
              <c:idx val="6"/>
              <c:layout>
                <c:manualLayout>
                  <c:x val="-0.0542103361040838"/>
                  <c:y val="0.00434877147205914"/>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lumMod val="60000"/>
                        </a:schemeClr>
                      </a:solidFill>
                      <a:latin typeface="+mn-lt"/>
                      <a:ea typeface="+mn-ea"/>
                      <a:cs typeface="+mn-cs"/>
                    </a:defRPr>
                  </a:pPr>
                </a:p>
              </c:txPr>
              <c:dLblPos val="bestFit"/>
              <c:showLegendKey val="0"/>
              <c:showVal val="1"/>
              <c:showCatName val="1"/>
              <c:showSerName val="0"/>
              <c:showPercent val="1"/>
              <c:showBubbleSize val="0"/>
              <c:extLst>
                <c:ext xmlns:c15="http://schemas.microsoft.com/office/drawing/2012/chart" uri="{CE6537A1-D6FC-4f65-9D91-7224C49458BB}">
                  <c15:layout/>
                </c:ext>
              </c:extLst>
            </c:dLbl>
            <c:dLbl>
              <c:idx val="7"/>
              <c:layout/>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2">
                          <a:lumMod val="60000"/>
                        </a:schemeClr>
                      </a:solidFill>
                      <a:latin typeface="+mn-lt"/>
                      <a:ea typeface="+mn-ea"/>
                      <a:cs typeface="+mn-cs"/>
                    </a:defRPr>
                  </a:pPr>
                </a:p>
              </c:txPr>
              <c:dLblPos val="outEnd"/>
              <c:showLegendKey val="0"/>
              <c:showVal val="1"/>
              <c:showCatName val="1"/>
              <c:showSerName val="0"/>
              <c:showPercent val="1"/>
              <c:showBubbleSize val="0"/>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[工作簿1.xlsx]Sheet11!$A$2:$A$9</c:f>
              <c:strCache>
                <c:ptCount val="8"/>
                <c:pt idx="0">
                  <c:v>地文景观</c:v>
                </c:pt>
                <c:pt idx="1">
                  <c:v>水域景观</c:v>
                </c:pt>
                <c:pt idx="2">
                  <c:v>生物景观</c:v>
                </c:pt>
                <c:pt idx="3">
                  <c:v>天象与气候景观</c:v>
                </c:pt>
                <c:pt idx="4">
                  <c:v>建筑与设施</c:v>
                </c:pt>
                <c:pt idx="5">
                  <c:v>历史遗迹</c:v>
                </c:pt>
                <c:pt idx="6">
                  <c:v>旅游购品</c:v>
                </c:pt>
                <c:pt idx="7">
                  <c:v>人文活动</c:v>
                </c:pt>
              </c:strCache>
            </c:strRef>
          </c:cat>
          <c:val>
            <c:numRef>
              <c:f>[工作簿1.xlsx]Sheet11!$B$2:$B$9</c:f>
              <c:numCache>
                <c:formatCode>General</c:formatCode>
                <c:ptCount val="8"/>
                <c:pt idx="0">
                  <c:v>244</c:v>
                </c:pt>
                <c:pt idx="1">
                  <c:v>170</c:v>
                </c:pt>
                <c:pt idx="2">
                  <c:v>60</c:v>
                </c:pt>
                <c:pt idx="3">
                  <c:v>30</c:v>
                </c:pt>
                <c:pt idx="4">
                  <c:v>875</c:v>
                </c:pt>
                <c:pt idx="5">
                  <c:v>216</c:v>
                </c:pt>
                <c:pt idx="6">
                  <c:v>116</c:v>
                </c:pt>
                <c:pt idx="7">
                  <c:v>130</c:v>
                </c:pt>
              </c:numCache>
            </c:numRef>
          </c:val>
        </c:ser>
        <c:dLbls>
          <c:showLegendKey val="0"/>
          <c:showVal val="0"/>
          <c:showCatName val="1"/>
          <c:showSerName val="0"/>
          <c:showPercent val="0"/>
          <c:showBubbleSize val="0"/>
          <c:showLeaderLines val="1"/>
        </c:dLbls>
        <c:firstSliceAng val="0"/>
      </c:pieChart>
      <c:spPr>
        <a:noFill/>
        <a:ln>
          <a:noFill/>
        </a:ln>
        <a:effectLst/>
      </c:spPr>
    </c:plotArea>
    <c:plotVisOnly val="1"/>
    <c:dispBlanksAs val="gap"/>
    <c:showDLblsOverMax val="0"/>
    <c:extLst>
      <c:ext uri="{0b15fc19-7d7d-44ad-8c2d-2c3a37ce22c3}">
        <chartProps xmlns="https://web.wps.cn/et/2018/main" chartId="{a8fb59c1-e67f-40da-ad83-67fd87efcb67}"/>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Pt>
            <c:idx val="7"/>
            <c:bubble3D val="0"/>
            <c:spPr>
              <a:solidFill>
                <a:schemeClr val="accent2">
                  <a:lumMod val="60000"/>
                </a:schemeClr>
              </a:solidFill>
              <a:ln>
                <a:solidFill>
                  <a:schemeClr val="bg1"/>
                </a:solidFill>
              </a:ln>
              <a:effectLst/>
            </c:spPr>
          </c:dPt>
          <c:dLbls>
            <c:dLbl>
              <c:idx val="0"/>
              <c:layout>
                <c:manualLayout>
                  <c:x val="0.032014609777635"/>
                  <c:y val="-0.00537410366346611"/>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1"/>
              <c:layout>
                <c:manualLayout>
                  <c:x val="0.0155153468711336"/>
                  <c:y val="-0.00363204922757936"/>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2"/>
              <c:layout>
                <c:manualLayout>
                  <c:x val="0.0141570748079339"/>
                  <c:y val="-0.0182452206131963"/>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3"/>
              <c:layout>
                <c:manualLayout>
                  <c:x val="0.0266075281517642"/>
                  <c:y val="-0.0180738729282524"/>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4"/>
              <c:layout>
                <c:manualLayout>
                  <c:x val="0.0411920542593418"/>
                  <c:y val="0.0728110722191677"/>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5"/>
              <c:layout>
                <c:manualLayout>
                  <c:x val="-0.0769317342934616"/>
                  <c:y val="0.0355317343436028"/>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6"/>
              <c:layout>
                <c:manualLayout>
                  <c:x val="-0.0375896977406981"/>
                  <c:y val="0.0146802240744764"/>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7"/>
              <c:layout>
                <c:manualLayout>
                  <c:x val="0.0156812142269785"/>
                  <c:y val="-0.00276496664113946"/>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地文景观</c:v>
                </c:pt>
                <c:pt idx="1">
                  <c:v>水域景观</c:v>
                </c:pt>
                <c:pt idx="2">
                  <c:v>生物景观</c:v>
                </c:pt>
                <c:pt idx="3">
                  <c:v>天气与气候景观</c:v>
                </c:pt>
                <c:pt idx="4">
                  <c:v>建筑与设施</c:v>
                </c:pt>
                <c:pt idx="5">
                  <c:v>历史遗迹</c:v>
                </c:pt>
                <c:pt idx="6">
                  <c:v>旅游购品</c:v>
                </c:pt>
                <c:pt idx="7">
                  <c:v>人文活动</c:v>
                </c:pt>
              </c:strCache>
            </c:strRef>
          </c:cat>
          <c:val>
            <c:numRef>
              <c:f>Sheet1!$B$2:$B$9</c:f>
              <c:numCache>
                <c:formatCode>General</c:formatCode>
                <c:ptCount val="8"/>
                <c:pt idx="0">
                  <c:v>534</c:v>
                </c:pt>
                <c:pt idx="1">
                  <c:v>240</c:v>
                </c:pt>
                <c:pt idx="2">
                  <c:v>209</c:v>
                </c:pt>
                <c:pt idx="3">
                  <c:v>26</c:v>
                </c:pt>
                <c:pt idx="4">
                  <c:v>1719</c:v>
                </c:pt>
                <c:pt idx="5">
                  <c:v>137</c:v>
                </c:pt>
                <c:pt idx="6">
                  <c:v>81</c:v>
                </c:pt>
                <c:pt idx="7">
                  <c:v>83</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5096e91-d387-434c-b4eb-9f18cbf2d82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Lbls>
            <c:dLbl>
              <c:idx val="0"/>
              <c:layout>
                <c:manualLayout>
                  <c:x val="0.00114773455778614"/>
                  <c:y val="0.0131177349436938"/>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1"/>
              <c:layout>
                <c:manualLayout>
                  <c:x val="-0.0450972147902616"/>
                  <c:y val="-0.00344104037128714"/>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2"/>
              <c:layout>
                <c:manualLayout>
                  <c:x val="-0.0322118221220604"/>
                  <c:y val="0.000830711683478815"/>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3"/>
              <c:layout>
                <c:manualLayout>
                  <c:x val="-0.00589589022824274"/>
                  <c:y val="-0.0124450384839005"/>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4"/>
              <c:layout>
                <c:manualLayout>
                  <c:x val="0.08683049558722"/>
                  <c:y val="0.0067651766383952"/>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一级旅游资源</c:v>
                </c:pt>
                <c:pt idx="1">
                  <c:v>二级旅游资源</c:v>
                </c:pt>
                <c:pt idx="2">
                  <c:v>三级旅游资源</c:v>
                </c:pt>
                <c:pt idx="3">
                  <c:v>四级旅游资源</c:v>
                </c:pt>
                <c:pt idx="4">
                  <c:v>五级旅游资源</c:v>
                </c:pt>
              </c:strCache>
            </c:strRef>
          </c:cat>
          <c:val>
            <c:numRef>
              <c:f>Sheet1!$B$2:$B$6</c:f>
              <c:numCache>
                <c:formatCode>General</c:formatCode>
                <c:ptCount val="5"/>
                <c:pt idx="0">
                  <c:v>1511</c:v>
                </c:pt>
                <c:pt idx="1">
                  <c:v>975</c:v>
                </c:pt>
                <c:pt idx="2">
                  <c:v>336</c:v>
                </c:pt>
                <c:pt idx="3">
                  <c:v>136</c:v>
                </c:pt>
                <c:pt idx="4">
                  <c:v>71</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5096e91-d387-434c-b4eb-9f18cbf2d82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Pt>
            <c:idx val="7"/>
            <c:bubble3D val="0"/>
            <c:spPr>
              <a:solidFill>
                <a:schemeClr val="accent2">
                  <a:lumMod val="60000"/>
                </a:schemeClr>
              </a:solidFill>
              <a:ln>
                <a:solidFill>
                  <a:schemeClr val="bg1"/>
                </a:solidFill>
              </a:ln>
              <a:effectLst/>
            </c:spPr>
          </c:dPt>
          <c:dLbls>
            <c:dLbl>
              <c:idx val="0"/>
              <c:layout>
                <c:manualLayout>
                  <c:x val="0.0407123628580892"/>
                  <c:y val="-0.00792403991505982"/>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1"/>
              <c:layout>
                <c:manualLayout>
                  <c:x val="0.0155153468711336"/>
                  <c:y val="-0.00363204922757936"/>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2"/>
              <c:layout>
                <c:manualLayout>
                  <c:x val="0.0141570748079339"/>
                  <c:y val="-0.0182452206131963"/>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3"/>
              <c:layout>
                <c:manualLayout>
                  <c:x val="0.0266075281517642"/>
                  <c:y val="-0.0180738729282524"/>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4"/>
              <c:layout>
                <c:manualLayout>
                  <c:x val="0.0411920542593418"/>
                  <c:y val="0.0728110722191677"/>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5"/>
              <c:layout>
                <c:manualLayout>
                  <c:x val="-0.0270531393820874"/>
                  <c:y val="0.0176821805824468"/>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6"/>
              <c:layout>
                <c:manualLayout>
                  <c:x val="-0.0433881997943342"/>
                  <c:y val="0.0197800965776638"/>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7"/>
              <c:layout>
                <c:manualLayout>
                  <c:x val="0.00988271217334235"/>
                  <c:y val="-0.000215030389545746"/>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地文景观</c:v>
                </c:pt>
                <c:pt idx="1">
                  <c:v>水域景观</c:v>
                </c:pt>
                <c:pt idx="2">
                  <c:v>生物景观</c:v>
                </c:pt>
                <c:pt idx="3">
                  <c:v>天气与气候景观</c:v>
                </c:pt>
                <c:pt idx="4">
                  <c:v>建筑与设施</c:v>
                </c:pt>
                <c:pt idx="5">
                  <c:v>历史遗迹</c:v>
                </c:pt>
                <c:pt idx="6">
                  <c:v>旅游购品</c:v>
                </c:pt>
                <c:pt idx="7">
                  <c:v>人文活动</c:v>
                </c:pt>
              </c:strCache>
            </c:strRef>
          </c:cat>
          <c:val>
            <c:numRef>
              <c:f>Sheet1!$B$2:$B$9</c:f>
              <c:numCache>
                <c:formatCode>General</c:formatCode>
                <c:ptCount val="8"/>
                <c:pt idx="0">
                  <c:v>172</c:v>
                </c:pt>
                <c:pt idx="1">
                  <c:v>206</c:v>
                </c:pt>
                <c:pt idx="2">
                  <c:v>124</c:v>
                </c:pt>
                <c:pt idx="3">
                  <c:v>31</c:v>
                </c:pt>
                <c:pt idx="4">
                  <c:v>762</c:v>
                </c:pt>
                <c:pt idx="5">
                  <c:v>139</c:v>
                </c:pt>
                <c:pt idx="6">
                  <c:v>179</c:v>
                </c:pt>
                <c:pt idx="7">
                  <c:v>34</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5096e91-d387-434c-b4eb-9f18cbf2d82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Lbls>
            <c:dLbl>
              <c:idx val="0"/>
              <c:layout>
                <c:manualLayout>
                  <c:x val="0.00114773455778614"/>
                  <c:y val="0.0131177349436938"/>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1"/>
              <c:layout>
                <c:manualLayout>
                  <c:x val="-0.00885657695503569"/>
                  <c:y val="0.0373579396542122"/>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2"/>
              <c:layout>
                <c:manualLayout>
                  <c:x val="-0.0452584517427417"/>
                  <c:y val="0.0161303291930411"/>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3"/>
              <c:layout>
                <c:manualLayout>
                  <c:x val="-0.00589589022824274"/>
                  <c:y val="-0.0124450384839005"/>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4"/>
              <c:layout>
                <c:manualLayout>
                  <c:x val="0.08683049558722"/>
                  <c:y val="0.0067651766383952"/>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一级旅游资源</c:v>
                </c:pt>
                <c:pt idx="1">
                  <c:v>二级旅游资源</c:v>
                </c:pt>
                <c:pt idx="2">
                  <c:v>三级旅游资源</c:v>
                </c:pt>
                <c:pt idx="3">
                  <c:v>四级旅游资源</c:v>
                </c:pt>
                <c:pt idx="4">
                  <c:v>五级旅游资源</c:v>
                </c:pt>
              </c:strCache>
            </c:strRef>
          </c:cat>
          <c:val>
            <c:numRef>
              <c:f>Sheet1!$B$2:$B$6</c:f>
              <c:numCache>
                <c:formatCode>General</c:formatCode>
                <c:ptCount val="5"/>
                <c:pt idx="0">
                  <c:v>864</c:v>
                </c:pt>
                <c:pt idx="1">
                  <c:v>584</c:v>
                </c:pt>
                <c:pt idx="2">
                  <c:v>121</c:v>
                </c:pt>
                <c:pt idx="3">
                  <c:v>61</c:v>
                </c:pt>
                <c:pt idx="4">
                  <c:v>17</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5096e91-d387-434c-b4eb-9f18cbf2d82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Pt>
            <c:idx val="7"/>
            <c:bubble3D val="0"/>
            <c:spPr>
              <a:solidFill>
                <a:schemeClr val="accent2">
                  <a:lumMod val="60000"/>
                </a:schemeClr>
              </a:solidFill>
              <a:ln>
                <a:solidFill>
                  <a:schemeClr val="bg1"/>
                </a:solidFill>
              </a:ln>
              <a:effectLst/>
            </c:spPr>
          </c:dPt>
          <c:dLbls>
            <c:dLbl>
              <c:idx val="0"/>
              <c:layout>
                <c:manualLayout>
                  <c:x val="0.032014609777635"/>
                  <c:y val="-0.00537410366346611"/>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1"/>
              <c:layout>
                <c:manualLayout>
                  <c:x val="0.0155153468711336"/>
                  <c:y val="-0.00363204922757936"/>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2"/>
              <c:layout>
                <c:manualLayout>
                  <c:x val="0.0141570748079339"/>
                  <c:y val="-0.0182452206131963"/>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3"/>
              <c:layout>
                <c:manualLayout>
                  <c:x val="0.0266075281517642"/>
                  <c:y val="-0.0180738729282524"/>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4"/>
              <c:layout>
                <c:manualLayout>
                  <c:x val="0.0411920542593418"/>
                  <c:y val="0.0728110722191677"/>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5"/>
              <c:layout>
                <c:manualLayout>
                  <c:x val="-0.0769317342934616"/>
                  <c:y val="0.0355317343436028"/>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6"/>
              <c:layout>
                <c:manualLayout>
                  <c:x val="-0.0375896977406981"/>
                  <c:y val="0.0146802240744764"/>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7"/>
              <c:layout>
                <c:manualLayout>
                  <c:x val="0.0156812142269785"/>
                  <c:y val="-0.00276496664113946"/>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地文景观</c:v>
                </c:pt>
                <c:pt idx="1">
                  <c:v>水域景观</c:v>
                </c:pt>
                <c:pt idx="2">
                  <c:v>生物景观</c:v>
                </c:pt>
                <c:pt idx="3">
                  <c:v>天气与气候景观</c:v>
                </c:pt>
                <c:pt idx="4">
                  <c:v>建筑与设施</c:v>
                </c:pt>
                <c:pt idx="5">
                  <c:v>历史遗迹</c:v>
                </c:pt>
                <c:pt idx="6">
                  <c:v>旅游购品</c:v>
                </c:pt>
                <c:pt idx="7">
                  <c:v>人文活动</c:v>
                </c:pt>
              </c:strCache>
            </c:strRef>
          </c:cat>
          <c:val>
            <c:numRef>
              <c:f>Sheet1!$B$2:$B$9</c:f>
              <c:numCache>
                <c:formatCode>General</c:formatCode>
                <c:ptCount val="8"/>
                <c:pt idx="0">
                  <c:v>150</c:v>
                </c:pt>
                <c:pt idx="1">
                  <c:v>50</c:v>
                </c:pt>
                <c:pt idx="2">
                  <c:v>170</c:v>
                </c:pt>
                <c:pt idx="3">
                  <c:v>9</c:v>
                </c:pt>
                <c:pt idx="4">
                  <c:v>839</c:v>
                </c:pt>
                <c:pt idx="5">
                  <c:v>136</c:v>
                </c:pt>
                <c:pt idx="6">
                  <c:v>108</c:v>
                </c:pt>
                <c:pt idx="7">
                  <c:v>109</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5096e91-d387-434c-b4eb-9f18cbf2d82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Lbls>
            <c:dLbl>
              <c:idx val="0"/>
              <c:layout>
                <c:manualLayout>
                  <c:x val="0.00114773455778614"/>
                  <c:y val="0.0131177349436938"/>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1"/>
              <c:layout>
                <c:manualLayout>
                  <c:x val="-0.00885657695503569"/>
                  <c:y val="0.0373579396542122"/>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2"/>
              <c:layout>
                <c:manualLayout>
                  <c:x val="-0.0452584517427417"/>
                  <c:y val="0.0161303291930411"/>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3"/>
              <c:layout>
                <c:manualLayout>
                  <c:x val="-0.0539751364229758"/>
                  <c:y val="0.00828729281767956"/>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4"/>
              <c:layout>
                <c:manualLayout>
                  <c:x val="0.0114499688899501"/>
                  <c:y val="-0.0391336758902916"/>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5"/>
              <c:layout>
                <c:manualLayout>
                  <c:x val="0.118130826272119"/>
                  <c:y val="0.000837872846185592"/>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一级旅游资源</c:v>
                </c:pt>
                <c:pt idx="1">
                  <c:v>二级旅游资源</c:v>
                </c:pt>
                <c:pt idx="2">
                  <c:v>三级旅游资源</c:v>
                </c:pt>
                <c:pt idx="3">
                  <c:v>四级旅游资源</c:v>
                </c:pt>
                <c:pt idx="4">
                  <c:v>五级旅游资源</c:v>
                </c:pt>
                <c:pt idx="5">
                  <c:v>未定级旅游资源</c:v>
                </c:pt>
              </c:strCache>
            </c:strRef>
          </c:cat>
          <c:val>
            <c:numRef>
              <c:f>Sheet1!$B$2:$B$7</c:f>
              <c:numCache>
                <c:formatCode>General</c:formatCode>
                <c:ptCount val="6"/>
                <c:pt idx="0">
                  <c:v>1028</c:v>
                </c:pt>
                <c:pt idx="1">
                  <c:v>293</c:v>
                </c:pt>
                <c:pt idx="2">
                  <c:v>132</c:v>
                </c:pt>
                <c:pt idx="3">
                  <c:v>73</c:v>
                </c:pt>
                <c:pt idx="4">
                  <c:v>31</c:v>
                </c:pt>
                <c:pt idx="5">
                  <c:v>14</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5096e91-d387-434c-b4eb-9f18cbf2d82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Pt>
            <c:idx val="7"/>
            <c:bubble3D val="0"/>
            <c:spPr>
              <a:solidFill>
                <a:schemeClr val="accent2">
                  <a:lumMod val="60000"/>
                </a:schemeClr>
              </a:solidFill>
              <a:ln>
                <a:solidFill>
                  <a:schemeClr val="bg1"/>
                </a:solidFill>
              </a:ln>
              <a:effectLst/>
            </c:spPr>
          </c:dPt>
          <c:dLbls>
            <c:dLbl>
              <c:idx val="0"/>
              <c:layout>
                <c:manualLayout>
                  <c:x val="0.0407123628580892"/>
                  <c:y val="-0.00792403991505982"/>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1"/>
              <c:layout>
                <c:manualLayout>
                  <c:x val="0.0155153468711336"/>
                  <c:y val="-0.00363204922757936"/>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2"/>
              <c:layout>
                <c:manualLayout>
                  <c:x val="0.0141570748079339"/>
                  <c:y val="-0.0182452206131963"/>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3"/>
              <c:layout>
                <c:manualLayout>
                  <c:x val="0.0266075281517642"/>
                  <c:y val="-0.0180738729282524"/>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4"/>
              <c:layout>
                <c:manualLayout>
                  <c:x val="0.0411920542593418"/>
                  <c:y val="0.0728110722191677"/>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5"/>
              <c:layout>
                <c:manualLayout>
                  <c:x val="-0.0270531393820874"/>
                  <c:y val="0.0176821805824468"/>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6"/>
              <c:layout>
                <c:manualLayout>
                  <c:x val="-0.0433881997943342"/>
                  <c:y val="0.0197800965776638"/>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7"/>
              <c:layout>
                <c:manualLayout>
                  <c:x val="-0.0596993124702914"/>
                  <c:y val="-0.000215030389545746"/>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地文景观</c:v>
                </c:pt>
                <c:pt idx="1">
                  <c:v>水域景观</c:v>
                </c:pt>
                <c:pt idx="2">
                  <c:v>生物景观</c:v>
                </c:pt>
                <c:pt idx="3">
                  <c:v>天气与气候景观</c:v>
                </c:pt>
                <c:pt idx="4">
                  <c:v>建筑与设施</c:v>
                </c:pt>
                <c:pt idx="5">
                  <c:v>历史遗迹</c:v>
                </c:pt>
                <c:pt idx="6">
                  <c:v>旅游购品</c:v>
                </c:pt>
                <c:pt idx="7">
                  <c:v>人文活动</c:v>
                </c:pt>
              </c:strCache>
            </c:strRef>
          </c:cat>
          <c:val>
            <c:numRef>
              <c:f>Sheet1!$B$2:$B$9</c:f>
              <c:numCache>
                <c:formatCode>General</c:formatCode>
                <c:ptCount val="8"/>
                <c:pt idx="1">
                  <c:v>9</c:v>
                </c:pt>
                <c:pt idx="2">
                  <c:v>116</c:v>
                </c:pt>
                <c:pt idx="3">
                  <c:v>2</c:v>
                </c:pt>
                <c:pt idx="4">
                  <c:v>505</c:v>
                </c:pt>
                <c:pt idx="5">
                  <c:v>255</c:v>
                </c:pt>
                <c:pt idx="6">
                  <c:v>102</c:v>
                </c:pt>
                <c:pt idx="7">
                  <c:v>64</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5096e91-d387-434c-b4eb-9f18cbf2d82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Lbls>
            <c:dLbl>
              <c:idx val="0"/>
              <c:layout>
                <c:manualLayout>
                  <c:x val="0.00114773455778614"/>
                  <c:y val="0.0131177349436938"/>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1"/>
              <c:layout>
                <c:manualLayout>
                  <c:x val="-0.00885657695503569"/>
                  <c:y val="0.0373579396542122"/>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2"/>
              <c:layout>
                <c:manualLayout>
                  <c:x val="-0.0452584517427417"/>
                  <c:y val="0.0161303291930411"/>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3"/>
              <c:layout>
                <c:manualLayout>
                  <c:x val="-0.00589589022824274"/>
                  <c:y val="-0.0124450384839005"/>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4"/>
              <c:layout>
                <c:manualLayout>
                  <c:x val="0.08683049558722"/>
                  <c:y val="0.0067651766383952"/>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一级旅游资源</c:v>
                </c:pt>
                <c:pt idx="1">
                  <c:v>二级旅游资源</c:v>
                </c:pt>
                <c:pt idx="2">
                  <c:v>三级旅游资源</c:v>
                </c:pt>
                <c:pt idx="3">
                  <c:v>四级旅游资源</c:v>
                </c:pt>
                <c:pt idx="4">
                  <c:v>五级旅游资源</c:v>
                </c:pt>
              </c:strCache>
            </c:strRef>
          </c:cat>
          <c:val>
            <c:numRef>
              <c:f>Sheet1!$B$2:$B$6</c:f>
              <c:numCache>
                <c:formatCode>General</c:formatCode>
                <c:ptCount val="5"/>
                <c:pt idx="0">
                  <c:v>527</c:v>
                </c:pt>
                <c:pt idx="1">
                  <c:v>421</c:v>
                </c:pt>
                <c:pt idx="2">
                  <c:v>80</c:v>
                </c:pt>
                <c:pt idx="3">
                  <c:v>17</c:v>
                </c:pt>
                <c:pt idx="4">
                  <c:v>8</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5096e91-d387-434c-b4eb-9f18cbf2d82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Pt>
            <c:idx val="7"/>
            <c:bubble3D val="0"/>
            <c:spPr>
              <a:solidFill>
                <a:schemeClr val="accent2">
                  <a:lumMod val="60000"/>
                </a:schemeClr>
              </a:solidFill>
              <a:ln>
                <a:solidFill>
                  <a:schemeClr val="bg1"/>
                </a:solidFill>
              </a:ln>
              <a:effectLst/>
            </c:spPr>
          </c:dPt>
          <c:dLbls>
            <c:dLbl>
              <c:idx val="0"/>
              <c:layout>
                <c:manualLayout>
                  <c:x val="-0.0854050568084969"/>
                  <c:y val="0.0277750676072521"/>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1"/>
              <c:layout>
                <c:manualLayout>
                  <c:x val="-0.010577912370229"/>
                  <c:y val="0.00146782327560806"/>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2"/>
              <c:layout>
                <c:manualLayout>
                  <c:x val="0.0503977126431598"/>
                  <c:y val="-0.00294560310363404"/>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3"/>
              <c:layout>
                <c:manualLayout>
                  <c:x val="0.0816932976613076"/>
                  <c:y val="0.0329248521036218"/>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4"/>
              <c:layout>
                <c:manualLayout>
                  <c:x val="0.0411920542593418"/>
                  <c:y val="0.0728110722191677"/>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5"/>
              <c:layout>
                <c:manualLayout>
                  <c:x val="-0.0270531393820874"/>
                  <c:y val="0.0176821805824468"/>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6"/>
              <c:layout>
                <c:manualLayout>
                  <c:x val="-0.0433881997943342"/>
                  <c:y val="0.0197800965776638"/>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7"/>
              <c:layout>
                <c:manualLayout>
                  <c:x val="-0.0596993124702914"/>
                  <c:y val="-0.000215030389545746"/>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地文景观</c:v>
                </c:pt>
                <c:pt idx="1">
                  <c:v>水域景观</c:v>
                </c:pt>
                <c:pt idx="2">
                  <c:v>生物景观</c:v>
                </c:pt>
                <c:pt idx="3">
                  <c:v>天气与气候景观</c:v>
                </c:pt>
                <c:pt idx="4">
                  <c:v>建筑与设施</c:v>
                </c:pt>
                <c:pt idx="5">
                  <c:v>历史遗迹</c:v>
                </c:pt>
                <c:pt idx="6">
                  <c:v>旅游购品</c:v>
                </c:pt>
                <c:pt idx="7">
                  <c:v>人文活动</c:v>
                </c:pt>
              </c:strCache>
            </c:strRef>
          </c:cat>
          <c:val>
            <c:numRef>
              <c:f>Sheet1!$B$2:$B$9</c:f>
              <c:numCache>
                <c:formatCode>General</c:formatCode>
                <c:ptCount val="8"/>
                <c:pt idx="0">
                  <c:v>3</c:v>
                </c:pt>
                <c:pt idx="1">
                  <c:v>18</c:v>
                </c:pt>
                <c:pt idx="2">
                  <c:v>46</c:v>
                </c:pt>
                <c:pt idx="3">
                  <c:v>2</c:v>
                </c:pt>
                <c:pt idx="4">
                  <c:v>554</c:v>
                </c:pt>
                <c:pt idx="5">
                  <c:v>154</c:v>
                </c:pt>
                <c:pt idx="6">
                  <c:v>46</c:v>
                </c:pt>
                <c:pt idx="7">
                  <c:v>208</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5096e91-d387-434c-b4eb-9f18cbf2d82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Lbls>
            <c:dLbl>
              <c:idx val="0"/>
              <c:layout>
                <c:manualLayout>
                  <c:x val="0.0141943641784675"/>
                  <c:y val="0.00546792618891267"/>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1"/>
              <c:layout>
                <c:manualLayout>
                  <c:x val="-0.00885657695503569"/>
                  <c:y val="0.0373579396542122"/>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2"/>
              <c:layout>
                <c:manualLayout>
                  <c:x val="-0.0452584517427417"/>
                  <c:y val="0.0161303291930411"/>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3"/>
              <c:layout>
                <c:manualLayout>
                  <c:x val="-0.00589589022824274"/>
                  <c:y val="-0.0124450384839005"/>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4"/>
              <c:layout>
                <c:manualLayout>
                  <c:x val="0.08683049558722"/>
                  <c:y val="0.0067651766383952"/>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一级旅游资源</c:v>
                </c:pt>
                <c:pt idx="1">
                  <c:v>二级旅游资源</c:v>
                </c:pt>
                <c:pt idx="2">
                  <c:v>三级旅游资源</c:v>
                </c:pt>
                <c:pt idx="3">
                  <c:v>四级旅游资源</c:v>
                </c:pt>
                <c:pt idx="4">
                  <c:v>五级旅游资源</c:v>
                </c:pt>
              </c:strCache>
            </c:strRef>
          </c:cat>
          <c:val>
            <c:numRef>
              <c:f>Sheet1!$B$2:$B$6</c:f>
              <c:numCache>
                <c:formatCode>General</c:formatCode>
                <c:ptCount val="5"/>
                <c:pt idx="0">
                  <c:v>395</c:v>
                </c:pt>
                <c:pt idx="1">
                  <c:v>431</c:v>
                </c:pt>
                <c:pt idx="2">
                  <c:v>150</c:v>
                </c:pt>
                <c:pt idx="3">
                  <c:v>22</c:v>
                </c:pt>
                <c:pt idx="4">
                  <c:v>33</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5096e91-d387-434c-b4eb-9f18cbf2d82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Pt>
            <c:idx val="7"/>
            <c:bubble3D val="0"/>
            <c:spPr>
              <a:solidFill>
                <a:schemeClr val="accent2">
                  <a:lumMod val="60000"/>
                </a:schemeClr>
              </a:solidFill>
              <a:ln>
                <a:solidFill>
                  <a:schemeClr val="bg1"/>
                </a:solidFill>
              </a:ln>
              <a:effectLst/>
            </c:spPr>
          </c:dPt>
          <c:dLbls>
            <c:dLbl>
              <c:idx val="0"/>
              <c:layout>
                <c:manualLayout>
                  <c:x val="-0.010024530111227"/>
                  <c:y val="-0.000274231160278714"/>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1"/>
              <c:layout>
                <c:manualLayout>
                  <c:x val="0.0474071081661325"/>
                  <c:y val="-0.00108211297598565"/>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2"/>
              <c:layout>
                <c:manualLayout>
                  <c:x val="0.0503977126431598"/>
                  <c:y val="-0.00294560310363404"/>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3"/>
              <c:layout>
                <c:manualLayout>
                  <c:x val="0.0222586516115372"/>
                  <c:y val="0.0456745333615903"/>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4"/>
              <c:layout>
                <c:manualLayout>
                  <c:x val="0.0411920542593418"/>
                  <c:y val="0.0728110722191677"/>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5"/>
              <c:layout>
                <c:manualLayout>
                  <c:x val="-0.0270531393820874"/>
                  <c:y val="0.0176821805824468"/>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6"/>
              <c:layout>
                <c:manualLayout>
                  <c:x val="-0.0433881997943342"/>
                  <c:y val="0.0197800965776638"/>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7"/>
              <c:layout>
                <c:manualLayout>
                  <c:x val="-0.0582496869568824"/>
                  <c:y val="0.00743477836523538"/>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地文景观</c:v>
                </c:pt>
                <c:pt idx="1">
                  <c:v>水域景观</c:v>
                </c:pt>
                <c:pt idx="2">
                  <c:v>生物景观</c:v>
                </c:pt>
                <c:pt idx="3">
                  <c:v>天气与气候景观</c:v>
                </c:pt>
                <c:pt idx="4">
                  <c:v>建筑与设施</c:v>
                </c:pt>
                <c:pt idx="5">
                  <c:v>历史遗迹</c:v>
                </c:pt>
                <c:pt idx="6">
                  <c:v>旅游购品</c:v>
                </c:pt>
                <c:pt idx="7">
                  <c:v>人文活动</c:v>
                </c:pt>
              </c:strCache>
            </c:strRef>
          </c:cat>
          <c:val>
            <c:numRef>
              <c:f>Sheet1!$B$2:$B$9</c:f>
              <c:numCache>
                <c:formatCode>General</c:formatCode>
                <c:ptCount val="8"/>
                <c:pt idx="0">
                  <c:v>16</c:v>
                </c:pt>
                <c:pt idx="1">
                  <c:v>43</c:v>
                </c:pt>
                <c:pt idx="2">
                  <c:v>188</c:v>
                </c:pt>
                <c:pt idx="3">
                  <c:v>4</c:v>
                </c:pt>
                <c:pt idx="4">
                  <c:v>632</c:v>
                </c:pt>
                <c:pt idx="5">
                  <c:v>48</c:v>
                </c:pt>
                <c:pt idx="6">
                  <c:v>37</c:v>
                </c:pt>
                <c:pt idx="7">
                  <c:v>58</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5096e91-d387-434c-b4eb-9f18cbf2d82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Lbls>
            <c:dLbl>
              <c:idx val="0"/>
              <c:layout>
                <c:manualLayout>
                  <c:x val="0.0141943641784675"/>
                  <c:y val="0.00546792618891267"/>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1"/>
              <c:layout>
                <c:manualLayout>
                  <c:x val="-0.0682912230048062"/>
                  <c:y val="-9.66313962784667e-17"/>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2"/>
              <c:layout>
                <c:manualLayout>
                  <c:x val="-0.0452584517427417"/>
                  <c:y val="0.0161303291930411"/>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3"/>
              <c:layout>
                <c:manualLayout>
                  <c:x val="-0.00589589022824274"/>
                  <c:y val="-0.0124450384839005"/>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4"/>
              <c:layout>
                <c:manualLayout>
                  <c:x val="0.08683049558722"/>
                  <c:y val="0.0067651766383952"/>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一级旅游资源</c:v>
                </c:pt>
                <c:pt idx="1">
                  <c:v>二级旅游资源</c:v>
                </c:pt>
                <c:pt idx="2">
                  <c:v>三级旅游资源</c:v>
                </c:pt>
                <c:pt idx="3">
                  <c:v>四级旅游资源</c:v>
                </c:pt>
                <c:pt idx="4">
                  <c:v>五级旅游资源</c:v>
                </c:pt>
              </c:strCache>
            </c:strRef>
          </c:cat>
          <c:val>
            <c:numRef>
              <c:f>Sheet1!$B$2:$B$6</c:f>
              <c:numCache>
                <c:formatCode>General</c:formatCode>
                <c:ptCount val="5"/>
                <c:pt idx="0">
                  <c:v>358</c:v>
                </c:pt>
                <c:pt idx="1">
                  <c:v>438</c:v>
                </c:pt>
                <c:pt idx="2">
                  <c:v>194</c:v>
                </c:pt>
                <c:pt idx="3">
                  <c:v>28</c:v>
                </c:pt>
                <c:pt idx="4">
                  <c:v>8</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5096e91-d387-434c-b4eb-9f18cbf2d82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Pt>
            <c:idx val="7"/>
            <c:bubble3D val="0"/>
            <c:spPr>
              <a:solidFill>
                <a:schemeClr val="accent2">
                  <a:lumMod val="60000"/>
                </a:schemeClr>
              </a:solidFill>
              <a:ln>
                <a:solidFill>
                  <a:schemeClr val="bg1"/>
                </a:solidFill>
              </a:ln>
              <a:effectLst/>
            </c:spPr>
          </c:dPt>
          <c:dLbls>
            <c:dLbl>
              <c:idx val="0"/>
              <c:layout>
                <c:manualLayout>
                  <c:x val="-0.0288696617855445"/>
                  <c:y val="0.002275705091315"/>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1"/>
              <c:layout>
                <c:manualLayout>
                  <c:x val="0.0459574826527235"/>
                  <c:y val="-0.00108211297598565"/>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2"/>
              <c:layout>
                <c:manualLayout>
                  <c:x val="0.0503977126431598"/>
                  <c:y val="-0.00294560310363404"/>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3"/>
              <c:layout>
                <c:manualLayout>
                  <c:x val="0.0222586516115372"/>
                  <c:y val="0.0456745333615903"/>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4"/>
              <c:layout>
                <c:manualLayout>
                  <c:x val="0.0411920542593418"/>
                  <c:y val="0.0728110722191677"/>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5"/>
              <c:layout>
                <c:manualLayout>
                  <c:x val="-0.0270531393820874"/>
                  <c:y val="0.0176821805824468"/>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6"/>
              <c:layout>
                <c:manualLayout>
                  <c:x val="-0.0433881997943342"/>
                  <c:y val="0.0197800965776638"/>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7"/>
              <c:layout>
                <c:manualLayout>
                  <c:x val="-0.082893320684836"/>
                  <c:y val="0.0278342683779851"/>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地文景观</c:v>
                </c:pt>
                <c:pt idx="1">
                  <c:v>水域景观</c:v>
                </c:pt>
                <c:pt idx="2">
                  <c:v>生物景观</c:v>
                </c:pt>
                <c:pt idx="3">
                  <c:v>天气与气候景观</c:v>
                </c:pt>
                <c:pt idx="4">
                  <c:v>建筑与设施</c:v>
                </c:pt>
                <c:pt idx="5">
                  <c:v>历史遗迹</c:v>
                </c:pt>
                <c:pt idx="6">
                  <c:v>旅游购品</c:v>
                </c:pt>
                <c:pt idx="7">
                  <c:v>人文活动</c:v>
                </c:pt>
              </c:strCache>
            </c:strRef>
          </c:cat>
          <c:val>
            <c:numRef>
              <c:f>Sheet1!$B$2:$B$9</c:f>
              <c:numCache>
                <c:formatCode>General</c:formatCode>
                <c:ptCount val="8"/>
                <c:pt idx="0">
                  <c:v>3</c:v>
                </c:pt>
                <c:pt idx="1">
                  <c:v>26</c:v>
                </c:pt>
                <c:pt idx="2">
                  <c:v>85</c:v>
                </c:pt>
                <c:pt idx="3">
                  <c:v>2</c:v>
                </c:pt>
                <c:pt idx="4">
                  <c:v>457</c:v>
                </c:pt>
                <c:pt idx="5">
                  <c:v>194</c:v>
                </c:pt>
                <c:pt idx="6">
                  <c:v>81</c:v>
                </c:pt>
                <c:pt idx="7">
                  <c:v>45</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5096e91-d387-434c-b4eb-9f18cbf2d82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武陟县</a:t>
            </a:r>
          </a:p>
        </c:rich>
      </c:tx>
      <c:layout>
        <c:manualLayout>
          <c:xMode val="edge"/>
          <c:yMode val="edge"/>
          <c:x val="0.880647499395989"/>
          <c:y val="0.00637484062898428"/>
        </c:manualLayout>
      </c:layout>
      <c:overlay val="0"/>
      <c:spPr>
        <a:noFill/>
        <a:ln>
          <a:noFill/>
        </a:ln>
        <a:effectLst/>
      </c:spPr>
    </c:title>
    <c:autoTitleDeleted val="0"/>
    <c:plotArea>
      <c:layout/>
      <c:pieChart>
        <c:varyColors val="1"/>
        <c:ser>
          <c:idx val="0"/>
          <c:order val="0"/>
          <c:tx>
            <c:strRef>
              <c:f>Sheet1!$B$1</c:f>
              <c:strCache>
                <c:ptCount val="1"/>
                <c:pt idx="0">
                  <c:v>销售额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Lbls>
            <c:dLbl>
              <c:idx val="0"/>
              <c:layout>
                <c:manualLayout>
                  <c:x val="0.0141943641784675"/>
                  <c:y val="0.00546792618891267"/>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1"/>
              <c:layout>
                <c:manualLayout>
                  <c:x val="-0.0682912230048062"/>
                  <c:y val="-9.66313962784667e-17"/>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2"/>
              <c:layout>
                <c:manualLayout>
                  <c:x val="-0.0452584517427417"/>
                  <c:y val="0.0161303291930411"/>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3"/>
              <c:layout>
                <c:manualLayout>
                  <c:x val="-0.10012154859983"/>
                  <c:y val="-0.0200948472386816"/>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4"/>
              <c:layout>
                <c:manualLayout>
                  <c:x val="-0.03348842202573"/>
                  <c:y val="-0.0569832296514476"/>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5"/>
              <c:layout>
                <c:manualLayout>
                  <c:x val="0.0468129138417027"/>
                  <c:y val="-0.0159101045690131"/>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一级旅游资源</c:v>
                </c:pt>
                <c:pt idx="1">
                  <c:v>二级旅游资源</c:v>
                </c:pt>
                <c:pt idx="2">
                  <c:v>三级旅游资源</c:v>
                </c:pt>
                <c:pt idx="3">
                  <c:v>四级旅游资源</c:v>
                </c:pt>
                <c:pt idx="4">
                  <c:v>五级旅游资源</c:v>
                </c:pt>
                <c:pt idx="5">
                  <c:v>未定级旅游资源</c:v>
                </c:pt>
              </c:strCache>
            </c:strRef>
          </c:cat>
          <c:val>
            <c:numRef>
              <c:f>Sheet1!$B$2:$B$7</c:f>
              <c:numCache>
                <c:formatCode>General</c:formatCode>
                <c:ptCount val="6"/>
                <c:pt idx="0">
                  <c:v>566</c:v>
                </c:pt>
                <c:pt idx="1">
                  <c:v>255</c:v>
                </c:pt>
                <c:pt idx="2">
                  <c:v>36</c:v>
                </c:pt>
                <c:pt idx="3">
                  <c:v>25</c:v>
                </c:pt>
                <c:pt idx="4">
                  <c:v>10</c:v>
                </c:pt>
                <c:pt idx="5">
                  <c:v>1</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5096e91-d387-434c-b4eb-9f18cbf2d82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Pt>
            <c:idx val="7"/>
            <c:bubble3D val="0"/>
            <c:spPr>
              <a:solidFill>
                <a:schemeClr val="accent2">
                  <a:lumMod val="60000"/>
                </a:schemeClr>
              </a:solidFill>
              <a:ln>
                <a:solidFill>
                  <a:schemeClr val="bg1"/>
                </a:solidFill>
              </a:ln>
              <a:effectLst/>
            </c:spPr>
          </c:dPt>
          <c:dLbls>
            <c:dLbl>
              <c:idx val="0"/>
              <c:layout>
                <c:manualLayout>
                  <c:x val="-0.0288696617855445"/>
                  <c:y val="0.002275705091315"/>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1"/>
              <c:layout>
                <c:manualLayout>
                  <c:x val="0.0459574826527235"/>
                  <c:y val="-0.00108211297598565"/>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2"/>
              <c:layout>
                <c:manualLayout>
                  <c:x val="0.0503977126431598"/>
                  <c:y val="-0.00294560310363404"/>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3"/>
              <c:layout>
                <c:manualLayout>
                  <c:x val="0.0222586516115372"/>
                  <c:y val="0.0456745333615903"/>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4"/>
              <c:layout>
                <c:manualLayout>
                  <c:x val="0.0411920542593418"/>
                  <c:y val="0.0728110722191677"/>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5"/>
              <c:layout>
                <c:manualLayout>
                  <c:x val="-0.0270531393820874"/>
                  <c:y val="0.0176821805824468"/>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6"/>
              <c:layout>
                <c:manualLayout>
                  <c:x val="-0.0433881997943342"/>
                  <c:y val="0.0197800965776638"/>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7"/>
              <c:layout>
                <c:manualLayout>
                  <c:x val="-0.082893320684836"/>
                  <c:y val="0.0278342683779851"/>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地文景观</c:v>
                </c:pt>
                <c:pt idx="1">
                  <c:v>水域景观</c:v>
                </c:pt>
                <c:pt idx="2">
                  <c:v>生物景观</c:v>
                </c:pt>
                <c:pt idx="3">
                  <c:v>天气与气候景观</c:v>
                </c:pt>
                <c:pt idx="4">
                  <c:v>建筑与设施</c:v>
                </c:pt>
                <c:pt idx="5">
                  <c:v>历史遗迹</c:v>
                </c:pt>
                <c:pt idx="6">
                  <c:v>旅游购品</c:v>
                </c:pt>
                <c:pt idx="7">
                  <c:v>人文活动</c:v>
                </c:pt>
              </c:strCache>
            </c:strRef>
          </c:cat>
          <c:val>
            <c:numRef>
              <c:f>Sheet1!$B$2:$B$9</c:f>
              <c:numCache>
                <c:formatCode>General</c:formatCode>
                <c:ptCount val="8"/>
                <c:pt idx="0">
                  <c:v>5</c:v>
                </c:pt>
                <c:pt idx="1">
                  <c:v>5</c:v>
                </c:pt>
                <c:pt idx="2">
                  <c:v>85</c:v>
                </c:pt>
                <c:pt idx="3">
                  <c:v>1</c:v>
                </c:pt>
                <c:pt idx="4">
                  <c:v>350</c:v>
                </c:pt>
                <c:pt idx="5">
                  <c:v>115</c:v>
                </c:pt>
                <c:pt idx="6">
                  <c:v>142</c:v>
                </c:pt>
                <c:pt idx="7">
                  <c:v>98</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5096e91-d387-434c-b4eb-9f18cbf2d82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Lbls>
            <c:dLbl>
              <c:idx val="0"/>
              <c:layout>
                <c:manualLayout>
                  <c:x val="0.0141943641784675"/>
                  <c:y val="0.00546792618891267"/>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1"/>
              <c:layout>
                <c:manualLayout>
                  <c:x val="-0.0682912230048062"/>
                  <c:y val="-9.66313962784667e-17"/>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2"/>
              <c:layout>
                <c:manualLayout>
                  <c:x val="-0.0452584517427417"/>
                  <c:y val="0.0161303291930411"/>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3"/>
              <c:layout>
                <c:manualLayout>
                  <c:x val="-0.10012154859983"/>
                  <c:y val="-0.0200948472386816"/>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4"/>
              <c:layout>
                <c:manualLayout>
                  <c:x val="-0.03348842202573"/>
                  <c:y val="-0.0569832296514476"/>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一级旅游资源</c:v>
                </c:pt>
                <c:pt idx="1">
                  <c:v>二级旅游资源</c:v>
                </c:pt>
                <c:pt idx="2">
                  <c:v>三级旅游资源</c:v>
                </c:pt>
                <c:pt idx="3">
                  <c:v>四级旅游资源</c:v>
                </c:pt>
                <c:pt idx="4">
                  <c:v>五级旅游资源</c:v>
                </c:pt>
              </c:strCache>
            </c:strRef>
          </c:cat>
          <c:val>
            <c:numRef>
              <c:f>Sheet1!$B$2:$B$6</c:f>
              <c:numCache>
                <c:formatCode>General</c:formatCode>
                <c:ptCount val="5"/>
                <c:pt idx="0">
                  <c:v>440</c:v>
                </c:pt>
                <c:pt idx="1">
                  <c:v>160</c:v>
                </c:pt>
                <c:pt idx="2">
                  <c:v>147</c:v>
                </c:pt>
                <c:pt idx="3">
                  <c:v>49</c:v>
                </c:pt>
                <c:pt idx="4">
                  <c:v>5</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5096e91-d387-434c-b4eb-9f18cbf2d82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Pt>
            <c:idx val="7"/>
            <c:bubble3D val="0"/>
            <c:spPr>
              <a:solidFill>
                <a:schemeClr val="accent2">
                  <a:lumMod val="60000"/>
                </a:schemeClr>
              </a:solidFill>
              <a:ln>
                <a:solidFill>
                  <a:schemeClr val="bg1"/>
                </a:solidFill>
              </a:ln>
              <a:effectLst/>
            </c:spPr>
          </c:dPt>
          <c:dLbls>
            <c:dLbl>
              <c:idx val="0"/>
              <c:layout>
                <c:manualLayout>
                  <c:x val="-0.0201719087050903"/>
                  <c:y val="-0.015573848669841"/>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1"/>
              <c:layout>
                <c:manualLayout>
                  <c:x val="0.0459574826527235"/>
                  <c:y val="-0.00108211297598565"/>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2"/>
              <c:layout>
                <c:manualLayout>
                  <c:x val="0.0503977126431598"/>
                  <c:y val="-0.00294560310363404"/>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3"/>
              <c:layout>
                <c:manualLayout>
                  <c:x val="0.0222586516115372"/>
                  <c:y val="0.0456745333615903"/>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4"/>
              <c:layout>
                <c:manualLayout>
                  <c:x val="0.0411920542593418"/>
                  <c:y val="0.0728110722191677"/>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5"/>
              <c:layout>
                <c:manualLayout>
                  <c:x val="-0.0270531393820874"/>
                  <c:y val="0.0176821805824468"/>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6"/>
              <c:layout>
                <c:manualLayout>
                  <c:x val="-0.0796288376295601"/>
                  <c:y val="0.0401795865904135"/>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7"/>
              <c:layout>
                <c:manualLayout>
                  <c:x val="-0.0191097980948384"/>
                  <c:y val="-0.00531490289273313"/>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地文景观</c:v>
                </c:pt>
                <c:pt idx="1">
                  <c:v>水域景观</c:v>
                </c:pt>
                <c:pt idx="2">
                  <c:v>生物景观</c:v>
                </c:pt>
                <c:pt idx="3">
                  <c:v>天气与气候景观</c:v>
                </c:pt>
                <c:pt idx="4">
                  <c:v>建筑与设施</c:v>
                </c:pt>
                <c:pt idx="5">
                  <c:v>历史遗迹</c:v>
                </c:pt>
                <c:pt idx="6">
                  <c:v>旅游购品</c:v>
                </c:pt>
                <c:pt idx="7">
                  <c:v>人文活动</c:v>
                </c:pt>
              </c:strCache>
            </c:strRef>
          </c:cat>
          <c:val>
            <c:numRef>
              <c:f>Sheet1!$B$2:$B$9</c:f>
              <c:numCache>
                <c:formatCode>General</c:formatCode>
                <c:ptCount val="8"/>
                <c:pt idx="0">
                  <c:v>56</c:v>
                </c:pt>
                <c:pt idx="1">
                  <c:v>9</c:v>
                </c:pt>
                <c:pt idx="2">
                  <c:v>48</c:v>
                </c:pt>
                <c:pt idx="3">
                  <c:v>3</c:v>
                </c:pt>
                <c:pt idx="4">
                  <c:v>209</c:v>
                </c:pt>
                <c:pt idx="5">
                  <c:v>149</c:v>
                </c:pt>
                <c:pt idx="6">
                  <c:v>10</c:v>
                </c:pt>
                <c:pt idx="7">
                  <c:v>20</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5096e91-d387-434c-b4eb-9f18cbf2d82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Lbls>
            <c:dLbl>
              <c:idx val="0"/>
              <c:layout>
                <c:manualLayout>
                  <c:x val="0.0141943641784675"/>
                  <c:y val="0.00546792618891267"/>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1"/>
              <c:layout>
                <c:manualLayout>
                  <c:x val="-0.0682912230048062"/>
                  <c:y val="-9.66313962784667e-17"/>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2"/>
              <c:layout>
                <c:manualLayout>
                  <c:x val="-0.0452584517427417"/>
                  <c:y val="0.0161303291930411"/>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3"/>
              <c:layout>
                <c:manualLayout>
                  <c:x val="-0.10012154859983"/>
                  <c:y val="-0.0200948472386816"/>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4"/>
              <c:layout>
                <c:manualLayout>
                  <c:x val="-0.03348842202573"/>
                  <c:y val="-0.0569832296514476"/>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5"/>
              <c:layout>
                <c:manualLayout>
                  <c:x val="0.0247908662189318"/>
                  <c:y val="-0.0690552655308876"/>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一级旅游资源</c:v>
                </c:pt>
                <c:pt idx="1">
                  <c:v>二级旅游资源</c:v>
                </c:pt>
                <c:pt idx="2">
                  <c:v>三级旅游资源</c:v>
                </c:pt>
                <c:pt idx="3">
                  <c:v>四级旅游资源</c:v>
                </c:pt>
                <c:pt idx="4">
                  <c:v>五级旅游资源</c:v>
                </c:pt>
                <c:pt idx="5">
                  <c:v>未定级旅游资源</c:v>
                </c:pt>
              </c:strCache>
            </c:strRef>
          </c:cat>
          <c:val>
            <c:numRef>
              <c:f>Sheet1!$B$2:$B$7</c:f>
              <c:numCache>
                <c:formatCode>General</c:formatCode>
                <c:ptCount val="6"/>
                <c:pt idx="0">
                  <c:v>306</c:v>
                </c:pt>
                <c:pt idx="1">
                  <c:v>78</c:v>
                </c:pt>
                <c:pt idx="2">
                  <c:v>26</c:v>
                </c:pt>
                <c:pt idx="3">
                  <c:v>8</c:v>
                </c:pt>
                <c:pt idx="4">
                  <c:v>6</c:v>
                </c:pt>
                <c:pt idx="5">
                  <c:v>80</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5096e91-d387-434c-b4eb-9f18cbf2d82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Pt>
            <c:idx val="7"/>
            <c:bubble3D val="0"/>
            <c:spPr>
              <a:solidFill>
                <a:schemeClr val="accent2">
                  <a:lumMod val="60000"/>
                </a:schemeClr>
              </a:solidFill>
              <a:ln>
                <a:solidFill>
                  <a:schemeClr val="bg1"/>
                </a:solidFill>
              </a:ln>
              <a:effectLst/>
            </c:spPr>
          </c:dPt>
          <c:dLbls>
            <c:dLbl>
              <c:idx val="0"/>
              <c:layout>
                <c:manualLayout>
                  <c:x val="-0.0694591761609975"/>
                  <c:y val="-0.00174965837744079"/>
                </c:manualLayout>
              </c:layout>
              <c:dLblPos val="bestFit"/>
              <c:showLegendKey val="0"/>
              <c:showVal val="1"/>
              <c:showCatName val="0"/>
              <c:showSerName val="0"/>
              <c:showPercent val="1"/>
              <c:showBubbleSize val="0"/>
              <c:extLst>
                <c:ext xmlns:c15="http://schemas.microsoft.com/office/drawing/2012/chart" uri="{CE6537A1-D6FC-4f65-9D91-7224C49458BB}">
                  <c15:layout>
                    <c:manualLayout>
                      <c:w val="0.0980913264073448"/>
                      <c:h val="0.0588610284742881"/>
                    </c:manualLayout>
                  </c15:layout>
                </c:ext>
              </c:extLst>
            </c:dLbl>
            <c:dLbl>
              <c:idx val="1"/>
              <c:layout>
                <c:manualLayout>
                  <c:x val="0.025662725464997"/>
                  <c:y val="0.00146782327560806"/>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2"/>
              <c:layout>
                <c:manualLayout>
                  <c:x val="0.124328613827021"/>
                  <c:y val="0.0251036956638968"/>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3"/>
              <c:layout>
                <c:manualLayout>
                  <c:x val="0.0222586516115372"/>
                  <c:y val="0.0456745333615903"/>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4"/>
              <c:layout>
                <c:manualLayout>
                  <c:x val="0.0411920542593418"/>
                  <c:y val="0.0728110722191677"/>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5"/>
              <c:layout>
                <c:manualLayout>
                  <c:x val="-0.0270531393820874"/>
                  <c:y val="0.0176821805824468"/>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6"/>
              <c:layout>
                <c:manualLayout>
                  <c:x val="-0.0796288376295601"/>
                  <c:y val="0.0401795865904135"/>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7"/>
              <c:layout>
                <c:manualLayout>
                  <c:x val="-0.0915910737652902"/>
                  <c:y val="0.0329341408811725"/>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地文景观</c:v>
                </c:pt>
                <c:pt idx="1">
                  <c:v>水域景观</c:v>
                </c:pt>
                <c:pt idx="2">
                  <c:v>生物景观</c:v>
                </c:pt>
                <c:pt idx="3">
                  <c:v>天气与气候景观</c:v>
                </c:pt>
                <c:pt idx="4">
                  <c:v>建筑与设施</c:v>
                </c:pt>
                <c:pt idx="5">
                  <c:v>历史遗迹</c:v>
                </c:pt>
                <c:pt idx="6">
                  <c:v>旅游购品</c:v>
                </c:pt>
                <c:pt idx="7">
                  <c:v>人文活动</c:v>
                </c:pt>
              </c:strCache>
            </c:strRef>
          </c:cat>
          <c:val>
            <c:numRef>
              <c:f>Sheet1!$B$2:$B$9</c:f>
              <c:numCache>
                <c:formatCode>General</c:formatCode>
                <c:ptCount val="8"/>
                <c:pt idx="0">
                  <c:v>1</c:v>
                </c:pt>
                <c:pt idx="1">
                  <c:v>5</c:v>
                </c:pt>
                <c:pt idx="2">
                  <c:v>4</c:v>
                </c:pt>
                <c:pt idx="4">
                  <c:v>238</c:v>
                </c:pt>
                <c:pt idx="5">
                  <c:v>136</c:v>
                </c:pt>
                <c:pt idx="6">
                  <c:v>38</c:v>
                </c:pt>
                <c:pt idx="7">
                  <c:v>31</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5096e91-d387-434c-b4eb-9f18cbf2d82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Lbls>
            <c:dLbl>
              <c:idx val="0"/>
              <c:layout>
                <c:manualLayout>
                  <c:x val="0.0141943641784675"/>
                  <c:y val="0.00546792618891267"/>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1"/>
              <c:layout>
                <c:manualLayout>
                  <c:x val="-0.0682912230048062"/>
                  <c:y val="-9.66313962784667e-17"/>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2"/>
              <c:layout>
                <c:manualLayout>
                  <c:x val="-0.097444970225467"/>
                  <c:y val="0.0212302016962285"/>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3"/>
              <c:layout>
                <c:manualLayout>
                  <c:x val="-0.0319891494696053"/>
                  <c:y val="-0.025194719741869"/>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4"/>
              <c:layout>
                <c:manualLayout>
                  <c:x val="-0.03348842202573"/>
                  <c:y val="-0.0569832296514476"/>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5"/>
              <c:layout>
                <c:manualLayout>
                  <c:x val="0.0566826275139306"/>
                  <c:y val="-0.00530685924104483"/>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一级旅游资源</c:v>
                </c:pt>
                <c:pt idx="1">
                  <c:v>二级旅游资源</c:v>
                </c:pt>
                <c:pt idx="2">
                  <c:v>三级旅游资源</c:v>
                </c:pt>
                <c:pt idx="3">
                  <c:v>四级旅游资源</c:v>
                </c:pt>
                <c:pt idx="4">
                  <c:v>五级旅游资源</c:v>
                </c:pt>
                <c:pt idx="5">
                  <c:v>未定级旅游资源</c:v>
                </c:pt>
              </c:strCache>
            </c:strRef>
          </c:cat>
          <c:val>
            <c:numRef>
              <c:f>Sheet1!$B$2:$B$7</c:f>
              <c:numCache>
                <c:formatCode>General</c:formatCode>
                <c:ptCount val="6"/>
                <c:pt idx="0">
                  <c:v>374</c:v>
                </c:pt>
                <c:pt idx="1">
                  <c:v>65</c:v>
                </c:pt>
                <c:pt idx="2">
                  <c:v>10</c:v>
                </c:pt>
                <c:pt idx="3">
                  <c:v>1</c:v>
                </c:pt>
                <c:pt idx="5">
                  <c:v>3</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5096e91-d387-434c-b4eb-9f18cbf2d82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[工作簿1.xlsx]Sheet1!$A$2:$A$11</c:f>
              <c:strCache>
                <c:ptCount val="10"/>
                <c:pt idx="0">
                  <c:v>修武县</c:v>
                </c:pt>
                <c:pt idx="1">
                  <c:v>博爱县</c:v>
                </c:pt>
                <c:pt idx="2">
                  <c:v>沁阳市</c:v>
                </c:pt>
                <c:pt idx="3">
                  <c:v>山阳区</c:v>
                </c:pt>
                <c:pt idx="4">
                  <c:v>温县</c:v>
                </c:pt>
                <c:pt idx="5">
                  <c:v>孟州市</c:v>
                </c:pt>
                <c:pt idx="6">
                  <c:v>武陟县</c:v>
                </c:pt>
                <c:pt idx="7">
                  <c:v>解放区</c:v>
                </c:pt>
                <c:pt idx="8">
                  <c:v>中站区</c:v>
                </c:pt>
                <c:pt idx="9">
                  <c:v>马村区</c:v>
                </c:pt>
              </c:strCache>
            </c:strRef>
          </c:cat>
          <c:val>
            <c:numRef>
              <c:f>[工作簿1.xlsx]Sheet1!$B$2:$B$11</c:f>
              <c:numCache>
                <c:formatCode>General</c:formatCode>
                <c:ptCount val="10"/>
                <c:pt idx="0">
                  <c:v>1009</c:v>
                </c:pt>
                <c:pt idx="1">
                  <c:v>533</c:v>
                </c:pt>
                <c:pt idx="2">
                  <c:v>379</c:v>
                </c:pt>
                <c:pt idx="3">
                  <c:v>127</c:v>
                </c:pt>
                <c:pt idx="4">
                  <c:v>69</c:v>
                </c:pt>
                <c:pt idx="5">
                  <c:v>251</c:v>
                </c:pt>
                <c:pt idx="6">
                  <c:v>116</c:v>
                </c:pt>
                <c:pt idx="7">
                  <c:v>96</c:v>
                </c:pt>
                <c:pt idx="8">
                  <c:v>116</c:v>
                </c:pt>
                <c:pt idx="9">
                  <c:v>10</c:v>
                </c:pt>
              </c:numCache>
            </c:numRef>
          </c:val>
        </c:ser>
        <c:dLbls>
          <c:showLegendKey val="0"/>
          <c:showVal val="1"/>
          <c:showCatName val="0"/>
          <c:showSerName val="0"/>
          <c:showPercent val="0"/>
          <c:showBubbleSize val="0"/>
        </c:dLbls>
        <c:gapWidth val="246"/>
        <c:overlap val="-28"/>
        <c:axId val="334852197"/>
        <c:axId val="867447884"/>
      </c:barChart>
      <c:catAx>
        <c:axId val="334852197"/>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67447884"/>
        <c:crosses val="autoZero"/>
        <c:auto val="1"/>
        <c:lblAlgn val="ctr"/>
        <c:lblOffset val="100"/>
        <c:noMultiLvlLbl val="0"/>
      </c:catAx>
      <c:valAx>
        <c:axId val="867447884"/>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34852197"/>
        <c:crosses val="autoZero"/>
        <c:crossBetween val="between"/>
      </c:valAx>
      <c:spPr>
        <a:noFill/>
        <a:ln>
          <a:noFill/>
        </a:ln>
        <a:effectLst/>
      </c:spPr>
    </c:plotArea>
    <c:plotVisOnly val="1"/>
    <c:dispBlanksAs val="gap"/>
    <c:showDLblsOverMax val="0"/>
    <c:extLst>
      <c:ext uri="{0b15fc19-7d7d-44ad-8c2d-2c3a37ce22c3}">
        <chartProps xmlns="https://web.wps.cn/et/2018/main" chartId="{bbec4b7e-f7dc-4431-819b-c25f816e1e6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[工作簿1.xlsx]Sheet2!$A$2:$A$11</c:f>
              <c:strCache>
                <c:ptCount val="10"/>
                <c:pt idx="0">
                  <c:v>修武县</c:v>
                </c:pt>
                <c:pt idx="1">
                  <c:v>博爱县</c:v>
                </c:pt>
                <c:pt idx="2">
                  <c:v>沁阳市</c:v>
                </c:pt>
                <c:pt idx="3">
                  <c:v>山阳区</c:v>
                </c:pt>
                <c:pt idx="4">
                  <c:v>温县</c:v>
                </c:pt>
                <c:pt idx="5">
                  <c:v>孟州市</c:v>
                </c:pt>
                <c:pt idx="6">
                  <c:v>武陟县</c:v>
                </c:pt>
                <c:pt idx="7">
                  <c:v>解放区</c:v>
                </c:pt>
                <c:pt idx="8">
                  <c:v>中站区</c:v>
                </c:pt>
                <c:pt idx="9">
                  <c:v>马村区</c:v>
                </c:pt>
              </c:strCache>
            </c:strRef>
          </c:cat>
          <c:val>
            <c:numRef>
              <c:f>[工作簿1.xlsx]Sheet2!$B$2:$B$11</c:f>
              <c:numCache>
                <c:formatCode>General</c:formatCode>
                <c:ptCount val="10"/>
                <c:pt idx="0">
                  <c:v>1122</c:v>
                </c:pt>
                <c:pt idx="1">
                  <c:v>858</c:v>
                </c:pt>
                <c:pt idx="2">
                  <c:v>472</c:v>
                </c:pt>
                <c:pt idx="3">
                  <c:v>129</c:v>
                </c:pt>
                <c:pt idx="4">
                  <c:v>626</c:v>
                </c:pt>
                <c:pt idx="5">
                  <c:v>400</c:v>
                </c:pt>
                <c:pt idx="6">
                  <c:v>443</c:v>
                </c:pt>
                <c:pt idx="7">
                  <c:v>17</c:v>
                </c:pt>
                <c:pt idx="8">
                  <c:v>256</c:v>
                </c:pt>
                <c:pt idx="9">
                  <c:v>202</c:v>
                </c:pt>
              </c:numCache>
            </c:numRef>
          </c:val>
        </c:ser>
        <c:dLbls>
          <c:showLegendKey val="0"/>
          <c:showVal val="1"/>
          <c:showCatName val="0"/>
          <c:showSerName val="0"/>
          <c:showPercent val="0"/>
          <c:showBubbleSize val="0"/>
        </c:dLbls>
        <c:gapWidth val="246"/>
        <c:overlap val="-28"/>
        <c:axId val="786388739"/>
        <c:axId val="983664311"/>
      </c:barChart>
      <c:catAx>
        <c:axId val="786388739"/>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83664311"/>
        <c:crosses val="autoZero"/>
        <c:auto val="1"/>
        <c:lblAlgn val="ctr"/>
        <c:lblOffset val="100"/>
        <c:noMultiLvlLbl val="0"/>
      </c:catAx>
      <c:valAx>
        <c:axId val="983664311"/>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86388739"/>
        <c:crosses val="autoZero"/>
        <c:crossBetween val="between"/>
      </c:valAx>
      <c:spPr>
        <a:noFill/>
        <a:ln>
          <a:noFill/>
        </a:ln>
        <a:effectLst/>
      </c:spPr>
    </c:plotArea>
    <c:plotVisOnly val="1"/>
    <c:dispBlanksAs val="gap"/>
    <c:showDLblsOverMax val="0"/>
    <c:extLst>
      <c:ext uri="{0b15fc19-7d7d-44ad-8c2d-2c3a37ce22c3}">
        <chartProps xmlns="https://web.wps.cn/et/2018/main" chartId="{9100b57d-96b5-44bf-8e98-cc6b64e16a1e}"/>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[工作簿1.xlsx]Sheet3!$A$2:$A$11</c:f>
              <c:strCache>
                <c:ptCount val="10"/>
                <c:pt idx="0">
                  <c:v>修武县</c:v>
                </c:pt>
                <c:pt idx="1">
                  <c:v>博爱县</c:v>
                </c:pt>
                <c:pt idx="2">
                  <c:v>沁阳市</c:v>
                </c:pt>
                <c:pt idx="3">
                  <c:v>山阳区</c:v>
                </c:pt>
                <c:pt idx="4">
                  <c:v>温县</c:v>
                </c:pt>
                <c:pt idx="5">
                  <c:v>孟州市</c:v>
                </c:pt>
                <c:pt idx="6">
                  <c:v>武陟县</c:v>
                </c:pt>
                <c:pt idx="7">
                  <c:v>解放区</c:v>
                </c:pt>
                <c:pt idx="8">
                  <c:v>中站区</c:v>
                </c:pt>
                <c:pt idx="9">
                  <c:v>马村区</c:v>
                </c:pt>
              </c:strCache>
            </c:strRef>
          </c:cat>
          <c:val>
            <c:numRef>
              <c:f>[工作簿1.xlsx]Sheet3!$B$2:$B$11</c:f>
              <c:numCache>
                <c:formatCode>General</c:formatCode>
                <c:ptCount val="10"/>
                <c:pt idx="0">
                  <c:v>27</c:v>
                </c:pt>
                <c:pt idx="1">
                  <c:v>77</c:v>
                </c:pt>
                <c:pt idx="2">
                  <c:v>36</c:v>
                </c:pt>
                <c:pt idx="3">
                  <c:v>34</c:v>
                </c:pt>
                <c:pt idx="4">
                  <c:v>44</c:v>
                </c:pt>
                <c:pt idx="5">
                  <c:v>12</c:v>
                </c:pt>
                <c:pt idx="6">
                  <c:v>42</c:v>
                </c:pt>
                <c:pt idx="7">
                  <c:v>59</c:v>
                </c:pt>
                <c:pt idx="8">
                  <c:v>47</c:v>
                </c:pt>
                <c:pt idx="9">
                  <c:v>30</c:v>
                </c:pt>
              </c:numCache>
            </c:numRef>
          </c:val>
        </c:ser>
        <c:dLbls>
          <c:showLegendKey val="0"/>
          <c:showVal val="1"/>
          <c:showCatName val="0"/>
          <c:showSerName val="0"/>
          <c:showPercent val="0"/>
          <c:showBubbleSize val="0"/>
        </c:dLbls>
        <c:gapWidth val="246"/>
        <c:overlap val="-28"/>
        <c:axId val="301657191"/>
        <c:axId val="239073009"/>
      </c:barChart>
      <c:catAx>
        <c:axId val="301657191"/>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39073009"/>
        <c:crosses val="autoZero"/>
        <c:auto val="1"/>
        <c:lblAlgn val="ctr"/>
        <c:lblOffset val="100"/>
        <c:noMultiLvlLbl val="0"/>
      </c:catAx>
      <c:valAx>
        <c:axId val="239073009"/>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01657191"/>
        <c:crosses val="autoZero"/>
        <c:crossBetween val="between"/>
      </c:valAx>
      <c:spPr>
        <a:noFill/>
        <a:ln>
          <a:noFill/>
        </a:ln>
        <a:effectLst/>
      </c:spPr>
    </c:plotArea>
    <c:plotVisOnly val="1"/>
    <c:dispBlanksAs val="gap"/>
    <c:showDLblsOverMax val="0"/>
    <c:extLst>
      <c:ext uri="{0b15fc19-7d7d-44ad-8c2d-2c3a37ce22c3}">
        <chartProps xmlns="https://web.wps.cn/et/2018/main" chartId="{ca2832b3-169b-40c5-8d2f-c11d9ef7dc0d}"/>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[工作簿1.xlsx]Sheet4!$A$2:$A$11</c:f>
              <c:strCache>
                <c:ptCount val="10"/>
                <c:pt idx="0">
                  <c:v>修武县</c:v>
                </c:pt>
                <c:pt idx="1">
                  <c:v>博爱县</c:v>
                </c:pt>
                <c:pt idx="2">
                  <c:v>沁阳市</c:v>
                </c:pt>
                <c:pt idx="3">
                  <c:v>山阳区</c:v>
                </c:pt>
                <c:pt idx="4">
                  <c:v>温县</c:v>
                </c:pt>
                <c:pt idx="5">
                  <c:v>孟州市</c:v>
                </c:pt>
                <c:pt idx="6">
                  <c:v>武陟县</c:v>
                </c:pt>
                <c:pt idx="7">
                  <c:v>解放区</c:v>
                </c:pt>
                <c:pt idx="8">
                  <c:v>中站区</c:v>
                </c:pt>
                <c:pt idx="9">
                  <c:v>马村区</c:v>
                </c:pt>
              </c:strCache>
            </c:strRef>
          </c:cat>
          <c:val>
            <c:numRef>
              <c:f>[工作簿1.xlsx]Sheet4!$B$2:$B$11</c:f>
              <c:numCache>
                <c:formatCode>General</c:formatCode>
                <c:ptCount val="10"/>
                <c:pt idx="0">
                  <c:v>7</c:v>
                </c:pt>
                <c:pt idx="1">
                  <c:v>14</c:v>
                </c:pt>
                <c:pt idx="2">
                  <c:v>10</c:v>
                </c:pt>
                <c:pt idx="3">
                  <c:v>47</c:v>
                </c:pt>
                <c:pt idx="4">
                  <c:v>30</c:v>
                </c:pt>
                <c:pt idx="5">
                  <c:v>1</c:v>
                </c:pt>
                <c:pt idx="6">
                  <c:v>28</c:v>
                </c:pt>
                <c:pt idx="7">
                  <c:v>13</c:v>
                </c:pt>
                <c:pt idx="8">
                  <c:v>30</c:v>
                </c:pt>
                <c:pt idx="9">
                  <c:v>10</c:v>
                </c:pt>
              </c:numCache>
            </c:numRef>
          </c:val>
        </c:ser>
        <c:dLbls>
          <c:showLegendKey val="0"/>
          <c:showVal val="1"/>
          <c:showCatName val="0"/>
          <c:showSerName val="0"/>
          <c:showPercent val="0"/>
          <c:showBubbleSize val="0"/>
        </c:dLbls>
        <c:gapWidth val="246"/>
        <c:overlap val="-28"/>
        <c:axId val="259125173"/>
        <c:axId val="835686145"/>
      </c:barChart>
      <c:catAx>
        <c:axId val="259125173"/>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35686145"/>
        <c:crosses val="autoZero"/>
        <c:auto val="1"/>
        <c:lblAlgn val="ctr"/>
        <c:lblOffset val="100"/>
        <c:noMultiLvlLbl val="0"/>
      </c:catAx>
      <c:valAx>
        <c:axId val="835686145"/>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59125173"/>
        <c:crosses val="autoZero"/>
        <c:crossBetween val="between"/>
      </c:valAx>
      <c:spPr>
        <a:noFill/>
        <a:ln>
          <a:noFill/>
        </a:ln>
        <a:effectLst/>
      </c:spPr>
    </c:plotArea>
    <c:plotVisOnly val="1"/>
    <c:dispBlanksAs val="gap"/>
    <c:showDLblsOverMax val="0"/>
    <c:extLst>
      <c:ext uri="{0b15fc19-7d7d-44ad-8c2d-2c3a37ce22c3}">
        <chartProps xmlns="https://web.wps.cn/et/2018/main" chartId="{8ddc9914-e2dd-4517-845a-fe60f45d988d}"/>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[工作簿1.xlsx]Sheet5!$A$2:$A$11</c:f>
              <c:strCache>
                <c:ptCount val="10"/>
                <c:pt idx="0">
                  <c:v>修武县</c:v>
                </c:pt>
                <c:pt idx="1">
                  <c:v>博爱县</c:v>
                </c:pt>
                <c:pt idx="2">
                  <c:v>沁阳市</c:v>
                </c:pt>
                <c:pt idx="3">
                  <c:v>山阳区</c:v>
                </c:pt>
                <c:pt idx="4">
                  <c:v>温县</c:v>
                </c:pt>
                <c:pt idx="5">
                  <c:v>孟州市</c:v>
                </c:pt>
                <c:pt idx="6">
                  <c:v>武陟县</c:v>
                </c:pt>
                <c:pt idx="7">
                  <c:v>解放区</c:v>
                </c:pt>
                <c:pt idx="8">
                  <c:v>中站区</c:v>
                </c:pt>
                <c:pt idx="9">
                  <c:v>马村区</c:v>
                </c:pt>
              </c:strCache>
            </c:strRef>
          </c:cat>
          <c:val>
            <c:numRef>
              <c:f>[工作簿1.xlsx]Sheet5!$B$2:$B$11</c:f>
              <c:numCache>
                <c:formatCode>General</c:formatCode>
                <c:ptCount val="10"/>
                <c:pt idx="0">
                  <c:v>41</c:v>
                </c:pt>
                <c:pt idx="1">
                  <c:v>346</c:v>
                </c:pt>
                <c:pt idx="2">
                  <c:v>27</c:v>
                </c:pt>
                <c:pt idx="3">
                  <c:v>12</c:v>
                </c:pt>
                <c:pt idx="4">
                  <c:v>194</c:v>
                </c:pt>
                <c:pt idx="5">
                  <c:v>6</c:v>
                </c:pt>
                <c:pt idx="6">
                  <c:v>7</c:v>
                </c:pt>
                <c:pt idx="7">
                  <c:v>28</c:v>
                </c:pt>
                <c:pt idx="8">
                  <c:v>33</c:v>
                </c:pt>
                <c:pt idx="9">
                  <c:v>14</c:v>
                </c:pt>
              </c:numCache>
            </c:numRef>
          </c:val>
        </c:ser>
        <c:dLbls>
          <c:showLegendKey val="0"/>
          <c:showVal val="1"/>
          <c:showCatName val="0"/>
          <c:showSerName val="0"/>
          <c:showPercent val="0"/>
          <c:showBubbleSize val="0"/>
        </c:dLbls>
        <c:gapWidth val="246"/>
        <c:overlap val="-28"/>
        <c:axId val="642025634"/>
        <c:axId val="322446933"/>
      </c:barChart>
      <c:catAx>
        <c:axId val="64202563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22446933"/>
        <c:crosses val="autoZero"/>
        <c:auto val="1"/>
        <c:lblAlgn val="ctr"/>
        <c:lblOffset val="100"/>
        <c:noMultiLvlLbl val="0"/>
      </c:catAx>
      <c:valAx>
        <c:axId val="322446933"/>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42025634"/>
        <c:crosses val="autoZero"/>
        <c:crossBetween val="between"/>
      </c:valAx>
      <c:spPr>
        <a:noFill/>
        <a:ln>
          <a:noFill/>
        </a:ln>
        <a:effectLst/>
      </c:spPr>
    </c:plotArea>
    <c:plotVisOnly val="1"/>
    <c:dispBlanksAs val="gap"/>
    <c:showDLblsOverMax val="0"/>
    <c:extLst>
      <c:ext uri="{0b15fc19-7d7d-44ad-8c2d-2c3a37ce22c3}">
        <chartProps xmlns="https://web.wps.cn/et/2018/main" chartId="{5da69840-56da-423b-af2c-4ebcc453f728}"/>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dLbls>
            <c:dLbl>
              <c:idx val="0"/>
              <c:layout/>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extLst>
                <c:ext xmlns:c15="http://schemas.microsoft.com/office/drawing/2012/chart" uri="{CE6537A1-D6FC-4f65-9D91-7224C49458BB}"/>
              </c:extLst>
            </c:dLbl>
            <c:dLbl>
              <c:idx val="1"/>
              <c:layout/>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extLst>
                <c:ext xmlns:c15="http://schemas.microsoft.com/office/drawing/2012/chart" uri="{CE6537A1-D6FC-4f65-9D91-7224C49458BB}"/>
              </c:extLst>
            </c:dLbl>
            <c:dLbl>
              <c:idx val="2"/>
              <c:layout/>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extLst>
                <c:ext xmlns:c15="http://schemas.microsoft.com/office/drawing/2012/chart" uri="{CE6537A1-D6FC-4f65-9D91-7224C49458BB}"/>
              </c:extLst>
            </c:dLbl>
            <c:dLbl>
              <c:idx val="3"/>
              <c:layout/>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extLst>
                <c:ext xmlns:c15="http://schemas.microsoft.com/office/drawing/2012/chart" uri="{CE6537A1-D6FC-4f65-9D91-7224C49458BB}"/>
              </c:extLst>
            </c:dLbl>
            <c:dLbl>
              <c:idx val="4"/>
              <c:layout/>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extLst>
                <c:ext xmlns:c15="http://schemas.microsoft.com/office/drawing/2012/chart" uri="{CE6537A1-D6FC-4f65-9D91-7224C49458BB}"/>
              </c:extLst>
            </c:dLbl>
            <c:dLbl>
              <c:idx val="5"/>
              <c:layout/>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[工作簿1.xlsx]Sheet6!$A$2:$A$11</c:f>
              <c:strCache>
                <c:ptCount val="10"/>
                <c:pt idx="0">
                  <c:v>修武县</c:v>
                </c:pt>
                <c:pt idx="1">
                  <c:v>博爱县</c:v>
                </c:pt>
                <c:pt idx="2">
                  <c:v>沁阳市</c:v>
                </c:pt>
                <c:pt idx="3">
                  <c:v>山阳区</c:v>
                </c:pt>
                <c:pt idx="4">
                  <c:v>温县</c:v>
                </c:pt>
                <c:pt idx="5">
                  <c:v>孟州市</c:v>
                </c:pt>
                <c:pt idx="6">
                  <c:v>武陟县</c:v>
                </c:pt>
                <c:pt idx="7">
                  <c:v>解放区</c:v>
                </c:pt>
                <c:pt idx="8">
                  <c:v>中站区</c:v>
                </c:pt>
                <c:pt idx="9">
                  <c:v>马村区</c:v>
                </c:pt>
              </c:strCache>
            </c:strRef>
          </c:cat>
          <c:val>
            <c:numRef>
              <c:f>[工作簿1.xlsx]Sheet6!$B$2:$B$11</c:f>
              <c:numCache>
                <c:formatCode>General</c:formatCode>
                <c:ptCount val="10"/>
                <c:pt idx="0">
                  <c:v>23</c:v>
                </c:pt>
                <c:pt idx="1">
                  <c:v>11</c:v>
                </c:pt>
                <c:pt idx="2">
                  <c:v>4</c:v>
                </c:pt>
                <c:pt idx="3">
                  <c:v>40</c:v>
                </c:pt>
                <c:pt idx="4">
                  <c:v>179</c:v>
                </c:pt>
                <c:pt idx="5">
                  <c:v>2</c:v>
                </c:pt>
                <c:pt idx="6">
                  <c:v>2</c:v>
                </c:pt>
                <c:pt idx="7">
                  <c:v>6</c:v>
                </c:pt>
                <c:pt idx="8">
                  <c:v>9</c:v>
                </c:pt>
                <c:pt idx="9">
                  <c:v>1</c:v>
                </c:pt>
              </c:numCache>
            </c:numRef>
          </c:val>
        </c:ser>
        <c:dLbls>
          <c:showLegendKey val="0"/>
          <c:showVal val="1"/>
          <c:showCatName val="0"/>
          <c:showSerName val="0"/>
          <c:showPercent val="0"/>
          <c:showBubbleSize val="0"/>
        </c:dLbls>
        <c:gapWidth val="246"/>
        <c:overlap val="-28"/>
        <c:axId val="520856827"/>
        <c:axId val="15546972"/>
      </c:barChart>
      <c:catAx>
        <c:axId val="52085682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5546972"/>
        <c:crosses val="autoZero"/>
        <c:auto val="1"/>
        <c:lblAlgn val="ctr"/>
        <c:lblOffset val="100"/>
        <c:noMultiLvlLbl val="0"/>
      </c:catAx>
      <c:valAx>
        <c:axId val="15546972"/>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0856827"/>
        <c:crosses val="autoZero"/>
        <c:crossBetween val="between"/>
      </c:valAx>
      <c:spPr>
        <a:noFill/>
        <a:ln>
          <a:noFill/>
        </a:ln>
        <a:effectLst/>
      </c:spPr>
    </c:plotArea>
    <c:plotVisOnly val="1"/>
    <c:dispBlanksAs val="gap"/>
    <c:showDLblsOverMax val="0"/>
    <c:extLst>
      <c:ext uri="{0b15fc19-7d7d-44ad-8c2d-2c3a37ce22c3}">
        <chartProps xmlns="https://web.wps.cn/et/2018/main" chartId="{6d7be5f2-d400-4aed-905c-26ef8c17d498}"/>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8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cs:styleClr val="auto"/>
    </cs:fontRef>
    <cs:defRPr sz="1000" b="1" i="0" u="none" strike="noStrike" kern="1200" spc="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gradFill>
        <a:gsLst>
          <a:gs pos="0">
            <a:schemeClr val="phClr">
              <a:lumMod val="40000"/>
              <a:lumOff val="60000"/>
            </a:schemeClr>
          </a:gs>
          <a:gs pos="90000">
            <a:schemeClr val="phClr"/>
          </a:gs>
        </a:gsLst>
        <a:lin ang="5400000" scaled="0"/>
      </a:gradFill>
      <a:ln>
        <a:gradFill>
          <a:gsLst>
            <a:gs pos="0">
              <a:schemeClr val="phClr"/>
            </a:gs>
            <a:gs pos="100000">
              <a:schemeClr val="phClr">
                <a:lumMod val="75000"/>
              </a:schemeClr>
            </a:gs>
          </a:gsLst>
          <a:lin ang="5400000" scaled="1"/>
        </a:gra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3.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4.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5.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6.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7.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8.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9.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0.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1.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d253a340-7aa9-4f91-9ece-c8e2665da09a</errorID>
      <errorWord>护</errorWord>
      <group>L1_Word</group>
      <groupName>字词问题</groupName>
      <ability>L2_Typo</ability>
      <abilityName>字词错误</abilityName>
      <candidateList>
        <item>护和</item>
      </candidateList>
      <explain/>
      <paraID>79BB56B7</paraID>
      <start>72</start>
      <end>73</end>
      <status>unmodified</status>
      <modifiedWord/>
      <trackRevisions>false</trackRevisions>
    </reviewItem>
    <reviewItem>
      <errorID>d7164f65-58a7-4f36-a166-598e0f879ffa</errorID>
      <errorWord>繁琐</errorWord>
      <group>L1_Word</group>
      <groupName>字词问题</groupName>
      <ability>L2_Typo</ability>
      <abilityName>字词错误</abilityName>
      <candidateList>
        <item>烦琐</item>
      </candidateList>
      <explain/>
      <paraID>322712BA</paraID>
      <start>72</start>
      <end>74</end>
      <status>unmodified</status>
      <modifiedWord/>
      <trackRevisions>false</trackRevisions>
    </reviewItem>
    <reviewItem>
      <errorID>5c73b5cb-0e25-4241-bbb5-2b89a59b16f5</errorID>
      <errorWord>详实</errorWord>
      <group>L1_Word</group>
      <groupName>字词问题</groupName>
      <ability>L2_Typo</ability>
      <abilityName>字词错误</abilityName>
      <candidateList>
        <item>翔实</item>
      </candidateList>
      <explain/>
      <paraID>322712BA</paraID>
      <start>170</start>
      <end>172</end>
      <status>unmodified</status>
      <modifiedWord/>
      <trackRevisions>false</trackRevisions>
    </reviewItem>
    <reviewItem>
      <errorID>b992cfde-6150-44fd-8817-c4c1a4a25dab</errorID>
      <errorWord>是</errorWord>
      <group>L1_Grammar</group>
      <groupName>语法问题</groupName>
      <ability>L2_Collocation</ability>
      <abilityName>搭配不当</abilityName>
      <candidateList>
        <item>且</item>
      </candidateList>
      <explain>句子中可能存在主谓、动宾、定语中心语、状语中心语、补语中心语、关联词搭配不当等问题。</explain>
      <paraID>34BCEA26</paraID>
      <start>191</start>
      <end>192</end>
      <status>unmodified</status>
      <modifiedWord/>
      <trackRevisions>false</trackRevisions>
    </reviewItem>
    <reviewItem>
      <errorID>ee22873e-a914-45c2-984f-5d9e321ad592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3C467684</paraID>
      <start>0</start>
      <end>2</end>
      <status>modified</status>
      <modifiedWord>1.</modifiedWord>
      <trackRevisions>false</trackRevisions>
    </reviewItem>
    <reviewItem>
      <errorID>fb68229f-c128-4664-a1c1-c945f61a0668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8259C00</paraID>
      <start>0</start>
      <end>2</end>
      <status>modified</status>
      <modifiedWord>2.</modifiedWord>
      <trackRevisions>false</trackRevisions>
    </reviewItem>
    <reviewItem>
      <errorID>795ee1f7-2447-4a74-8314-8424d7d437c3</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2706B84D</paraID>
      <start>0</start>
      <end>2</end>
      <status>modified</status>
      <modifiedWord>3.</modifiedWord>
      <trackRevisions>false</trackRevisions>
    </reviewItem>
    <reviewItem>
      <errorID>2659c361-6d34-465c-aa42-6dcda68caeac</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7284AA18</paraID>
      <start>0</start>
      <end>2</end>
      <status>modified</status>
      <modifiedWord>4.</modifiedWord>
      <trackRevisions>false</trackRevisions>
    </reviewItem>
    <reviewItem>
      <errorID>a7f95f61-f31f-43c7-8cac-84a56fb4dde3</errorID>
      <errorWord>(</errorWord>
      <group>L1_Format</group>
      <groupName>格式问题</groupName>
      <ability>L2_HalfPunc</ability>
      <abilityName>全半角检查</abilityName>
      <candidateList>
        <item>（</item>
      </candidateList>
      <explain>文本全半角错误。</explain>
      <paraID>7284AA18</paraID>
      <start>18</start>
      <end>19</end>
      <status>modified</status>
      <modifiedWord>（</modifiedWord>
      <trackRevisions>false</trackRevisions>
    </reviewItem>
    <reviewItem>
      <errorID>d4272139-4fbb-491e-a436-5d515f21dfd9</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61570115</paraID>
      <start>0</start>
      <end>2</end>
      <status>modified</status>
      <modifiedWord>5.</modifiedWord>
      <trackRevisions>false</trackRevisions>
    </reviewItem>
    <reviewItem>
      <errorID>df508336-40fd-4a23-9f78-79b04da716fc</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3EAA803F</paraID>
      <start>0</start>
      <end>2</end>
      <status>modified</status>
      <modifiedWord>6.</modifiedWord>
      <trackRevisions>false</trackRevisions>
    </reviewItem>
    <reviewItem>
      <errorID>686d40be-aee3-4256-a326-23de6b297e7f</errorID>
      <errorWord>（2022）94号</errorWord>
      <group>L1_Knowledge</group>
      <groupName>知识性问题</groupName>
      <ability>L2_Knowledge</ability>
      <abilityName>其他知识</abilityName>
      <candidateList>
        <item>〔2022〕94号</item>
      </candidateList>
      <explain>发文字号格式错误</explain>
      <paraID>3EAA803F</paraID>
      <start>33</start>
      <end>42</end>
      <status>modified</status>
      <modifiedWord>〔2022〕94号</modifiedWord>
      <trackRevisions>false</trackRevisions>
    </reviewItem>
    <reviewItem>
      <errorID>715327ae-7c15-4f87-8727-abc25617039a</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215B20CA</paraID>
      <start>0</start>
      <end>2</end>
      <status>modified</status>
      <modifiedWord>7.</modifiedWord>
      <trackRevisions>false</trackRevisions>
    </reviewItem>
    <reviewItem>
      <errorID>a28cdb7b-3959-4521-ade9-6f86e395ed70</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186C7420</paraID>
      <start>0</start>
      <end>2</end>
      <status>modified</status>
      <modifiedWord>8.</modifiedWord>
      <trackRevisions>false</trackRevisions>
    </reviewItem>
    <reviewItem>
      <errorID>1003d4ad-b92d-419b-a5a5-5eb10b2cf8ed</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443489CE</paraID>
      <start>0</start>
      <end>2</end>
      <status>modified</status>
      <modifiedWord>9.</modifiedWord>
      <trackRevisions>false</trackRevisions>
    </reviewItem>
    <reviewItem>
      <errorID>01dd6e75-cafe-4737-9625-8846f6845731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7B410A7E</paraID>
      <start>0</start>
      <end>2</end>
      <status>modified</status>
      <modifiedWord>1.</modifiedWord>
      <trackRevisions>false</trackRevisions>
    </reviewItem>
    <reviewItem>
      <errorID>4dbe341a-58f0-4256-bb27-db7133604005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4DAE4E06</paraID>
      <start>0</start>
      <end>2</end>
      <status>modified</status>
      <modifiedWord>2.</modifiedWord>
      <trackRevisions>false</trackRevisions>
    </reviewItem>
    <reviewItem>
      <errorID>9fa2020f-666f-473b-8279-38490e5952aa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6250BCDA</paraID>
      <start>0</start>
      <end>2</end>
      <status>modified</status>
      <modifiedWord>3.</modifiedWord>
      <trackRevisions>false</trackRevisions>
    </reviewItem>
    <reviewItem>
      <errorID>45021ca2-ca28-4f7f-b7ad-f95d03d99643</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4F0AD1D8</paraID>
      <start>0</start>
      <end>2</end>
      <status>modified</status>
      <modifiedWord>4.</modifiedWord>
      <trackRevisions>false</trackRevisions>
    </reviewItem>
    <reviewItem>
      <errorID>4edead7b-bfab-45a0-b719-07f94286c1c5</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4C27AF44</paraID>
      <start>0</start>
      <end>2</end>
      <status>modified</status>
      <modifiedWord>5.</modifiedWord>
      <trackRevisions>false</trackRevisions>
    </reviewItem>
    <reviewItem>
      <errorID>86b4b19c-eb01-41c0-8361-af627abea9ac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7279BC0F</paraID>
      <start>0</start>
      <end>2</end>
      <status>modified</status>
      <modifiedWord>1.</modifiedWord>
      <trackRevisions>false</trackRevisions>
    </reviewItem>
    <reviewItem>
      <errorID>7504d2fe-054d-4882-a8b2-e7ec95ce00f1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46D2BC63</paraID>
      <start>0</start>
      <end>2</end>
      <status>modified</status>
      <modifiedWord>2.</modifiedWord>
      <trackRevisions>false</trackRevisions>
    </reviewItem>
    <reviewItem>
      <errorID>54421c1b-4302-4145-a092-7ae4d3cf02ec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73270B93</paraID>
      <start>0</start>
      <end>2</end>
      <status>modified</status>
      <modifiedWord>3.</modifiedWord>
      <trackRevisions>false</trackRevisions>
    </reviewItem>
    <reviewItem>
      <errorID>d315e1d7-122f-4f14-a53d-acf76391737e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1DCC65B4</paraID>
      <start>0</start>
      <end>2</end>
      <status>modified</status>
      <modifiedWord>1.</modifiedWord>
      <trackRevisions>false</trackRevisions>
    </reviewItem>
    <reviewItem>
      <errorID>e633c223-9390-48ad-af8b-1d7ae88e8dc7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681BF590</paraID>
      <start>0</start>
      <end>2</end>
      <status>modified</status>
      <modifiedWord>2.</modifiedWord>
      <trackRevisions>false</trackRevisions>
    </reviewItem>
    <reviewItem>
      <errorID>b60c733d-2819-4715-8679-1fda4a7f9e4b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7D300E99</paraID>
      <start>0</start>
      <end>2</end>
      <status>modified</status>
      <modifiedWord>3.</modifiedWord>
      <trackRevisions>false</trackRevisions>
    </reviewItem>
    <reviewItem>
      <errorID>a4ef2444-8882-4b21-b671-22427129d207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4BC7F045</paraID>
      <start>0</start>
      <end>2</end>
      <status>modified</status>
      <modifiedWord>4.</modifiedWord>
      <trackRevisions>false</trackRevisions>
    </reviewItem>
    <reviewItem>
      <errorID>120b85e6-1ba5-473f-972d-ec302587f982</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23278CCA</paraID>
      <start>0</start>
      <end>2</end>
      <status>modified</status>
      <modifiedWord>5.</modifiedWord>
      <trackRevisions>false</trackRevisions>
    </reviewItem>
    <reviewItem>
      <errorID>cbc07169-11ae-42b8-a90a-e1164baabc3f</errorID>
      <errorWord>，</errorWord>
      <group>L1_Word</group>
      <groupName>字词问题</groupName>
      <ability>L2_Typo</ability>
      <abilityName>字词错误</abilityName>
      <candidateList>
        <item>，以</item>
      </candidateList>
      <explain/>
      <paraID>7210B20A</paraID>
      <start>31</start>
      <end>32</end>
      <status>unmodified</status>
      <modifiedWord/>
      <trackRevisions>false</trackRevisions>
    </reviewItem>
    <reviewItem>
      <errorID>1b444eb1-02f6-46fd-8003-797c22b79c88</errorID>
      <errorWord>对于</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❼〈动〉投合；适合：～劲儿｜～心思｜两个人越说越投缘，越说越～脾气。❽〈动〉把两个东西放在一起互相比较，看是否符合；对证：～质｜校～｜～表｜～笔迹｜～号码。❾〈动〉调整使合于一定标准：～好照相机的焦距｜拿胡琴来～～弦。❿〈形〉相合；正确；正常：你的话很～｜～，就这么办｜数目不～，还差得多｜神气不～。○11动掺和（多指液体）：茶壶里～点儿开水｜朱砂里～上一点儿藤黄。○12平均分成两份：～半儿｜～开纸。○13（～儿）〈名〉对子：喜～｜五言～儿。○14（～儿）〈量〉双：一～鹦鹉｜一～儿椅子｜一～模范夫妻。○15介用法基本上跟“对于”相同：～他表示谢意｜决不～困难屈服｜你的话～我有启发｜大家～他这件事很不满意。注意▲“对”和“对于”的用法差不多，但是“对”所保留的动词性较强，因此有些用“对”的句子不能改用“对于”，如上面头两个例子。○16（Duì）〈名〉姓。</explain>
      <paraID>15D0BE81</paraID>
      <start>66</start>
      <end>68</end>
      <status>unmodified</status>
      <modifiedWord/>
      <trackRevisions>false</trackRevisions>
    </reviewItem>
    <reviewItem>
      <errorID>1844801a-224d-4b4e-bfd7-6fac92b5f918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5FE183E8</paraID>
      <start>0</start>
      <end>2</end>
      <status>unmodified</status>
      <modifiedWord/>
      <trackRevisions>false</trackRevisions>
    </reviewItem>
    <reviewItem>
      <errorID>6f0d1908-e4dd-482f-9ede-18249a75c78e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3C84DDCC</paraID>
      <start>0</start>
      <end>2</end>
      <status>unmodified</status>
      <modifiedWord/>
      <trackRevisions>false</trackRevisions>
    </reviewItem>
    <reviewItem>
      <errorID>ffde23ab-4429-4929-95a4-cc01f6e829e7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3952D5EF</paraID>
      <start>4</start>
      <end>6</end>
      <status>unmodified</status>
      <modifiedWord/>
      <trackRevisions>false</trackRevisions>
    </reviewItem>
    <reviewItem>
      <errorID>f11c85b7-a584-4570-a344-9c9e82a0c7fe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2BA08623</paraID>
      <start>4</start>
      <end>6</end>
      <status>unmodified</status>
      <modifiedWord/>
      <trackRevisions>false</trackRevisions>
    </reviewItem>
    <reviewItem>
      <errorID>9de84f10-7e8a-47da-b530-c3dda1d8b937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4E68608A</paraID>
      <start>0</start>
      <end>2</end>
      <status>unmodified</status>
      <modifiedWord/>
      <trackRevisions>false</trackRevisions>
    </reviewItem>
    <reviewItem>
      <errorID>2d98520c-6989-4676-bf23-f0d3580c2084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6902842E</paraID>
      <start>0</start>
      <end>2</end>
      <status>unmodified</status>
      <modifiedWord/>
      <trackRevisions>false</trackRevisions>
    </reviewItem>
    <reviewItem>
      <errorID>2829c446-b242-4f2a-9651-f44b0174d856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7AB9D701</paraID>
      <start>0</start>
      <end>2</end>
      <status>unmodified</status>
      <modifiedWord/>
      <trackRevisions>false</trackRevisions>
    </reviewItem>
    <reviewItem>
      <errorID>5f99f87e-89e1-4eb6-a56d-f07e21bd2c31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2C65BA64</paraID>
      <start>0</start>
      <end>2</end>
      <status>unmodified</status>
      <modifiedWord/>
      <trackRevisions>false</trackRevisions>
    </reviewItem>
    <reviewItem>
      <errorID>b6be73ed-67e0-48f6-a995-a4ca370e47a2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29F022E8</paraID>
      <start>0</start>
      <end>2</end>
      <status>unmodified</status>
      <modifiedWord/>
      <trackRevisions>false</trackRevisions>
    </reviewItem>
    <reviewItem>
      <errorID>93921090-897c-47bf-a070-6720e114f4b7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1598FDDC</paraID>
      <start>0</start>
      <end>2</end>
      <status>unmodified</status>
      <modifiedWord/>
      <trackRevisions>false</trackRevisions>
    </reviewItem>
    <reviewItem>
      <errorID>fffb1a93-4801-4ead-9374-1fb1f93c127b</errorID>
      <errorWord>即是</errorWord>
      <group>L1_Word</group>
      <groupName>字词问题</groupName>
      <ability>L2_Typo</ability>
      <abilityName>字词错误</abilityName>
      <candidateList>
        <item>即</item>
      </candidateList>
      <explain>〈书〉❶就是：荷花～莲花｜非此～彼。❷〈副〉就；便：一触～发｜招之～来｜闻过～改。❸〈连〉即使：～无他方之支援，也能按期完成任务。参看733页“就2”。</explain>
      <paraID>3F5E86D4</paraID>
      <start>233</start>
      <end>235</end>
      <status>unmodified</status>
      <modifiedWord/>
      <trackRevisions>false</trackRevisions>
    </reviewItem>
    <reviewItem>
      <errorID>5c89a70e-3911-438a-b352-371cd2a7e2b0</errorID>
      <errorWord>年</errorWord>
      <group>L1_Word</group>
      <groupName>字词问题</groupName>
      <ability>L2_Typo</ability>
      <abilityName>字词错误</abilityName>
      <candidateList>
        <item>年来</item>
      </candidateList>
      <explain/>
      <paraID>1E524622</paraID>
      <start>291</start>
      <end>292</end>
      <status>unmodified</status>
      <modifiedWord/>
      <trackRevisions>false</trackRevisions>
    </reviewItem>
    <reviewItem>
      <errorID>4704dfed-d7b5-4ec2-ad4a-256c6d77345e</errorID>
      <errorWord>年</errorWord>
      <group>L1_Word</group>
      <groupName>字词问题</groupName>
      <ability>L2_Typo</ability>
      <abilityName>字词错误</abilityName>
      <candidateList>
        <item>年来</item>
      </candidateList>
      <explain/>
      <paraID>42B636B3</paraID>
      <start>195</start>
      <end>196</end>
      <status>unmodified</status>
      <modifiedWord/>
      <trackRevisions>false</trackRevisions>
    </reviewItem>
    <reviewItem>
      <errorID>48556459-898a-4ca9-8670-66fe9b1200f9</errorID>
      <errorWord>主要以无烟煤为主</errorWord>
      <group>L1_Word</group>
      <groupName>字词问题</groupName>
      <ability>L2_Typo</ability>
      <abilityName>字词错误</abilityName>
      <candidateList>
        <item>以无烟煤为主</item>
      </candidateList>
      <explain/>
      <paraID>209FE6D1</paraID>
      <start>77</start>
      <end>85</end>
      <status>unmodified</status>
      <modifiedWord/>
      <trackRevisions>false</trackRevisions>
    </reviewItem>
    <reviewItem>
      <errorID>91045b8e-7c0c-46be-b785-f3b69dc3a30e</errorID>
      <errorWord>经济的快速发展</errorWord>
      <group>L1_Political</group>
      <groupName>政治性问题</groupName>
      <ability>L2_Keyword</ability>
      <abilityName>固定表述</abilityName>
      <candidateList>
        <item>经济快速发展</item>
      </candidateList>
      <explain>词汇“经济快速发展”在特定场景下为固定表述形式，请确认此处的“经济的快速发展”是否存在不当。</explain>
      <paraID>7F407AE0</paraID>
      <start>3</start>
      <end>10</end>
      <status>unmodified</status>
      <modifiedWord/>
      <trackRevisions>false</trackRevisions>
    </reviewItem>
    <reviewItem>
      <errorID>a7d59e2b-5c9c-4009-a13b-8c6587d3ec0e</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7F407AE0</paraID>
      <start>25</start>
      <end>26</end>
      <status>unmodified</status>
      <modifiedWord/>
      <trackRevisions>false</trackRevisions>
    </reviewItem>
    <reviewItem>
      <errorID>db10ac07-b757-4afa-a786-9943fc17871f</errorID>
      <errorWord>焦作县</errorWord>
      <group>L1_Word</group>
      <groupName>字词问题</groupName>
      <ability>L2_Variant</ability>
      <abilityName>异形词</abilityName>
      <candidateList>
        <item>焦作市</item>
      </candidateList>
      <explain>词汇[焦作县]的规范词形写作[焦作市]。</explain>
      <paraID>31D1229F</paraID>
      <start>112</start>
      <end>115</end>
      <status>unmodified</status>
      <modifiedWord/>
      <trackRevisions>false</trackRevisions>
    </reviewItem>
    <reviewItem>
      <errorID>94ff73b6-32ac-4b3c-9e2c-1d058dd02d46</errorID>
      <errorWord>成为了</errorWord>
      <group>L1_Word</group>
      <groupName>字词问题</groupName>
      <ability>L2_Typo</ability>
      <abilityName>字词错误</abilityName>
      <candidateList>
        <item>成为</item>
      </candidateList>
      <explain>〈动〉变成：～先进工作者。</explain>
      <paraID>28BE15AD</paraID>
      <start>83</start>
      <end>86</end>
      <status>unmodified</status>
      <modifiedWord/>
      <trackRevisions>false</trackRevisions>
    </reviewItem>
    <reviewItem>
      <errorID>8e704b2e-6c13-4311-82ad-d9c2702eb635</errorID>
      <errorWord>成为了</errorWord>
      <group>L1_Word</group>
      <groupName>字词问题</groupName>
      <ability>L2_Typo</ability>
      <abilityName>字词错误</abilityName>
      <candidateList>
        <item>成为</item>
      </candidateList>
      <explain>〈动〉变成：～先进工作者。</explain>
      <paraID>5F0A5887</paraID>
      <start>38</start>
      <end>41</end>
      <status>unmodified</status>
      <modifiedWord/>
      <trackRevisions>false</trackRevisions>
    </reviewItem>
    <reviewItem>
      <errorID>af9d982a-841c-44d1-9939-c4a0d11c84cb</errorID>
      <errorWord>科学和</errorWord>
      <group>L1_Word</group>
      <groupName>字词问题</groupName>
      <ability>L2_Typo</ability>
      <abilityName>字词错误</abilityName>
      <candidateList>
        <item>科学</item>
      </candidateList>
      <explain/>
      <paraID>54CCBFFD</paraID>
      <start>84</start>
      <end>87</end>
      <status>unmodified</status>
      <modifiedWord/>
      <trackRevisions>false</trackRevisions>
    </reviewItem>
    <reviewItem>
      <errorID>2ddd4813-678a-4751-a25d-66912ba6b381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793CA1D9</paraID>
      <start>0</start>
      <end>2</end>
      <status>unmodified</status>
      <modifiedWord/>
      <trackRevisions>false</trackRevisions>
    </reviewItem>
    <reviewItem>
      <errorID>fe736d2d-9524-4cb0-8a99-834e8c3af20d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5CF9CE45</paraID>
      <start>0</start>
      <end>2</end>
      <status>unmodified</status>
      <modifiedWord/>
      <trackRevisions>false</trackRevisions>
    </reviewItem>
    <reviewItem>
      <errorID>6d73a464-fa58-491f-a4fb-70f9154f5631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51DD2980</paraID>
      <start>0</start>
      <end>2</end>
      <status>unmodified</status>
      <modifiedWord/>
      <trackRevisions>false</trackRevisions>
    </reviewItem>
    <reviewItem>
      <errorID>3b79a0e5-2959-47e9-a99d-8aa06f4adfcd</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4DDB6394</paraID>
      <start>0</start>
      <end>2</end>
      <status>unmodified</status>
      <modifiedWord/>
      <trackRevisions>false</trackRevisions>
    </reviewItem>
    <reviewItem>
      <errorID>5e0d542a-5d65-4fcc-8eeb-3dfeb8ef6749</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49F79B21</paraID>
      <start>0</start>
      <end>2</end>
      <status>unmodified</status>
      <modifiedWord/>
      <trackRevisions>false</trackRevisions>
    </reviewItem>
    <reviewItem>
      <errorID>587227bb-fc3d-4546-890a-acfd4e2ee077</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758EFE9C</paraID>
      <start>0</start>
      <end>2</end>
      <status>unmodified</status>
      <modifiedWord/>
      <trackRevisions>false</trackRevisions>
    </reviewItem>
    <reviewItem>
      <errorID>16ddebe5-0708-47e4-932f-ad2788fd3ab6</errorID>
      <errorWord>门廓</errorWord>
      <group>L1_Word</group>
      <groupName>字词问题</groupName>
      <ability>L2_Typo</ability>
      <abilityName>字词错误</abilityName>
      <candidateList>
        <item>门廊</item>
      </candidateList>
      <explain/>
      <paraID>13F19EE4</paraID>
      <start>3</start>
      <end>5</end>
      <status>unmodified</status>
      <modifiedWord/>
      <trackRevisions>false</trackRevisions>
    </reviewItem>
    <reviewItem>
      <errorID>61fb2ae7-e65c-443b-8637-b9b426b312be</errorID>
      <errorWord>可</errorWord>
      <group>L1_Word</group>
      <groupName>字词问题</groupName>
      <ability>L2_Typo</ability>
      <abilityName>字词错误</abilityName>
      <candidateList>
        <item>可以</item>
      </candidateList>
      <explain>〈口〉〈形〉❶好；不坏；过得去：这篇文章写得还～。❷厉害：你这张嘴真～｜天气实在热得～。</explain>
      <paraID>3B8F5BED</paraID>
      <start>22</start>
      <end>23</end>
      <status>unmodified</status>
      <modifiedWord/>
      <trackRevisions>false</trackRevisions>
    </reviewItem>
    <reviewItem>
      <errorID>3c54ac65-44f6-492e-a9d6-86fc00d13fdc</errorID>
      <errorWord>爱</errorWord>
      <group>L1_Word</group>
      <groupName>字词问题</groupName>
      <ability>L2_Typo</ability>
      <abilityName>字词错误</abilityName>
      <candidateList>
        <item>作</item>
      </candidateList>
      <explain>❶起：振～｜日出而～｜一鼓～气｜枪声大～。❷〈动〉从事某种活动：～孽｜～报告｜自～自受。❸〈动〉写作：著～｜～曲｜～书（写信）。❹作品：佳～｜杰～｜成功之～。❺装：～态｜装模～样。❻〈动〉当成；作为：～保｜～废｜认贼～父。❼发作：～呕｜～怪。</explain>
      <paraID>6111E87F</paraID>
      <start>66</start>
      <end>67</end>
      <status>unmodified</status>
      <modifiedWord/>
      <trackRevisions>false</trackRevisions>
    </reviewItem>
    <reviewItem>
      <errorID>ded3266c-3976-496f-924c-08bf96550321</errorID>
      <errorWord>刨面</errorWord>
      <group>L1_Word</group>
      <groupName>字词问题</groupName>
      <ability>L2_Typo</ability>
      <abilityName>字词错误</abilityName>
      <candidateList>
        <item>剖面</item>
      </candidateList>
      <explain/>
      <paraID>6D151DFA</paraID>
      <start>50</start>
      <end>52</end>
      <status>unmodified</status>
      <modifiedWord/>
      <trackRevisions>false</trackRevisions>
    </reviewItem>
    <reviewItem>
      <errorID>41a8c0f4-77ae-4189-a8fe-bb35af2d3e99</errorID>
      <errorWord>占到</errorWord>
      <group>L1_Word</group>
      <groupName>字词问题</groupName>
      <ability>L2_Typo</ability>
      <abilityName>字词错误</abilityName>
      <candidateList>
        <item>占</item>
      </candidateList>
      <explain/>
      <paraID>444AB9AC</paraID>
      <start>30</start>
      <end>32</end>
      <status>unmodified</status>
      <modifiedWord/>
      <trackRevisions>false</trackRevisions>
    </reviewItem>
    <reviewItem>
      <errorID>7feef954-d432-45ab-883d-144baab4e2b5</errorID>
      <errorWord>台</errorWord>
      <group>L1_Word</group>
      <groupName>字词问题</groupName>
      <ability>L2_Typo</ability>
      <abilityName>字词错误</abilityName>
      <candidateList>
        <item>台山</item>
      </candidateList>
      <explain/>
      <paraID>34BF59A0</paraID>
      <start>235</start>
      <end>236</end>
      <status>unmodified</status>
      <modifiedWord/>
      <trackRevisions>false</trackRevisions>
    </reviewItem>
    <reviewItem>
      <errorID>71be97dc-60e2-403c-935a-dbc0b5c6896d</errorID>
      <errorWord>沁阳山</errorWord>
      <group>L1_Word</group>
      <groupName>字词问题</groupName>
      <ability>L2_Typo</ability>
      <abilityName>字词错误</abilityName>
      <candidateList>
        <item>沁阳</item>
      </candidateList>
      <explain/>
      <paraID>6D172B2E</paraID>
      <start>24</start>
      <end>27</end>
      <status>unmodified</status>
      <modifiedWord/>
      <trackRevisions>false</trackRevisions>
    </reviewItem>
    <reviewItem>
      <errorID>fff42fa6-663c-4b4f-85db-d4aa55755d63</errorID>
      <errorWord>褶曲</errorWord>
      <group>L1_Word</group>
      <groupName>字词问题</groupName>
      <ability>L2_Typo</ability>
      <abilityName>字词错误</abilityName>
      <candidateList>
        <item>褶皱</item>
      </candidateList>
      <explain>〈名〉❶由于地壳运动，岩层受到压力而形成的连续弯曲的构造形。❷皱纹：满脸～。</explain>
      <paraID>6D172B2E</paraID>
      <start>57</start>
      <end>59</end>
      <status>unmodified</status>
      <modifiedWord/>
      <trackRevisions>false</trackRevisions>
    </reviewItem>
    <reviewItem>
      <errorID>f2befdd0-e99d-47bb-96c0-20fa789951d8</errorID>
      <errorWord>村长</errorWord>
      <group>L1_Political</group>
      <groupName>政治性问题</groupName>
      <ability>L2_Unpolitical</ability>
      <abilityName>政治敏感错误</abilityName>
      <candidateList>
        <item>村主任</item>
      </candidateList>
      <explain/>
      <paraID>3D32A2A6</paraID>
      <start>25</start>
      <end>27</end>
      <status>unmodified</status>
      <modifiedWord/>
      <trackRevisions>false</trackRevisions>
    </reviewItem>
    <reviewItem>
      <errorID>30fb02ce-38f7-42c8-a6be-c3e5a4a34b45</errorID>
      <errorWord>宝山</errorWord>
      <group>L1_Word</group>
      <groupName>字词问题</groupName>
      <ability>L2_Typo</ability>
      <abilityName>字词错误</abilityName>
      <candidateList>
        <item>宝峰</item>
      </candidateList>
      <explain/>
      <paraID> 2A386A3</paraID>
      <start>345</start>
      <end>347</end>
      <status>unmodified</status>
      <modifiedWord/>
      <trackRevisions>false</trackRevisions>
    </reviewItem>
    <reviewItem>
      <errorID>91a6dc4d-f189-43e7-892d-f84c80c4dda2</errorID>
      <errorWord>北业</errorWord>
      <group>L1_Word</group>
      <groupName>字词问题</groupName>
      <ability>L2_Typo</ability>
      <abilityName>字词错误</abilityName>
      <candidateList>
        <item>北山</item>
      </candidateList>
      <explain>存在字形相近字词的误用。</explain>
      <paraID>19F27F59</paraID>
      <start>10</start>
      <end>12</end>
      <status>unmodified</status>
      <modifiedWord/>
      <trackRevisions>false</trackRevisions>
    </reviewItem>
    <reviewItem>
      <errorID>7d2fb7d2-ed52-48f3-ad43-bb408495ffa7</errorID>
      <errorWord>甲板创</errorWord>
      <group>L1_Word</group>
      <groupName>字词问题</groupName>
      <ability>L2_Typo</ability>
      <abilityName>字词错误</abilityName>
      <candidateList>
        <item>甲板</item>
      </candidateList>
      <explain/>
      <paraID>19F27F59</paraID>
      <start>92</start>
      <end>95</end>
      <status>unmodified</status>
      <modifiedWord/>
      <trackRevisions>false</trackRevisions>
    </reviewItem>
    <reviewItem>
      <errorID>0f53c93f-2067-4527-b3b4-ee4fcb1b1a02</errorID>
      <errorWord>为自</errorWord>
      <group>L1_Word</group>
      <groupName>字词问题</groupName>
      <ability>L2_Typo</ability>
      <abilityName>字词错误</abilityName>
      <candidateList>
        <item>为</item>
      </candidateList>
      <explain>（爲、為）wèi❶〈书〉帮助；卫护：～吕氏者右袒，～刘氏者左袒。❷〈介〉表示行为的对象；替：～你庆幸｜～人民服务｜～这本书写一篇序。❸〈介〉表示原因、目的：大家都～这件事高兴｜～建设伟大祖国而奋斗。❹〈书〉〈介〉对；向：不足～外人道。</explain>
      <paraID> 76CD63C</paraID>
      <start>151</start>
      <end>153</end>
      <status>unmodified</status>
      <modifiedWord/>
      <trackRevisions>false</trackRevisions>
    </reviewItem>
    <reviewItem>
      <errorID>860970a2-816d-4900-8416-ff6186e30e49</errorID>
      <errorWord>水城</errorWord>
      <group>L1_Word</group>
      <groupName>字词问题</groupName>
      <ability>L2_Typo</ability>
      <abilityName>字词错误</abilityName>
      <candidateList>
        <item>水域</item>
      </candidateList>
      <explain>存在字形相近字词的误用。</explain>
      <paraID>6AB600C9</paraID>
      <start>467</start>
      <end>469</end>
      <status>unmodified</status>
      <modifiedWord/>
      <trackRevisions>false</trackRevisions>
    </reviewItem>
    <reviewItem>
      <errorID>38959334-3843-48c4-bec2-a27186ba100f</errorID>
      <errorWord>"</errorWord>
      <group>L1_Format</group>
      <groupName>格式问题</groupName>
      <ability>L2_HalfPunc</ability>
      <abilityName>全半角检查</abilityName>
      <candidateList/>
      <explain>文本全半角错误。</explain>
      <paraID>3795472E</paraID>
      <start>129</start>
      <end>130</end>
      <status>unmodified</status>
      <modifiedWord/>
      <trackRevisions>false</trackRevisions>
    </reviewItem>
    <reviewItem>
      <errorID>1c02eea0-8a89-462f-92db-3fb1471587e1</errorID>
      <errorWord>"</errorWord>
      <group>L1_Format</group>
      <groupName>格式问题</groupName>
      <ability>L2_HalfPunc</ability>
      <abilityName>全半角检查</abilityName>
      <candidateList/>
      <explain>文本全半角错误。</explain>
      <paraID>3795472E</paraID>
      <start>131</start>
      <end>132</end>
      <status>unmodified</status>
      <modifiedWord/>
      <trackRevisions>false</trackRevisions>
    </reviewItem>
    <reviewItem>
      <errorID>61bcbd53-1526-4363-943d-e2b550e756cc</errorID>
      <errorWord>百家岩百家岩</errorWord>
      <group>L1_Word</group>
      <groupName>字词问题</groupName>
      <ability>L2_Typo</ability>
      <abilityName>字词错误</abilityName>
      <candidateList>
        <item>百家岩</item>
      </candidateList>
      <explain/>
      <paraID>7B23C833</paraID>
      <start>184</start>
      <end>190</end>
      <status>unmodified</status>
      <modifiedWord/>
      <trackRevisions>false</trackRevisions>
    </reviewItem>
    <reviewItem>
      <errorID>3179fb6d-7984-48d0-a65f-68d6e8018bb7</errorID>
      <errorWord>潭池</errorWord>
      <group>L1_Word</group>
      <groupName>字词问题</groupName>
      <ability>L2_Typo</ability>
      <abilityName>字词错误</abilityName>
      <candidateList>
        <item>潭</item>
      </candidateList>
      <explain/>
      <paraID>6B1656B6</paraID>
      <start>189</start>
      <end>191</end>
      <status>unmodified</status>
      <modifiedWord/>
      <trackRevisions>false</trackRevisions>
    </reviewItem>
    <reviewItem>
      <errorID>e3965e6d-1171-424b-8a55-6221ad9ce7e3</errorID>
      <errorWord>"</errorWord>
      <group>L1_Format</group>
      <groupName>格式问题</groupName>
      <ability>L2_HalfPunc</ability>
      <abilityName>全半角检查</abilityName>
      <candidateList/>
      <explain>文本全半角错误。</explain>
      <paraID>6B1656B6</paraID>
      <start>317</start>
      <end>318</end>
      <status>unmodified</status>
      <modifiedWord/>
      <trackRevisions>false</trackRevisions>
    </reviewItem>
    <reviewItem>
      <errorID>9fff8266-147d-48eb-8594-1496b7c03bcf</errorID>
      <errorWord>"</errorWord>
      <group>L1_Format</group>
      <groupName>格式问题</groupName>
      <ability>L2_HalfPunc</ability>
      <abilityName>全半角检查</abilityName>
      <candidateList/>
      <explain>文本全半角错误。</explain>
      <paraID>6B1656B6</paraID>
      <start>319</start>
      <end>320</end>
      <status>unmodified</status>
      <modifiedWord/>
      <trackRevisions>false</trackRevisions>
    </reviewItem>
    <reviewItem>
      <errorID>d38c87d1-03af-417d-8db5-ba1d84463444</errorID>
      <errorWord>山针</errorWord>
      <group>L1_Word</group>
      <groupName>字词问题</groupName>
      <ability>L2_Typo</ability>
      <abilityName>字词错误</abilityName>
      <candidateList>
        <item>山</item>
      </candidateList>
      <explain/>
      <paraID>  59CE29</paraID>
      <start>65</start>
      <end>67</end>
      <status>unmodified</status>
      <modifiedWord/>
      <trackRevisions>false</trackRevisions>
    </reviewItem>
    <reviewItem>
      <errorID>4c8dd897-302e-456c-a6d7-45ff4366c649</errorID>
      <errorWord>嫁妆</errorWord>
      <group>L1_Word</group>
      <groupName>字词问题</groupName>
      <ability>L2_Typo</ability>
      <abilityName>字词错误</abilityName>
      <candidateList>
        <item>嫁</item>
      </candidateList>
      <explain/>
      <paraID> 29115EE</paraID>
      <start>40</start>
      <end>42</end>
      <status>unmodified</status>
      <modifiedWord/>
      <trackRevisions>false</trackRevisions>
    </reviewItem>
    <reviewItem>
      <errorID>9bc03867-f6d2-4ad7-9088-9a274ce0b684</errorID>
      <errorWord>门廓</errorWord>
      <group>L1_Word</group>
      <groupName>字词问题</groupName>
      <ability>L2_Typo</ability>
      <abilityName>字词错误</abilityName>
      <candidateList>
        <item>门廊</item>
      </candidateList>
      <explain/>
      <paraID>5A7FC878</paraID>
      <start>3</start>
      <end>5</end>
      <status>unmodified</status>
      <modifiedWord/>
      <trackRevisions>false</trackRevisions>
    </reviewItem>
    <reviewItem>
      <errorID>d8814965-1b22-449b-b682-00b8b5da0360</errorID>
      <errorWord>狙击战</errorWord>
      <group>L1_Word</group>
      <groupName>字词问题</groupName>
      <ability>L2_Variant</ability>
      <abilityName>异形词</abilityName>
      <candidateList>
        <item>阻击战</item>
      </candidateList>
      <explain>词汇[狙击战]的规范词形写作[阻击战]。</explain>
      <paraID>7785E74C</paraID>
      <start>4</start>
      <end>7</end>
      <status>unmodified</status>
      <modifiedWord/>
      <trackRevisions>false</trackRevisions>
    </reviewItem>
    <reviewItem>
      <errorID>cb41a840-eefd-4361-b595-e6763e4f3e6d</errorID>
      <errorWord>嫁妆</errorWord>
      <group>L1_Word</group>
      <groupName>字词问题</groupName>
      <ability>L2_Typo</ability>
      <abilityName>字词错误</abilityName>
      <candidateList>
        <item>嫁</item>
      </candidateList>
      <explain/>
      <paraID> 8605AE3</paraID>
      <start>60</start>
      <end>62</end>
      <status>unmodified</status>
      <modifiedWord/>
      <trackRevisions>false</trackRevisions>
    </reviewItem>
    <reviewItem>
      <errorID>f983be99-7eb1-42a9-99f5-509868e7651b</errorID>
      <errorWord>嫁妆</errorWord>
      <group>L1_Word</group>
      <groupName>字词问题</groupName>
      <ability>L2_Typo</ability>
      <abilityName>字词错误</abilityName>
      <candidateList>
        <item>嫁</item>
      </candidateList>
      <explain/>
      <paraID> 8605AE3</paraID>
      <start>446</start>
      <end>448</end>
      <status>unmodified</status>
      <modifiedWord/>
      <trackRevisions>false</trackRevisions>
    </reviewItem>
    <reviewItem>
      <errorID>0e66f690-e68a-49dd-8b6a-d46b4c0c0878</errorID>
      <errorWord>探花</errorWord>
      <group>L1_Word</group>
      <groupName>字词问题</groupName>
      <ability>L2_Typo</ability>
      <abilityName>字词错误</abilityName>
      <candidateList>
        <item>花</item>
      </candidateList>
      <explain>〈动〉用；耗费：～费｜～钱｜～时间｜该～的～，该省的省。</explain>
      <paraID> 8605AE3</paraID>
      <start>572</start>
      <end>574</end>
      <status>unmodified</status>
      <modifiedWord/>
      <trackRevisions>false</trackRevisions>
    </reviewItem>
    <reviewItem>
      <errorID>b5b67f20-7c84-4702-b112-9d32c77bbb31</errorID>
      <errorWord>四好农村路</errorWord>
      <group>L1_Political</group>
      <groupName>政治性问题</groupName>
      <ability>L2_Keyword</ability>
      <abilityName>固定表述</abilityName>
      <candidateList>
        <item>“四好农村路”</item>
      </candidateList>
      <explain>注意检查当前固定表述标点是否使用规范。</explain>
      <paraID>6FD181FC</paraID>
      <start>30</start>
      <end>35</end>
      <status>unmodified</status>
      <modifiedWord/>
      <trackRevisions>false</trackRevisions>
    </reviewItem>
    <reviewItem>
      <errorID>4e179711-e05c-4385-9799-603ebc3cd0cd</errorID>
      <errorWord>和生动物</errorWord>
      <group>L1_Word</group>
      <groupName>字词问题</groupName>
      <ability>L2_Typo</ability>
      <abilityName>字词错误</abilityName>
      <candidateList>
        <item>野生动物</item>
      </candidateList>
      <explain>存在发音相近字词的误用。</explain>
      <paraID>72A27E60</paraID>
      <start>246</start>
      <end>250</end>
      <status>unmodified</status>
      <modifiedWord/>
      <trackRevisions>false</trackRevisions>
    </reviewItem>
    <reviewItem>
      <errorID>09498b09-062e-4501-add6-14e1e8c686b9</errorID>
      <errorWord>庙产</errorWord>
      <group>L1_Word</group>
      <groupName>字词问题</groupName>
      <ability>L2_Typo</ability>
      <abilityName>字词错误</abilityName>
      <candidateList>
        <item>庙</item>
      </candidateList>
      <explain/>
      <paraID>5D282F93</paraID>
      <start>99</start>
      <end>101</end>
      <status>unmodified</status>
      <modifiedWord/>
      <trackRevisions>false</trackRevisions>
    </reviewItem>
    <reviewItem>
      <errorID>efa593d7-aae8-455d-9e2a-9de6fc249f07</errorID>
      <errorWord>兽道</errorWord>
      <group>L1_Word</group>
      <groupName>字词问题</groupName>
      <ability>L2_Typo</ability>
      <abilityName>字词错误</abilityName>
      <candidateList>
        <item>栈道</item>
      </candidateList>
      <explain/>
      <paraID> 6151A1E</paraID>
      <start>160</start>
      <end>162</end>
      <status>unmodified</status>
      <modifiedWord/>
      <trackRevisions>false</trackRevisions>
    </reviewItem>
    <reviewItem>
      <errorID>448ef107-fda6-42c8-ba24-dd02da214a2b</errorID>
      <errorWord>刻石</errorWord>
      <group>L1_Word</group>
      <groupName>字词问题</groupName>
      <ability>L2_Typo</ability>
      <abilityName>字词错误</abilityName>
      <candidateList>
        <item>石刻</item>
      </candidateList>
      <explain/>
      <paraID>3FF15E55</paraID>
      <start>13</start>
      <end>15</end>
      <status>unmodified</status>
      <modifiedWord/>
      <trackRevisions>false</trackRevisions>
    </reviewItem>
    <reviewItem>
      <errorID>507216ae-746b-4857-ba0d-4f009cdc9c01</errorID>
      <errorWord>城</errorWord>
      <group>L1_Word</group>
      <groupName>字词问题</groupName>
      <ability>L2_Typo</ability>
      <abilityName>字词错误</abilityName>
      <candidateList>
        <item>城遗</item>
      </candidateList>
      <explain/>
      <paraID> 98DF424</paraID>
      <start>20</start>
      <end>21</end>
      <status>unmodified</status>
      <modifiedWord/>
      <trackRevisions>false</trackRevisions>
    </reviewItem>
    <reviewItem>
      <errorID>20aeeb59-4d9c-4d3a-a0a2-cfb7ec46f77b</errorID>
      <errorWord>村赛</errorWord>
      <group>L1_Word</group>
      <groupName>字词问题</groupName>
      <ability>L2_Typo</ability>
      <abilityName>字词错误</abilityName>
      <candidateList>
        <item>杯赛</item>
      </candidateList>
      <explain/>
      <paraID>1D0CB966</paraID>
      <start>151</start>
      <end>153</end>
      <status>unmodified</status>
      <modifiedWord/>
      <trackRevisions>false</trackRevisions>
    </reviewItem>
    <reviewItem>
      <errorID>89884d5c-1c0e-479c-bee8-9155bd04c74c</errorID>
      <errorWord>焦作卢氏</errorWord>
      <group>L1_Knowledge</group>
      <groupName>知识性问题</groupName>
      <ability>L2_Location</ability>
      <abilityName>地名检查</abilityName>
      <candidateList>
        <item>三门峡卢氏</item>
      </candidateList>
      <explain>地名表述错误。</explain>
      <paraID>1FDC2D39</paraID>
      <start>138</start>
      <end>142</end>
      <status>unmodified</status>
      <modifiedWord/>
      <trackRevisions>false</trackRevisions>
    </reviewItem>
    <reviewItem>
      <errorID>add9f7ef-7154-4812-8022-49527875e4fa</errorID>
      <errorWord>儀</errorWord>
      <group>L1_Word</group>
      <groupName>字词问题</groupName>
      <ability>L2_Fanti</ability>
      <abilityName>繁转简</abilityName>
      <candidateList>
        <item>仪</item>
      </candidateList>
      <explain/>
      <paraID>1FDC2D39</paraID>
      <start>143</start>
      <end>144</end>
      <status>unmodified</status>
      <modifiedWord/>
      <trackRevisions>false</trackRevisions>
    </reviewItem>
    <reviewItem>
      <errorID>9cdc5105-df02-4efe-acc2-ce3a9fef96bf</errorID>
      <errorWord>制鼓</errorWord>
      <group>L1_Word</group>
      <groupName>字词问题</groupName>
      <ability>L2_Typo</ability>
      <abilityName>字词错误</abilityName>
      <candidateList>
        <item>石鼓</item>
      </candidateList>
      <explain/>
      <paraID>5DF7BED1</paraID>
      <start>84</start>
      <end>86</end>
      <status>unmodified</status>
      <modifiedWord/>
      <trackRevisions>false</trackRevisions>
    </reviewItem>
    <reviewItem>
      <errorID>0e8e26ab-29e4-467e-9d73-e4f31be7dc0c</errorID>
      <errorWord>育</errorWord>
      <group>L1_Word</group>
      <groupName>字词问题</groupName>
      <ability>L2_Typo</ability>
      <abilityName>字词错误</abilityName>
      <candidateList>
        <item>焕</item>
      </candidateList>
      <explain/>
      <paraID>66B3799D</paraID>
      <start>66</start>
      <end>67</end>
      <status>unmodified</status>
      <modifiedWord/>
      <trackRevisions>false</trackRevisions>
    </reviewItem>
    <reviewItem>
      <errorID>362a49f3-44dd-442e-b5f9-b3eeefc48efe</errorID>
      <errorWord>清化</errorWord>
      <group>L1_Word</group>
      <groupName>字词问题</groupName>
      <ability>L2_Typo</ability>
      <abilityName>字词错误</abilityName>
      <candidateList>
        <item>青花</item>
      </candidateList>
      <explain/>
      <paraID>44DE763D</paraID>
      <start>27</start>
      <end>29</end>
      <status>unmodified</status>
      <modifiedWord/>
      <trackRevisions>false</trackRevisions>
    </reviewItem>
    <reviewItem>
      <errorID>b95030ff-b9d0-485b-b260-e55f63512f82</errorID>
      <errorWord>七方</errorWord>
      <group>L1_Knowledge</group>
      <groupName>知识性问题</groupName>
      <ability>L2_Knowledge</ability>
      <abilityName>其他知识</abilityName>
      <candidateList>
        <item>七里</item>
      </candidateList>
      <explain/>
      <paraID>44DE763D</paraID>
      <start>79</start>
      <end>81</end>
      <status>unmodified</status>
      <modifiedWord/>
      <trackRevisions>false</trackRevisions>
    </reviewItem>
    <reviewItem>
      <errorID>7321b5f6-76b0-46d6-ac53-d046565176a6</errorID>
      <errorWord>清化</errorWord>
      <group>L1_Word</group>
      <groupName>字词问题</groupName>
      <ability>L2_Typo</ability>
      <abilityName>字词错误</abilityName>
      <candidateList>
        <item>青花</item>
      </candidateList>
      <explain/>
      <paraID>36A3C214</paraID>
      <start>53</start>
      <end>55</end>
      <status>unmodified</status>
      <modifiedWord/>
      <trackRevisions>false</trackRevisions>
    </reviewItem>
    <reviewItem>
      <errorID>64e0fafc-9926-4382-bd1e-ceaedc1927e8</errorID>
      <errorWord>封村</errorWord>
      <group>L1_Sensitive</group>
      <groupName>敏感问题</groupName>
      <ability>L2_Prohibited</ability>
      <abilityName>违禁内容</abilityName>
      <candidateList/>
      <explain>【违禁内容】句中涉及国家法律明令禁止的违禁内容，请注意甄别。</explain>
      <paraID>3D1448D9</paraID>
      <start>40</start>
      <end>42</end>
      <status>unmodified</status>
      <modifiedWord/>
      <trackRevisions>false</trackRevisions>
    </reviewItem>
    <reviewItem>
      <errorID>37b5da55-9ad5-4712-8e81-ef7c40d307d8</errorID>
      <errorWord>剪</errorWord>
      <group>L1_Word</group>
      <groupName>字词问题</groupName>
      <ability>L2_Typo</ability>
      <abilityName>字词错误</abilityName>
      <candidateList>
        <item>剪纸</item>
      </candidateList>
      <explain/>
      <paraID>3D1448D9</paraID>
      <start>99</start>
      <end>100</end>
      <status>unmodified</status>
      <modifiedWord/>
      <trackRevisions>false</trackRevisions>
    </reviewItem>
    <reviewItem>
      <errorID>3620a544-0235-43e5-8d21-5e9773f9e876</errorID>
      <errorWord>誌</errorWord>
      <group>L1_Word</group>
      <groupName>字词问题</groupName>
      <ability>L2_Fanti</ability>
      <abilityName>繁转简</abilityName>
      <candidateList>
        <item>志</item>
      </candidateList>
      <explain/>
      <paraID>349616D4</paraID>
      <start>12</start>
      <end>13</end>
      <status>unmodified</status>
      <modifiedWord/>
      <trackRevisions>false</trackRevisions>
    </reviewItem>
    <reviewItem>
      <errorID>4acc8137-2d2a-4a9e-9692-593470bcbdb3</errorID>
      <errorWord>清化</errorWord>
      <group>L1_Word</group>
      <groupName>字词问题</groupName>
      <ability>L2_Typo</ability>
      <abilityName>字词错误</abilityName>
      <candidateList>
        <item>青花</item>
      </candidateList>
      <explain/>
      <paraID>20C740E0</paraID>
      <start>11</start>
      <end>13</end>
      <status>unmodified</status>
      <modifiedWord/>
      <trackRevisions>false</trackRevisions>
    </reviewItem>
    <reviewItem>
      <errorID>80e35905-5767-49dd-b032-0cb8b0ddd7d4</errorID>
      <errorWord>紵</errorWord>
      <group>L1_Word</group>
      <groupName>字词问题</groupName>
      <ability>L2_Fanti</ability>
      <abilityName>繁转简</abilityName>
      <candidateList>
        <item>纻</item>
      </candidateList>
      <explain/>
      <paraID>20C740E0</paraID>
      <start>33</start>
      <end>34</end>
      <status>unmodified</status>
      <modifiedWord/>
      <trackRevisions>false</trackRevisions>
    </reviewItem>
    <reviewItem>
      <errorID>97108ce1-feaf-4500-a39b-a3933af97697</errorID>
      <errorWord>八盏</errorWord>
      <group>L1_Knowledge</group>
      <groupName>知识性问题</groupName>
      <ability>L2_Knowledge</ability>
      <abilityName>其他知识</abilityName>
      <candidateList>
        <item>八角</item>
      </candidateList>
      <explain/>
      <paraID>20C740E0</paraID>
      <start>159</start>
      <end>161</end>
      <status>unmodified</status>
      <modifiedWord/>
      <trackRevisions>false</trackRevisions>
    </reviewItem>
    <reviewItem>
      <errorID>ddf1d71b-6cae-42c3-8731-d6ff217b33e5</errorID>
      <errorWord>六浆</errorWord>
      <group>L1_Knowledge</group>
      <groupName>知识性问题</groupName>
      <ability>L2_Knowledge</ability>
      <abilityName>其他知识</abilityName>
      <candidateList>
        <item>六味</item>
      </candidateList>
      <explain/>
      <paraID>43CA6A43</paraID>
      <start>144</start>
      <end>146</end>
      <status>unmodified</status>
      <modifiedWord/>
      <trackRevisions>false</trackRevisions>
    </reviewItem>
    <reviewItem>
      <errorID>5e2dc6a6-c898-4b62-850c-88765730991b</errorID>
      <errorWord>山药纤</errorWord>
      <group>L1_Word</group>
      <groupName>字词问题</groupName>
      <ability>L2_Typo</ability>
      <abilityName>字词错误</abilityName>
      <candidateList>
        <item>山药香</item>
      </candidateList>
      <explain/>
      <paraID>43CA6A43</paraID>
      <start>276</start>
      <end>279</end>
      <status>unmodified</status>
      <modifiedWord/>
      <trackRevisions>false</trackRevisions>
    </reviewItem>
    <reviewItem>
      <errorID>01e99906-0c8b-4046-a975-d90f56edf272</errorID>
      <errorWord>、和</errorWord>
      <group>L1_Punc</group>
      <groupName>标点问题</groupName>
      <ability>L2_Punc</ability>
      <abilityName>标点符号检查</abilityName>
      <candidateList>
        <item>和</item>
      </candidateList>
      <explain>“及”“和”“等”连词前不宜使用顿号，建议删除（或使用逗号）。</explain>
      <paraID>677B0877</paraID>
      <start>23</start>
      <end>25</end>
      <status>unmodified</status>
      <modifiedWord/>
      <trackRevisions>false</trackRevisions>
    </reviewItem>
    <reviewItem>
      <errorID>6864f3d4-3464-44d4-9ded-47abf3f04843</errorID>
      <errorWord>、和</errorWord>
      <group>L1_Punc</group>
      <groupName>标点问题</groupName>
      <ability>L2_Punc</ability>
      <abilityName>标点符号检查</abilityName>
      <candidateList>
        <item>和</item>
      </candidateList>
      <explain>“及”“和”“等”连词前不宜使用顿号，建议删除（或使用逗号）。</explain>
      <paraID>677B0877</paraID>
      <start>204</start>
      <end>206</end>
      <status>unmodified</status>
      <modifiedWord/>
      <trackRevisions>false</trackRevisions>
    </reviewItem>
    <reviewItem>
      <errorID>242e5fe6-5642-4834-87a3-a5c2a670f80e</errorID>
      <errorWord>、和</errorWord>
      <group>L1_Punc</group>
      <groupName>标点问题</groupName>
      <ability>L2_Punc</ability>
      <abilityName>标点符号检查</abilityName>
      <candidateList>
        <item>和</item>
      </candidateList>
      <explain>“及”“和”“等”连词前不宜使用顿号，建议删除（或使用逗号）。</explain>
      <paraID>677B0877</paraID>
      <start>208</start>
      <end>210</end>
      <status>unmodified</status>
      <modifiedWord/>
      <trackRevisions>false</trackRevisions>
    </reviewItem>
    <reviewItem>
      <errorID>8965e1a6-9f76-420e-9d29-773b0247aa62</errorID>
      <errorWord>封村</errorWord>
      <group>L1_Sensitive</group>
      <groupName>敏感问题</groupName>
      <ability>L2_Prohibited</ability>
      <abilityName>违禁内容</abilityName>
      <candidateList/>
      <explain>【违禁内容】句中涉及国家法律明令禁止的违禁内容，请注意甄别。</explain>
      <paraID>3ECDAE31</paraID>
      <start>120</start>
      <end>122</end>
      <status>unmodified</status>
      <modifiedWord/>
      <trackRevisions>false</trackRevisions>
    </reviewItem>
    <reviewItem>
      <errorID>9b294f39-ade8-48a3-b980-384365dfb0d5</errorID>
      <errorWord>型</errorWord>
      <group>L1_Word</group>
      <groupName>字词问题</groupName>
      <ability>L2_Typo</ability>
      <abilityName>字词错误</abilityName>
      <candidateList>
        <item>型和</item>
      </candidateList>
      <explain/>
      <paraID>47C7B1C3</paraID>
      <start>12</start>
      <end>13</end>
      <status>unmodified</status>
      <modifiedWord/>
      <trackRevisions>false</trackRevisions>
    </reviewItem>
    <reviewItem>
      <errorID>d4f3f6ba-4322-441f-997b-92a3c8883d67</errorID>
      <errorWord>布</errorWord>
      <group>L1_Word</group>
      <groupName>字词问题</groupName>
      <ability>L2_Typo</ability>
      <abilityName>字词错误</abilityName>
      <candidateList>
        <item>布在</item>
      </candidateList>
      <explain/>
      <paraID>3090A3AE</paraID>
      <start>188</start>
      <end>189</end>
      <status>unmodified</status>
      <modifiedWord/>
      <trackRevisions>false</trackRevisions>
    </reviewItem>
    <reviewItem>
      <errorID>beace3c4-d493-4156-a4ee-0cab86f78d77</errorID>
      <errorWord>五级</errorWord>
      <group>L1_Knowledge</group>
      <groupName>知识性问题</groupName>
      <ability>L2_Knowledge</ability>
      <abilityName>其他知识</abilityName>
      <candidateList>
        <item>五谷</item>
      </candidateList>
      <explain/>
      <paraID>35C0F04F</paraID>
      <start>0</start>
      <end>2</end>
      <status>unmodified</status>
      <modifiedWord/>
      <trackRevisions>false</trackRevisions>
    </reviewItem>
    <reviewItem>
      <errorID>a784e0fc-3970-4f54-9f95-242c94453477</errorID>
      <errorWord>嫁妆</errorWord>
      <group>L1_Word</group>
      <groupName>字词问题</groupName>
      <ability>L2_Typo</ability>
      <abilityName>字词错误</abilityName>
      <candidateList>
        <item>嫁</item>
      </candidateList>
      <explain/>
      <paraID> C0336BA</paraID>
      <start>553</start>
      <end>555</end>
      <status>unmodified</status>
      <modifiedWord/>
      <trackRevisions>false</trackRevisions>
    </reviewItem>
    <reviewItem>
      <errorID>11e36cab-fe0e-4c3c-8c4a-06ab0ffde22a</errorID>
      <errorWord>甲板创</errorWord>
      <group>L1_Word</group>
      <groupName>字词问题</groupName>
      <ability>L2_Typo</ability>
      <abilityName>字词错误</abilityName>
      <candidateList>
        <item>甲板</item>
      </candidateList>
      <explain/>
      <paraID> C0336BA</paraID>
      <start>633</start>
      <end>636</end>
      <status>unmodified</status>
      <modifiedWord/>
      <trackRevisions>false</trackRevisions>
    </reviewItem>
    <reviewItem>
      <errorID>294ee979-ac9a-4c04-bf59-ca1c20bf1bcb</errorID>
      <errorWord>七层</errorWord>
      <group>L1_Knowledge</group>
      <groupName>知识性问题</groupName>
      <ability>L2_Knowledge</ability>
      <abilityName>其他知识</abilityName>
      <candidateList>
        <item>七孔</item>
      </candidateList>
      <explain/>
      <paraID>3FE338DD</paraID>
      <start>42</start>
      <end>44</end>
      <status>unmodified</status>
      <modifiedWord/>
      <trackRevisions>false</trackRevisions>
    </reviewItem>
    <reviewItem>
      <errorID>1846008d-1d4a-4f4f-827d-b1c8f86b80f8</errorID>
      <errorWord>香馆</errorWord>
      <group>L1_Word</group>
      <groupName>字词问题</groupName>
      <ability>L2_Typo</ability>
      <abilityName>字词错误</abilityName>
      <candidateList>
        <item>香</item>
      </candidateList>
      <explain/>
      <paraID>35FCE38C</paraID>
      <start>137</start>
      <end>139</end>
      <status>unmodified</status>
      <modifiedWord/>
      <trackRevisions>false</trackRevisions>
    </reviewItem>
    <reviewItem>
      <errorID>56b71f7c-0b81-41af-88a2-43e0f5a9dbdd</errorID>
      <errorWord>、和</errorWord>
      <group>L1_Punc</group>
      <groupName>标点问题</groupName>
      <ability>L2_Punc</ability>
      <abilityName>标点符号检查</abilityName>
      <candidateList>
        <item>和</item>
      </candidateList>
      <explain>“及”“和”“等”连词前不宜使用顿号，建议删除（或使用逗号）。</explain>
      <paraID>5D29CE9D</paraID>
      <start>54</start>
      <end>56</end>
      <status>unmodified</status>
      <modifiedWord/>
      <trackRevisions>false</trackRevisions>
    </reviewItem>
    <reviewItem>
      <errorID>56145d73-a820-4add-ae13-2a08389edc27</errorID>
      <errorWord>嫁妆</errorWord>
      <group>L1_Word</group>
      <groupName>字词问题</groupName>
      <ability>L2_Typo</ability>
      <abilityName>字词错误</abilityName>
      <candidateList>
        <item>嫁</item>
      </candidateList>
      <explain/>
      <paraID>  B56D9E</paraID>
      <start>3</start>
      <end>5</end>
      <status>unmodified</status>
      <modifiedWord/>
      <trackRevisions>false</trackRevisions>
    </reviewItem>
    <reviewItem>
      <errorID>322f6541-8bc7-4325-8766-74c6b41396b9</errorID>
      <errorWord>"</errorWord>
      <group>L1_Format</group>
      <groupName>格式问题</groupName>
      <ability>L2_HalfPunc</ability>
      <abilityName>全半角检查</abilityName>
      <candidateList/>
      <explain>文本全半角错误。</explain>
      <paraID>  B56D9E</paraID>
      <start>267</start>
      <end>268</end>
      <status>unmodified</status>
      <modifiedWord/>
      <trackRevisions>false</trackRevisions>
    </reviewItem>
    <reviewItem>
      <errorID>3066410f-22d4-4639-87fb-fb5b954c6355</errorID>
      <errorWord>"</errorWord>
      <group>L1_Format</group>
      <groupName>格式问题</groupName>
      <ability>L2_HalfPunc</ability>
      <abilityName>全半角检查</abilityName>
      <candidateList/>
      <explain>文本全半角错误。</explain>
      <paraID>  B56D9E</paraID>
      <start>269</start>
      <end>270</end>
      <status>unmodified</status>
      <modifiedWord/>
      <trackRevisions>false</trackRevisions>
    </reviewItem>
    <reviewItem>
      <errorID>22ba7d51-42aa-44ce-bd41-e1b8c11c78dd</errorID>
      <errorWord>辫戏</errorWord>
      <group>L1_Word</group>
      <groupName>字词问题</groupName>
      <ability>L2_Typo</ability>
      <abilityName>字词错误</abilityName>
      <candidateList>
        <item>编戏</item>
      </candidateList>
      <explain/>
      <paraID>6E9FAB9C</paraID>
      <start>32</start>
      <end>34</end>
      <status>unmodified</status>
      <modifiedWord/>
      <trackRevisions>false</trackRevisions>
    </reviewItem>
    <reviewItem>
      <errorID>e8e9bdbe-14b5-4057-9279-0f671e47023d</errorID>
      <errorWord>城</errorWord>
      <group>L1_Word</group>
      <groupName>字词问题</groupName>
      <ability>L2_Typo</ability>
      <abilityName>字词错误</abilityName>
      <candidateList>
        <item>城遗</item>
      </candidateList>
      <explain/>
      <paraID>3205BDED</paraID>
      <start>186</start>
      <end>187</end>
      <status>unmodified</status>
      <modifiedWord/>
      <trackRevisions>false</trackRevisions>
    </reviewItem>
    <reviewItem>
      <errorID>0b5fc371-522b-4d33-9f5b-d4082662f8b8</errorID>
      <errorWord>制鼓</errorWord>
      <group>L1_Word</group>
      <groupName>字词问题</groupName>
      <ability>L2_Typo</ability>
      <abilityName>字词错误</abilityName>
      <candidateList>
        <item>石鼓</item>
      </candidateList>
      <explain/>
      <paraID>1E1F4BD6</paraID>
      <start>67</start>
      <end>69</end>
      <status>unmodified</status>
      <modifiedWord/>
      <trackRevisions>false</trackRevisions>
    </reviewItem>
    <reviewItem>
      <errorID>95d5b356-0074-468a-ad8b-9238633353ce</errorID>
      <errorWord>四好农村路</errorWord>
      <group>L1_Political</group>
      <groupName>政治性问题</groupName>
      <ability>L2_Keyword</ability>
      <abilityName>固定表述</abilityName>
      <candidateList>
        <item>“四好农村路”</item>
      </candidateList>
      <explain>注意检查当前固定表述标点是否使用规范。</explain>
      <paraID>1E1F4BD6</paraID>
      <start>189</start>
      <end>194</end>
      <status>unmodified</status>
      <modifiedWord/>
      <trackRevisions>false</trackRevisions>
    </reviewItem>
    <reviewItem>
      <errorID>378b8d09-8c66-4bb1-affc-bf63541657e2</errorID>
      <errorWord>焦作卢氏</errorWord>
      <group>L1_Knowledge</group>
      <groupName>知识性问题</groupName>
      <ability>L2_Location</ability>
      <abilityName>地名检查</abilityName>
      <candidateList>
        <item>三门峡卢氏</item>
      </candidateList>
      <explain>地名表述错误。</explain>
      <paraID>3378C984</paraID>
      <start>357</start>
      <end>361</end>
      <status>unmodified</status>
      <modifiedWord/>
      <trackRevisions>false</trackRevisions>
    </reviewItem>
    <reviewItem>
      <errorID>bf356922-830f-499b-b749-885802b69c7e</errorID>
      <errorWord>村长</errorWord>
      <group>L1_Political</group>
      <groupName>政治性问题</groupName>
      <ability>L2_Unpolitical</ability>
      <abilityName>政治敏感错误</abilityName>
      <candidateList>
        <item>村主任</item>
      </candidateList>
      <explain/>
      <paraID> 2968114</paraID>
      <start>792</start>
      <end>794</end>
      <status>unmodified</status>
      <modifiedWord/>
      <trackRevisions>false</trackRevisions>
    </reviewItem>
    <reviewItem>
      <errorID>c511cc56-b11c-4753-bb75-a7725aac5020</errorID>
      <errorWord>天空之院</errorWord>
      <group>L1_Word</group>
      <groupName>字词问题</groupName>
      <ability>L2_Typo</ability>
      <abilityName>字词错误</abilityName>
      <candidateList>
        <item>天空之城</item>
      </candidateList>
      <explain/>
      <paraID> 2968114</paraID>
      <start>1521</start>
      <end>1525</end>
      <status>unmodified</status>
      <modifiedWord/>
      <trackRevisions>false</trackRevisions>
    </reviewItem>
    <reviewItem>
      <errorID>1e84b267-9da1-416a-9c3f-1e0cdb16807a</errorID>
      <errorWord>百家岩百家岩</errorWord>
      <group>L1_Word</group>
      <groupName>字词问题</groupName>
      <ability>L2_Typo</ability>
      <abilityName>字词错误</abilityName>
      <candidateList>
        <item>百家岩</item>
      </candidateList>
      <explain/>
      <paraID> 2968114</paraID>
      <start>1542</start>
      <end>1548</end>
      <status>unmodified</status>
      <modifiedWord/>
      <trackRevisions>false</trackRevisions>
    </reviewItem>
    <reviewItem>
      <errorID>3b59d137-6b5e-48b0-a287-c0565b962917</errorID>
      <errorWord>封村</errorWord>
      <group>L1_Sensitive</group>
      <groupName>敏感问题</groupName>
      <ability>L2_Prohibited</ability>
      <abilityName>违禁内容</abilityName>
      <candidateList/>
      <explain>【违禁内容】句中涉及国家法律明令禁止的违禁内容，请注意甄别。</explain>
      <paraID> 2968114</paraID>
      <start>2917</start>
      <end>2919</end>
      <status>unmodified</status>
      <modifiedWord/>
      <trackRevisions>false</trackRevisions>
    </reviewItem>
    <reviewItem>
      <errorID>42569c0f-e687-4ccb-b5cf-f48f0f8e77d2</errorID>
      <errorWord>甲板创</errorWord>
      <group>L1_Word</group>
      <groupName>字词问题</groupName>
      <ability>L2_Typo</ability>
      <abilityName>字词错误</abilityName>
      <candidateList>
        <item>甲板</item>
      </candidateList>
      <explain/>
      <paraID> 2968114</paraID>
      <start>3216</start>
      <end>3219</end>
      <status>unmodified</status>
      <modifiedWord/>
      <trackRevisions>false</trackRevisions>
    </reviewItem>
    <reviewItem>
      <errorID>fe9f2d81-099f-4f69-b68b-03cacee7d738</errorID>
      <errorWord>甲板创</errorWord>
      <group>L1_Word</group>
      <groupName>字词问题</groupName>
      <ability>L2_Typo</ability>
      <abilityName>字词错误</abilityName>
      <candidateList>
        <item>甲板</item>
      </candidateList>
      <explain/>
      <paraID> 2968114</paraID>
      <start>3468</start>
      <end>3471</end>
      <status>unmodified</status>
      <modifiedWord/>
      <trackRevisions>false</trackRevisions>
    </reviewItem>
    <reviewItem>
      <errorID>43c9d6b5-06b7-44de-ab12-0bfa9e6b7af3</errorID>
      <errorWord>桃</errorWord>
      <group>L1_Word</group>
      <groupName>字词问题</groupName>
      <ability>L2_Typo</ability>
      <abilityName>字词错误</abilityName>
      <candidateList>
        <item>桃园</item>
      </candidateList>
      <explain/>
      <paraID>55E23E17</paraID>
      <start>267</start>
      <end>268</end>
      <status>unmodified</status>
      <modifiedWord/>
      <trackRevisions>false</trackRevisions>
    </reviewItem>
    <reviewItem>
      <errorID>e0a3ea85-bcd1-430d-8590-82368b0b3dd6</errorID>
      <errorWord>清化</errorWord>
      <group>L1_Word</group>
      <groupName>字词问题</groupName>
      <ability>L2_Typo</ability>
      <abilityName>字词错误</abilityName>
      <candidateList>
        <item>青花</item>
      </candidateList>
      <explain/>
      <paraID>55E23E17</paraID>
      <start>496</start>
      <end>498</end>
      <status>unmodified</status>
      <modifiedWord/>
      <trackRevisions>false</trackRevisions>
    </reviewItem>
    <reviewItem>
      <errorID>edb6775c-b3f8-493a-90a1-a5c8da6f36da</errorID>
      <errorWord>山缸</errorWord>
      <group>L1_Word</group>
      <groupName>字词问题</groupName>
      <ability>L2_Typo</ability>
      <abilityName>字词错误</abilityName>
      <candidateList>
        <item>山岗</item>
      </candidateList>
      <explain>存在发音相同字词的误用。</explain>
      <paraID>55E23E17</paraID>
      <start>1064</start>
      <end>1066</end>
      <status>unmodified</status>
      <modifiedWord/>
      <trackRevisions>false</trackRevisions>
    </reviewItem>
    <reviewItem>
      <errorID>1da7ea37-dca9-4385-bfa1-7410dec01856</errorID>
      <errorWord>綵</errorWord>
      <group>L1_Word</group>
      <groupName>字词问题</groupName>
      <ability>L2_Fanti</ability>
      <abilityName>繁转简</abilityName>
      <candidateList>
        <item>彩</item>
      </candidateList>
      <explain/>
      <paraID> 5E6EAA3</paraID>
      <start>223</start>
      <end>224</end>
      <status>unmodified</status>
      <modifiedWord/>
      <trackRevisions>false</trackRevisions>
    </reviewItem>
    <reviewItem>
      <errorID>98a9be7f-8b5b-4953-a75a-0cf2be1f0dfc</errorID>
      <errorWord>狙击战</errorWord>
      <group>L1_Word</group>
      <groupName>字词问题</groupName>
      <ability>L2_Variant</ability>
      <abilityName>异形词</abilityName>
      <candidateList>
        <item>阻击战</item>
      </candidateList>
      <explain>词汇[狙击战]的规范词形写作[阻击战]。</explain>
      <paraID> 5E6EAA3</paraID>
      <start>683</start>
      <end>686</end>
      <status>unmodified</status>
      <modifiedWord/>
      <trackRevisions>false</trackRevisions>
    </reviewItem>
    <reviewItem>
      <errorID>7591bd5f-5cee-42f2-9872-7e93998d3761</errorID>
      <errorWord>一天</errorWord>
      <group>L1_Knowledge</group>
      <groupName>知识性问题</groupName>
      <ability>L2_Knowledge</ability>
      <abilityName>其他知识</abilityName>
      <candidateList>
        <item>一号</item>
      </candidateList>
      <explain/>
      <paraID> 5E6EAA3</paraID>
      <start>694</start>
      <end>696</end>
      <status>unmodified</status>
      <modifiedWord/>
      <trackRevisions>false</trackRevisions>
    </reviewItem>
    <reviewItem>
      <errorID>d6cc2aa5-ca65-41da-8860-e9072e62fc15</errorID>
      <errorWord>峡谷常</errorWord>
      <group>L1_Word</group>
      <groupName>字词问题</groupName>
      <ability>L2_Typo</ability>
      <abilityName>字词错误</abilityName>
      <candidateList>
        <item>峡谷</item>
      </candidateList>
      <explain/>
      <paraID> 5E6EAA3</paraID>
      <start>824</start>
      <end>827</end>
      <status>unmodified</status>
      <modifiedWord/>
      <trackRevisions>false</trackRevisions>
    </reviewItem>
    <reviewItem>
      <errorID>3754431d-636e-447b-9fc7-38c262f34bf5</errorID>
      <errorWord>博物石</errorWord>
      <group>L1_Word</group>
      <groupName>字词问题</groupName>
      <ability>L2_Typo</ability>
      <abilityName>字词错误</abilityName>
      <candidateList>
        <item>博物馆</item>
      </candidateList>
      <explain/>
      <paraID>29E0E715</paraID>
      <start>458</start>
      <end>461</end>
      <status>unmodified</status>
      <modifiedWord/>
      <trackRevisions>false</trackRevisions>
    </reviewItem>
    <reviewItem>
      <errorID>0a97a687-d51a-4c81-9417-67440600711b</errorID>
      <errorWord>、和</errorWord>
      <group>L1_Punc</group>
      <groupName>标点问题</groupName>
      <ability>L2_Punc</ability>
      <abilityName>标点符号检查</abilityName>
      <candidateList>
        <item>和</item>
      </candidateList>
      <explain>“及”“和”“等”连词前不宜使用顿号，建议删除（或使用逗号）。</explain>
      <paraID>5FB2A34B</paraID>
      <start>749</start>
      <end>751</end>
      <status>unmodified</status>
      <modifiedWord/>
      <trackRevisions>false</trackRevisions>
    </reviewItem>
    <reviewItem>
      <errorID>0a4452bb-a0f9-4bef-bc90-c4c75b226100</errorID>
      <errorWord>、和</errorWord>
      <group>L1_Punc</group>
      <groupName>标点问题</groupName>
      <ability>L2_Punc</ability>
      <abilityName>标点符号检查</abilityName>
      <candidateList>
        <item>和</item>
      </candidateList>
      <explain>“及”“和”“等”连词前不宜使用顿号，建议删除（或使用逗号）。</explain>
      <paraID>5FB2A34B</paraID>
      <start>753</start>
      <end>755</end>
      <status>unmodified</status>
      <modifiedWord/>
      <trackRevisions>false</trackRevisions>
    </reviewItem>
    <reviewItem>
      <errorID>b6e2ae76-a04b-486b-909d-ea75172e2cec</errorID>
      <errorWord>茶法</errorWord>
      <group>L1_Word</group>
      <groupName>字词问题</groupName>
      <ability>L2_Typo</ability>
      <abilityName>字词错误</abilityName>
      <candidateList>
        <item>茶坊</item>
      </candidateList>
      <explain/>
      <paraID>2B0D79D7</paraID>
      <start>187</start>
      <end>189</end>
      <status>unmodified</status>
      <modifiedWord/>
      <trackRevisions>false</trackRevisions>
    </reviewItem>
    <reviewItem>
      <errorID>22eb54b7-ad44-4fe0-9887-d4b564a3a9c2</errorID>
      <errorWord>国家</errorWord>
      <group>L1_Word</group>
      <groupName>字词问题</groupName>
      <ability>L2_Typo</ability>
      <abilityName>字词错误</abilityName>
      <candidateList>
        <item>国际</item>
      </candidateList>
      <explain>存在发音相近字词的误用。</explain>
      <paraID>2B0D79D7</paraID>
      <start>501</start>
      <end>503</end>
      <status>unmodified</status>
      <modifiedWord/>
      <trackRevisions>false</trackRevisions>
    </reviewItem>
    <reviewItem>
      <errorID>6581aeb4-ba25-40f5-9203-a7655b503c89</errorID>
      <errorWord>马马</errorWord>
      <group>L1_Word</group>
      <groupName>字词问题</groupName>
      <ability>L2_Typo</ability>
      <abilityName>字词错误</abilityName>
      <candidateList>
        <item>马</item>
      </candidateList>
      <explain/>
      <paraID>4FC6F02E</paraID>
      <start>36</start>
      <end>38</end>
      <status>unmodified</status>
      <modifiedWord/>
      <trackRevisions>false</trackRevisions>
    </reviewItem>
    <reviewItem>
      <errorID>a1f86bd8-4359-4f11-91a4-ceefb4843dd3</errorID>
      <errorWord>多</errorWord>
      <group>L1_Word</group>
      <groupName>字词问题</groupName>
      <ability>L2_Typo</ability>
      <abilityName>字词错误</abilityName>
      <candidateList>
        <item>多个</item>
      </candidateList>
      <explain/>
      <paraID>3AD2B541</paraID>
      <start>149</start>
      <end>150</end>
      <status>unmodified</status>
      <modifiedWord/>
      <trackRevisions>false</trackRevisions>
    </reviewItem>
    <reviewItem>
      <errorID>5e8bc973-405e-41eb-b4b4-5fec4ad2f903</errorID>
      <errorWord>、和</errorWord>
      <group>L1_Punc</group>
      <groupName>标点问题</groupName>
      <ability>L2_Punc</ability>
      <abilityName>标点符号检查</abilityName>
      <candidateList>
        <item>和</item>
      </candidateList>
      <explain>“及”“和”“等”连词前不宜使用顿号，建议删除（或使用逗号）。</explain>
      <paraID>1365FC75</paraID>
      <start>14</start>
      <end>16</end>
      <status>unmodified</status>
      <modifiedWord/>
      <trackRevisions>false</trackRevisions>
    </reviewItem>
    <reviewItem>
      <errorID>ece198b4-bbdb-4ac2-8798-8efc25c73bb2</errorID>
      <errorWord>、和</errorWord>
      <group>L1_Punc</group>
      <groupName>标点问题</groupName>
      <ability>L2_Punc</ability>
      <abilityName>标点符号检查</abilityName>
      <candidateList>
        <item>和</item>
      </candidateList>
      <explain>“及”“和”“等”连词前不宜使用顿号，建议删除（或使用逗号）。</explain>
      <paraID>1365FC75</paraID>
      <start>62</start>
      <end>64</end>
      <status>unmodified</status>
      <modifiedWord/>
      <trackRevisions>false</trackRevisions>
    </reviewItem>
    <reviewItem>
      <errorID>ce1a31dd-c95b-4b79-8c52-8960624f4bda</errorID>
      <errorWord>，</errorWord>
      <group>L1_Word</group>
      <groupName>字词问题</groupName>
      <ability>L2_Typo</ability>
      <abilityName>字词错误</abilityName>
      <candidateList>
        <item>，具</item>
      </candidateList>
      <explain/>
      <paraID>27D09023</paraID>
      <start>83</start>
      <end>84</end>
      <status>unmodified</status>
      <modifiedWord/>
      <trackRevisions>false</trackRevisions>
    </reviewItem>
    <reviewItem>
      <errorID>b145920f-67d7-44ed-9aea-54bd2213e7df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3EEB4445</paraID>
      <start>0</start>
      <end>2</end>
      <status>unmodified</status>
      <modifiedWord/>
      <trackRevisions>false</trackRevisions>
    </reviewItem>
    <reviewItem>
      <errorID>8b20f7af-1029-48fe-9f65-44a77d7db538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815BA7C</paraID>
      <start>0</start>
      <end>2</end>
      <status>unmodified</status>
      <modifiedWord/>
      <trackRevisions>false</trackRevisions>
    </reviewItem>
    <reviewItem>
      <errorID>a042737b-6e5f-4988-aab6-1498a4f261dc</errorID>
      <errorWord>成为了</errorWord>
      <group>L1_Word</group>
      <groupName>字词问题</groupName>
      <ability>L2_Typo</ability>
      <abilityName>字词错误</abilityName>
      <candidateList>
        <item>成为</item>
      </candidateList>
      <explain>〈动〉变成：～先进工作者。</explain>
      <paraID>33781DDC</paraID>
      <start>88</start>
      <end>91</end>
      <status>unmodified</status>
      <modifiedWord/>
      <trackRevisions>false</trackRevisions>
    </reviewItem>
    <reviewItem>
      <errorID>dcf4c50b-e3b6-4f3b-97a5-0faed957683d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1540AEDD</paraID>
      <start>0</start>
      <end>2</end>
      <status>unmodified</status>
      <modifiedWord/>
      <trackRevisions>false</trackRevisions>
    </reviewItem>
    <reviewItem>
      <errorID>54a3bfcf-6e30-4771-b7c9-61e6fa4b6949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71819719</paraID>
      <start>0</start>
      <end>2</end>
      <status>unmodified</status>
      <modifiedWord/>
      <trackRevisions>false</trackRevisions>
    </reviewItem>
    <reviewItem>
      <errorID>7c168066-86bc-4d90-8bd0-4965a923d041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5CD396DD</paraID>
      <start>0</start>
      <end>2</end>
      <status>unmodified</status>
      <modifiedWord/>
      <trackRevisions>false</trackRevisions>
    </reviewItem>
    <reviewItem>
      <errorID>52e0275b-f308-45a1-bb84-61c47aca078c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27D545D7</paraID>
      <start>0</start>
      <end>2</end>
      <status>unmodified</status>
      <modifiedWord/>
      <trackRevisions>false</trackRevisions>
    </reviewItem>
    <reviewItem>
      <errorID>3dbce4da-fd65-4b60-95e7-1021125805e8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24C22623</paraID>
      <start>0</start>
      <end>2</end>
      <status>unmodified</status>
      <modifiedWord/>
      <trackRevisions>false</trackRevisions>
    </reviewItem>
    <reviewItem>
      <errorID>6a4bfa6d-6502-47aa-b8ca-5d5412fbb99f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2050F97A</paraID>
      <start>0</start>
      <end>2</end>
      <status>unmodified</status>
      <modifiedWord/>
      <trackRevisions>false</trackRevisions>
    </reviewItem>
    <reviewItem>
      <errorID>ad03e672-c7d3-43f9-b4e5-c92d8475d76b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454DD834</paraID>
      <start>0</start>
      <end>2</end>
      <status>unmodified</status>
      <modifiedWord/>
      <trackRevisions>false</trackRevisions>
    </reviewItem>
    <reviewItem>
      <errorID>469bbbd8-d6b9-4f7c-9a72-04e083381f26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81DCAA7</paraID>
      <start>0</start>
      <end>2</end>
      <status>unmodified</status>
      <modifiedWord/>
      <trackRevisions>false</trackRevisions>
    </reviewItem>
    <reviewItem>
      <errorID>fa966bf2-4ca0-4f9b-a43d-2e023d19cc82</errorID>
      <errorWord>博竹</errorWord>
      <group>L1_Word</group>
      <groupName>字词问题</groupName>
      <ability>L2_Typo</ability>
      <abilityName>字词错误</abilityName>
      <candidateList>
        <item>博物</item>
      </candidateList>
      <explain/>
      <paraID>10B5CC18</paraID>
      <start>36</start>
      <end>38</end>
      <status>unmodified</status>
      <modifiedWord/>
      <trackRevisions>false</trackRevisions>
    </reviewItem>
    <reviewItem>
      <errorID>c79f8a95-ae2b-4563-a2d8-8eb0c3b064d8</errorID>
      <errorWord>博竹</errorWord>
      <group>L1_Word</group>
      <groupName>字词问题</groupName>
      <ability>L2_Typo</ability>
      <abilityName>字词错误</abilityName>
      <candidateList>
        <item>博物</item>
      </candidateList>
      <explain/>
      <paraID> C8B2594</paraID>
      <start>62</start>
      <end>64</end>
      <status>unmodified</status>
      <modifiedWord/>
      <trackRevisions>false</trackRevisions>
    </reviewItem>
    <reviewItem>
      <errorID>eb98e9e3-e820-456a-b18d-4512a71e64b4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17552360</paraID>
      <start>0</start>
      <end>2</end>
      <status>unmodified</status>
      <modifiedWord/>
      <trackRevisions>false</trackRevisions>
    </reviewItem>
    <reviewItem>
      <errorID>5653e7e5-9526-4d0a-8ba2-89207d1675d2</errorID>
      <errorWord>石孔</errorWord>
      <group>L1_Word</group>
      <groupName>字词问题</groupName>
      <ability>L2_Typo</ability>
      <abilityName>字词错误</abilityName>
      <candidateList>
        <item>石窟</item>
      </candidateList>
      <explain/>
      <paraID>15915D86</paraID>
      <start>441</start>
      <end>443</end>
      <status>unmodified</status>
      <modifiedWord/>
      <trackRevisions>false</trackRevisions>
    </reviewItem>
    <reviewItem>
      <errorID>daab3053-0eab-4c55-bdbb-295593eab2fa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446CA84F</paraID>
      <start>0</start>
      <end>2</end>
      <status>unmodified</status>
      <modifiedWord/>
      <trackRevisions>false</trackRevisions>
    </reviewItem>
    <reviewItem>
      <errorID>e2bfc772-ec56-4c0c-b88e-0f093697eac5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D0A6EDF</paraID>
      <start>0</start>
      <end>2</end>
      <status>unmodified</status>
      <modifiedWord/>
      <trackRevisions>false</trackRevisions>
    </reviewItem>
    <reviewItem>
      <errorID>242128ab-81a6-4822-bb74-79ad2040bf14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3AF8CF46</paraID>
      <start>0</start>
      <end>2</end>
      <status>unmodified</status>
      <modifiedWord/>
      <trackRevisions>false</trackRevisions>
    </reviewItem>
    <reviewItem>
      <errorID>009e738c-ecf3-409e-98a3-6cdb6aa200fe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7B26D8F8</paraID>
      <start>0</start>
      <end>2</end>
      <status>unmodified</status>
      <modifiedWord/>
      <trackRevisions>false</trackRevisions>
    </reviewItem>
    <reviewItem>
      <errorID>8f58e203-2113-4f17-80b4-e8776bdcb99b</errorID>
      <errorWord>一桌</errorWord>
      <group>L1_Word</group>
      <groupName>字词问题</groupName>
      <ability>L2_Typo</ability>
      <abilityName>字词错误</abilityName>
      <candidateList>
        <item>一场</item>
      </candidateList>
      <explain/>
      <paraID>13BF3854</paraID>
      <start>202</start>
      <end>204</end>
      <status>unmodified</status>
      <modifiedWord/>
      <trackRevisions>false</trackRevisions>
    </reviewItem>
    <reviewItem>
      <errorID>f480bd38-0b7e-4d42-8883-dac10bf45416</errorID>
      <errorWord>缝山</errorWord>
      <group>L1_Word</group>
      <groupName>字词问题</groupName>
      <ability>L2_Typo</ability>
      <abilityName>字词错误</abilityName>
      <candidateList>
        <item>凤山</item>
      </candidateList>
      <explain>存在发音相同字词的误用。</explain>
      <paraID>59395A52</paraID>
      <start>21</start>
      <end>23</end>
      <status>unmodified</status>
      <modifiedWord/>
      <trackRevisions>false</trackRevisions>
    </reviewItem>
    <reviewItem>
      <errorID>42169c46-e7b5-41f5-956e-7eb2409ac0fe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29FA5826</paraID>
      <start>0</start>
      <end>2</end>
      <status>unmodified</status>
      <modifiedWord/>
      <trackRevisions>false</trackRevisions>
    </reviewItem>
    <reviewItem>
      <errorID>f1c6b354-3513-43d0-82a9-bf01e6acf750</errorID>
      <errorWord>缝山</errorWord>
      <group>L1_Word</group>
      <groupName>字词问题</groupName>
      <ability>L2_Typo</ability>
      <abilityName>字词错误</abilityName>
      <candidateList>
        <item>凤山</item>
      </candidateList>
      <explain>存在发音相同字词的误用。</explain>
      <paraID>48F609B9</paraID>
      <start>17</start>
      <end>19</end>
      <status>unmodified</status>
      <modifiedWord/>
      <trackRevisions>false</trackRevisions>
    </reviewItem>
    <reviewItem>
      <errorID>afaaa364-b7ab-40ed-b909-5defc47d5389</errorID>
      <errorWord>缝山</errorWord>
      <group>L1_Word</group>
      <groupName>字词问题</groupName>
      <ability>L2_Typo</ability>
      <abilityName>字词错误</abilityName>
      <candidateList>
        <item>凤山</item>
      </candidateList>
      <explain>存在发音相同字词的误用。</explain>
      <paraID>797EA07E</paraID>
      <start>59</start>
      <end>61</end>
      <status>unmodified</status>
      <modifiedWord/>
      <trackRevisions>false</trackRevisions>
    </reviewItem>
    <reviewItem>
      <errorID>0dd2386e-42e0-43cd-ae6d-b37506ce4339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2BCDDFD1</paraID>
      <start>0</start>
      <end>2</end>
      <status>unmodified</status>
      <modifiedWord/>
      <trackRevisions>false</trackRevisions>
    </reviewItem>
    <reviewItem>
      <errorID>5d15a258-b0c1-4784-a013-f496000628df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5115848B</paraID>
      <start>0</start>
      <end>2</end>
      <status>unmodified</status>
      <modifiedWord/>
      <trackRevisions>false</trackRevisions>
    </reviewItem>
    <reviewItem>
      <errorID>986b9fc9-0b89-4aa8-b1cb-8bb5b338dc77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3829BF14</paraID>
      <start>0</start>
      <end>2</end>
      <status>unmodified</status>
      <modifiedWord/>
      <trackRevisions>false</trackRevisions>
    </reviewItem>
    <reviewItem>
      <errorID>7b62b569-56cd-4401-9ce7-646baa213b07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4EF44A0D</paraID>
      <start>0</start>
      <end>2</end>
      <status>unmodified</status>
      <modifiedWord/>
      <trackRevisions>false</trackRevisions>
    </reviewItem>
    <reviewItem>
      <errorID>6380c3c1-7297-46c2-a6e4-0028f672b506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673CB0CA</paraID>
      <start>0</start>
      <end>2</end>
      <status>unmodified</status>
      <modifiedWord/>
      <trackRevisions>false</trackRevisions>
    </reviewItem>
    <reviewItem>
      <errorID>4dcc8027-c1c0-4d3f-9f9b-3b844b44354b</errorID>
      <errorWord>综合文化</errorWord>
      <group>L1_Knowledge</group>
      <groupName>知识性问题</groupName>
      <ability>L2_Term</ability>
      <abilityName>专业术语</abilityName>
      <candidateList>
        <item>和合文化</item>
      </candidateList>
      <explain/>
      <paraID>1412EEF0</paraID>
      <start>27</start>
      <end>31</end>
      <status>unmodified</status>
      <modifiedWord/>
      <trackRevisions>false</trackRevisions>
    </reviewItem>
    <reviewItem>
      <errorID>3929d9d7-6e05-408e-8478-981378426a8e</errorID>
      <errorWord>综合文化</errorWord>
      <group>L1_Knowledge</group>
      <groupName>知识性问题</groupName>
      <ability>L2_Term</ability>
      <abilityName>专业术语</abilityName>
      <candidateList>
        <item>和合文化</item>
      </candidateList>
      <explain/>
      <paraID>5ABE8981</paraID>
      <start>0</start>
      <end>4</end>
      <status>unmodified</status>
      <modifiedWord/>
      <trackRevisions>false</trackRevisions>
    </reviewItem>
    <reviewItem>
      <errorID>efb6a425-515a-4d34-8ee7-2674f7265889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75031D4F</paraID>
      <start>0</start>
      <end>2</end>
      <status>unmodified</status>
      <modifiedWord/>
      <trackRevisions>false</trackRevisions>
    </reviewItem>
    <reviewItem>
      <errorID>632e1426-e4c2-4f67-83f8-1352c45ecbcb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A115E3C</paraID>
      <start>0</start>
      <end>2</end>
      <status>unmodified</status>
      <modifiedWord/>
      <trackRevisions>false</trackRevisions>
    </reviewItem>
    <reviewItem>
      <errorID>e8fe18e0-0a2c-421a-aaeb-b17de223bdcc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160ACE3C</paraID>
      <start>0</start>
      <end>2</end>
      <status>unmodified</status>
      <modifiedWord/>
      <trackRevisions>false</trackRevisions>
    </reviewItem>
    <reviewItem>
      <errorID>afa2f81c-2e0e-494a-972b-455255465590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5DF72EF7</paraID>
      <start>0</start>
      <end>2</end>
      <status>unmodified</status>
      <modifiedWord/>
      <trackRevisions>false</trackRevisions>
    </reviewItem>
    <reviewItem>
      <errorID>514a7e0b-632a-4dc5-8828-ed9141330666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28544308</paraID>
      <start>0</start>
      <end>2</end>
      <status>unmodified</status>
      <modifiedWord/>
      <trackRevisions>false</trackRevisions>
    </reviewItem>
    <reviewItem>
      <errorID>04d16d12-93dc-4b5e-88ba-ea21bef4c1ce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40F46526</paraID>
      <start>0</start>
      <end>2</end>
      <status>unmodified</status>
      <modifiedWord/>
      <trackRevisions>false</trackRevisions>
    </reviewItem>
    <reviewItem>
      <errorID>ed5c333b-4f5e-41a5-9291-f849eff72bf7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6B6B7AE1</paraID>
      <start>0</start>
      <end>2</end>
      <status>unmodified</status>
      <modifiedWord/>
      <trackRevisions>false</trackRevisions>
    </reviewItem>
    <reviewItem>
      <errorID>369fad66-91be-4326-8245-d670a17a0916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1EDADC69</paraID>
      <start>0</start>
      <end>2</end>
      <status>unmodified</status>
      <modifiedWord/>
      <trackRevisions>false</trackRevisions>
    </reviewItem>
    <reviewItem>
      <errorID>8382df40-6bff-40a4-a441-76fe65c5e62a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12AABFDE</paraID>
      <start>0</start>
      <end>2</end>
      <status>unmodified</status>
      <modifiedWord/>
      <trackRevisions>false</trackRevisions>
    </reviewItem>
    <reviewItem>
      <errorID>da57f175-3b6a-4b6e-b2bf-ede665917be0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34F28026</paraID>
      <start>0</start>
      <end>2</end>
      <status>unmodified</status>
      <modifiedWord/>
      <trackRevisions>false</trackRevisions>
    </reviewItem>
    <reviewItem>
      <errorID>4b7bb106-d5b7-4e31-9407-03a6043e3c7b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34E9F105</paraID>
      <start>0</start>
      <end>2</end>
      <status>unmodified</status>
      <modifiedWord/>
      <trackRevisions>false</trackRevisions>
    </reviewItem>
    <reviewItem>
      <errorID>2bef2fec-6850-4b9c-b96a-c90fa7565a9d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65699CC3</paraID>
      <start>0</start>
      <end>2</end>
      <status>unmodified</status>
      <modifiedWord/>
      <trackRevisions>false</trackRevisions>
    </reviewItem>
    <reviewItem>
      <errorID>6b4cf134-23ee-4087-8617-283400870fe9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14AE85F3</paraID>
      <start>0</start>
      <end>2</end>
      <status>unmodified</status>
      <modifiedWord/>
      <trackRevisions>false</trackRevisions>
    </reviewItem>
    <reviewItem>
      <errorID>1bc7a9da-83bf-4a00-8da5-2b1aaf9fb647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7FAD1949</paraID>
      <start>0</start>
      <end>2</end>
      <status>unmodified</status>
      <modifiedWord/>
      <trackRevisions>false</trackRevisions>
    </reviewItem>
    <reviewItem>
      <errorID>c5091a5c-c97b-4b22-8129-074100f6fe79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7C4440C5</paraID>
      <start>0</start>
      <end>2</end>
      <status>unmodified</status>
      <modifiedWord/>
      <trackRevisions>false</trackRevisions>
    </reviewItem>
    <reviewItem>
      <errorID>4f077483-62d9-4fad-88df-a01383a6e41e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2C4916FD</paraID>
      <start>0</start>
      <end>2</end>
      <status>unmodified</status>
      <modifiedWord/>
      <trackRevisions>false</trackRevisions>
    </reviewItem>
    <reviewItem>
      <errorID>4dba1c39-1fd2-4b44-b0dc-731c47114fce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7B82638F</paraID>
      <start>0</start>
      <end>2</end>
      <status>unmodified</status>
      <modifiedWord/>
      <trackRevisions>false</trackRevisions>
    </reviewItem>
    <reviewItem>
      <errorID>9138d6ee-40b6-4f79-9efc-3ecda5f51139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72F9B17D</paraID>
      <start>0</start>
      <end>2</end>
      <status>unmodified</status>
      <modifiedWord/>
      <trackRevisions>false</trackRevisions>
    </reviewItem>
    <reviewItem>
      <errorID>ff5cd1f0-c687-4cfe-8839-b92d25f16a85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432ACBCF</paraID>
      <start>0</start>
      <end>2</end>
      <status>unmodified</status>
      <modifiedWord/>
      <trackRevisions>false</trackRevisions>
    </reviewItem>
    <reviewItem>
      <errorID>a1131c7c-0203-4324-b9f0-44d27482f78a</errorID>
      <errorWord>名闻</errorWord>
      <group>L1_Word</group>
      <groupName>字词问题</groupName>
      <ability>L2_Typo</ability>
      <abilityName>字词错误</abilityName>
      <candidateList>
        <item>闻名</item>
      </candidateList>
      <explain/>
      <paraID>58E04124</paraID>
      <start>53</start>
      <end>55</end>
      <status>unmodified</status>
      <modifiedWord/>
      <trackRevisions>false</trackRevisions>
    </reviewItem>
    <reviewItem>
      <errorID>fd8d225d-481e-4abc-a285-4d21749c0dfd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3EA05EA4</paraID>
      <start>0</start>
      <end>2</end>
      <status>unmodified</status>
      <modifiedWord/>
      <trackRevisions>false</trackRevisions>
    </reviewItem>
    <reviewItem>
      <errorID>cc3b4c26-028f-4799-826a-25d58df7d513</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2183B908</paraID>
      <start>0</start>
      <end>2</end>
      <status>unmodified</status>
      <modifiedWord/>
      <trackRevisions>false</trackRevisions>
    </reviewItem>
    <reviewItem>
      <errorID>6e01a505-0330-468a-80f6-ec2bcca85b87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3466B0A4</paraID>
      <start>0</start>
      <end>2</end>
      <status>unmodified</status>
      <modifiedWord/>
      <trackRevisions>false</trackRevisions>
    </reviewItem>
    <reviewItem>
      <errorID>d9782135-74ab-420d-ada8-ceabcf35927e</errorID>
      <errorWord>亲眼目睹</errorWord>
      <group>L1_Word</group>
      <groupName>字词问题</groupName>
      <ability>L2_Alias</ability>
      <abilityName>也作/曾用词</abilityName>
      <candidateList>
        <item>亲眼看见</item>
      </candidateList>
      <explain>词汇[亲眼目睹]为不规范表述或旧称，其规范书面表述为[亲眼看见]。</explain>
      <paraID>75DE141A</paraID>
      <start>46</start>
      <end>50</end>
      <status>unmodified</status>
      <modifiedWord/>
      <trackRevisions>false</trackRevisions>
    </reviewItem>
    <reviewItem>
      <errorID>602d4a0c-3c63-40d3-b599-735775307857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1037707A</paraID>
      <start>0</start>
      <end>2</end>
      <status>unmodified</status>
      <modifiedWord/>
      <trackRevisions>false</trackRevisions>
    </reviewItem>
    <reviewItem>
      <errorID>436fb0f1-2260-4fc2-a229-d0124b9ad5ec</errorID>
      <errorWord>主要以历史文物为主</errorWord>
      <group>L1_Word</group>
      <groupName>字词问题</groupName>
      <ability>L2_Typo</ability>
      <abilityName>字词错误</abilityName>
      <candidateList>
        <item>以历史文物为主</item>
      </candidateList>
      <explain/>
      <paraID>6714D8D5</paraID>
      <start>9</start>
      <end>18</end>
      <status>unmodified</status>
      <modifiedWord/>
      <trackRevisions>false</trackRevisions>
    </reviewItem>
    <reviewItem>
      <errorID>64e5c110-2611-43d5-ad80-e2cd87c82a41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79BF9F86</paraID>
      <start>0</start>
      <end>2</end>
      <status>unmodified</status>
      <modifiedWord/>
      <trackRevisions>false</trackRevisions>
    </reviewItem>
    <reviewItem>
      <errorID>e95244a7-dde9-4a7e-8da1-da267d919cab</errorID>
      <errorWord>是拟</errorWord>
      <group>L1_Word</group>
      <groupName>字词问题</groupName>
      <ability>L2_Typo</ability>
      <abilityName>字词错误</abilityName>
      <candidateList>
        <item>是</item>
      </candidateList>
      <explain>〈动〉❶联系两种事物，表明两者同一或后者说明前者的种类、属性：《阿Q正传》的作者～鲁迅｜节约～不浪费的意思。❷与“的”字配合使用，有分类的作用：这张桌子～石头的｜那瓶墨水～红的｜我～来看他的。❸联系两种事物，表示陈述的对象属于“是”后面所说的情况：他～一片好心｜咱们～好汉一言，快马一鞭｜院子里～冬天，屋子里～春天。❹表示存在，主语通常是表处所的语词，“是”后面表示存在的事物：村子前面～一片水田｜他跑得满身～汗。❺“是”前后用相同的名词或动词，连用两个这样的格式，表示所说的几桩事物互不相干，不能混淆：去年～去年，今年～今年，你当年年一个样哪！｜说～说，做～做，有意见也不能耽误干活儿。❻在上半句里“是”前后用相同的名词、形容词或动词，表示让步，含有“虽然”的意思：诗～好诗，就是长了点｜东西旧～旧，可是还能用｜我去～去，可是不在那儿吃饭。❼用在句首，加重语气：～谁告诉你的？｜～国防战士，日日夜夜保卫着祖国，咱们才能过幸福的日子。❽用在名词前面，含有“凡是”的意思：～有利于群众的事情他都肯干。❾用在名词前面，含有“适合”的意思：他想的很～路｜这场雨下的～时候｜东西放的都挺～地方。❿用在选择问句、是非问句或反问句里：你～吃米饭～吃面？｜他不～走了吗？｜你～累了不～？○11（必须重读）表示坚决肯定，含有“的确、实在”的意思：我打听清楚了，他那天～没去｜这本书～好，你可以看看。</explain>
      <paraID>6E8F6E4C</paraID>
      <start>24</start>
      <end>26</end>
      <status>unmodified</status>
      <modifiedWord/>
      <trackRevisions>false</trackRevisions>
    </reviewItem>
    <reviewItem>
      <errorID>b5138ea5-328c-413c-8e9e-afa8b7a3efcd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319A6169</paraID>
      <start>0</start>
      <end>2</end>
      <status>unmodified</status>
      <modifiedWord/>
      <trackRevisions>false</trackRevisions>
    </reviewItem>
    <reviewItem>
      <errorID>58c7544a-a578-463d-85e7-e993415600c6</errorID>
      <errorWord>提高</errorWord>
      <group>L1_Word</group>
      <groupName>字词问题</groupName>
      <ability>L2_Typo</ability>
      <abilityName>字词错误</abilityName>
      <candidateList>
        <item>增强</item>
      </candidateList>
      <explain>“提高～意识”搭配不当，建议修改为“增强～意识”。</explain>
      <paraID>7323E69B</paraID>
      <start>98</start>
      <end>100</end>
      <status>unmodified</status>
      <modifiedWord/>
      <trackRevisions>false</trackRevisions>
    </reviewItem>
    <reviewItem>
      <errorID>404683ef-e047-41ca-8e2b-c1dfedbb7fce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5573C882</paraID>
      <start>0</start>
      <end>2</end>
      <status>unmodified</status>
      <modifiedWord/>
      <trackRevisions>false</trackRevisions>
    </reviewItem>
    <reviewItem>
      <errorID>830fdb3b-8ae4-413a-a366-e2143656b6fa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513F820D</paraID>
      <start>0</start>
      <end>2</end>
      <status>unmodified</status>
      <modifiedWord/>
      <trackRevisions>false</trackRevisions>
    </reviewItem>
    <reviewItem>
      <errorID>e1c7461e-df38-43ec-84ba-75707dcf8d9e</errorID>
      <errorWord>，</errorWord>
      <group>L1_Word</group>
      <groupName>字词问题</groupName>
      <ability>L2_Typo</ability>
      <abilityName>字词错误</abilityName>
      <candidateList>
        <item>，以</item>
      </candidateList>
      <explain/>
      <paraID>65C20D83</paraID>
      <start>67</start>
      <end>68</end>
      <status>unmodified</status>
      <modifiedWord/>
      <trackRevisions>false</trackRevisions>
    </reviewItem>
    <reviewItem>
      <errorID>7477cc07-2195-4e83-a149-ea5480a56955</errorID>
      <errorWord>，</errorWord>
      <group>L1_Word</group>
      <groupName>字词问题</groupName>
      <ability>L2_Typo</ability>
      <abilityName>字词错误</abilityName>
      <candidateList>
        <item>，为</item>
      </candidateList>
      <explain/>
      <paraID>65C20D83</paraID>
      <start>107</start>
      <end>108</end>
      <status>unmodified</status>
      <modifiedWord/>
      <trackRevisions>false</trackRevisions>
    </reviewItem>
    <reviewItem>
      <errorID>66598766-c16d-4b37-8ab5-183c9e276612</errorID>
      <errorWord>地</errorWord>
      <group>L1_Word</group>
      <groupName>字词问题</groupName>
      <ability>L2_DDD</ability>
      <abilityName>的地得用法</abilityName>
      <candidateList>
        <item>的</item>
      </candidateList>
      <explain>“的”常用于连接修饰语与名词性中心语，表示属性、所属或描述。</explain>
      <paraID>37450869</paraID>
      <start>169</start>
      <end>170</end>
      <status>unmodified</status>
      <modifiedWord/>
      <trackRevisions>false</trackRevisions>
    </reviewItem>
    <reviewItem>
      <errorID>64df6511-bc95-4539-8d5d-cddb22265fde</errorID>
      <errorWord>加强</errorWord>
      <group>L1_Word</group>
      <groupName>字词问题</groupName>
      <ability>L2_Typo</ability>
      <abilityName>字词错误</abilityName>
      <candidateList>
        <item>加大</item>
      </candidateList>
      <explain>“加强～力度”搭配不当，建议修改为“加大～力度”。</explain>
      <paraID>7A50BF06</paraID>
      <start>172</start>
      <end>174</end>
      <status>unmodified</status>
      <modifiedWord/>
      <trackRevisions>false</trackRevisions>
    </reviewItem>
    <reviewItem>
      <errorID>e7f42839-ce98-4d59-9537-cfb4a0e18b94</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6AE2870F</paraID>
      <start>49</start>
      <end>50</end>
      <status>unmodified</status>
      <modifiedWord/>
      <trackRevisions>false</trackRevisions>
    </reviewItem>
    <reviewItem>
      <errorID>211b25e1-d6f9-434a-b96c-f9af1fe727b7</errorID>
      <errorWord>加强</errorWord>
      <group>L1_Word</group>
      <groupName>字词问题</groupName>
      <ability>L2_Typo</ability>
      <abilityName>字词错误</abilityName>
      <candidateList>
        <item>加大</item>
      </candidateList>
      <explain>“加强～力度”搭配不当，建议修改为“加大～力度”。</explain>
      <paraID>6AE2870F</paraID>
      <start>102</start>
      <end>104</end>
      <status>unmodified</status>
      <modifiedWord/>
      <trackRevisions>false</trackRevisions>
    </reviewItem>
    <reviewItem>
      <errorID>132a21c9-9e6e-46d0-9343-0d3b43bb2ee2</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5891F1F9</paraID>
      <start>62</start>
      <end>63</end>
      <status>unmodified</status>
      <modifiedWord/>
      <trackRevisions>false</trackRevisions>
    </reviewItem>
    <reviewItem>
      <errorID>6ff7be90-52ab-495c-a696-6d11f7e705e4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2F2D62FA</paraID>
      <start>0</start>
      <end>2</end>
      <status>unmodified</status>
      <modifiedWord/>
      <trackRevisions>false</trackRevisions>
    </reviewItem>
    <reviewItem>
      <errorID>ceef5be8-8986-44af-b443-62cd16554902</errorID>
      <errorWord>增强</errorWord>
      <group>L1_Word</group>
      <groupName>字词问题</groupName>
      <ability>L2_Typo</ability>
      <abilityName>字词错误</abilityName>
      <candidateList>
        <item>加深</item>
      </candidateList>
      <explain>“增强～认识”搭配不当，建议修改为“加深～认识”。</explain>
      <paraID>29056D39</paraID>
      <start>94</start>
      <end>96</end>
      <status>unmodified</status>
      <modifiedWord/>
      <trackRevisions>false</trackRevisions>
    </reviewItem>
    <reviewItem>
      <errorID>04d6ad94-87f4-41ef-a67d-36ec1fe15de7</errorID>
      <errorWord>提高</errorWord>
      <group>L1_Word</group>
      <groupName>字词问题</groupName>
      <ability>L2_Typo</ability>
      <abilityName>字词错误</abilityName>
      <candidateList>
        <item>增强</item>
      </candidateList>
      <explain>“提高～意识”搭配不当，建议修改为“增强～意识”。</explain>
      <paraID>29056D39</paraID>
      <start>150</start>
      <end>152</end>
      <status>unmodified</status>
      <modifiedWord/>
      <trackRevisions>false</trackRevisions>
    </reviewItem>
    <reviewItem>
      <errorID>de37bc2d-9000-4525-9c33-67a86c0d63bb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3B6B4EF6</paraID>
      <start>0</start>
      <end>2</end>
      <status>unmodified</status>
      <modifiedWord/>
      <trackRevisions>false</trackRevisions>
    </reviewItem>
    <reviewItem>
      <errorID>d2db21a6-7331-4efd-87ce-9053aa80312b</errorID>
      <errorWord>资源的</errorWord>
      <group>L1_Word</group>
      <groupName>字词问题</groupName>
      <ability>L2_Typo</ability>
      <abilityName>字词错误</abilityName>
      <candidateList>
        <item>资源</item>
      </candidateList>
      <explain>〈名〉生产资料或生活资料的天然来源：地下～｜水力～｜旅游～。</explain>
      <paraID>6CB0F3D3</paraID>
      <start>59</start>
      <end>62</end>
      <status>unmodified</status>
      <modifiedWord/>
      <trackRevisions>false</trackRevisions>
    </reviewItem>
    <reviewItem>
      <errorID>1d61c2f2-9b04-49c8-8b0a-dd938f6cab22</errorID>
      <errorWord>经济的快速发展</errorWord>
      <group>L1_Political</group>
      <groupName>政治性问题</groupName>
      <ability>L2_Keyword</ability>
      <abilityName>固定表述</abilityName>
      <candidateList>
        <item>经济快速发展</item>
      </candidateList>
      <explain>词汇“经济快速发展”在特定场景下为固定表述形式，请确认此处的“经济的快速发展”是否存在不当。</explain>
      <paraID>195A21D3</paraID>
      <start>99</start>
      <end>106</end>
      <status>unmodified</status>
      <modifiedWord/>
      <trackRevisions>false</trackRevisions>
    </reviewItem>
    <reviewItem>
      <errorID>74e3fffb-54f8-4fdf-8822-9f8bb50efbb1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571BF719</paraID>
      <start>0</start>
      <end>2</end>
      <status>unmodified</status>
      <modifiedWord/>
      <trackRevisions>false</trackRevisions>
    </reviewItem>
    <reviewItem>
      <errorID>1b5877ca-4e67-49fa-8455-d2d7275fa764</errorID>
      <errorWord>提高</errorWord>
      <group>L1_Word</group>
      <groupName>字词问题</groupName>
      <ability>L2_Typo</ability>
      <abilityName>字词错误</abilityName>
      <candidateList>
        <item>增强</item>
      </candidateList>
      <explain>“提高～意识”搭配不当，建议修改为“增强～意识”。</explain>
      <paraID>61BFD705</paraID>
      <start>109</start>
      <end>111</end>
      <status>unmodified</status>
      <modifiedWord/>
      <trackRevisions>false</trackRevisions>
    </reviewItem>
    <reviewItem>
      <errorID>1510dbcd-0991-42da-be48-1d235ea06eaf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226DD422</paraID>
      <start>0</start>
      <end>2</end>
      <status>unmodified</status>
      <modifiedWord/>
      <trackRevisions>false</trackRevisions>
    </reviewItem>
    <reviewItem>
      <errorID>2c6fb8bb-6749-4915-a004-dec3c192b3a1</errorID>
      <errorWord>地</errorWord>
      <group>L1_Word</group>
      <groupName>字词问题</groupName>
      <ability>L2_DDD</ability>
      <abilityName>的地得用法</abilityName>
      <candidateList>
        <item>的</item>
      </candidateList>
      <explain>“的”常用于连接修饰语与名词性中心语，表示属性、所属或描述。</explain>
      <paraID>15A0501F</paraID>
      <start>15</start>
      <end>16</end>
      <status>unmodified</status>
      <modifiedWord/>
      <trackRevisions>false</trackRevisions>
    </reviewItem>
    <reviewItem>
      <errorID>d99613bf-7eb5-496b-9379-620e6c8160e2</errorID>
      <errorWord>大大</errorWord>
      <group>L1_Word</group>
      <groupName>字词问题</groupName>
      <ability>L2_Typo</ability>
      <abilityName>字词错误</abilityName>
      <candidateList>
        <item>大幅</item>
      </candidateList>
      <explain>“大大～缩短”搭配不当，建议修改为“大幅～缩短”。</explain>
      <paraID>25B39187</paraID>
      <start>88</start>
      <end>90</end>
      <status>unmodified</status>
      <modifiedWord/>
      <trackRevisions>false</trackRevisions>
    </reviewItem>
    <reviewItem>
      <errorID>794f4d3b-aa03-417d-ba8a-efcd286289cf</errorID>
      <errorWord>据焦作市发展和改革委员会的数据显示</errorWord>
      <group>L1_Word</group>
      <groupName>字词问题</groupName>
      <ability>L2_Typo</ability>
      <abilityName>字词错误</abilityName>
      <candidateList>
        <item>据焦作市发展和改革委员会的数据</item>
      </candidateList>
      <explain/>
      <paraID>5C34CE12</paraID>
      <start>0</start>
      <end>17</end>
      <status>unmodified</status>
      <modifiedWord/>
      <trackRevisions>false</trackRevisions>
    </reviewItem>
    <reviewItem>
      <errorID>d06986b7-ad0c-4166-8ac0-cce2e8856fdb</errorID>
      <errorWord>提高</errorWord>
      <group>L1_Word</group>
      <groupName>字词问题</groupName>
      <ability>L2_Typo</ability>
      <abilityName>字词错误</abilityName>
      <candidateList>
        <item>增强</item>
      </candidateList>
      <explain>“提高～意识”搭配不当，建议修改为“增强～意识”。</explain>
      <paraID>101FD05D</paraID>
      <start>145</start>
      <end>147</end>
      <status>unmodified</status>
      <modifiedWord/>
      <trackRevisions>false</trackRevisions>
    </reviewItem>
    <reviewItem>
      <errorID>d65ef5e3-04d8-465b-ae79-e843b3c6a300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49C50110</paraID>
      <start>0</start>
      <end>2</end>
      <status>unmodified</status>
      <modifiedWord/>
      <trackRevisions>false</trackRevisions>
    </reviewItem>
    <reviewItem>
      <errorID>2dd6fffd-08aa-480c-8344-cd58316fc25f</errorID>
      <errorWord>提高</errorWord>
      <group>L1_Word</group>
      <groupName>字词问题</groupName>
      <ability>L2_Typo</ability>
      <abilityName>字词错误</abilityName>
      <candidateList>
        <item>增强</item>
      </candidateList>
      <explain>“提高～意识”搭配不当，建议修改为“增强～意识”。</explain>
      <paraID> ADF8A38</paraID>
      <start>239</start>
      <end>241</end>
      <status>unmodified</status>
      <modifiedWord/>
      <trackRevisions>false</trackRevisions>
    </reviewItem>
    <reviewItem>
      <errorID>80546643-d31b-47dd-9d04-a63e29ae36f4</errorID>
      <errorWord>地</errorWord>
      <group>L1_Word</group>
      <groupName>字词问题</groupName>
      <ability>L2_DDD</ability>
      <abilityName>的地得用法</abilityName>
      <candidateList>
        <item>的</item>
      </candidateList>
      <explain>“的”常用于连接修饰语与名词性中心语，表示属性、所属或描述。</explain>
      <paraID>170DEF34</paraID>
      <start>101</start>
      <end>102</end>
      <status>unmodified</status>
      <modifiedWord/>
      <trackRevisions>false</trackRevisions>
    </reviewItem>
    <reviewItem>
      <errorID>71157c09-cbad-4392-affd-a2c3235c6b67</errorID>
      <errorWord>加强了</errorWord>
      <group>L1_Word</group>
      <groupName>字词问题</groupName>
      <ability>L2_Typo</ability>
      <abilityName>字词错误</abilityName>
      <candidateList>
        <item>加强</item>
      </candidateList>
      <explain/>
      <paraID> E272D49</paraID>
      <start>79</start>
      <end>82</end>
      <status>unmodified</status>
      <modifiedWord/>
      <trackRevisions>false</trackRevisions>
    </reviewItem>
    <reviewItem>
      <errorID>ba056074-2364-46a2-94d3-cba8f6f218c0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1959B2DE</paraID>
      <start>0</start>
      <end>2</end>
      <status>unmodified</status>
      <modifiedWord/>
      <trackRevisions>false</trackRevisions>
    </reviewItem>
    <reviewItem>
      <errorID>bdfc48e4-f60c-48a5-911c-625b555999f3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1B50EDF4</paraID>
      <start>0</start>
      <end>2</end>
      <status>unmodified</status>
      <modifiedWord/>
      <trackRevisions>false</trackRevisions>
    </reviewItem>
    <reviewItem>
      <errorID>5d1f94e1-224b-49e1-97e7-dc02d556f0f4</errorID>
      <errorWord>增强</errorWord>
      <group>L1_Word</group>
      <groupName>字词问题</groupName>
      <ability>L2_Typo</ability>
      <abilityName>字词错误</abilityName>
      <candidateList>
        <item>加深</item>
      </candidateList>
      <explain>“增强～认识”搭配不当，建议修改为“加深～认识”。</explain>
      <paraID>55468C16</paraID>
      <start>95</start>
      <end>97</end>
      <status>unmodified</status>
      <modifiedWord/>
      <trackRevisions>false</trackRevisions>
    </reviewItem>
    <reviewItem>
      <errorID>45103961-8591-4253-9897-09a411de3593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3A0A9DA4</paraID>
      <start>0</start>
      <end>2</end>
      <status>unmodified</status>
      <modifiedWord/>
      <trackRevisions>false</trackRevisions>
    </reviewItem>
    <reviewItem>
      <errorID>202bdf88-5fb4-4a81-ac7e-f788a81143f9</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77F20FB4</paraID>
      <start>112</start>
      <end>113</end>
      <status>unmodified</status>
      <modifiedWord/>
      <trackRevisions>false</trackRevisions>
    </reviewItem>
    <reviewItem>
      <errorID>53f40c00-4559-465c-82fb-a512f38e9e62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413EA449</paraID>
      <start>0</start>
      <end>2</end>
      <status>unmodified</status>
      <modifiedWord/>
      <trackRevisions>false</trackRevisions>
    </reviewItem>
    <reviewItem>
      <errorID>e03ab881-96ee-4054-b6b6-fce1f83cc3ee</errorID>
      <errorWord>在在</errorWord>
      <group>L1_Word</group>
      <groupName>字词问题</groupName>
      <ability>L2_Typo</ability>
      <abilityName>字词错误</abilityName>
      <candidateList>
        <item>在</item>
      </candidateList>
      <explain>❶〈动〉存在；生存：精神永～｜留得青山～，不怕没柴烧｜父母都～。❷〈动〉表示人或事物的位置：我今天晚上不～厂里｜你的钢笔～桌子上呢。❸〈动〉留在：～职｜～位。❹〈动〉参加（某团体）；属于（某团体）：～党｜～组织。❺〈动〉在于；决定于：事～人为｜学习好，主要～自己努力。❻“在”和“所”连用，表示强调，下面多连“不”：～所不辞｜～所不惜｜～所不计｜～所难免。❼〈介〉表示时间、处所、范围、条件等：事情发生～去年｜～礼堂开会｜这件事～方式上还可以研究｜～他的帮助下，我取得了较好的成绩。❽〈副〉正在：风～刮，雨～下｜姐姐～做功课。</explain>
      <paraID>6B72043E</paraID>
      <start>21</start>
      <end>23</end>
      <status>unmodified</status>
      <modifiedWord/>
      <trackRevisions>false</trackRevisions>
    </reviewItem>
    <reviewItem>
      <errorID>d4626c9f-40ed-47c9-aa13-df9e91a5f5f2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47AD19ED</paraID>
      <start>0</start>
      <end>2</end>
      <status>unmodified</status>
      <modifiedWord/>
      <trackRevisions>false</trackRevisions>
    </reviewItem>
    <reviewItem>
      <errorID>afa4f839-de0e-41e3-b3a5-bd3fbe13b219</errorID>
      <errorWord>，</errorWord>
      <group>L1_Word</group>
      <groupName>字词问题</groupName>
      <ability>L2_Typo</ability>
      <abilityName>字词错误</abilityName>
      <candidateList>
        <item>，在</item>
      </candidateList>
      <explain/>
      <paraID>2DA416EC</paraID>
      <start>8</start>
      <end>9</end>
      <status>unmodified</status>
      <modifiedWord/>
      <trackRevisions>false</trackRevisions>
    </reviewItem>
    <reviewItem>
      <errorID>cffa9db8-9d07-4ec0-8a7c-d93eadf42d63</errorID>
      <errorWord>加强</errorWord>
      <group>L1_Word</group>
      <groupName>字词问题</groupName>
      <ability>L2_Typo</ability>
      <abilityName>字词错误</abilityName>
      <candidateList>
        <item>加大</item>
      </candidateList>
      <explain>“加强～力度”搭配不当，建议修改为“加大～力度”。</explain>
      <paraID> 311E996</paraID>
      <start>121</start>
      <end>123</end>
      <status>unmodified</status>
      <modifiedWord/>
      <trackRevisions>false</trackRevisions>
    </reviewItem>
    <reviewItem>
      <errorID>d7e15580-b719-48b7-ae1d-8d770cd40278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21ECE70A</paraID>
      <start>0</start>
      <end>2</end>
      <status>unmodified</status>
      <modifiedWord/>
      <trackRevisions>false</trackRevisions>
    </reviewItem>
    <reviewItem>
      <errorID>ce70dc23-67c0-438e-b9a2-7d34d1078da1</errorID>
      <errorWord>提高</errorWord>
      <group>L1_Word</group>
      <groupName>字词问题</groupName>
      <ability>L2_Typo</ability>
      <abilityName>字词错误</abilityName>
      <candidateList>
        <item>增强</item>
      </candidateList>
      <explain>“提高～意识”搭配不当，建议修改为“增强～意识”。</explain>
      <paraID>2F6EE672</paraID>
      <start>161</start>
      <end>163</end>
      <status>unmodified</status>
      <modifiedWord/>
      <trackRevisions>false</trackRevisions>
    </reviewItem>
    <reviewItem>
      <errorID>0d2b9f15-d173-4f3d-b789-6cec468b30c7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2C3C5D1B</paraID>
      <start>0</start>
      <end>2</end>
      <status>unmodified</status>
      <modifiedWord/>
      <trackRevisions>false</trackRevisions>
    </reviewItem>
    <reviewItem>
      <errorID>3ff36575-6097-4990-b3b0-8e0a1060d7af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59CDE005</paraID>
      <start>0</start>
      <end>2</end>
      <status>unmodified</status>
      <modifiedWord/>
      <trackRevisions>false</trackRevisions>
    </reviewItem>
    <reviewItem>
      <errorID>ed53193a-c487-4d23-a599-77f83ee15d3d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5CE9855D</paraID>
      <start>0</start>
      <end>2</end>
      <status>unmodified</status>
      <modifiedWord/>
      <trackRevisions>false</trackRevisions>
    </reviewItem>
    <reviewItem>
      <errorID>f29db69d-0266-4372-8f0d-4ae6091f579b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1CF96762</paraID>
      <start>0</start>
      <end>2</end>
      <status>unmodified</status>
      <modifiedWord/>
      <trackRevisions>false</trackRevisions>
    </reviewItem>
    <reviewItem>
      <errorID>1d864a42-dd46-463d-86e1-bf142f5b2fa3</errorID>
      <errorWord>在在</errorWord>
      <group>L1_Word</group>
      <groupName>字词问题</groupName>
      <ability>L2_Typo</ability>
      <abilityName>字词错误</abilityName>
      <candidateList>
        <item>在</item>
      </candidateList>
      <explain>❶〈动〉存在；生存：精神永～｜留得青山～，不怕没柴烧｜父母都～。❷〈动〉表示人或事物的位置：我今天晚上不～厂里｜你的钢笔～桌子上呢。❸〈动〉留在：～职｜～位。❹〈动〉参加（某团体）；属于（某团体）：～党｜～组织。❺〈动〉在于；决定于：事～人为｜学习好，主要～自己努力。❻“在”和“所”连用，表示强调，下面多连“不”：～所不辞｜～所不惜｜～所不计｜～所难免。❼〈介〉表示时间、处所、范围、条件等：事情发生～去年｜～礼堂开会｜这件事～方式上还可以研究｜～他的帮助下，我取得了较好的成绩。❽〈副〉正在：风～刮，雨～下｜姐姐～做功课。</explain>
      <paraID>22EAE992</paraID>
      <start>193</start>
      <end>195</end>
      <status>unmodified</status>
      <modifiedWord/>
      <trackRevisions>false</trackRevisions>
    </reviewItem>
    <reviewItem>
      <errorID>db8ed9ca-cc09-4b35-b868-13789ae8b4e1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26341C7A</paraID>
      <start>0</start>
      <end>2</end>
      <status>unmodified</status>
      <modifiedWord/>
      <trackRevisions>false</trackRevisions>
    </reviewItem>
    <reviewItem>
      <errorID>24edb85e-25f0-4158-ac22-911e254f5b97</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2AEFAFD1</paraID>
      <start>53</start>
      <end>54</end>
      <status>unmodified</status>
      <modifiedWord/>
      <trackRevisions>false</trackRevisions>
    </reviewItem>
    <reviewItem>
      <errorID>7f9993a9-a4ba-4dfc-a9c0-869c90d70345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4BFE49EB</paraID>
      <start>0</start>
      <end>2</end>
      <status>unmodified</status>
      <modifiedWord/>
      <trackRevisions>false</trackRevisions>
    </reviewItem>
    <reviewItem>
      <errorID>5e104c84-1b23-4129-b54f-1cf2efcc3633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6FA5B5A</paraID>
      <start>0</start>
      <end>2</end>
      <status>unmodified</status>
      <modifiedWord/>
      <trackRevisions>false</trackRevisions>
    </reviewItem>
    <reviewItem>
      <errorID>63120589-2991-4918-9599-b417b9eb766c</errorID>
      <errorWord>加强</errorWord>
      <group>L1_Word</group>
      <groupName>字词问题</groupName>
      <ability>L2_Typo</ability>
      <abilityName>字词错误</abilityName>
      <candidateList>
        <item>加大</item>
      </candidateList>
      <explain>“加强～力度”搭配不当，建议修改为“加大～力度”。</explain>
      <paraID>44515EFC</paraID>
      <start>55</start>
      <end>57</end>
      <status>unmodified</status>
      <modifiedWord/>
      <trackRevisions>false</trackRevisions>
    </reviewItem>
    <reviewItem>
      <errorID>c97db968-a805-46a4-80be-78144462a0d7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6BFCCA8C</paraID>
      <start>0</start>
      <end>2</end>
      <status>unmodified</status>
      <modifiedWord/>
      <trackRevisions>false</trackRevisions>
    </reviewItem>
    <reviewItem>
      <errorID>21467f51-f571-43f5-a66a-c6eef41a44d4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34CEBC6</paraID>
      <start>0</start>
      <end>2</end>
      <status>unmodified</status>
      <modifiedWord/>
      <trackRevisions>false</trackRevisions>
    </reviewItem>
    <reviewItem>
      <errorID>42c76c88-ba75-4c97-82d7-eacfccd5f0e1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2D219E00</paraID>
      <start>0</start>
      <end>2</end>
      <status>unmodified</status>
      <modifiedWord/>
      <trackRevisions>false</trackRevisions>
    </reviewItem>
    <reviewItem>
      <errorID>079f7384-bd00-48bd-8855-ea1698b2d2bc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22852A5D</paraID>
      <start>0</start>
      <end>2</end>
      <status>unmodified</status>
      <modifiedWord/>
      <trackRevisions>false</trackRevisions>
    </reviewItem>
    <reviewItem>
      <errorID>54c89b31-be56-4d87-b079-66e87a09adf5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3601F5A3</paraID>
      <start>0</start>
      <end>2</end>
      <status>unmodified</status>
      <modifiedWord/>
      <trackRevisions>false</trackRevisions>
    </reviewItem>
    <reviewItem>
      <errorID>4277f331-65e8-4abc-a864-f3695b78bc1d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FC30198</paraID>
      <start>0</start>
      <end>2</end>
      <status>unmodified</status>
      <modifiedWord/>
      <trackRevisions>false</trackRevisions>
    </reviewItem>
    <reviewItem>
      <errorID>4b0e5e34-4fc7-470a-8765-f72e15fc5a98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9A92A58</paraID>
      <start>0</start>
      <end>2</end>
      <status>unmodified</status>
      <modifiedWord/>
      <trackRevisions>false</trackRevisions>
    </reviewItem>
    <reviewItem>
      <errorID>f233da15-d69e-4d29-8f39-9aeef9c25b5c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66B909D7</paraID>
      <start>0</start>
      <end>2</end>
      <status>unmodified</status>
      <modifiedWord/>
      <trackRevisions>false</trackRevisions>
    </reviewItem>
    <reviewItem>
      <errorID>3243454c-79bb-4905-b861-348153a8fd9d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54B2E6A2</paraID>
      <start>0</start>
      <end>2</end>
      <status>unmodified</status>
      <modifiedWord/>
      <trackRevisions>false</trackRevisions>
    </reviewItem>
    <reviewItem>
      <errorID>48f2c28a-894e-4d56-90b5-0bb65d12195a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42371FC4</paraID>
      <start>0</start>
      <end>2</end>
      <status>unmodified</status>
      <modifiedWord/>
      <trackRevisions>false</trackRevisions>
    </reviewItem>
    <reviewItem>
      <errorID>12e02519-7d55-47fd-82d8-b74bc949e060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4FB94182</paraID>
      <start>0</start>
      <end>2</end>
      <status>unmodified</status>
      <modifiedWord/>
      <trackRevisions>false</trackRevisions>
    </reviewItem>
    <reviewItem>
      <errorID>8e71d28e-abb6-4c68-8ef9-dce39d9fe7e5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7024CB50</paraID>
      <start>0</start>
      <end>2</end>
      <status>unmodified</status>
      <modifiedWord/>
      <trackRevisions>false</trackRevisions>
    </reviewItem>
    <reviewItem>
      <errorID>5605df2c-35b4-4c14-aef5-48f113b8b7a9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5AC4F9F2</paraID>
      <start>0</start>
      <end>2</end>
      <status>unmodified</status>
      <modifiedWord/>
      <trackRevisions>false</trackRevisions>
    </reviewItem>
    <reviewItem>
      <errorID>4e12fdb8-6abd-426e-8d61-5d7283d03938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5D90B149</paraID>
      <start>0</start>
      <end>2</end>
      <status>unmodified</status>
      <modifiedWord/>
      <trackRevisions>false</trackRevisions>
    </reviewItem>
    <reviewItem>
      <errorID>229bd022-6c92-4a13-ba77-92235008bc7f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4FA5969D</paraID>
      <start>0</start>
      <end>2</end>
      <status>unmodified</status>
      <modifiedWord/>
      <trackRevisions>false</trackRevisions>
    </reviewItem>
    <reviewItem>
      <errorID>9f236a3c-c8cb-4fee-82fa-f4baca05f22d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4201D506</paraID>
      <start>0</start>
      <end>2</end>
      <status>unmodified</status>
      <modifiedWord/>
      <trackRevisions>false</trackRevisions>
    </reviewItem>
    <reviewItem>
      <errorID>6f96a77e-05d7-4da4-9dd8-7a806b9caf3e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1523BAF9</paraID>
      <start>0</start>
      <end>2</end>
      <status>unmodified</status>
      <modifiedWord/>
      <trackRevisions>false</trackRevisions>
    </reviewItem>
    <reviewItem>
      <errorID>109b30d2-2d65-47a3-a1c6-0aa32a2df5ee</errorID>
      <errorWord>交会</errorWord>
      <group>L1_Word</group>
      <groupName>字词问题</groupName>
      <ability>L2_Typo</ability>
      <abilityName>字词错误</abilityName>
      <candidateList>
        <item>交汇</item>
      </candidateList>
      <explain/>
      <paraID>3544DC6F</paraID>
      <start>58</start>
      <end>60</end>
      <status>unmodified</status>
      <modifiedWord/>
      <trackRevisions>false</trackRevisions>
    </reviewItem>
    <reviewItem>
      <errorID>b578ad7d-b4bd-4ecf-9855-87decb198967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4ED18326</paraID>
      <start>0</start>
      <end>2</end>
      <status>unmodified</status>
      <modifiedWord/>
      <trackRevisions>false</trackRevisions>
    </reviewItem>
    <reviewItem>
      <errorID>05b6a336-1853-4f12-8aab-d77c525d13b2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7207F0AD</paraID>
      <start>0</start>
      <end>2</end>
      <status>unmodified</status>
      <modifiedWord/>
      <trackRevisions>false</trackRevisions>
    </reviewItem>
    <reviewItem>
      <errorID>1e22ba25-a20a-4bbc-b65a-9827eaf7f290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72CCECA2</paraID>
      <start>0</start>
      <end>2</end>
      <status>unmodified</status>
      <modifiedWord/>
      <trackRevisions>false</trackRevisions>
    </reviewItem>
    <reviewItem>
      <errorID>68f59736-9b2f-40a4-b4d7-4817e7c70366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554A65C</paraID>
      <start>0</start>
      <end>2</end>
      <status>unmodified</status>
      <modifiedWord/>
      <trackRevisions>false</trackRevisions>
    </reviewItem>
    <reviewItem>
      <errorID>4ddfece9-4916-42ab-8553-22580119697f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6C399B98</paraID>
      <start>0</start>
      <end>2</end>
      <status>unmodified</status>
      <modifiedWord/>
      <trackRevisions>false</trackRevisions>
    </reviewItem>
    <reviewItem>
      <errorID>64516d38-62dd-4df3-b717-0eebbfe76264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67395089</paraID>
      <start>0</start>
      <end>2</end>
      <status>unmodified</status>
      <modifiedWord/>
      <trackRevisions>false</trackRevisions>
    </reviewItem>
    <reviewItem>
      <errorID>d98aac8a-dd20-434d-835d-8cc4c6400c00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62670DC0</paraID>
      <start>0</start>
      <end>2</end>
      <status>unmodified</status>
      <modifiedWord/>
      <trackRevisions>false</trackRevisions>
    </reviewItem>
    <reviewItem>
      <errorID>3a82240b-7ecb-4c26-909e-110f2ca6f844</errorID>
      <errorWord>提高</errorWord>
      <group>L1_Word</group>
      <groupName>字词问题</groupName>
      <ability>L2_Typo</ability>
      <abilityName>字词错误</abilityName>
      <candidateList>
        <item>增强</item>
      </candidateList>
      <explain>“提高～意识”搭配不当，建议修改为“增强～意识”。</explain>
      <paraID>2E273872</paraID>
      <start>30</start>
      <end>32</end>
      <status>unmodified</status>
      <modifiedWord/>
      <trackRevisions>false</trackRevisions>
    </reviewItem>
    <reviewItem>
      <errorID>3145aa91-aff6-44e4-b28e-7984ffdeb757</errorID>
      <errorWord>提高</errorWord>
      <group>L1_Word</group>
      <groupName>字词问题</groupName>
      <ability>L2_Typo</ability>
      <abilityName>字词错误</abilityName>
      <candidateList>
        <item>增强</item>
      </candidateList>
      <explain>“提高～意识”搭配不当，建议修改为“增强～意识”。</explain>
      <paraID>2E273872</paraID>
      <start>123</start>
      <end>125</end>
      <status>unmodified</status>
      <modifiedWord/>
      <trackRevisions>false</trackRevisions>
    </reviewItem>
    <reviewItem>
      <errorID>16733b8d-f065-4489-a535-1c81c3f3b6a9</errorID>
      <errorWord>提高</errorWord>
      <group>L1_Word</group>
      <groupName>字词问题</groupName>
      <ability>L2_Typo</ability>
      <abilityName>字词错误</abilityName>
      <candidateList>
        <item>增强</item>
      </candidateList>
      <explain>“提高～意识”搭配不当，建议修改为“增强～意识”。</explain>
      <paraID>57D289EB</paraID>
      <start>73</start>
      <end>75</end>
      <status>unmodified</status>
      <modifiedWord/>
      <trackRevisions>false</trackRevisions>
    </reviewItem>
    <reviewItem>
      <errorID>d980288e-0406-49d3-be25-1bde37984257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57A289BD</paraID>
      <start>0</start>
      <end>2</end>
      <status>unmodified</status>
      <modifiedWord/>
      <trackRevisions>false</trackRevisions>
    </reviewItem>
    <reviewItem>
      <errorID>2b5737c4-468d-4d03-b106-6e609d3b8813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6177DB30</paraID>
      <start>0</start>
      <end>2</end>
      <status>unmodified</status>
      <modifiedWord/>
      <trackRevisions>false</trackRevisions>
    </reviewItem>
    <reviewItem>
      <errorID>da8ed146-583f-4b3a-86c1-f5f16fcb8336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491A3912</paraID>
      <start>0</start>
      <end>2</end>
      <status>unmodified</status>
      <modifiedWord/>
      <trackRevisions>false</trackRevisions>
    </reviewItem>
    <reviewItem>
      <errorID>453e0e2c-55ff-4f75-81c5-db5fb1ad295e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8BB1FF5</paraID>
      <start>0</start>
      <end>2</end>
      <status>unmodified</status>
      <modifiedWord/>
      <trackRevisions>false</trackRevisions>
    </reviewItem>
    <reviewItem>
      <errorID>816aaddc-f647-4282-9874-15aea0e0f6a9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69D248D1</paraID>
      <start>0</start>
      <end>2</end>
      <status>unmodified</status>
      <modifiedWord/>
      <trackRevisions>false</trackRevisions>
    </reviewItem>
    <reviewItem>
      <errorID>94a5c146-bdf6-4943-b519-c2c863c36fed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C6A210C</paraID>
      <start>0</start>
      <end>2</end>
      <status>unmodified</status>
      <modifiedWord/>
      <trackRevisions>false</trackRevisions>
    </reviewItem>
    <reviewItem>
      <errorID>51fd9e76-3c02-4f9b-87ed-ec5fbc581a00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60BEE0EF</paraID>
      <start>0</start>
      <end>2</end>
      <status>unmodified</status>
      <modifiedWord/>
      <trackRevisions>false</trackRevisions>
    </reviewItem>
    <reviewItem>
      <errorID>74d4c298-0198-464a-b8bd-6a8d7c413d0a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4F20EB61</paraID>
      <start>0</start>
      <end>2</end>
      <status>unmodified</status>
      <modifiedWord/>
      <trackRevisions>false</trackRevisions>
    </reviewItem>
    <reviewItem>
      <errorID>74e3fa7d-2b62-4d22-a883-a79f7f77fc15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6C966265</paraID>
      <start>0</start>
      <end>2</end>
      <status>unmodified</status>
      <modifiedWord/>
      <trackRevisions>false</trackRevisions>
    </reviewItem>
    <reviewItem>
      <errorID>3a01b650-898a-4c71-bb15-d2707a727748</errorID>
      <errorWord>提高</errorWord>
      <group>L1_Word</group>
      <groupName>字词问题</groupName>
      <ability>L2_Typo</ability>
      <abilityName>字词错误</abilityName>
      <candidateList>
        <item>增强</item>
      </candidateList>
      <explain>“提高～意识”搭配不当，建议修改为“增强～意识”。</explain>
      <paraID> 7469C61</paraID>
      <start>75</start>
      <end>77</end>
      <status>unmodified</status>
      <modifiedWord/>
      <trackRevisions>false</trackRevisions>
    </reviewItem>
    <reviewItem>
      <errorID>5cf25210-8490-4625-a778-9015a1d5d50a</errorID>
      <errorWord>加强</errorWord>
      <group>L1_Word</group>
      <groupName>字词问题</groupName>
      <ability>L2_Typo</ability>
      <abilityName>字词错误</abilityName>
      <candidateList>
        <item>加大</item>
      </candidateList>
      <explain>“加强～力度”搭配不当，建议修改为“加大～力度”。</explain>
      <paraID>72D4D3BB</paraID>
      <start>59</start>
      <end>61</end>
      <status>unmodified</status>
      <modifiedWord/>
      <trackRevisions>false</trackRevisions>
    </reviewItem>
    <reviewItem>
      <errorID>d173ed82-6939-4ffc-9478-e7888fa9426b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12FAE18D</paraID>
      <start>0</start>
      <end>2</end>
      <status>unmodified</status>
      <modifiedWord/>
      <trackRevisions>false</trackRevisions>
    </reviewItem>
    <reviewItem>
      <errorID>060c6aba-bf09-4073-ad13-8cebf596e0b1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30AFA4A1</paraID>
      <start>0</start>
      <end>2</end>
      <status>unmodified</status>
      <modifiedWord/>
      <trackRevisions>false</trackRevisions>
    </reviewItem>
    <reviewItem>
      <errorID>db8f0669-ac43-4f80-add8-3973e4fd3f61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1CE1555C</paraID>
      <start>0</start>
      <end>2</end>
      <status>unmodified</status>
      <modifiedWord/>
      <trackRevisions>false</trackRevisions>
    </reviewItem>
    <reviewItem>
      <errorID>856228d3-d9df-470e-89aa-a239b87bd973</errorID>
      <errorWord>成为了</errorWord>
      <group>L1_Word</group>
      <groupName>字词问题</groupName>
      <ability>L2_Typo</ability>
      <abilityName>字词错误</abilityName>
      <candidateList>
        <item>成为</item>
      </candidateList>
      <explain>〈动〉变成：～先进工作者。</explain>
      <paraID>15375F82</paraID>
      <start>162</start>
      <end>165</end>
      <status>unmodified</status>
      <modifiedWord/>
      <trackRevisions>false</trackRevisions>
    </reviewItem>
    <reviewItem>
      <errorID>3c18d7ff-ea44-47d1-8f05-ade164b1b744</errorID>
      <errorWord>美好生活需求</errorWord>
      <group>L1_Word</group>
      <groupName>字词问题</groupName>
      <ability>L2_Typo</ability>
      <abilityName>字词错误</abilityName>
      <candidateList>
        <item>美好生活需要</item>
      </candidateList>
      <explain/>
      <paraID>7D840B15</paraID>
      <start>12</start>
      <end>18</end>
      <status>unmodified</status>
      <modifiedWord/>
      <trackRevisions>false</trackRevisions>
    </reviewItem>
    <reviewItem>
      <errorID>25b75b22-7a44-41e2-ac2b-8b8c01c79ea5</errorID>
      <errorWord>准</errorWord>
      <group>L1_Word</group>
      <groupName>字词问题</groupName>
      <ability>L2_Typo</ability>
      <abilityName>字词错误</abilityName>
      <candidateList>
        <item>准和</item>
      </candidateList>
      <explain/>
      <paraID>1F9DCF99</paraID>
      <start>156</start>
      <end>157</end>
      <status>unmodified</status>
      <modifiedWord/>
      <trackRevisions>false</trackRevisions>
    </reviewItem>
    <reviewItem>
      <errorID>61380b54-2ce3-4361-9543-22231c0316d9</errorID>
      <errorWord>有效地</errorWord>
      <group>L1_Word</group>
      <groupName>字词问题</groupName>
      <ability>L2_Typo</ability>
      <abilityName>字词错误</abilityName>
      <candidateList>
        <item>有效</item>
      </candidateList>
      <explain/>
      <paraID>50DFCCCD</paraID>
      <start>62</start>
      <end>65</end>
      <status>unmodified</status>
      <modifiedWord/>
      <trackRevisions>false</trackRevisions>
    </reviewItem>
    <reviewItem>
      <errorID>3b473713-66b8-4000-9431-4c482d7d6632</errorID>
      <errorWord>大多以观光游览为主</errorWord>
      <group>L1_Word</group>
      <groupName>字词问题</groupName>
      <ability>L2_Typo</ability>
      <abilityName>字词错误</abilityName>
      <candidateList>
        <item>以观光游览为主</item>
      </candidateList>
      <explain/>
      <paraID>  7503DC</paraID>
      <start>145</start>
      <end>154</end>
      <status>unmodified</status>
      <modifiedWord/>
      <trackRevisions>false</trackRevisions>
    </reviewItem>
    <reviewItem>
      <errorID>63eef688-1911-4559-8b9c-d66ccb87f8ea</errorID>
      <errorWord>主要以国内中短途游客为主</errorWord>
      <group>L1_Word</group>
      <groupName>字词问题</groupName>
      <ability>L2_Typo</ability>
      <abilityName>字词错误</abilityName>
      <candidateList>
        <item>以国内中短途游客为主</item>
      </candidateList>
      <explain/>
      <paraID>6BDF1F71</paraID>
      <start>34</start>
      <end>46</end>
      <status>unmodified</status>
      <modifiedWord/>
      <trackRevisions>false</trackRevisions>
    </reviewItem>
    <reviewItem>
      <errorID>ce3c0a93-2707-4214-b16f-7558bfac6954</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11A7264B</paraID>
      <start>125</start>
      <end>126</end>
      <status>unmodified</status>
      <modifiedWord/>
      <trackRevisions>false</trackRevisions>
    </reviewItem>
    <reviewItem>
      <errorID>9df370ca-752a-462f-aca8-d7760adfba15</errorID>
      <errorWord>地</errorWord>
      <group>L1_Word</group>
      <groupName>字词问题</groupName>
      <ability>L2_DDD</ability>
      <abilityName>的地得用法</abilityName>
      <candidateList>
        <item>的</item>
      </candidateList>
      <explain>“的”常用于连接修饰语与名词性中心语，表示属性、所属或描述。</explain>
      <paraID> 22FB487</paraID>
      <start>158</start>
      <end>159</end>
      <status>unmodified</status>
      <modifiedWord/>
      <trackRevisions>false</trackRevisions>
    </reviewItem>
    <reviewItem>
      <errorID>dc29b15a-07c6-4188-926c-3168b72d95b0</errorID>
      <errorWord>根据相关调查数据显示</errorWord>
      <group>L1_Word</group>
      <groupName>字词问题</groupName>
      <ability>L2_Typo</ability>
      <abilityName>字词错误</abilityName>
      <candidateList>
        <item>根据相关调查数据</item>
      </candidateList>
      <explain/>
      <paraID>6C5989D1</paraID>
      <start>29</start>
      <end>39</end>
      <status>unmodified</status>
      <modifiedWord/>
      <trackRevisions>false</trackRevisions>
    </reviewItem>
    <reviewItem>
      <errorID>b2a9a9f4-2fda-4d45-8acb-c272b7988826</errorID>
      <errorWord>根据市场调研数据显示</errorWord>
      <group>L1_Word</group>
      <groupName>字词问题</groupName>
      <ability>L2_Typo</ability>
      <abilityName>字词错误</abilityName>
      <candidateList>
        <item>根据市场调研数据</item>
      </candidateList>
      <explain/>
      <paraID>2F0DAFAC</paraID>
      <start>19</start>
      <end>29</end>
      <status>unmodified</status>
      <modifiedWord/>
      <trackRevisions>false</trackRevisions>
    </reviewItem>
    <reviewItem>
      <errorID>9083ee02-e624-43d8-a3f0-dccba95ccc11</errorID>
      <errorWord>提高</errorWord>
      <group>L1_Word</group>
      <groupName>字词问题</groupName>
      <ability>L2_Typo</ability>
      <abilityName>字词错误</abilityName>
      <candidateList>
        <item>增强</item>
      </candidateList>
      <explain>“提高～意识”搭配不当，建议修改为“增强～意识”。</explain>
      <paraID>381DA0A1</paraID>
      <start>100</start>
      <end>102</end>
      <status>unmodified</status>
      <modifiedWord/>
      <trackRevisions>false</trackRevisions>
    </reviewItem>
    <reviewItem>
      <errorID>ad33c3fa-8ca8-4a73-9689-48a3f23098b8</errorID>
      <errorWord>加强</errorWord>
      <group>L1_Word</group>
      <groupName>字词问题</groupName>
      <ability>L2_Typo</ability>
      <abilityName>字词错误</abilityName>
      <candidateList>
        <item>加大</item>
      </candidateList>
      <explain>“加强～力度”搭配不当，建议修改为“加大～力度”。</explain>
      <paraID>10AE1F83</paraID>
      <start>122</start>
      <end>124</end>
      <status>unmodified</status>
      <modifiedWord/>
      <trackRevisions>false</trackRevisions>
    </reviewItem>
    <reviewItem>
      <errorID>57c10029-9f2d-410c-8d02-94341cf67ec1</errorID>
      <errorWord>地</errorWord>
      <group>L1_Word</group>
      <groupName>字词问题</groupName>
      <ability>L2_DDD</ability>
      <abilityName>的地得用法</abilityName>
      <candidateList>
        <item>的</item>
      </candidateList>
      <explain>“的”常用于连接修饰语与名词性中心语，表示属性、所属或描述。</explain>
      <paraID>6F0D775A</paraID>
      <start>244</start>
      <end>245</end>
      <status>unmodified</status>
      <modifiedWord/>
      <trackRevisions>false</trackRevisions>
    </reviewItem>
    <reviewItem>
      <errorID>ad8369b0-b20b-465b-b572-1d60d8380f6a</errorID>
      <errorWord>嫁妆</errorWord>
      <group>L1_Word</group>
      <groupName>字词问题</groupName>
      <ability>L2_Typo</ability>
      <abilityName>字词错误</abilityName>
      <candidateList>
        <item>嫁</item>
      </candidateList>
      <explain/>
      <paraID>1240E4DC</paraID>
      <start>46</start>
      <end>48</end>
      <status>unmodified</status>
      <modifiedWord/>
      <trackRevisions>false</trackRevisions>
    </reviewItem>
    <reviewItem>
      <errorID>daca52c7-1703-4bdd-8243-2f1b58390d93</errorID>
      <errorWord>焦作市可</errorWord>
      <group>L1_Word</group>
      <groupName>字词问题</groupName>
      <ability>L2_Typo</ability>
      <abilityName>字词错误</abilityName>
      <candidateList>
        <item>焦作市</item>
      </candidateList>
      <explain/>
      <paraID>1240E4DC</paraID>
      <start>106</start>
      <end>110</end>
      <status>unmodified</status>
      <modifiedWord/>
      <trackRevisions>false</trackRevisions>
    </reviewItem>
    <reviewItem>
      <errorID>511b5a96-8b60-49c2-98a3-6ba4ac2009fc</errorID>
      <errorWord>提高</errorWord>
      <group>L1_Word</group>
      <groupName>字词问题</groupName>
      <ability>L2_Typo</ability>
      <abilityName>字词错误</abilityName>
      <candidateList>
        <item>增强</item>
      </candidateList>
      <explain>“提高～意识”搭配不当，建议修改为“增强～意识”。</explain>
      <paraID>7B672388</paraID>
      <start>169</start>
      <end>171</end>
      <status>unmodified</status>
      <modifiedWord/>
      <trackRevisions>false</trackRevisions>
    </reviewItem>
    <reviewItem>
      <errorID>5adb03a3-3492-4004-80df-f19f609d6309</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4188EA2A</paraID>
      <start>154</start>
      <end>155</end>
      <status>unmodified</status>
      <modifiedWord/>
      <trackRevisions>false</trackRevisions>
    </reviewItem>
    <reviewItem>
      <errorID>7656b2a5-c3fd-4c5c-b8c1-89a581af4e44</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3565AF79</paraID>
      <start>83</start>
      <end>84</end>
      <status>unmodified</status>
      <modifiedWord/>
      <trackRevisions>false</trackRevisions>
    </reviewItem>
    <reviewItem>
      <errorID>74d61822-2c2d-438c-b038-af915b056572</errorID>
      <errorWord>挖掘观</errorWord>
      <group>L1_Word</group>
      <groupName>字词问题</groupName>
      <ability>L2_Typo</ability>
      <abilityName>字词错误</abilityName>
      <candidateList>
        <item>挖掘</item>
      </candidateList>
      <explain>〈动〉挖；发掘：～地下的财富◇～生产潜力｜～、整理地方戏曲剧目。</explain>
      <paraID>4A056B53</paraID>
      <start>6</start>
      <end>9</end>
      <status>unmodified</status>
      <modifiedWord/>
      <trackRevisions>false</trackRevisions>
    </reviewItem>
    <reviewItem>
      <errorID>50f0e5f7-b7a9-46b0-b5ec-cdc5128772dd</errorID>
      <errorWord>优集</errorWord>
      <group>L1_Word</group>
      <groupName>字词问题</groupName>
      <ability>L2_Typo</ability>
      <abilityName>字词错误</abilityName>
      <candidateList>
        <item>富集</item>
      </candidateList>
      <explain/>
      <paraID>30BA2EF2</paraID>
      <start>68</start>
      <end>70</end>
      <status>unmodified</status>
      <modifiedWord/>
      <trackRevisions>false</trackRevisions>
    </reviewItem>
    <reviewItem>
      <errorID>849b1cfc-91a8-45ed-a2f1-9fde40200722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56884E08</paraID>
      <start>0</start>
      <end>2</end>
      <status>unmodified</status>
      <modifiedWord/>
      <trackRevisions>false</trackRevisions>
    </reviewItem>
    <reviewItem>
      <errorID>7f2db985-ff52-4af7-81a0-e9dfe9a1bf04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3A13707A</paraID>
      <start>0</start>
      <end>2</end>
      <status>unmodified</status>
      <modifiedWord/>
      <trackRevisions>false</trackRevisions>
    </reviewItem>
    <reviewItem>
      <errorID>6a6c22ac-c0d3-4178-ae6a-b2489558ab12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574DFA10</paraID>
      <start>0</start>
      <end>2</end>
      <status>unmodified</status>
      <modifiedWord/>
      <trackRevisions>false</trackRevisions>
    </reviewItem>
    <reviewItem>
      <errorID>8035ac5c-ddc4-46b9-94bb-931d0b4a3b11</errorID>
      <errorWord>地</errorWord>
      <group>L1_Word</group>
      <groupName>字词问题</groupName>
      <ability>L2_DDD</ability>
      <abilityName>的地得用法</abilityName>
      <candidateList>
        <item>的</item>
      </candidateList>
      <explain>“的”常用于连接修饰语与名词性中心语，表示属性、所属或描述。</explain>
      <paraID>53EF8178</paraID>
      <start>55</start>
      <end>56</end>
      <status>unmodified</status>
      <modifiedWord/>
      <trackRevisions>false</trackRevisions>
    </reviewItem>
    <reviewItem>
      <errorID>c5a8ef34-fa62-4ad6-b69f-0904227141fd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72CA301E</paraID>
      <start>0</start>
      <end>2</end>
      <status>unmodified</status>
      <modifiedWord/>
      <trackRevisions>false</trackRevisions>
    </reviewItem>
    <reviewItem>
      <errorID>79b8f82f-e053-4233-a381-c0392328d560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E4FA817</paraID>
      <start>0</start>
      <end>2</end>
      <status>unmodified</status>
      <modifiedWord/>
      <trackRevisions>false</trackRevisions>
    </reviewItem>
    <reviewItem>
      <errorID>19ec07ce-665c-4515-a3db-109e6ef70f51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A24EE34</paraID>
      <start>0</start>
      <end>2</end>
      <status>unmodified</status>
      <modifiedWord/>
      <trackRevisions>false</trackRevisions>
    </reviewItem>
    <reviewItem>
      <errorID>81037e23-c2da-4e27-9ff6-ce3882360dc4</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1E7C1A4C</paraID>
      <start>0</start>
      <end>2</end>
      <status>unmodified</status>
      <modifiedWord/>
      <trackRevisions>false</trackRevisions>
    </reviewItem>
    <reviewItem>
      <errorID>c2960c9e-d04f-4c87-82f5-3391840c4dff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612EB954</paraID>
      <start>0</start>
      <end>2</end>
      <status>unmodified</status>
      <modifiedWord/>
      <trackRevisions>false</trackRevisions>
    </reviewItem>
    <reviewItem>
      <errorID>3f120176-7a99-4010-bfb8-6cb7cb1d86d5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66F523DD</paraID>
      <start>0</start>
      <end>2</end>
      <status>unmodified</status>
      <modifiedWord/>
      <trackRevisions>false</trackRevisions>
    </reviewItem>
    <reviewItem>
      <errorID>acd2a26d-6464-4f5b-92f5-118d27c987ec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216F1B29</paraID>
      <start>0</start>
      <end>2</end>
      <status>unmodified</status>
      <modifiedWord/>
      <trackRevisions>false</trackRevisions>
    </reviewItem>
    <reviewItem>
      <errorID>b83428ad-33de-4e4a-b487-c54a2bf1994d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2DD25F0E</paraID>
      <start>0</start>
      <end>2</end>
      <status>unmodified</status>
      <modifiedWord/>
      <trackRevisions>false</trackRevisions>
    </reviewItem>
    <reviewItem>
      <errorID>e06c09ef-16a9-4ee0-81d7-5b5360ef1e1f</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401360FC</paraID>
      <start>0</start>
      <end>2</end>
      <status>unmodified</status>
      <modifiedWord/>
      <trackRevisions>false</trackRevisions>
    </reviewItem>
    <reviewItem>
      <errorID>92ca5781-e12f-45ec-8a83-6d82076db3ff</errorID>
      <errorWord>需</errorWord>
      <group>L1_Word</group>
      <groupName>字词问题</groupName>
      <ability>L2_Typo</ability>
      <abilityName>字词错误</abilityName>
      <candidateList>
        <item>需要</item>
      </candidateList>
      <explain>❶〈动〉应该有或必须有：我们～一支强大的科学技术队伍。❷〈名〉对事物的欲望或要求：从群众的～出发。</explain>
      <paraID>4808F2DF</paraID>
      <start>293</start>
      <end>294</end>
      <status>unmodified</status>
      <modifiedWord/>
      <trackRevisions>false</trackRevisions>
    </reviewItem>
    <reviewItem>
      <errorID>3ec785fa-e021-4d94-b390-9a54cb2e1d72</errorID>
      <errorWord>提高</errorWord>
      <group>L1_Word</group>
      <groupName>字词问题</groupName>
      <ability>L2_Typo</ability>
      <abilityName>字词错误</abilityName>
      <candidateList>
        <item>增强</item>
      </candidateList>
      <explain>“提高～意识”搭配不当，建议修改为“增强～意识”。</explain>
      <paraID> 9099A66</paraID>
      <start>74</start>
      <end>76</end>
      <status>unmodified</status>
      <modifiedWord/>
      <trackRevisions>false</trackRevisions>
    </reviewItem>
    <reviewItem>
      <errorID>d08563b2-04fd-41a8-b51c-3fa2faf0376e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2030AF13</paraID>
      <start>0</start>
      <end>2</end>
      <status>unmodified</status>
      <modifiedWord/>
      <trackRevisions>false</trackRevisions>
    </reviewItem>
    <reviewItem>
      <errorID>f3e4a37e-52df-4a0c-9e88-8fa8ee766516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43E03186</paraID>
      <start>0</start>
      <end>2</end>
      <status>unmodified</status>
      <modifiedWord/>
      <trackRevisions>false</trackRevisions>
    </reviewItem>
    <reviewItem>
      <errorID>7dddcb81-b24b-4e0e-bb2a-f1c88f2b39d5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4F634312</paraID>
      <start>0</start>
      <end>2</end>
      <status>unmodified</status>
      <modifiedWord/>
      <trackRevisions>false</trackRevisions>
    </reviewItem>
    <reviewItem>
      <errorID>f4c16496-31be-4981-b804-facc2449b113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709EC47E</paraID>
      <start>0</start>
      <end>2</end>
      <status>unmodified</status>
      <modifiedWord/>
      <trackRevisions>false</trackRevisions>
    </reviewItem>
    <reviewItem>
      <errorID>9eb768d2-c483-4c54-9ed9-08510cf8f356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67D3E048</paraID>
      <start>0</start>
      <end>2</end>
      <status>unmodified</status>
      <modifiedWord/>
      <trackRevisions>false</trackRevisions>
    </reviewItem>
    <reviewItem>
      <errorID>71799ce1-a1fe-455a-b2da-bdcccdd271f2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11930409</paraID>
      <start>0</start>
      <end>2</end>
      <status>unmodified</status>
      <modifiedWord/>
      <trackRevisions>false</trackRevisions>
    </reviewItem>
    <reviewItem>
      <errorID>6e588eb6-ca54-4fbd-b4b7-11773b08ff69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20E3203C</paraID>
      <start>0</start>
      <end>2</end>
      <status>unmodified</status>
      <modifiedWord/>
      <trackRevisions>false</trackRevisions>
    </reviewItem>
    <reviewItem>
      <errorID>31797948-6a66-4bf0-9570-42f9a711f133</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2DFC8646</paraID>
      <start>0</start>
      <end>2</end>
      <status>unmodified</status>
      <modifiedWord/>
      <trackRevisions>false</trackRevisions>
    </reviewItem>
    <reviewItem>
      <errorID>eafb7db6-b329-4e53-888c-d944b0ae919d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1B47A6C</paraID>
      <start>0</start>
      <end>2</end>
      <status>unmodified</status>
      <modifiedWord/>
      <trackRevisions>false</trackRevisions>
    </reviewItem>
    <reviewItem>
      <errorID>3660f083-4eb0-47a5-91f3-5486a594beaa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21571A2F</paraID>
      <start>0</start>
      <end>2</end>
      <status>unmodified</status>
      <modifiedWord/>
      <trackRevisions>false</trackRevisions>
    </reviewItem>
    <reviewItem>
      <errorID>3f044853-8f40-4d83-b7b4-657cd62c1759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59FF8BA2</paraID>
      <start>0</start>
      <end>2</end>
      <status>unmodified</status>
      <modifiedWord/>
      <trackRevisions>false</trackRevisions>
    </reviewItem>
    <reviewItem>
      <errorID>09919f8a-187f-49ff-b628-43ea125fc369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2FA6D5D4</paraID>
      <start>0</start>
      <end>2</end>
      <status>unmodified</status>
      <modifiedWord/>
      <trackRevisions>false</trackRevisions>
    </reviewItem>
    <reviewItem>
      <errorID>c05a1724-141e-4e13-9616-e136f69af002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C84E6DB</paraID>
      <start>0</start>
      <end>2</end>
      <status>unmodified</status>
      <modifiedWord/>
      <trackRevisions>false</trackRevisions>
    </reviewItem>
    <reviewItem>
      <errorID>f6f5345c-8f7b-4c5d-b97f-85ef78f27719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56798ABD</paraID>
      <start>0</start>
      <end>2</end>
      <status>unmodified</status>
      <modifiedWord/>
      <trackRevisions>false</trackRevisions>
    </reviewItem>
    <reviewItem>
      <errorID>7511d19e-ae03-4e6a-b431-d58883a954c2</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5E3F7099</paraID>
      <start>0</start>
      <end>2</end>
      <status>unmodified</status>
      <modifiedWord/>
      <trackRevisions>false</trackRevisions>
    </reviewItem>
    <reviewItem>
      <errorID>e1317a25-e9b4-4600-9e04-1916a0fd0d87</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3C64BF46</paraID>
      <start>0</start>
      <end>2</end>
      <status>unmodified</status>
      <modifiedWord/>
      <trackRevisions>false</trackRevisions>
    </reviewItem>
    <reviewItem>
      <errorID>47eba056-7a59-4690-947c-30f8a84515ed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674D2FD4</paraID>
      <start>0</start>
      <end>2</end>
      <status>unmodified</status>
      <modifiedWord/>
      <trackRevisions>false</trackRevisions>
    </reviewItem>
    <reviewItem>
      <errorID>93219f79-970e-4684-95c4-7e200e10040f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23951DEF</paraID>
      <start>0</start>
      <end>2</end>
      <status>unmodified</status>
      <modifiedWord/>
      <trackRevisions>false</trackRevisions>
    </reviewItem>
    <reviewItem>
      <errorID>a3fdcf0b-754b-4ec1-9ed2-2bf1a8028927</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4C7CC19F</paraID>
      <start>0</start>
      <end>2</end>
      <status>unmodified</status>
      <modifiedWord/>
      <trackRevisions>false</trackRevisions>
    </reviewItem>
    <reviewItem>
      <errorID>8e6db02e-4aa8-4bfc-9c97-ef0238605099</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77004F8F</paraID>
      <start>0</start>
      <end>2</end>
      <status>unmodified</status>
      <modifiedWord/>
      <trackRevisions>false</trackRevisions>
    </reviewItem>
    <reviewItem>
      <errorID>f342c5eb-5319-4d71-bb65-1f2a7d46a851</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 AE24D62</paraID>
      <start>93</start>
      <end>94</end>
      <status>unmodified</status>
      <modifiedWord/>
      <trackRevisions>false</trackRevisions>
    </reviewItem>
    <reviewItem>
      <errorID>19e90dae-4f23-4d4b-a910-eab576511ec2</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10290DB</paraID>
      <start>0</start>
      <end>2</end>
      <status>unmodified</status>
      <modifiedWord/>
      <trackRevisions>false</trackRevisions>
    </reviewItem>
    <reviewItem>
      <errorID>fb37abd7-c4dc-463b-9bee-256b725d31f7</errorID>
      <errorWord>(</errorWord>
      <group>L1_Format</group>
      <groupName>格式问题</groupName>
      <ability>L2_HalfPunc</ability>
      <abilityName>全半角检查</abilityName>
      <candidateList>
        <item>（</item>
      </candidateList>
      <explain>文本全半角错误。</explain>
      <paraID>2F4A020E</paraID>
      <start>13</start>
      <end>14</end>
      <status>unmodified</status>
      <modifiedWord/>
      <trackRevisions>false</trackRevisions>
    </reviewItem>
    <reviewItem>
      <errorID>e03c03e1-ae0c-486e-89ec-e10e475fc99a</errorID>
      <errorWord>焦作卢氏</errorWord>
      <group>L1_Knowledge</group>
      <groupName>知识性问题</groupName>
      <ability>L2_Location</ability>
      <abilityName>地名检查</abilityName>
      <candidateList>
        <item>三门峡卢氏</item>
      </candidateList>
      <explain>地名表述错误。</explain>
      <paraID>1166D672</paraID>
      <start>0</start>
      <end>4</end>
      <status>unmodified</status>
      <modifiedWord/>
      <trackRevisions>false</trackRevisions>
    </reviewItem>
    <reviewItem>
      <errorID>edaded34-62fd-4f93-969e-d6c8744f283c</errorID>
      <errorWord>儀</errorWord>
      <group>L1_Word</group>
      <groupName>字词问题</groupName>
      <ability>L2_Fanti</ability>
      <abilityName>繁转简</abilityName>
      <candidateList>
        <item>仪</item>
      </candidateList>
      <explain/>
      <paraID>1166D672</paraID>
      <start>5</start>
      <end>6</end>
      <status>unmodified</status>
      <modifiedWord/>
      <trackRevisions>false</trackRevisions>
    </reviewItem>
    <reviewItem>
      <errorID>709e534b-314e-4145-9e29-1255260cfb73</errorID>
      <errorWord>嫁妆</errorWord>
      <group>L1_Word</group>
      <groupName>字词问题</groupName>
      <ability>L2_Typo</ability>
      <abilityName>字词错误</abilityName>
      <candidateList>
        <item>嫁</item>
      </candidateList>
      <explain/>
      <paraID>474BBB22</paraID>
      <start>3</start>
      <end>5</end>
      <status>unmodified</status>
      <modifiedWord/>
      <trackRevisions>false</trackRevisions>
    </reviewItem>
    <reviewItem>
      <errorID>a075269a-cd82-4ed0-b32a-4e29ff89b493</errorID>
      <errorWord>"</errorWord>
      <group>L1_Format</group>
      <groupName>格式问题</groupName>
      <ability>L2_HalfPunc</ability>
      <abilityName>全半角检查</abilityName>
      <candidateList/>
      <explain>文本全半角错误。</explain>
      <paraID>4C90E077</paraID>
      <start>8</start>
      <end>9</end>
      <status>unmodified</status>
      <modifiedWord/>
      <trackRevisions>false</trackRevisions>
    </reviewItem>
    <reviewItem>
      <errorID>8f69619c-05fc-49fc-8c64-b50dfc334591</errorID>
      <errorWord>"</errorWord>
      <group>L1_Format</group>
      <groupName>格式问题</groupName>
      <ability>L2_HalfPunc</ability>
      <abilityName>全半角检查</abilityName>
      <candidateList/>
      <explain>文本全半角错误。</explain>
      <paraID>4C90E077</paraID>
      <start>10</start>
      <end>11</end>
      <status>unmodified</status>
      <modifiedWord/>
      <trackRevisions>false</trackRevisions>
    </reviewItem>
    <reviewItem>
      <errorID>94f80a70-f8b7-4f32-accb-d8a57dc2bd3c</errorID>
      <errorWord>地型</errorWord>
      <group>L1_Word</group>
      <groupName>字词问题</groupName>
      <ability>L2_Typo</ability>
      <abilityName>字词错误</abilityName>
      <candidateList>
        <item>地形</item>
      </candidateList>
      <explain/>
      <paraID>75C45051</paraID>
      <start>13</start>
      <end>15</end>
      <status>unmodified</status>
      <modifiedWord/>
      <trackRevisions>false</trackRevisions>
    </reviewItem>
    <reviewItem>
      <errorID>b1b2324a-3519-48ad-a3b9-e2d48dbd50be</errorID>
      <errorWord>淸</errorWord>
      <group>L1_Word</group>
      <groupName>字词问题</groupName>
      <ability>L2_Variant</ability>
      <abilityName>异形词</abilityName>
      <candidateList>
        <item>清</item>
      </candidateList>
      <explain>词汇[淸]的规范词形写作[清]。</explain>
      <paraID>1284B75B</paraID>
      <start>2</start>
      <end>3</end>
      <status>unmodified</status>
      <modifiedWord/>
      <trackRevisions>false</trackRevisions>
    </reviewItem>
    <reviewItem>
      <errorID>cebbe6fe-ad7b-4fe0-8f0b-d4aa3aadb727</errorID>
      <errorWord>四好农村路</errorWord>
      <group>L1_Political</group>
      <groupName>政治性问题</groupName>
      <ability>L2_Keyword</ability>
      <abilityName>固定表述</abilityName>
      <candidateList>
        <item>“四好农村路”</item>
      </candidateList>
      <explain>注意检查当前固定表述标点是否使用规范。</explain>
      <paraID>24D9014D</paraID>
      <start>2</start>
      <end>7</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d24fa7-beff-4587-8472-a3ab97a7cee6}">
  <ds:schemaRefs/>
</ds:datastoreItem>
</file>

<file path=docProps/app.xml><?xml version="1.0" encoding="utf-8"?>
<Properties xmlns="http://schemas.openxmlformats.org/officeDocument/2006/extended-properties" xmlns:vt="http://schemas.openxmlformats.org/officeDocument/2006/docPropsVTypes">
  <Template>Normal.dotm</Template>
  <Pages>319</Pages>
  <Words>12790</Words>
  <Characters>13357</Characters>
  <Lines>0</Lines>
  <Paragraphs>0</Paragraphs>
  <TotalTime>1</TotalTime>
  <ScaleCrop>false</ScaleCrop>
  <LinksUpToDate>false</LinksUpToDate>
  <CharactersWithSpaces>13961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2025-03-07T01:08:00Z</dcterms:created>
  <dc:creator>Janey</dc:creator>
  <cp:lastModifiedBy>Janey</cp:lastModifiedBy>
  <dcterms:modified xsi:type="dcterms:W3CDTF">2026-05-20T09:10:37Z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7D27D4EF54854EEBBEC3668DEC48E5E1_13</vt:lpwstr>
  </property>
  <property fmtid="{D5CDD505-2E9C-101B-9397-08002B2CF9AE}" pid="4" name="KSOTemplateDocerSaveRecord">
    <vt:lpwstr>eyJoZGlkIjoiNzJlY2FlZDJhMjNhNjY0YmUzMDc3ZGVkMzE2ZGVlYzciLCJ1c2VySWQiOiI0MTgyMzExODMifQ==</vt:lpwstr>
  </property>
</Properties>
</file>