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" w:line="240" w:lineRule="auto"/>
        <w:rPr>
          <w:rFonts w:hint="default" w:ascii="方正小标宋简体" w:hAnsi="方正小标宋简体" w:eastAsia="方正小标宋简体" w:cs="方正小标宋简体"/>
          <w:color w:val="auto"/>
          <w:sz w:val="26"/>
          <w:szCs w:val="2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26"/>
          <w:szCs w:val="26"/>
          <w:lang w:val="en-US" w:eastAsia="zh-CN"/>
        </w:rPr>
        <w:t>附件2</w:t>
      </w:r>
    </w:p>
    <w:p>
      <w:pPr>
        <w:pStyle w:val="2"/>
        <w:spacing w:line="545" w:lineRule="exact"/>
        <w:ind w:left="3240" w:right="0"/>
        <w:jc w:val="left"/>
        <w:rPr>
          <w:color w:val="auto"/>
        </w:rPr>
      </w:pPr>
      <w:r>
        <w:rPr>
          <w:color w:val="auto"/>
        </w:rPr>
        <w:t>2025</w:t>
      </w:r>
      <w:r>
        <w:rPr>
          <w:color w:val="auto"/>
          <w:spacing w:val="-4"/>
        </w:rPr>
        <w:t>年度市本级涉企行政检查计划汇总表</w:t>
      </w:r>
    </w:p>
    <w:p>
      <w:pPr>
        <w:spacing w:before="2" w:line="240" w:lineRule="auto"/>
        <w:rPr>
          <w:rFonts w:ascii="方正小标宋简体" w:hAnsi="方正小标宋简体" w:eastAsia="方正小标宋简体" w:cs="方正小标宋简体"/>
          <w:color w:val="auto"/>
          <w:sz w:val="23"/>
          <w:szCs w:val="23"/>
        </w:rPr>
      </w:pPr>
    </w:p>
    <w:tbl>
      <w:tblPr>
        <w:tblStyle w:val="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1252"/>
        <w:gridCol w:w="1264"/>
        <w:gridCol w:w="6048"/>
        <w:gridCol w:w="1700"/>
        <w:gridCol w:w="1574"/>
        <w:gridCol w:w="1155"/>
        <w:gridCol w:w="1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8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2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行政执法部门</w:t>
            </w:r>
          </w:p>
        </w:tc>
        <w:tc>
          <w:tcPr>
            <w:tcW w:w="43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检查对象</w:t>
            </w:r>
          </w:p>
        </w:tc>
        <w:tc>
          <w:tcPr>
            <w:tcW w:w="206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检查内容</w:t>
            </w:r>
          </w:p>
        </w:tc>
        <w:tc>
          <w:tcPr>
            <w:tcW w:w="58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检查依据</w:t>
            </w:r>
          </w:p>
        </w:tc>
        <w:tc>
          <w:tcPr>
            <w:tcW w:w="53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检查频次</w:t>
            </w:r>
          </w:p>
        </w:tc>
        <w:tc>
          <w:tcPr>
            <w:tcW w:w="39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检查时间</w:t>
            </w:r>
          </w:p>
        </w:tc>
        <w:tc>
          <w:tcPr>
            <w:tcW w:w="37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0" w:hRule="atLeast"/>
        </w:trPr>
        <w:tc>
          <w:tcPr>
            <w:tcW w:w="18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43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职业健康技术服务机构</w:t>
            </w:r>
          </w:p>
        </w:tc>
        <w:tc>
          <w:tcPr>
            <w:tcW w:w="206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1.核查机构是否取得有效的备案证明或资质证书。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2.评估技术能力是否符合国家规定的职业卫生技术服务标准。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3.检查检测设备的校准记录及维护情况，确保设备处于有效状态。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4.验证检测方法的科学性和规范性，是否符合国家标准或行业技术规范。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5.审查检测报告内容是否完整、数据真实，是否包含必要的检测项目、结果分析和结论。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6.核查报告签字人员是否具备相应执业资格。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7.抽查技术人员的执业资格证书及继续教育培训记录，确保人员资质符合要求。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8.检查技术服务流程是否符合《管理办法》规定，包括合同签订、现场调查、样品采集、检测分析等环节。</w:t>
            </w:r>
          </w:p>
        </w:tc>
        <w:tc>
          <w:tcPr>
            <w:tcW w:w="58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《职业病防治法》、《职业卫生技术服务机构管理办法》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、《放射卫生技术服务机构管理办法》等</w:t>
            </w:r>
          </w:p>
        </w:tc>
        <w:tc>
          <w:tcPr>
            <w:tcW w:w="53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分别根据国抽双随机、市抽双随机以及日常监督工作要求至少1次/年</w:t>
            </w:r>
          </w:p>
        </w:tc>
        <w:tc>
          <w:tcPr>
            <w:tcW w:w="39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3月、9月</w:t>
            </w:r>
          </w:p>
        </w:tc>
        <w:tc>
          <w:tcPr>
            <w:tcW w:w="37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双随机一公开、现场检查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5" w:hRule="atLeast"/>
        </w:trPr>
        <w:tc>
          <w:tcPr>
            <w:tcW w:w="18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43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消毒产品生产企业</w:t>
            </w:r>
          </w:p>
        </w:tc>
        <w:tc>
          <w:tcPr>
            <w:tcW w:w="206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1.选址、布局流程应符合规范要求，人流物流分开，避免交叉，有产品生产的必备设施，有清洗消毒设施；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2.生产原料及提供的原料供货方证明或进口原料检测报告；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3.更衣室的空气消毒和手消毒设施是否正常使用；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4.在岗工人的培训材料、健康证；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5.卫生许可批准范围与生产的产品是否一致；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6.制度执行登记；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7.产品标签（说明书）标识是否与要求一致；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8.产品的企业产品标准、评价报告，产品自检报告。</w:t>
            </w:r>
          </w:p>
        </w:tc>
        <w:tc>
          <w:tcPr>
            <w:tcW w:w="58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《消毒产品卫生监督管理办法》、《消毒技术规范》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</w:t>
            </w:r>
          </w:p>
        </w:tc>
        <w:tc>
          <w:tcPr>
            <w:tcW w:w="53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分别根据国抽双随机、市抽双随机以及日常监督工作要求至少1次/年</w:t>
            </w:r>
          </w:p>
        </w:tc>
        <w:tc>
          <w:tcPr>
            <w:tcW w:w="39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4月、10月</w:t>
            </w:r>
          </w:p>
        </w:tc>
        <w:tc>
          <w:tcPr>
            <w:tcW w:w="37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双随机一公开、现场检查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8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43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涉水产品生产企业</w:t>
            </w:r>
          </w:p>
        </w:tc>
        <w:tc>
          <w:tcPr>
            <w:tcW w:w="206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1.生产企业符合《涉及饮用水卫生安全产品生产企业卫生规范》情况；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2.产品卫生许可批件、标签、说明书情况。</w:t>
            </w:r>
          </w:p>
        </w:tc>
        <w:tc>
          <w:tcPr>
            <w:tcW w:w="58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《生活饮用水卫生监督管理办法》、《涉水产品卫生标准》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</w:t>
            </w:r>
          </w:p>
        </w:tc>
        <w:tc>
          <w:tcPr>
            <w:tcW w:w="53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分别根据国抽双随机、市抽双随机以及日常监督工作要求至少1次/年</w:t>
            </w:r>
          </w:p>
        </w:tc>
        <w:tc>
          <w:tcPr>
            <w:tcW w:w="39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6月、12月</w:t>
            </w:r>
          </w:p>
        </w:tc>
        <w:tc>
          <w:tcPr>
            <w:tcW w:w="37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触发式检查、现场检查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18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43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存在职业病危害的用人单位</w:t>
            </w:r>
          </w:p>
        </w:tc>
        <w:tc>
          <w:tcPr>
            <w:tcW w:w="206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1.职业病防治管理组织和措施情况；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2.职业卫生培训情况；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3.建设项目职业病防护设施“三同时”情况；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4.职业病危害项目申报情况；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5.工作场所职业卫生管理情况；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6.职业病危害警示和告知情况；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7.劳动者职业健康监护情况；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8.职业病病人和疑似职业病病人处置情况。</w:t>
            </w:r>
          </w:p>
        </w:tc>
        <w:tc>
          <w:tcPr>
            <w:tcW w:w="58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《职业病防治法》、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《工作场所职业卫生管理规定》、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《用人单位职业健康监护监督管理办法》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</w:t>
            </w:r>
          </w:p>
        </w:tc>
        <w:tc>
          <w:tcPr>
            <w:tcW w:w="53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分别根据国抽双随机、市抽双随机至少1次/年</w:t>
            </w:r>
          </w:p>
        </w:tc>
        <w:tc>
          <w:tcPr>
            <w:tcW w:w="39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全年不定期</w:t>
            </w:r>
          </w:p>
        </w:tc>
        <w:tc>
          <w:tcPr>
            <w:tcW w:w="37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触发式检查、现场检查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18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43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营利性医疗机构</w:t>
            </w:r>
          </w:p>
        </w:tc>
        <w:tc>
          <w:tcPr>
            <w:tcW w:w="206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1.医疗机构资质（取得《医疗机构执业许可证》或备案情况、人员资格、诊疗活动、健康体检）管理情况；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2.医疗卫生人员管理情况；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3.药品和医疗器械（麻醉药品、精神药品、抗菌药物、医疗器械）管理情况；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4.医疗技术（医疗美容、临床基因扩增、干细胞临床研究、临床研究项目）管理情况；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5.医疗文书（处方、病历、医学证明文件）管理情况；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6.临床用血（用血来源、管理组织和制度，血液储存，应急用血采血）管理情况。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7.传染病疫情报告情况；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8.医疗废物处置管理情况；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9.病原微生物实验室生物安全管理情况。</w:t>
            </w:r>
          </w:p>
        </w:tc>
        <w:tc>
          <w:tcPr>
            <w:tcW w:w="58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《医疗机构管理办法》、《中华人民共和国医师法》、《麻醉药品和精神药品管理条例》、《传染病防治法》、《生物安全法》、《病原微生物实验室安全管理条例》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</w:t>
            </w:r>
          </w:p>
        </w:tc>
        <w:tc>
          <w:tcPr>
            <w:tcW w:w="53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分别根据国抽双随机、市抽双随机至少1次/年</w:t>
            </w:r>
          </w:p>
        </w:tc>
        <w:tc>
          <w:tcPr>
            <w:tcW w:w="39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5月、8月</w:t>
            </w:r>
          </w:p>
        </w:tc>
        <w:tc>
          <w:tcPr>
            <w:tcW w:w="37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双随机一公开、现场检查</w:t>
            </w:r>
          </w:p>
        </w:tc>
      </w:tr>
    </w:tbl>
    <w:p>
      <w:pPr>
        <w:spacing w:after="0"/>
        <w:rPr>
          <w:color w:val="auto"/>
        </w:rPr>
        <w:sectPr>
          <w:headerReference r:id="rId5" w:type="default"/>
          <w:footerReference r:id="rId6" w:type="default"/>
          <w:pgSz w:w="16840" w:h="11910" w:orient="landscape"/>
          <w:pgMar w:top="2000" w:right="1200" w:bottom="1160" w:left="1200" w:header="1666" w:footer="962" w:gutter="0"/>
          <w:pgNumType w:start="9"/>
          <w:cols w:space="720" w:num="1"/>
        </w:sectPr>
      </w:pPr>
    </w:p>
    <w:p>
      <w:pPr>
        <w:spacing w:before="7" w:line="240" w:lineRule="auto"/>
        <w:rPr>
          <w:rFonts w:hint="default" w:ascii="方正小标宋简体" w:hAnsi="方正小标宋简体" w:eastAsia="方正小标宋简体" w:cs="方正小标宋简体"/>
          <w:color w:val="auto"/>
          <w:sz w:val="26"/>
          <w:szCs w:val="2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26"/>
          <w:szCs w:val="26"/>
          <w:lang w:val="en-US" w:eastAsia="zh-CN"/>
        </w:rPr>
        <w:t>附件3</w:t>
      </w:r>
    </w:p>
    <w:p>
      <w:pPr>
        <w:pStyle w:val="2"/>
        <w:spacing w:line="545" w:lineRule="exact"/>
        <w:ind w:left="4568" w:right="0"/>
        <w:jc w:val="left"/>
        <w:rPr>
          <w:color w:val="auto"/>
        </w:rPr>
      </w:pPr>
      <w:r>
        <w:rPr>
          <w:color w:val="auto"/>
          <w:spacing w:val="-4"/>
        </w:rPr>
        <w:t>市本级行政检查事项汇总表</w:t>
      </w:r>
    </w:p>
    <w:tbl>
      <w:tblPr>
        <w:tblStyle w:val="4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3974"/>
        <w:gridCol w:w="2154"/>
        <w:gridCol w:w="5898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0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行政检查事项名称</w:t>
            </w:r>
          </w:p>
        </w:tc>
        <w:tc>
          <w:tcPr>
            <w:tcW w:w="76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行政执法部门</w:t>
            </w:r>
          </w:p>
        </w:tc>
        <w:tc>
          <w:tcPr>
            <w:tcW w:w="208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设定和实施依据</w:t>
            </w:r>
          </w:p>
        </w:tc>
        <w:tc>
          <w:tcPr>
            <w:tcW w:w="50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2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职业健康技术服务机构工作情况的检查/抽查</w:t>
            </w:r>
          </w:p>
        </w:tc>
        <w:tc>
          <w:tcPr>
            <w:tcW w:w="76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208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《职业病防治法》、《职业卫生技术服务机构管理办法》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、《放射卫生技术服务机构管理办法》等</w:t>
            </w:r>
          </w:p>
        </w:tc>
        <w:tc>
          <w:tcPr>
            <w:tcW w:w="50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市本级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2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消毒产品生产企业工作情况的检查/抽查</w:t>
            </w:r>
          </w:p>
        </w:tc>
        <w:tc>
          <w:tcPr>
            <w:tcW w:w="76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208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《消毒产品卫生监督管理办法》、《消毒技术规范》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</w:t>
            </w:r>
          </w:p>
        </w:tc>
        <w:tc>
          <w:tcPr>
            <w:tcW w:w="50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市本级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3" w:hRule="atLeast"/>
        </w:trPr>
        <w:tc>
          <w:tcPr>
            <w:tcW w:w="2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0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涉及饮用水卫生安全产品生产企业工作情况的检查/抽查</w:t>
            </w:r>
          </w:p>
        </w:tc>
        <w:tc>
          <w:tcPr>
            <w:tcW w:w="76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208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《生活饮用水卫生监督管理办法》、《涉水产品卫生标准》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</w:t>
            </w:r>
          </w:p>
        </w:tc>
        <w:tc>
          <w:tcPr>
            <w:tcW w:w="50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市本级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2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0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用人单位职业卫生情况的检查/抽查</w:t>
            </w:r>
          </w:p>
        </w:tc>
        <w:tc>
          <w:tcPr>
            <w:tcW w:w="76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208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《职业病防治法》、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《工作场所职业卫生管理规定》、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《用人单位职业健康监护监督管理办法》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</w:t>
            </w:r>
          </w:p>
        </w:tc>
        <w:tc>
          <w:tcPr>
            <w:tcW w:w="50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（县）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区两级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2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0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营利性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医疗机构医疗卫生、传染病监督抽查</w:t>
            </w:r>
          </w:p>
        </w:tc>
        <w:tc>
          <w:tcPr>
            <w:tcW w:w="76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  <w:bookmarkStart w:id="0" w:name="_GoBack"/>
            <w:bookmarkEnd w:id="0"/>
          </w:p>
        </w:tc>
        <w:tc>
          <w:tcPr>
            <w:tcW w:w="208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传染病防治法》、《生物安全法》、《医疗机构管理办法》、《病原微生物实验室安全管理条例》等</w:t>
            </w:r>
          </w:p>
        </w:tc>
        <w:tc>
          <w:tcPr>
            <w:tcW w:w="50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市本级</w:t>
            </w:r>
          </w:p>
        </w:tc>
      </w:tr>
    </w:tbl>
    <w:p>
      <w:pPr>
        <w:rPr>
          <w:color w:val="auto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egoe UI">
    <w:altName w:val="Noto Music"/>
    <w:panose1 w:val="020B0502040204020203"/>
    <w:charset w:val="00"/>
    <w:family w:val="auto"/>
    <w:pitch w:val="default"/>
    <w:sig w:usb0="00000000" w:usb1="00000000" w:usb2="00000009" w:usb3="00000000" w:csb0="2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5160645</wp:posOffset>
              </wp:positionH>
              <wp:positionV relativeFrom="page">
                <wp:posOffset>6809740</wp:posOffset>
              </wp:positionV>
              <wp:extent cx="737235" cy="20383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7372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05" w:lineRule="exact"/>
                            <w:ind w:left="20" w:right="0" w:firstLine="0"/>
                            <w:jc w:val="left"/>
                            <w:rPr>
                              <w:rFonts w:ascii="Times New Roman" w:hAnsi="Times New Roman" w:eastAsia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w w:val="100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w w:val="10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w w:val="100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true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6.35pt;margin-top:536.2pt;height:16.05pt;width:58.05pt;mso-position-horizontal-relative:page;mso-position-vertical-relative:page;z-index:-251657216;mso-width-relative:page;mso-height-relative:page;" filled="f" stroked="f" coordsize="21600,21600" o:gfxdata="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FgAAAGRycy9QSwECFAAUAAAA&#10;CACHTuJAkJkpy9sAAAANAQAADwAAAAAAAAABACAAAAA4AAAAZHJzL2Rvd25yZXYueG1sUEsBAhQA&#10;FAAAAAgAh07iQC+yt1KgAQAAKQMAAA4AAAAAAAAAAQAgAAAAQA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05" w:lineRule="exact"/>
                      <w:ind w:left="20" w:right="0" w:firstLine="0"/>
                      <w:jc w:val="left"/>
                      <w:rPr>
                        <w:rFonts w:ascii="Times New Roman" w:hAnsi="Times New Roman" w:eastAsia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w w:val="100"/>
                        <w:sz w:val="28"/>
                        <w:szCs w:val="28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 w:eastAsia="Times New Roman" w:cs="Times New Roman"/>
                        <w:w w:val="100"/>
                        <w:sz w:val="28"/>
                        <w:szCs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w w:val="100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YTdhMGQwZDgyNzExYjUyZGI3MDJlZGY5NWU0MGYifQ=="/>
    <w:docVar w:name="KSO_WPS_MARK_KEY" w:val="68f9dbcf-ed80-4043-bfec-d14b04f91503"/>
  </w:docVars>
  <w:rsids>
    <w:rsidRoot w:val="47C753E6"/>
    <w:rsid w:val="01C40DDD"/>
    <w:rsid w:val="059B1E55"/>
    <w:rsid w:val="0F127340"/>
    <w:rsid w:val="18AB63FB"/>
    <w:rsid w:val="20531852"/>
    <w:rsid w:val="2D0FF1ED"/>
    <w:rsid w:val="2E41718E"/>
    <w:rsid w:val="2EF7784D"/>
    <w:rsid w:val="2F120B2A"/>
    <w:rsid w:val="2F745341"/>
    <w:rsid w:val="31101D03"/>
    <w:rsid w:val="33AD497E"/>
    <w:rsid w:val="34EB7E53"/>
    <w:rsid w:val="39273424"/>
    <w:rsid w:val="3EE15E23"/>
    <w:rsid w:val="3FA47CD3"/>
    <w:rsid w:val="436239D7"/>
    <w:rsid w:val="44627A06"/>
    <w:rsid w:val="47C753E6"/>
    <w:rsid w:val="487E6C2D"/>
    <w:rsid w:val="4A7A7858"/>
    <w:rsid w:val="4AE90539"/>
    <w:rsid w:val="4C235CCD"/>
    <w:rsid w:val="4DF06083"/>
    <w:rsid w:val="4E994E15"/>
    <w:rsid w:val="55442276"/>
    <w:rsid w:val="5638173C"/>
    <w:rsid w:val="58773629"/>
    <w:rsid w:val="58F22CAF"/>
    <w:rsid w:val="5A1B47E0"/>
    <w:rsid w:val="5B72CCD1"/>
    <w:rsid w:val="5DB1138B"/>
    <w:rsid w:val="5DB42C29"/>
    <w:rsid w:val="638D4E7E"/>
    <w:rsid w:val="68BC5088"/>
    <w:rsid w:val="6C214EA2"/>
    <w:rsid w:val="6C8B0FF9"/>
    <w:rsid w:val="7121017E"/>
    <w:rsid w:val="74211EE0"/>
    <w:rsid w:val="77183DD1"/>
    <w:rsid w:val="79584959"/>
    <w:rsid w:val="7EE03426"/>
    <w:rsid w:val="7FE707E4"/>
    <w:rsid w:val="7FEFC24A"/>
    <w:rsid w:val="AE5D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540"/>
      <w:outlineLvl w:val="1"/>
    </w:pPr>
    <w:rPr>
      <w:rFonts w:ascii="方正小标宋简体" w:hAnsi="方正小标宋简体" w:eastAsia="方正小标宋简体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21"/>
      <w:ind w:left="111"/>
    </w:pPr>
    <w:rPr>
      <w:rFonts w:ascii="仿宋_GB2312" w:hAnsi="仿宋_GB2312" w:eastAsia="仿宋_GB2312"/>
      <w:sz w:val="32"/>
      <w:szCs w:val="32"/>
    </w:rPr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1483</Words>
  <Characters>1523</Characters>
  <Lines>0</Lines>
  <Paragraphs>0</Paragraphs>
  <TotalTime>0</TotalTime>
  <ScaleCrop>false</ScaleCrop>
  <LinksUpToDate>false</LinksUpToDate>
  <CharactersWithSpaces>1523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2025-02-11T00:42:00Z</dcterms:created>
  <dc:creator>Jin Ke</dc:creator>
  <cp:lastModifiedBy>wjw709-2</cp:lastModifiedBy>
  <cp:lastPrinted>2025-02-12T16:28:00Z</cp:lastPrinted>
  <dcterms:modified xsi:type="dcterms:W3CDTF">2025-02-14T10:56:03Z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2904C564C42B41049BD383E902152AD4_11</vt:lpwstr>
  </property>
  <property fmtid="{D5CDD505-2E9C-101B-9397-08002B2CF9AE}" pid="4" name="KSOTemplateDocerSaveRecord">
    <vt:lpwstr>eyJoZGlkIjoiMWJmZmE1YWIwNGU3YWI0M2Q2NDA0ODczNzEyZGZjOTQiLCJ1c2VySWQiOiIxMTY2NTg1Njk2In0=</vt:lpwstr>
  </property>
</Properties>
</file>