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8761C">
      <w:pPr>
        <w:spacing w:before="7" w:after="0" w:line="240" w:lineRule="auto"/>
        <w:jc w:val="left"/>
        <w:rPr>
          <w:rFonts w:hint="default" w:ascii="方正小标宋简体" w:hAnsi="方正小标宋简体" w:eastAsia="方正小标宋简体" w:cs="方正小标宋简体"/>
          <w:color w:val="auto"/>
          <w:kern w:val="0"/>
          <w:sz w:val="26"/>
          <w:szCs w:val="2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26"/>
          <w:szCs w:val="26"/>
          <w:lang w:val="en-US" w:eastAsia="zh-CN"/>
        </w:rPr>
        <w:t>附件2</w:t>
      </w:r>
    </w:p>
    <w:p w14:paraId="12296C62">
      <w:pPr>
        <w:widowControl w:val="0"/>
        <w:spacing w:after="0" w:line="545" w:lineRule="exact"/>
        <w:ind w:left="3240" w:right="0"/>
        <w:jc w:val="left"/>
        <w:outlineLvl w:val="1"/>
        <w:rPr>
          <w:rFonts w:ascii="方正小标宋简体" w:hAnsi="方正小标宋简体" w:eastAsia="方正小标宋简体" w:cs="Times New Roman"/>
          <w:color w:val="auto"/>
          <w:sz w:val="44"/>
          <w:szCs w:val="44"/>
          <w:lang w:val="en-US" w:eastAsia="en-US" w:bidi="ar-SA"/>
        </w:rPr>
      </w:pPr>
      <w:r>
        <w:rPr>
          <w:rFonts w:ascii="方正小标宋简体" w:hAnsi="方正小标宋简体" w:eastAsia="方正小标宋简体" w:cs="Times New Roman"/>
          <w:color w:val="auto"/>
          <w:sz w:val="44"/>
          <w:szCs w:val="44"/>
          <w:lang w:val="en-US" w:eastAsia="en-US" w:bidi="ar-SA"/>
        </w:rPr>
        <w:t>202</w:t>
      </w:r>
      <w:r>
        <w:rPr>
          <w:rFonts w:hint="eastAsia" w:ascii="方正小标宋简体" w:hAnsi="方正小标宋简体" w:eastAsia="方正小标宋简体" w:cs="Times New Roman"/>
          <w:color w:val="auto"/>
          <w:sz w:val="44"/>
          <w:szCs w:val="44"/>
          <w:lang w:val="en-US" w:eastAsia="zh-CN" w:bidi="ar-SA"/>
        </w:rPr>
        <w:t>6</w:t>
      </w:r>
      <w:r>
        <w:rPr>
          <w:rFonts w:ascii="方正小标宋简体" w:hAnsi="方正小标宋简体" w:eastAsia="方正小标宋简体" w:cs="Times New Roman"/>
          <w:color w:val="auto"/>
          <w:spacing w:val="-4"/>
          <w:sz w:val="44"/>
          <w:szCs w:val="44"/>
          <w:lang w:val="en-US" w:eastAsia="en-US" w:bidi="ar-SA"/>
        </w:rPr>
        <w:t>年度市本级涉企行政检查计划汇总表</w:t>
      </w:r>
    </w:p>
    <w:p w14:paraId="39F6684D">
      <w:pPr>
        <w:spacing w:before="2" w:after="0" w:line="240" w:lineRule="auto"/>
        <w:jc w:val="left"/>
        <w:rPr>
          <w:rFonts w:ascii="方正小标宋简体" w:hAnsi="方正小标宋简体" w:eastAsia="方正小标宋简体" w:cs="方正小标宋简体"/>
          <w:color w:val="auto"/>
          <w:kern w:val="0"/>
          <w:sz w:val="23"/>
          <w:szCs w:val="23"/>
          <w:lang w:eastAsia="en-US"/>
        </w:rPr>
      </w:pP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252"/>
        <w:gridCol w:w="1264"/>
        <w:gridCol w:w="6048"/>
        <w:gridCol w:w="1700"/>
        <w:gridCol w:w="1574"/>
        <w:gridCol w:w="1155"/>
        <w:gridCol w:w="1109"/>
      </w:tblGrid>
      <w:tr w14:paraId="317C3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86" w:type="pct"/>
            <w:shd w:val="clear" w:color="auto" w:fill="auto"/>
            <w:vAlign w:val="center"/>
          </w:tcPr>
          <w:p w14:paraId="0AE8D8E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0AC7F2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0049002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4C83FD9A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64A8C860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788CF1E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288E5EF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检查时间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297FA9D8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</w:tr>
      <w:tr w14:paraId="64C7B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0" w:hRule="atLeast"/>
        </w:trPr>
        <w:tc>
          <w:tcPr>
            <w:tcW w:w="186" w:type="pct"/>
            <w:shd w:val="clear" w:color="auto" w:fill="auto"/>
            <w:vAlign w:val="center"/>
          </w:tcPr>
          <w:p w14:paraId="65BB949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0152979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1074AB2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职业健康技术服务机构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1039AE55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1.核查机构是否取得有效的备案证明或资质证书。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2.评估技术能力是否符合国家规定的职业卫生技术服务标准。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3.检查检测设备的校准记录及维护情况，确保设备处于有效状态。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4.验证检测方法的科学性和规范性，是否符合国家标准或行业技术规范。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5.审查检测报告内容是否完整、数据真实，是否包含必要的检测项目、结果分析和结论。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6.核查报告签字人员是否具备相应执业资格。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7.抽查技术人员的执业资格证书及继续教育培训记录，确保人员资质符合要求。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8.检查技术服务流程是否符合《管理办法》规定，包括合同签订、现场调查、样品采集、检测分析等环节。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097E0D6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"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《职业病防治法》、《职业卫生技术服务机构管理办法》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、《放射卫生技术服务机构管理办法》等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0A5367EE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16D4347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全年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0D59268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 w14:paraId="01A25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186" w:type="pct"/>
            <w:shd w:val="clear" w:color="auto" w:fill="auto"/>
            <w:vAlign w:val="center"/>
          </w:tcPr>
          <w:p w14:paraId="6854A6D8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27941F8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2CEE543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消毒产品生产企业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53D3CF8E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1.选址、布局流程应符合规范要求，人流物流分开，避免交叉，有产品生产的必备设施，有清洗消毒设施；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2.生产原料及提供的原料供货方证明或进口原料检测报告；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3.更衣室的空气消毒和手消毒设施是否正常使用；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4.在岗工人的培训材料、健康证；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5.卫生许可批准范围与生产的产品是否一致；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6.制度执行登记；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7.产品标签（说明书）标识是否与要求一致；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8.产品的企业产品标准、评价报告，产品自检报告。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279CB12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《消毒产品卫生监督管理办法》、《消毒技术规范》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5477F1D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06248950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全年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21AE0BB6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 w14:paraId="4DCE0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86" w:type="pct"/>
            <w:shd w:val="clear" w:color="auto" w:fill="auto"/>
            <w:vAlign w:val="center"/>
          </w:tcPr>
          <w:p w14:paraId="0DD5C93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4463B57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11B72BF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涉水产品生产企业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7E0E6071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1.生产企业符合《涉及饮用水卫生安全产品生产企业卫生规范》情况；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2.产品卫生许可批件、标签、说明书情况。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651C917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《生活饮用水卫生监督管理办法》、《涉水产品卫生标准》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0D2F5A1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分别根据国抽双随机、市抽双随机以及日常监督工作要求至少1次/年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58CCAA2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zh-CN"/>
              </w:rPr>
              <w:t>全年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6B8037A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 w14:paraId="585CC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86" w:type="pct"/>
            <w:shd w:val="clear" w:color="auto" w:fill="auto"/>
            <w:vAlign w:val="center"/>
          </w:tcPr>
          <w:p w14:paraId="4ACA04B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6480658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00EA362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存在职业病危害的用人单位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12FC71C0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1.职业病防治管理组织和措施情况；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2.职业卫生培训情况；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3.建设项目职业病防护设施“三同时”情况；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4.职业病危害项目申报情况；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5.工作场所职业卫生管理情况；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6.职业病危害警示和告知情况；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7.劳动者职业健康监护情况；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8.职业病病人和疑似职业病病人处置情况。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633793BA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《职业病防治法》、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《工作场所职业卫生管理规定》、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《用人单位职业健康监护监督管理办法》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263C961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3389094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28B6015C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  <w:bookmarkStart w:id="0" w:name="_GoBack"/>
            <w:bookmarkEnd w:id="0"/>
          </w:p>
        </w:tc>
      </w:tr>
      <w:tr w14:paraId="6927E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86" w:type="pct"/>
            <w:shd w:val="clear" w:color="auto" w:fill="auto"/>
            <w:vAlign w:val="center"/>
          </w:tcPr>
          <w:p w14:paraId="3309938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4E505DAE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398705C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营利性医疗机构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2EF11B91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1.医疗机构资质（取得《医疗机构执业许可证》或备案情况、人员资格、诊疗活动、健康体检）管理情况；</w:t>
            </w:r>
          </w:p>
          <w:p w14:paraId="2E0D6790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2.医疗卫生人员管理情况；</w:t>
            </w:r>
          </w:p>
          <w:p w14:paraId="033F60BB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3.药品和医疗器械（麻醉药品、精神药品、抗菌药物、医疗器械）管理情况；</w:t>
            </w:r>
          </w:p>
          <w:p w14:paraId="1C65D0B8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4.医疗技术（医疗美容、临床基因扩增、干细胞临床研究、临床研究项目）管理情况；</w:t>
            </w:r>
          </w:p>
          <w:p w14:paraId="3469827A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5.医疗文书（处方、病历、医学证明文件）管理情况；</w:t>
            </w:r>
          </w:p>
          <w:p w14:paraId="07D4546A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6.临床用血（用血来源、管理组织和制度，血液储存，应急用血采血）管理情况。</w:t>
            </w:r>
          </w:p>
          <w:p w14:paraId="3D145DC2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7.传染病疫情报告情况；</w:t>
            </w:r>
          </w:p>
          <w:p w14:paraId="5751B935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8.医疗废物处置管理情况；</w:t>
            </w:r>
          </w:p>
          <w:p w14:paraId="26ECAC7E">
            <w:pPr>
              <w:keepNext w:val="0"/>
              <w:keepLines w:val="0"/>
              <w:widowControl/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9.病原微生物实验室生物安全管理情况。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623797CC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《医疗机构管理办法》、《中华人民共和国医师法》、《麻醉药品和精神药品管理条例》、《传染病防治法》、《生物安全法》、《病原微生物实验室安全管理条例》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37" w:type="pct"/>
            <w:shd w:val="clear" w:color="auto" w:fill="auto"/>
            <w:vAlign w:val="center"/>
          </w:tcPr>
          <w:p w14:paraId="655A83C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分别根据国抽双随机、市抽双随机至少1次/年</w:t>
            </w:r>
          </w:p>
        </w:tc>
        <w:tc>
          <w:tcPr>
            <w:tcW w:w="394" w:type="pct"/>
            <w:shd w:val="clear" w:color="auto" w:fill="auto"/>
            <w:vAlign w:val="center"/>
          </w:tcPr>
          <w:p w14:paraId="7DF63C7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全年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1B9B1CF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  <w:tr w14:paraId="2025F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86" w:type="pct"/>
            <w:shd w:val="clear" w:color="auto" w:fill="auto"/>
            <w:vAlign w:val="center"/>
          </w:tcPr>
          <w:p w14:paraId="52F8D41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7" w:type="pct"/>
            <w:shd w:val="clear" w:color="auto" w:fill="auto"/>
            <w:vAlign w:val="center"/>
          </w:tcPr>
          <w:p w14:paraId="7C93225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431" w:type="pct"/>
            <w:shd w:val="clear" w:color="auto" w:fill="auto"/>
            <w:vAlign w:val="center"/>
          </w:tcPr>
          <w:p w14:paraId="219431CE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营利性民办学校</w:t>
            </w:r>
          </w:p>
        </w:tc>
        <w:tc>
          <w:tcPr>
            <w:tcW w:w="2063" w:type="pct"/>
            <w:shd w:val="clear" w:color="auto" w:fill="auto"/>
            <w:vAlign w:val="center"/>
          </w:tcPr>
          <w:p w14:paraId="61C5B53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学校内公共场所检查（游泳馆、体育馆、图书馆、礼堂、浴室、理发店等场所的卫生许可与人员管理、卫生制度与公示、设施与环境、消毒与用品用具、游泳场所专项、控烟与应急）；</w:t>
            </w:r>
          </w:p>
          <w:p w14:paraId="4E00C5C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after="0"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学校教学与生活环境（教室、宿舍、厕所、饮水处）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5866024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after="0"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传染病防控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A77989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after="0" w:line="24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学校内设医疗机构/保健室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580" w:type="pct"/>
            <w:shd w:val="clear" w:color="auto" w:fill="auto"/>
            <w:vAlign w:val="center"/>
          </w:tcPr>
          <w:p w14:paraId="1F48E8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《中华人民共和国传染病防治法》《学校卫生工作条例》《生活饮用水卫生监督管理办法》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等</w:t>
            </w:r>
          </w:p>
          <w:p w14:paraId="0B9C4888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4" w:type="dxa"/>
            <w:shd w:val="clear" w:color="auto" w:fill="auto"/>
            <w:vAlign w:val="center"/>
          </w:tcPr>
          <w:p w14:paraId="30B0814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分别根据国抽双随机、市抽双随机至少1次/年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7940FE5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全年</w:t>
            </w:r>
          </w:p>
        </w:tc>
        <w:tc>
          <w:tcPr>
            <w:tcW w:w="1109" w:type="dxa"/>
            <w:shd w:val="clear" w:color="auto" w:fill="auto"/>
            <w:vAlign w:val="center"/>
          </w:tcPr>
          <w:p w14:paraId="0EF2D61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双随机一公开、现场检查</w:t>
            </w:r>
          </w:p>
        </w:tc>
      </w:tr>
    </w:tbl>
    <w:p w14:paraId="2D303100">
      <w:pPr>
        <w:spacing w:after="0"/>
        <w:rPr>
          <w:color w:val="auto"/>
        </w:rPr>
        <w:sectPr>
          <w:headerReference r:id="rId3" w:type="default"/>
          <w:footerReference r:id="rId4" w:type="default"/>
          <w:pgSz w:w="16840" w:h="11910" w:orient="landscape"/>
          <w:pgMar w:top="2000" w:right="1200" w:bottom="1160" w:left="1200" w:header="1666" w:footer="962" w:gutter="0"/>
          <w:pgNumType w:start="9"/>
          <w:cols w:space="720" w:num="1"/>
        </w:sectPr>
      </w:pPr>
    </w:p>
    <w:p w14:paraId="032BF05D">
      <w:pPr>
        <w:spacing w:before="7" w:after="0" w:line="240" w:lineRule="auto"/>
        <w:jc w:val="left"/>
        <w:rPr>
          <w:rFonts w:hint="default" w:ascii="方正小标宋简体" w:hAnsi="方正小标宋简体" w:eastAsia="方正小标宋简体" w:cs="方正小标宋简体"/>
          <w:color w:val="auto"/>
          <w:kern w:val="0"/>
          <w:sz w:val="26"/>
          <w:szCs w:val="2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26"/>
          <w:szCs w:val="26"/>
          <w:lang w:val="en-US" w:eastAsia="zh-CN"/>
        </w:rPr>
        <w:t>附件3</w:t>
      </w:r>
    </w:p>
    <w:p w14:paraId="3E6DE8E8">
      <w:pPr>
        <w:widowControl w:val="0"/>
        <w:spacing w:after="0" w:line="545" w:lineRule="exact"/>
        <w:ind w:left="4568" w:right="0"/>
        <w:jc w:val="left"/>
        <w:outlineLvl w:val="1"/>
        <w:rPr>
          <w:rFonts w:ascii="方正小标宋简体" w:hAnsi="方正小标宋简体" w:eastAsia="方正小标宋简体" w:cs="Times New Roman"/>
          <w:color w:val="auto"/>
          <w:sz w:val="44"/>
          <w:szCs w:val="44"/>
          <w:lang w:val="en-US" w:eastAsia="en-US" w:bidi="ar-SA"/>
        </w:rPr>
      </w:pPr>
      <w:r>
        <w:rPr>
          <w:rFonts w:ascii="方正小标宋简体" w:hAnsi="方正小标宋简体" w:eastAsia="方正小标宋简体" w:cs="Times New Roman"/>
          <w:color w:val="auto"/>
          <w:spacing w:val="-4"/>
          <w:sz w:val="44"/>
          <w:szCs w:val="44"/>
          <w:lang w:val="en-US" w:eastAsia="en-US" w:bidi="ar-SA"/>
        </w:rPr>
        <w:t>市本级行政检查事项汇总表</w:t>
      </w:r>
    </w:p>
    <w:tbl>
      <w:tblPr>
        <w:tblStyle w:val="2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3973"/>
        <w:gridCol w:w="2154"/>
        <w:gridCol w:w="5900"/>
        <w:gridCol w:w="1440"/>
      </w:tblGrid>
      <w:tr w14:paraId="70A41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46" w:type="pct"/>
            <w:shd w:val="clear" w:color="auto" w:fill="auto"/>
            <w:vAlign w:val="center"/>
          </w:tcPr>
          <w:p w14:paraId="27A466D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7497108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行政检查事项名称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754D1EB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6EE8890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设定和实施依据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17A097A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检查层级</w:t>
            </w:r>
          </w:p>
        </w:tc>
      </w:tr>
      <w:tr w14:paraId="7D706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46" w:type="pct"/>
            <w:shd w:val="clear" w:color="auto" w:fill="auto"/>
            <w:vAlign w:val="center"/>
          </w:tcPr>
          <w:p w14:paraId="240D307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05C8406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职业健康技术服务机构工作情况的检查/抽查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4189691E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54B4A8D8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《职业病防治法》、《职业卫生技术服务机构管理办法》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、《放射卫生技术服务机构管理办法》等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30F898B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 w14:paraId="367EE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46" w:type="pct"/>
            <w:shd w:val="clear" w:color="auto" w:fill="auto"/>
            <w:vAlign w:val="center"/>
          </w:tcPr>
          <w:p w14:paraId="7CCD76B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65BD8707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消毒产品生产企业工作情况的检查/抽查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0132459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7A956A9E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《消毒产品卫生监督管理办法》、《消毒技术规范》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229ECB3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 w14:paraId="42DE6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46" w:type="pct"/>
            <w:shd w:val="clear" w:color="auto" w:fill="auto"/>
            <w:vAlign w:val="center"/>
          </w:tcPr>
          <w:p w14:paraId="7485699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3697D78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涉及饮用水卫生安全产品生产企业工作情况的检查/抽查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6ED18960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6AB32A1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《生活饮用水卫生监督管理办法》、《涉水产品卫生标准》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2D1B8AA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 w14:paraId="53A12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46" w:type="pct"/>
            <w:shd w:val="clear" w:color="auto" w:fill="auto"/>
            <w:vAlign w:val="center"/>
          </w:tcPr>
          <w:p w14:paraId="317386B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0946C8B9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用人单位职业卫生情况的检查/抽查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1232270D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eastAsia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7AC3266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《职业病防治法》、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《工作场所职业卫生管理规定》、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《用人单位职业健康监护监督管理办法》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等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4ED1843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（县）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区两级</w:t>
            </w:r>
          </w:p>
        </w:tc>
      </w:tr>
      <w:tr w14:paraId="10F2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46" w:type="pct"/>
            <w:shd w:val="clear" w:color="auto" w:fill="auto"/>
            <w:vAlign w:val="center"/>
          </w:tcPr>
          <w:p w14:paraId="5FAD88C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74A99F23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医疗机构医疗卫生、传染病监督抽查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08DC782C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17E78891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传染病防治法》、《生物安全法》、《医疗机构管理办法》、《病原微生物实验室安全管理条例》等</w:t>
            </w:r>
          </w:p>
        </w:tc>
        <w:tc>
          <w:tcPr>
            <w:tcW w:w="508" w:type="pct"/>
            <w:shd w:val="clear" w:color="auto" w:fill="auto"/>
            <w:vAlign w:val="center"/>
          </w:tcPr>
          <w:p w14:paraId="791C7875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市本级</w:t>
            </w:r>
          </w:p>
        </w:tc>
      </w:tr>
      <w:tr w14:paraId="11B7E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46" w:type="pct"/>
            <w:shd w:val="clear" w:color="auto" w:fill="auto"/>
            <w:vAlign w:val="center"/>
          </w:tcPr>
          <w:p w14:paraId="711ED7C2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Segoe UI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02" w:type="pct"/>
            <w:shd w:val="clear" w:color="auto" w:fill="auto"/>
            <w:vAlign w:val="center"/>
          </w:tcPr>
          <w:p w14:paraId="08001334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营利性民办学校</w:t>
            </w:r>
          </w:p>
        </w:tc>
        <w:tc>
          <w:tcPr>
            <w:tcW w:w="760" w:type="pct"/>
            <w:shd w:val="clear" w:color="auto" w:fill="auto"/>
            <w:vAlign w:val="center"/>
          </w:tcPr>
          <w:p w14:paraId="192A93BF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焦作市卫生健康委</w:t>
            </w:r>
          </w:p>
        </w:tc>
        <w:tc>
          <w:tcPr>
            <w:tcW w:w="2082" w:type="pct"/>
            <w:shd w:val="clear" w:color="auto" w:fill="auto"/>
            <w:vAlign w:val="center"/>
          </w:tcPr>
          <w:p w14:paraId="2C0148C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《中华人民共和国传染病防治法》《学校卫生工作条例》《生活饮用水卫生监督管理办法》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等</w:t>
            </w:r>
          </w:p>
          <w:p w14:paraId="244365AB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08" w:type="pct"/>
            <w:shd w:val="clear" w:color="auto" w:fill="auto"/>
            <w:vAlign w:val="center"/>
          </w:tcPr>
          <w:p w14:paraId="5A7A67CC">
            <w:pPr>
              <w:keepNext w:val="0"/>
              <w:keepLines w:val="0"/>
              <w:widowControl/>
              <w:suppressLineNumbers w:val="0"/>
              <w:spacing w:after="0"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市、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（县）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区两级</w:t>
            </w:r>
          </w:p>
        </w:tc>
      </w:tr>
    </w:tbl>
    <w:p w14:paraId="7EED124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F6DDD4">
    <w:pPr>
      <w:spacing w:before="0" w:after="0" w:line="14" w:lineRule="auto"/>
      <w:jc w:val="left"/>
      <w:rPr>
        <w:rFonts w:ascii="Calibri" w:hAnsi="Calibri" w:eastAsia="Calibri" w:cs="Times New Roman"/>
        <w:kern w:val="0"/>
        <w:sz w:val="20"/>
        <w:szCs w:val="20"/>
        <w:lang w:eastAsia="en-US"/>
      </w:rPr>
    </w:pPr>
    <w:r>
      <w:rPr>
        <w:rFonts w:ascii="Calibri" w:hAnsi="Calibri" w:eastAsia="Calibri" w:cs="Times New Roman"/>
        <w:kern w:val="0"/>
        <w:sz w:val="22"/>
        <w:szCs w:val="22"/>
        <w:lang w:eastAsia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5160645</wp:posOffset>
              </wp:positionH>
              <wp:positionV relativeFrom="page">
                <wp:posOffset>6809740</wp:posOffset>
              </wp:positionV>
              <wp:extent cx="737235" cy="20383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A5536A">
                          <w:pPr>
                            <w:spacing w:before="0" w:after="0" w:line="305" w:lineRule="exact"/>
                            <w:ind w:left="20" w:right="0" w:firstLine="0"/>
                            <w:jc w:val="left"/>
                            <w:rPr>
                              <w:rFonts w:ascii="Times New Roman" w:hAnsi="Times New Roman" w:eastAsia="Times New Roman" w:cs="Times New Roman"/>
                              <w:kern w:val="0"/>
                              <w:sz w:val="28"/>
                              <w:szCs w:val="28"/>
                              <w:lang w:eastAsia="en-US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kern w:val="0"/>
                              <w:sz w:val="28"/>
                              <w:szCs w:val="28"/>
                              <w:lang w:eastAsia="en-US"/>
                            </w:rPr>
                            <w:t>—</w:t>
                          </w:r>
                          <w:r>
                            <w:rPr>
                              <w:rFonts w:ascii="Calibri" w:hAnsi="Calibri" w:eastAsia="Calibri" w:cs="Times New Roman"/>
                              <w:kern w:val="0"/>
                              <w:sz w:val="22"/>
                              <w:szCs w:val="22"/>
                              <w:lang w:eastAsia="en-US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kern w:val="0"/>
                              <w:sz w:val="28"/>
                              <w:szCs w:val="28"/>
                              <w:lang w:eastAsia="en-US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 w:eastAsia="Calibri" w:cs="Times New Roman"/>
                              <w:kern w:val="0"/>
                              <w:sz w:val="22"/>
                              <w:szCs w:val="22"/>
                              <w:lang w:eastAsia="en-US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Calibri" w:cs="Times New Roman"/>
                              <w:kern w:val="0"/>
                              <w:sz w:val="22"/>
                              <w:szCs w:val="22"/>
                              <w:lang w:eastAsia="en-US"/>
                            </w:rPr>
                            <w:t>10</w:t>
                          </w:r>
                          <w:r>
                            <w:rPr>
                              <w:rFonts w:ascii="Calibri" w:hAnsi="Calibri" w:eastAsia="Calibri" w:cs="Times New Roman"/>
                              <w:kern w:val="0"/>
                              <w:sz w:val="22"/>
                              <w:szCs w:val="22"/>
                              <w:lang w:eastAsia="en-US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w w:val="100"/>
                              <w:kern w:val="0"/>
                              <w:sz w:val="28"/>
                              <w:szCs w:val="28"/>
                              <w:lang w:eastAsia="en-US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6.35pt;margin-top:536.2pt;height:16.05pt;width:58.05pt;mso-position-horizontal-relative:page;mso-position-vertical-relative:page;z-index:-251657216;mso-width-relative:page;mso-height-relative:page;" filled="f" stroked="f" coordsize="21600,21600" o:gfxdata="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Jkpy9sAAAANAQAADwAAAAAAAAABACAAAAAiAAAAZHJzL2Rvd25yZXYueG1sUEsB&#10;AhQAFAAAAAgAh07iQBcmF965AQAAcQMAAA4AAAAAAAAAAQAgAAAAK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AA5536A">
                    <w:pPr>
                      <w:spacing w:before="0" w:after="0" w:line="305" w:lineRule="exact"/>
                      <w:ind w:left="20" w:right="0" w:firstLine="0"/>
                      <w:jc w:val="left"/>
                      <w:rPr>
                        <w:rFonts w:ascii="Times New Roman" w:hAnsi="Times New Roman" w:eastAsia="Times New Roman" w:cs="Times New Roman"/>
                        <w:kern w:val="0"/>
                        <w:sz w:val="28"/>
                        <w:szCs w:val="28"/>
                        <w:lang w:eastAsia="en-US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w w:val="100"/>
                        <w:kern w:val="0"/>
                        <w:sz w:val="28"/>
                        <w:szCs w:val="28"/>
                        <w:lang w:eastAsia="en-US"/>
                      </w:rPr>
                      <w:t>—</w:t>
                    </w:r>
                    <w:r>
                      <w:rPr>
                        <w:rFonts w:ascii="Calibri" w:hAnsi="Calibri" w:eastAsia="Calibri" w:cs="Times New Roman"/>
                        <w:kern w:val="0"/>
                        <w:sz w:val="22"/>
                        <w:szCs w:val="22"/>
                        <w:lang w:eastAsia="en-US"/>
                      </w:rPr>
                      <w:fldChar w:fldCharType="begin"/>
                    </w:r>
                    <w:r>
                      <w:rPr>
                        <w:rFonts w:ascii="Times New Roman" w:hAnsi="Times New Roman" w:eastAsia="Times New Roman" w:cs="Times New Roman"/>
                        <w:w w:val="100"/>
                        <w:kern w:val="0"/>
                        <w:sz w:val="28"/>
                        <w:szCs w:val="28"/>
                        <w:lang w:eastAsia="en-US"/>
                      </w:rPr>
                      <w:instrText xml:space="preserve"> PAGE </w:instrText>
                    </w:r>
                    <w:r>
                      <w:rPr>
                        <w:rFonts w:ascii="Calibri" w:hAnsi="Calibri" w:eastAsia="Calibri" w:cs="Times New Roman"/>
                        <w:kern w:val="0"/>
                        <w:sz w:val="22"/>
                        <w:szCs w:val="22"/>
                        <w:lang w:eastAsia="en-US"/>
                      </w:rPr>
                      <w:fldChar w:fldCharType="separate"/>
                    </w:r>
                    <w:r>
                      <w:rPr>
                        <w:rFonts w:ascii="Calibri" w:hAnsi="Calibri" w:eastAsia="Calibri" w:cs="Times New Roman"/>
                        <w:kern w:val="0"/>
                        <w:sz w:val="22"/>
                        <w:szCs w:val="22"/>
                        <w:lang w:eastAsia="en-US"/>
                      </w:rPr>
                      <w:t>10</w:t>
                    </w:r>
                    <w:r>
                      <w:rPr>
                        <w:rFonts w:ascii="Calibri" w:hAnsi="Calibri" w:eastAsia="Calibri" w:cs="Times New Roman"/>
                        <w:kern w:val="0"/>
                        <w:sz w:val="22"/>
                        <w:szCs w:val="22"/>
                        <w:lang w:eastAsia="en-US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w w:val="100"/>
                        <w:kern w:val="0"/>
                        <w:sz w:val="28"/>
                        <w:szCs w:val="28"/>
                        <w:lang w:eastAsia="en-US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7603C">
    <w:pPr>
      <w:spacing w:before="0" w:after="0" w:line="14" w:lineRule="auto"/>
      <w:jc w:val="left"/>
      <w:rPr>
        <w:rFonts w:ascii="Calibri" w:hAnsi="Calibri" w:eastAsia="Calibri" w:cs="Times New Roman"/>
        <w:kern w:val="0"/>
        <w:sz w:val="20"/>
        <w:szCs w:val="20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A5FD3A"/>
    <w:multiLevelType w:val="singleLevel"/>
    <w:tmpl w:val="93A5FD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5031D"/>
    <w:rsid w:val="0D7C3489"/>
    <w:rsid w:val="18624A54"/>
    <w:rsid w:val="20190F1B"/>
    <w:rsid w:val="31494EE0"/>
    <w:rsid w:val="478B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2051</Words>
  <Characters>2089</Characters>
  <Lines>0</Lines>
  <Paragraphs>0</Paragraphs>
  <TotalTime>0</TotalTime>
  <ScaleCrop>false</ScaleCrop>
  <LinksUpToDate>false</LinksUpToDate>
  <CharactersWithSpaces>2089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2026-03-04T09:45:00Z</dcterms:created>
  <dc:creator>Administrator</dc:creator>
  <cp:lastModifiedBy>心晴</cp:lastModifiedBy>
  <dcterms:modified xsi:type="dcterms:W3CDTF">2026-03-05T03:41:47Z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eyJoZGlkIjoiMTUzNWU3ZTgwNDk0NWQzODA3NDg3OTE4OTliMTgyYjMiLCJ1c2VySWQiOiI4NTEwNDg5NTEifQ==</vt:lpwstr>
  </property>
  <property fmtid="{D5CDD505-2E9C-101B-9397-08002B2CF9AE}" pid="4" name="ICV">
    <vt:lpwstr>611DD2068F2649EE8F9E7BB22DF188BE_12</vt:lpwstr>
  </property>
</Properties>
</file>