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916C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rPr>
          <w:rFonts w:hint="eastAsia" w:ascii="方正小标宋简体" w:hAnsi="方正小标宋简体" w:eastAsia="方正小标宋简体" w:cs="方正小标宋简体"/>
          <w:b/>
          <w:bCs/>
          <w:i w:val="0"/>
          <w:iCs w:val="0"/>
          <w:caps w:val="0"/>
          <w:color w:val="121212"/>
          <w:spacing w:val="0"/>
          <w:kern w:val="44"/>
          <w:sz w:val="44"/>
          <w:szCs w:val="44"/>
          <w:shd w:val="clear" w:fill="FFFFFF"/>
          <w:lang w:val="en-US" w:eastAsia="zh-CN" w:bidi="ar"/>
        </w:rPr>
      </w:pPr>
      <w:r>
        <w:rPr>
          <w:rFonts w:hint="eastAsia" w:ascii="方正小标宋简体" w:hAnsi="方正小标宋简体" w:eastAsia="方正小标宋简体" w:cs="方正小标宋简体"/>
          <w:b/>
          <w:bCs/>
          <w:i w:val="0"/>
          <w:iCs w:val="0"/>
          <w:caps w:val="0"/>
          <w:color w:val="121212"/>
          <w:spacing w:val="0"/>
          <w:kern w:val="44"/>
          <w:sz w:val="44"/>
          <w:szCs w:val="44"/>
          <w:shd w:val="clear" w:fill="FFFFFF"/>
          <w:lang w:val="en-US" w:eastAsia="zh-CN" w:bidi="ar"/>
        </w:rPr>
        <w:t>关于推行不动产二级市场转移预告登记</w:t>
      </w:r>
    </w:p>
    <w:p w14:paraId="56D45DE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rPr>
          <w:rFonts w:hint="eastAsia" w:ascii="方正小标宋简体" w:hAnsi="方正小标宋简体" w:eastAsia="方正小标宋简体" w:cs="方正小标宋简体"/>
          <w:b/>
          <w:bCs/>
          <w:i w:val="0"/>
          <w:iCs w:val="0"/>
          <w:caps w:val="0"/>
          <w:color w:val="121212"/>
          <w:spacing w:val="0"/>
          <w:kern w:val="44"/>
          <w:sz w:val="44"/>
          <w:szCs w:val="44"/>
          <w:shd w:val="clear" w:fill="FFFFFF"/>
          <w:lang w:val="en-US" w:eastAsia="zh-CN" w:bidi="ar"/>
        </w:rPr>
      </w:pPr>
      <w:r>
        <w:rPr>
          <w:rFonts w:hint="eastAsia" w:ascii="方正小标宋简体" w:hAnsi="方正小标宋简体" w:eastAsia="方正小标宋简体" w:cs="方正小标宋简体"/>
          <w:b/>
          <w:bCs/>
          <w:i w:val="0"/>
          <w:iCs w:val="0"/>
          <w:caps w:val="0"/>
          <w:color w:val="121212"/>
          <w:spacing w:val="0"/>
          <w:kern w:val="44"/>
          <w:sz w:val="44"/>
          <w:szCs w:val="44"/>
          <w:shd w:val="clear" w:fill="FFFFFF"/>
          <w:lang w:val="en-US" w:eastAsia="zh-CN" w:bidi="ar"/>
        </w:rPr>
        <w:t>工作的通知</w:t>
      </w:r>
    </w:p>
    <w:p w14:paraId="58064DA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rPr>
          <w:rFonts w:hint="eastAsia" w:ascii="方正小标宋简体" w:hAnsi="方正小标宋简体" w:eastAsia="方正小标宋简体" w:cs="方正小标宋简体"/>
          <w:b/>
          <w:bCs/>
          <w:i w:val="0"/>
          <w:iCs w:val="0"/>
          <w:caps w:val="0"/>
          <w:color w:val="121212"/>
          <w:spacing w:val="0"/>
          <w:sz w:val="44"/>
          <w:szCs w:val="44"/>
          <w:shd w:val="clear" w:fill="FFFFFF"/>
        </w:rPr>
      </w:pPr>
      <w:r>
        <w:rPr>
          <w:rFonts w:hint="eastAsia" w:ascii="方正小标宋简体" w:hAnsi="方正小标宋简体" w:eastAsia="方正小标宋简体" w:cs="方正小标宋简体"/>
          <w:b/>
          <w:bCs/>
          <w:i w:val="0"/>
          <w:iCs w:val="0"/>
          <w:caps w:val="0"/>
          <w:color w:val="121212"/>
          <w:spacing w:val="0"/>
          <w:sz w:val="44"/>
          <w:szCs w:val="44"/>
          <w:shd w:val="clear" w:fill="FFFFFF"/>
        </w:rPr>
        <w:t>焦</w:t>
      </w:r>
      <w:r>
        <w:rPr>
          <w:rFonts w:hint="eastAsia" w:ascii="方正小标宋简体" w:hAnsi="方正小标宋简体" w:eastAsia="方正小标宋简体" w:cs="方正小标宋简体"/>
          <w:b/>
          <w:bCs/>
          <w:i w:val="0"/>
          <w:iCs w:val="0"/>
          <w:caps w:val="0"/>
          <w:color w:val="121212"/>
          <w:spacing w:val="0"/>
          <w:sz w:val="44"/>
          <w:szCs w:val="44"/>
          <w:shd w:val="clear" w:fill="FFFFFF"/>
          <w:lang w:eastAsia="zh-CN"/>
        </w:rPr>
        <w:t>自然资</w:t>
      </w:r>
      <w:r>
        <w:rPr>
          <w:rFonts w:hint="eastAsia" w:ascii="方正小标宋简体" w:hAnsi="方正小标宋简体" w:eastAsia="方正小标宋简体" w:cs="方正小标宋简体"/>
          <w:b/>
          <w:bCs/>
          <w:i w:val="0"/>
          <w:iCs w:val="0"/>
          <w:caps w:val="0"/>
          <w:color w:val="121212"/>
          <w:spacing w:val="0"/>
          <w:sz w:val="44"/>
          <w:szCs w:val="44"/>
          <w:shd w:val="clear" w:fill="FFFFFF"/>
        </w:rPr>
        <w:t>规〔2025〕</w:t>
      </w:r>
      <w:r>
        <w:rPr>
          <w:rFonts w:hint="eastAsia" w:ascii="方正小标宋简体" w:hAnsi="方正小标宋简体" w:eastAsia="方正小标宋简体" w:cs="方正小标宋简体"/>
          <w:b/>
          <w:bCs/>
          <w:i w:val="0"/>
          <w:iCs w:val="0"/>
          <w:caps w:val="0"/>
          <w:color w:val="121212"/>
          <w:spacing w:val="0"/>
          <w:sz w:val="44"/>
          <w:szCs w:val="44"/>
          <w:shd w:val="clear" w:fill="FFFFFF"/>
          <w:lang w:val="en-US" w:eastAsia="zh-CN"/>
        </w:rPr>
        <w:t>1</w:t>
      </w:r>
      <w:r>
        <w:rPr>
          <w:rFonts w:hint="eastAsia" w:ascii="方正小标宋简体" w:hAnsi="方正小标宋简体" w:eastAsia="方正小标宋简体" w:cs="方正小标宋简体"/>
          <w:b/>
          <w:bCs/>
          <w:i w:val="0"/>
          <w:iCs w:val="0"/>
          <w:caps w:val="0"/>
          <w:color w:val="121212"/>
          <w:spacing w:val="0"/>
          <w:sz w:val="44"/>
          <w:szCs w:val="44"/>
          <w:shd w:val="clear" w:fill="FFFFFF"/>
        </w:rPr>
        <w:t>号政策解读</w:t>
      </w:r>
    </w:p>
    <w:p w14:paraId="6B7BBA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i w:val="0"/>
          <w:iCs w:val="0"/>
          <w:caps w:val="0"/>
          <w:color w:val="333333"/>
          <w:spacing w:val="0"/>
          <w:sz w:val="32"/>
          <w:szCs w:val="32"/>
          <w:shd w:val="clear" w:fill="FFFFFF"/>
        </w:rPr>
      </w:pPr>
    </w:p>
    <w:p w14:paraId="0531F7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i w:val="0"/>
          <w:iCs w:val="0"/>
          <w:caps w:val="0"/>
          <w:color w:val="121212"/>
          <w:spacing w:val="0"/>
          <w:sz w:val="32"/>
          <w:szCs w:val="32"/>
        </w:rPr>
      </w:pPr>
      <w:r>
        <w:rPr>
          <w:rFonts w:hint="eastAsia" w:ascii="黑体" w:hAnsi="黑体" w:eastAsia="黑体" w:cs="黑体"/>
          <w:i w:val="0"/>
          <w:iCs w:val="0"/>
          <w:caps w:val="0"/>
          <w:color w:val="333333"/>
          <w:spacing w:val="0"/>
          <w:sz w:val="32"/>
          <w:szCs w:val="32"/>
          <w:shd w:val="clear" w:fill="FFFFFF"/>
        </w:rPr>
        <w:t>一、出台背景</w:t>
      </w:r>
    </w:p>
    <w:p w14:paraId="60449E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121212"/>
          <w:spacing w:val="0"/>
          <w:sz w:val="32"/>
          <w:szCs w:val="32"/>
        </w:rPr>
      </w:pPr>
      <w:r>
        <w:rPr>
          <w:rFonts w:hint="eastAsia" w:ascii="仿宋_GB2312" w:hAnsi="仿宋_GB2312" w:eastAsia="仿宋_GB2312" w:cs="仿宋_GB2312"/>
          <w:i w:val="0"/>
          <w:iCs w:val="0"/>
          <w:caps w:val="0"/>
          <w:color w:val="121212"/>
          <w:spacing w:val="0"/>
          <w:sz w:val="32"/>
          <w:szCs w:val="32"/>
          <w:shd w:val="clear" w:fill="FFFFFF"/>
        </w:rPr>
        <w:t>为</w:t>
      </w:r>
      <w:r>
        <w:rPr>
          <w:rFonts w:hint="eastAsia" w:ascii="仿宋_GB2312" w:hAnsi="仿宋_GB2312" w:eastAsia="仿宋_GB2312" w:cs="仿宋_GB2312"/>
          <w:i w:val="0"/>
          <w:iCs w:val="0"/>
          <w:caps w:val="0"/>
          <w:color w:val="121212"/>
          <w:spacing w:val="0"/>
          <w:sz w:val="32"/>
          <w:szCs w:val="32"/>
          <w:shd w:val="clear" w:fill="FFFFFF"/>
          <w:lang w:eastAsia="zh-CN"/>
        </w:rPr>
        <w:t>维护买卖双方合法权益，进一步减少二手房交易风险，推进存量土地资源配置，完善建设用地使</w:t>
      </w:r>
      <w:bookmarkStart w:id="0" w:name="_GoBack"/>
      <w:bookmarkEnd w:id="0"/>
      <w:r>
        <w:rPr>
          <w:rFonts w:hint="eastAsia" w:ascii="仿宋_GB2312" w:hAnsi="仿宋_GB2312" w:eastAsia="仿宋_GB2312" w:cs="仿宋_GB2312"/>
          <w:i w:val="0"/>
          <w:iCs w:val="0"/>
          <w:caps w:val="0"/>
          <w:color w:val="121212"/>
          <w:spacing w:val="0"/>
          <w:sz w:val="32"/>
          <w:szCs w:val="32"/>
          <w:shd w:val="clear" w:fill="FFFFFF"/>
          <w:lang w:eastAsia="zh-CN"/>
        </w:rPr>
        <w:t>用权转让二级市场，协同防范金融风险，焦作市自然资源和规划局</w:t>
      </w:r>
      <w:r>
        <w:rPr>
          <w:rFonts w:hint="eastAsia" w:ascii="仿宋_GB2312" w:hAnsi="仿宋_GB2312" w:eastAsia="仿宋_GB2312" w:cs="仿宋_GB2312"/>
          <w:i w:val="0"/>
          <w:iCs w:val="0"/>
          <w:caps w:val="0"/>
          <w:color w:val="121212"/>
          <w:spacing w:val="0"/>
          <w:sz w:val="32"/>
          <w:szCs w:val="32"/>
          <w:shd w:val="clear" w:fill="FFFFFF"/>
        </w:rPr>
        <w:t>牵头研究制定了《关于推行不动产二级市场转移预告登记工作的通知》（以下简称《</w:t>
      </w:r>
      <w:r>
        <w:rPr>
          <w:rFonts w:hint="eastAsia" w:ascii="仿宋_GB2312" w:hAnsi="仿宋_GB2312" w:eastAsia="仿宋_GB2312" w:cs="仿宋_GB2312"/>
          <w:i w:val="0"/>
          <w:iCs w:val="0"/>
          <w:caps w:val="0"/>
          <w:color w:val="121212"/>
          <w:spacing w:val="0"/>
          <w:sz w:val="32"/>
          <w:szCs w:val="32"/>
          <w:shd w:val="clear" w:fill="FFFFFF"/>
          <w:lang w:eastAsia="zh-CN"/>
        </w:rPr>
        <w:t>通知</w:t>
      </w:r>
      <w:r>
        <w:rPr>
          <w:rFonts w:hint="eastAsia" w:ascii="仿宋_GB2312" w:hAnsi="仿宋_GB2312" w:eastAsia="仿宋_GB2312" w:cs="仿宋_GB2312"/>
          <w:i w:val="0"/>
          <w:iCs w:val="0"/>
          <w:caps w:val="0"/>
          <w:color w:val="121212"/>
          <w:spacing w:val="0"/>
          <w:sz w:val="32"/>
          <w:szCs w:val="32"/>
          <w:shd w:val="clear" w:fill="FFFFFF"/>
        </w:rPr>
        <w:t>》）。</w:t>
      </w:r>
    </w:p>
    <w:p w14:paraId="3F4532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i w:val="0"/>
          <w:iCs w:val="0"/>
          <w:caps w:val="0"/>
          <w:color w:val="333333"/>
          <w:spacing w:val="0"/>
          <w:sz w:val="32"/>
          <w:szCs w:val="32"/>
          <w:shd w:val="clear" w:fill="FFFFFF"/>
        </w:rPr>
      </w:pPr>
      <w:r>
        <w:rPr>
          <w:rFonts w:hint="eastAsia" w:ascii="黑体" w:hAnsi="黑体" w:eastAsia="黑体" w:cs="黑体"/>
          <w:i w:val="0"/>
          <w:iCs w:val="0"/>
          <w:caps w:val="0"/>
          <w:color w:val="333333"/>
          <w:spacing w:val="0"/>
          <w:sz w:val="32"/>
          <w:szCs w:val="32"/>
          <w:shd w:val="clear" w:fill="FFFFFF"/>
        </w:rPr>
        <w:t>　二、主要内容</w:t>
      </w:r>
    </w:p>
    <w:p w14:paraId="1290F9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121212"/>
          <w:spacing w:val="0"/>
          <w:sz w:val="32"/>
          <w:szCs w:val="32"/>
        </w:rPr>
      </w:pPr>
      <w:r>
        <w:rPr>
          <w:rFonts w:hint="eastAsia" w:ascii="仿宋_GB2312" w:hAnsi="仿宋_GB2312" w:eastAsia="仿宋_GB2312" w:cs="仿宋_GB2312"/>
          <w:i w:val="0"/>
          <w:iCs w:val="0"/>
          <w:caps w:val="0"/>
          <w:color w:val="121212"/>
          <w:spacing w:val="0"/>
          <w:sz w:val="32"/>
          <w:szCs w:val="32"/>
          <w:shd w:val="clear" w:fill="FFFFFF"/>
        </w:rPr>
        <w:t>《</w:t>
      </w:r>
      <w:r>
        <w:rPr>
          <w:rFonts w:hint="eastAsia" w:ascii="仿宋_GB2312" w:hAnsi="仿宋_GB2312" w:eastAsia="仿宋_GB2312" w:cs="仿宋_GB2312"/>
          <w:i w:val="0"/>
          <w:iCs w:val="0"/>
          <w:caps w:val="0"/>
          <w:color w:val="121212"/>
          <w:spacing w:val="0"/>
          <w:sz w:val="32"/>
          <w:szCs w:val="32"/>
          <w:shd w:val="clear" w:fill="FFFFFF"/>
          <w:lang w:eastAsia="zh-CN"/>
        </w:rPr>
        <w:t>通知</w:t>
      </w:r>
      <w:r>
        <w:rPr>
          <w:rFonts w:hint="eastAsia" w:ascii="仿宋_GB2312" w:hAnsi="仿宋_GB2312" w:eastAsia="仿宋_GB2312" w:cs="仿宋_GB2312"/>
          <w:i w:val="0"/>
          <w:iCs w:val="0"/>
          <w:caps w:val="0"/>
          <w:color w:val="121212"/>
          <w:spacing w:val="0"/>
          <w:sz w:val="32"/>
          <w:szCs w:val="32"/>
          <w:shd w:val="clear" w:fill="FFFFFF"/>
        </w:rPr>
        <w:t>》包括</w:t>
      </w:r>
      <w:r>
        <w:rPr>
          <w:rFonts w:hint="eastAsia" w:ascii="仿宋_GB2312" w:hAnsi="仿宋_GB2312" w:eastAsia="仿宋_GB2312" w:cs="仿宋_GB2312"/>
          <w:i w:val="0"/>
          <w:iCs w:val="0"/>
          <w:caps w:val="0"/>
          <w:color w:val="121212"/>
          <w:spacing w:val="0"/>
          <w:sz w:val="32"/>
          <w:szCs w:val="32"/>
          <w:shd w:val="clear" w:fill="FFFFFF"/>
          <w:lang w:val="en-US" w:eastAsia="zh-CN"/>
        </w:rPr>
        <w:t>4</w:t>
      </w:r>
      <w:r>
        <w:rPr>
          <w:rFonts w:hint="eastAsia" w:ascii="仿宋_GB2312" w:hAnsi="仿宋_GB2312" w:eastAsia="仿宋_GB2312" w:cs="仿宋_GB2312"/>
          <w:i w:val="0"/>
          <w:iCs w:val="0"/>
          <w:caps w:val="0"/>
          <w:color w:val="121212"/>
          <w:spacing w:val="0"/>
          <w:sz w:val="32"/>
          <w:szCs w:val="32"/>
          <w:shd w:val="clear" w:fill="FFFFFF"/>
        </w:rPr>
        <w:t>个方面</w:t>
      </w:r>
      <w:r>
        <w:rPr>
          <w:rFonts w:hint="eastAsia" w:ascii="仿宋_GB2312" w:hAnsi="仿宋_GB2312" w:eastAsia="仿宋_GB2312" w:cs="仿宋_GB2312"/>
          <w:i w:val="0"/>
          <w:iCs w:val="0"/>
          <w:caps w:val="0"/>
          <w:color w:val="121212"/>
          <w:spacing w:val="0"/>
          <w:sz w:val="32"/>
          <w:szCs w:val="32"/>
          <w:shd w:val="clear" w:fill="FFFFFF"/>
          <w:lang w:eastAsia="zh-CN"/>
        </w:rPr>
        <w:t>内容</w:t>
      </w:r>
      <w:r>
        <w:rPr>
          <w:rFonts w:hint="eastAsia" w:ascii="仿宋_GB2312" w:hAnsi="仿宋_GB2312" w:eastAsia="仿宋_GB2312" w:cs="仿宋_GB2312"/>
          <w:i w:val="0"/>
          <w:iCs w:val="0"/>
          <w:caps w:val="0"/>
          <w:color w:val="121212"/>
          <w:spacing w:val="0"/>
          <w:sz w:val="32"/>
          <w:szCs w:val="32"/>
          <w:shd w:val="clear" w:fill="FFFFFF"/>
        </w:rPr>
        <w:t>。</w:t>
      </w:r>
    </w:p>
    <w:p w14:paraId="7C18D5BB">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121212"/>
          <w:spacing w:val="0"/>
          <w:sz w:val="32"/>
          <w:szCs w:val="32"/>
          <w:shd w:val="clear" w:fill="FFFFFF"/>
        </w:rPr>
      </w:pPr>
      <w:r>
        <w:rPr>
          <w:rFonts w:hint="eastAsia" w:ascii="楷体_GB2312" w:hAnsi="楷体_GB2312" w:eastAsia="楷体_GB2312" w:cs="楷体_GB2312"/>
          <w:i w:val="0"/>
          <w:iCs w:val="0"/>
          <w:caps w:val="0"/>
          <w:color w:val="121212"/>
          <w:spacing w:val="0"/>
          <w:sz w:val="32"/>
          <w:szCs w:val="32"/>
          <w:shd w:val="clear" w:fill="FFFFFF"/>
          <w:lang w:eastAsia="zh-CN"/>
        </w:rPr>
        <w:t>推行二手房转移预告登记</w:t>
      </w:r>
      <w:r>
        <w:rPr>
          <w:rFonts w:hint="eastAsia" w:ascii="楷体_GB2312" w:hAnsi="楷体_GB2312" w:eastAsia="楷体_GB2312" w:cs="楷体_GB2312"/>
          <w:i w:val="0"/>
          <w:iCs w:val="0"/>
          <w:caps w:val="0"/>
          <w:color w:val="121212"/>
          <w:spacing w:val="0"/>
          <w:sz w:val="32"/>
          <w:szCs w:val="32"/>
          <w:shd w:val="clear" w:fill="FFFFFF"/>
        </w:rPr>
        <w:t>。</w:t>
      </w:r>
      <w:r>
        <w:rPr>
          <w:rFonts w:hint="eastAsia" w:ascii="仿宋_GB2312" w:hAnsi="仿宋_GB2312" w:eastAsia="仿宋_GB2312" w:cs="仿宋_GB2312"/>
          <w:i w:val="0"/>
          <w:iCs w:val="0"/>
          <w:caps w:val="0"/>
          <w:color w:val="121212"/>
          <w:spacing w:val="0"/>
          <w:sz w:val="32"/>
          <w:szCs w:val="32"/>
          <w:shd w:val="clear" w:fill="FFFFFF"/>
        </w:rPr>
        <w:t>二手房交易中，因买方需分期付款</w:t>
      </w:r>
      <w:r>
        <w:rPr>
          <w:rFonts w:hint="eastAsia" w:ascii="仿宋_GB2312" w:hAnsi="仿宋_GB2312" w:eastAsia="仿宋_GB2312" w:cs="仿宋_GB2312"/>
          <w:i w:val="0"/>
          <w:iCs w:val="0"/>
          <w:caps w:val="0"/>
          <w:color w:val="121212"/>
          <w:spacing w:val="0"/>
          <w:sz w:val="32"/>
          <w:szCs w:val="32"/>
          <w:shd w:val="clear" w:fill="FFFFFF"/>
          <w:lang w:eastAsia="zh-CN"/>
        </w:rPr>
        <w:t>、</w:t>
      </w:r>
      <w:r>
        <w:rPr>
          <w:rFonts w:hint="eastAsia" w:ascii="仿宋_GB2312" w:hAnsi="仿宋_GB2312" w:eastAsia="仿宋_GB2312" w:cs="仿宋_GB2312"/>
          <w:i w:val="0"/>
          <w:iCs w:val="0"/>
          <w:caps w:val="0"/>
          <w:color w:val="121212"/>
          <w:spacing w:val="0"/>
          <w:sz w:val="32"/>
          <w:szCs w:val="32"/>
          <w:shd w:val="clear" w:fill="FFFFFF"/>
        </w:rPr>
        <w:t>办理按揭贷款或其他原因，双方暂不办理转移登记的，买卖双方签订合同后可先申请办理不动产转移预告登记，待资金落实，贷款审批通过或达到双方约定的条件后，再申请办理不动产转移登记。</w:t>
      </w:r>
    </w:p>
    <w:p w14:paraId="3282CAF5">
      <w:pPr>
        <w:pStyle w:val="3"/>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楷体_GB2312" w:hAnsi="楷体_GB2312" w:eastAsia="楷体_GB2312" w:cs="楷体_GB2312"/>
          <w:i w:val="0"/>
          <w:iCs w:val="0"/>
          <w:caps w:val="0"/>
          <w:color w:val="121212"/>
          <w:spacing w:val="0"/>
          <w:sz w:val="32"/>
          <w:szCs w:val="32"/>
          <w:shd w:val="clear" w:fill="FFFFFF"/>
          <w:lang w:eastAsia="zh-CN"/>
        </w:rPr>
      </w:pPr>
      <w:r>
        <w:rPr>
          <w:rFonts w:hint="eastAsia" w:ascii="楷体_GB2312" w:hAnsi="楷体_GB2312" w:eastAsia="楷体_GB2312" w:cs="楷体_GB2312"/>
          <w:i w:val="0"/>
          <w:iCs w:val="0"/>
          <w:caps w:val="0"/>
          <w:color w:val="121212"/>
          <w:spacing w:val="0"/>
          <w:sz w:val="32"/>
          <w:szCs w:val="32"/>
          <w:shd w:val="clear" w:fill="FFFFFF"/>
        </w:rPr>
        <w:t>（二）推行国有建设用地使用权二级市场转移预告登记</w:t>
      </w:r>
      <w:r>
        <w:rPr>
          <w:rFonts w:hint="eastAsia" w:ascii="楷体_GB2312" w:hAnsi="楷体_GB2312" w:eastAsia="楷体_GB2312" w:cs="楷体_GB2312"/>
          <w:i w:val="0"/>
          <w:iCs w:val="0"/>
          <w:caps w:val="0"/>
          <w:color w:val="121212"/>
          <w:spacing w:val="0"/>
          <w:sz w:val="32"/>
          <w:szCs w:val="32"/>
          <w:shd w:val="clear" w:fill="FFFFFF"/>
          <w:lang w:eastAsia="zh-CN"/>
        </w:rPr>
        <w:t>。</w:t>
      </w:r>
    </w:p>
    <w:p w14:paraId="2FC157DB">
      <w:pPr>
        <w:pStyle w:val="3"/>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i w:val="0"/>
          <w:iCs w:val="0"/>
          <w:caps w:val="0"/>
          <w:color w:val="121212"/>
          <w:spacing w:val="0"/>
          <w:sz w:val="32"/>
          <w:szCs w:val="32"/>
          <w:shd w:val="clear" w:fill="FFFFFF"/>
        </w:rPr>
      </w:pPr>
      <w:r>
        <w:rPr>
          <w:rFonts w:hint="eastAsia" w:ascii="仿宋_GB2312" w:hAnsi="仿宋_GB2312" w:eastAsia="仿宋_GB2312" w:cs="仿宋_GB2312"/>
          <w:i w:val="0"/>
          <w:iCs w:val="0"/>
          <w:caps w:val="0"/>
          <w:color w:val="121212"/>
          <w:spacing w:val="0"/>
          <w:sz w:val="32"/>
          <w:szCs w:val="32"/>
          <w:shd w:val="clear" w:fill="FFFFFF"/>
        </w:rPr>
        <w:t>以出让方式取得的建设用地使用权转让，对未完成开发投资总额25%的，按照</w:t>
      </w:r>
      <w:r>
        <w:rPr>
          <w:rFonts w:hint="eastAsia" w:ascii="仿宋_GB2312" w:hAnsi="仿宋_GB2312" w:eastAsia="仿宋_GB2312" w:cs="仿宋_GB2312"/>
          <w:i w:val="0"/>
          <w:iCs w:val="0"/>
          <w:caps w:val="0"/>
          <w:color w:val="121212"/>
          <w:spacing w:val="0"/>
          <w:sz w:val="32"/>
          <w:szCs w:val="32"/>
          <w:shd w:val="clear" w:fill="FFFFFF"/>
          <w:lang w:eastAsia="zh-CN"/>
        </w:rPr>
        <w:t>“</w:t>
      </w:r>
      <w:r>
        <w:rPr>
          <w:rFonts w:hint="eastAsia" w:ascii="仿宋_GB2312" w:hAnsi="仿宋_GB2312" w:eastAsia="仿宋_GB2312" w:cs="仿宋_GB2312"/>
          <w:i w:val="0"/>
          <w:iCs w:val="0"/>
          <w:caps w:val="0"/>
          <w:color w:val="121212"/>
          <w:spacing w:val="0"/>
          <w:sz w:val="32"/>
          <w:szCs w:val="32"/>
          <w:shd w:val="clear" w:fill="FFFFFF"/>
        </w:rPr>
        <w:t>先投入后转让</w:t>
      </w:r>
      <w:r>
        <w:rPr>
          <w:rFonts w:hint="eastAsia" w:ascii="仿宋_GB2312" w:hAnsi="仿宋_GB2312" w:eastAsia="仿宋_GB2312" w:cs="仿宋_GB2312"/>
          <w:i w:val="0"/>
          <w:iCs w:val="0"/>
          <w:caps w:val="0"/>
          <w:color w:val="121212"/>
          <w:spacing w:val="0"/>
          <w:sz w:val="32"/>
          <w:szCs w:val="32"/>
          <w:shd w:val="clear" w:fill="FFFFFF"/>
          <w:lang w:eastAsia="zh-CN"/>
        </w:rPr>
        <w:t>”</w:t>
      </w:r>
      <w:r>
        <w:rPr>
          <w:rFonts w:hint="eastAsia" w:ascii="仿宋_GB2312" w:hAnsi="仿宋_GB2312" w:eastAsia="仿宋_GB2312" w:cs="仿宋_GB2312"/>
          <w:i w:val="0"/>
          <w:iCs w:val="0"/>
          <w:caps w:val="0"/>
          <w:color w:val="121212"/>
          <w:spacing w:val="0"/>
          <w:sz w:val="32"/>
          <w:szCs w:val="32"/>
          <w:shd w:val="clear" w:fill="FFFFFF"/>
        </w:rPr>
        <w:t>的原则，由交易双方签订转让合同，经市</w:t>
      </w:r>
      <w:r>
        <w:rPr>
          <w:rFonts w:hint="eastAsia" w:ascii="仿宋_GB2312" w:hAnsi="仿宋_GB2312" w:eastAsia="仿宋_GB2312" w:cs="仿宋_GB2312"/>
          <w:i w:val="0"/>
          <w:iCs w:val="0"/>
          <w:caps w:val="0"/>
          <w:color w:val="121212"/>
          <w:spacing w:val="0"/>
          <w:sz w:val="32"/>
          <w:szCs w:val="32"/>
          <w:shd w:val="clear" w:fill="FFFFFF"/>
          <w:lang w:eastAsia="zh-CN"/>
        </w:rPr>
        <w:t>、</w:t>
      </w:r>
      <w:r>
        <w:rPr>
          <w:rFonts w:hint="eastAsia" w:ascii="仿宋_GB2312" w:hAnsi="仿宋_GB2312" w:eastAsia="仿宋_GB2312" w:cs="仿宋_GB2312"/>
          <w:i w:val="0"/>
          <w:iCs w:val="0"/>
          <w:caps w:val="0"/>
          <w:color w:val="121212"/>
          <w:spacing w:val="0"/>
          <w:sz w:val="32"/>
          <w:szCs w:val="32"/>
          <w:shd w:val="clear" w:fill="FFFFFF"/>
        </w:rPr>
        <w:t>县自然资源主管部门备案后，可申请办理不动产转移预告登记，待开发投资总额达到法定转让要求时，再依法办理不动产转移登记。</w:t>
      </w:r>
    </w:p>
    <w:p w14:paraId="3EB4366C">
      <w:pPr>
        <w:pStyle w:val="3"/>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i w:val="0"/>
          <w:iCs w:val="0"/>
          <w:caps w:val="0"/>
          <w:color w:val="121212"/>
          <w:spacing w:val="0"/>
          <w:sz w:val="32"/>
          <w:szCs w:val="32"/>
          <w:shd w:val="clear" w:fill="FFFFFF"/>
        </w:rPr>
      </w:pPr>
      <w:r>
        <w:rPr>
          <w:rFonts w:hint="eastAsia" w:ascii="楷体_GB2312" w:hAnsi="楷体_GB2312" w:eastAsia="楷体_GB2312" w:cs="楷体_GB2312"/>
          <w:i w:val="0"/>
          <w:iCs w:val="0"/>
          <w:caps w:val="0"/>
          <w:color w:val="121212"/>
          <w:spacing w:val="0"/>
          <w:sz w:val="32"/>
          <w:szCs w:val="32"/>
          <w:shd w:val="clear" w:fill="FFFFFF"/>
          <w:lang w:eastAsia="zh-CN"/>
        </w:rPr>
        <w:t>（三）</w:t>
      </w:r>
      <w:r>
        <w:rPr>
          <w:rFonts w:hint="eastAsia" w:ascii="楷体_GB2312" w:hAnsi="楷体_GB2312" w:eastAsia="楷体_GB2312" w:cs="楷体_GB2312"/>
          <w:i w:val="0"/>
          <w:iCs w:val="0"/>
          <w:caps w:val="0"/>
          <w:color w:val="121212"/>
          <w:spacing w:val="0"/>
          <w:sz w:val="32"/>
          <w:szCs w:val="32"/>
          <w:shd w:val="clear" w:fill="FFFFFF"/>
        </w:rPr>
        <w:t>规范开展按揭贷款审批和贷款发放</w:t>
      </w:r>
      <w:r>
        <w:rPr>
          <w:rFonts w:hint="eastAsia" w:ascii="楷体_GB2312" w:hAnsi="楷体_GB2312" w:eastAsia="楷体_GB2312" w:cs="楷体_GB2312"/>
          <w:i w:val="0"/>
          <w:iCs w:val="0"/>
          <w:caps w:val="0"/>
          <w:color w:val="121212"/>
          <w:spacing w:val="0"/>
          <w:sz w:val="32"/>
          <w:szCs w:val="32"/>
          <w:shd w:val="clear" w:fill="FFFFFF"/>
          <w:lang w:eastAsia="zh-CN"/>
        </w:rPr>
        <w:t>。</w:t>
      </w:r>
      <w:r>
        <w:rPr>
          <w:rFonts w:hint="eastAsia" w:ascii="仿宋_GB2312" w:hAnsi="仿宋_GB2312" w:eastAsia="仿宋_GB2312" w:cs="仿宋_GB2312"/>
          <w:i w:val="0"/>
          <w:iCs w:val="0"/>
          <w:caps w:val="0"/>
          <w:color w:val="121212"/>
          <w:spacing w:val="0"/>
          <w:sz w:val="32"/>
          <w:szCs w:val="32"/>
          <w:shd w:val="clear" w:fill="FFFFFF"/>
        </w:rPr>
        <w:t>公积金管理中心</w:t>
      </w:r>
      <w:r>
        <w:rPr>
          <w:rFonts w:hint="eastAsia" w:ascii="仿宋_GB2312" w:hAnsi="仿宋_GB2312" w:eastAsia="仿宋_GB2312" w:cs="仿宋_GB2312"/>
          <w:i w:val="0"/>
          <w:iCs w:val="0"/>
          <w:caps w:val="0"/>
          <w:color w:val="121212"/>
          <w:spacing w:val="0"/>
          <w:sz w:val="32"/>
          <w:szCs w:val="32"/>
          <w:shd w:val="clear" w:fill="FFFFFF"/>
          <w:lang w:eastAsia="zh-CN"/>
        </w:rPr>
        <w:t>、</w:t>
      </w:r>
      <w:r>
        <w:rPr>
          <w:rFonts w:hint="eastAsia" w:ascii="仿宋_GB2312" w:hAnsi="仿宋_GB2312" w:eastAsia="仿宋_GB2312" w:cs="仿宋_GB2312"/>
          <w:i w:val="0"/>
          <w:iCs w:val="0"/>
          <w:caps w:val="0"/>
          <w:color w:val="121212"/>
          <w:spacing w:val="0"/>
          <w:sz w:val="32"/>
          <w:szCs w:val="32"/>
          <w:shd w:val="clear" w:fill="FFFFFF"/>
        </w:rPr>
        <w:t>银行业金融机构可依据不动产转移预告登记证明，合同等资料审批贷款，贷款审批通过后，申请办理抵押权预告登记。二手房交易涉及提取住房公积金的，公积金管理中心应在受理住房公积金贷款时一并收取公积金提取资料。税务部门可以运用预告登记结果开展税款征收相关工作。</w:t>
      </w:r>
    </w:p>
    <w:p w14:paraId="21A505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121212"/>
          <w:spacing w:val="0"/>
          <w:sz w:val="32"/>
          <w:szCs w:val="32"/>
          <w:shd w:val="clear" w:fill="FFFFFF"/>
        </w:rPr>
      </w:pPr>
      <w:r>
        <w:rPr>
          <w:rFonts w:hint="eastAsia" w:ascii="楷体_GB2312" w:hAnsi="楷体_GB2312" w:eastAsia="楷体_GB2312" w:cs="楷体_GB2312"/>
          <w:i w:val="0"/>
          <w:iCs w:val="0"/>
          <w:caps w:val="0"/>
          <w:color w:val="121212"/>
          <w:spacing w:val="0"/>
          <w:sz w:val="32"/>
          <w:szCs w:val="32"/>
          <w:shd w:val="clear" w:fill="FFFFFF"/>
          <w:lang w:eastAsia="zh-CN"/>
        </w:rPr>
        <w:t>（四）</w:t>
      </w:r>
      <w:r>
        <w:rPr>
          <w:rFonts w:hint="eastAsia" w:ascii="楷体_GB2312" w:hAnsi="楷体_GB2312" w:eastAsia="楷体_GB2312" w:cs="楷体_GB2312"/>
          <w:i w:val="0"/>
          <w:iCs w:val="0"/>
          <w:caps w:val="0"/>
          <w:color w:val="121212"/>
          <w:spacing w:val="0"/>
          <w:sz w:val="32"/>
          <w:szCs w:val="32"/>
          <w:shd w:val="clear" w:fill="FFFFFF"/>
        </w:rPr>
        <w:t>进一步深化登记金融协同服务</w:t>
      </w:r>
      <w:r>
        <w:rPr>
          <w:rFonts w:hint="eastAsia" w:ascii="楷体_GB2312" w:hAnsi="楷体_GB2312" w:eastAsia="楷体_GB2312" w:cs="楷体_GB2312"/>
          <w:i w:val="0"/>
          <w:iCs w:val="0"/>
          <w:caps w:val="0"/>
          <w:color w:val="121212"/>
          <w:spacing w:val="0"/>
          <w:sz w:val="32"/>
          <w:szCs w:val="32"/>
          <w:shd w:val="clear" w:fill="FFFFFF"/>
          <w:lang w:eastAsia="zh-CN"/>
        </w:rPr>
        <w:t>。</w:t>
      </w:r>
      <w:r>
        <w:rPr>
          <w:rFonts w:hint="eastAsia" w:ascii="仿宋_GB2312" w:hAnsi="仿宋_GB2312" w:eastAsia="仿宋_GB2312" w:cs="仿宋_GB2312"/>
          <w:i w:val="0"/>
          <w:iCs w:val="0"/>
          <w:caps w:val="0"/>
          <w:color w:val="121212"/>
          <w:spacing w:val="0"/>
          <w:sz w:val="32"/>
          <w:szCs w:val="32"/>
          <w:shd w:val="clear" w:fill="FFFFFF"/>
        </w:rPr>
        <w:t>不动产登记机构向公积金管理中心和银行业金融机构网点延伸服务，向公积金管理中心和银行业金融机构推送相关不动产登记信息，鼓励公积金管理中心和银行业金融机构启用电子签名，电子印章，电子合同，实现</w:t>
      </w:r>
      <w:r>
        <w:rPr>
          <w:rFonts w:hint="eastAsia" w:ascii="仿宋_GB2312" w:hAnsi="仿宋_GB2312" w:eastAsia="仿宋_GB2312" w:cs="仿宋_GB2312"/>
          <w:i w:val="0"/>
          <w:iCs w:val="0"/>
          <w:caps w:val="0"/>
          <w:color w:val="121212"/>
          <w:spacing w:val="0"/>
          <w:sz w:val="32"/>
          <w:szCs w:val="32"/>
          <w:shd w:val="clear" w:fill="FFFFFF"/>
          <w:lang w:eastAsia="zh-CN"/>
        </w:rPr>
        <w:t>“</w:t>
      </w:r>
      <w:r>
        <w:rPr>
          <w:rFonts w:hint="eastAsia" w:ascii="仿宋_GB2312" w:hAnsi="仿宋_GB2312" w:eastAsia="仿宋_GB2312" w:cs="仿宋_GB2312"/>
          <w:i w:val="0"/>
          <w:iCs w:val="0"/>
          <w:caps w:val="0"/>
          <w:color w:val="121212"/>
          <w:spacing w:val="0"/>
          <w:sz w:val="32"/>
          <w:szCs w:val="32"/>
          <w:shd w:val="clear" w:fill="FFFFFF"/>
        </w:rPr>
        <w:t>一件事</w:t>
      </w:r>
      <w:r>
        <w:rPr>
          <w:rFonts w:hint="eastAsia" w:ascii="仿宋_GB2312" w:hAnsi="仿宋_GB2312" w:eastAsia="仿宋_GB2312" w:cs="仿宋_GB2312"/>
          <w:i w:val="0"/>
          <w:iCs w:val="0"/>
          <w:caps w:val="0"/>
          <w:color w:val="121212"/>
          <w:spacing w:val="0"/>
          <w:sz w:val="32"/>
          <w:szCs w:val="32"/>
          <w:shd w:val="clear" w:fill="FFFFFF"/>
          <w:lang w:eastAsia="zh-CN"/>
        </w:rPr>
        <w:t>”</w:t>
      </w:r>
      <w:r>
        <w:rPr>
          <w:rFonts w:hint="eastAsia" w:ascii="仿宋_GB2312" w:hAnsi="仿宋_GB2312" w:eastAsia="仿宋_GB2312" w:cs="仿宋_GB2312"/>
          <w:i w:val="0"/>
          <w:iCs w:val="0"/>
          <w:caps w:val="0"/>
          <w:color w:val="121212"/>
          <w:spacing w:val="0"/>
          <w:sz w:val="32"/>
          <w:szCs w:val="32"/>
          <w:shd w:val="clear" w:fill="FFFFFF"/>
        </w:rPr>
        <w:t>办理，</w:t>
      </w:r>
      <w:r>
        <w:rPr>
          <w:rFonts w:hint="eastAsia" w:ascii="仿宋_GB2312" w:hAnsi="仿宋_GB2312" w:eastAsia="仿宋_GB2312" w:cs="仿宋_GB2312"/>
          <w:i w:val="0"/>
          <w:iCs w:val="0"/>
          <w:caps w:val="0"/>
          <w:color w:val="121212"/>
          <w:spacing w:val="0"/>
          <w:sz w:val="32"/>
          <w:szCs w:val="32"/>
          <w:shd w:val="clear" w:fill="FFFFFF"/>
          <w:lang w:eastAsia="zh-CN"/>
        </w:rPr>
        <w:t>“</w:t>
      </w:r>
      <w:r>
        <w:rPr>
          <w:rFonts w:hint="eastAsia" w:ascii="仿宋_GB2312" w:hAnsi="仿宋_GB2312" w:eastAsia="仿宋_GB2312" w:cs="仿宋_GB2312"/>
          <w:i w:val="0"/>
          <w:iCs w:val="0"/>
          <w:caps w:val="0"/>
          <w:color w:val="121212"/>
          <w:spacing w:val="0"/>
          <w:sz w:val="32"/>
          <w:szCs w:val="32"/>
          <w:shd w:val="clear" w:fill="FFFFFF"/>
        </w:rPr>
        <w:t>一站式</w:t>
      </w:r>
      <w:r>
        <w:rPr>
          <w:rFonts w:hint="eastAsia" w:ascii="仿宋_GB2312" w:hAnsi="仿宋_GB2312" w:eastAsia="仿宋_GB2312" w:cs="仿宋_GB2312"/>
          <w:i w:val="0"/>
          <w:iCs w:val="0"/>
          <w:caps w:val="0"/>
          <w:color w:val="121212"/>
          <w:spacing w:val="0"/>
          <w:sz w:val="32"/>
          <w:szCs w:val="32"/>
          <w:shd w:val="clear" w:fill="FFFFFF"/>
          <w:lang w:eastAsia="zh-CN"/>
        </w:rPr>
        <w:t>”</w:t>
      </w:r>
      <w:r>
        <w:rPr>
          <w:rFonts w:hint="eastAsia" w:ascii="仿宋_GB2312" w:hAnsi="仿宋_GB2312" w:eastAsia="仿宋_GB2312" w:cs="仿宋_GB2312"/>
          <w:i w:val="0"/>
          <w:iCs w:val="0"/>
          <w:caps w:val="0"/>
          <w:color w:val="121212"/>
          <w:spacing w:val="0"/>
          <w:sz w:val="32"/>
          <w:szCs w:val="32"/>
          <w:shd w:val="clear" w:fill="FFFFFF"/>
        </w:rPr>
        <w:t>服务</w:t>
      </w:r>
      <w:r>
        <w:rPr>
          <w:rFonts w:hint="eastAsia" w:ascii="仿宋_GB2312" w:hAnsi="仿宋_GB2312" w:eastAsia="仿宋_GB2312" w:cs="仿宋_GB2312"/>
          <w:i w:val="0"/>
          <w:iCs w:val="0"/>
          <w:caps w:val="0"/>
          <w:color w:val="121212"/>
          <w:spacing w:val="0"/>
          <w:sz w:val="32"/>
          <w:szCs w:val="32"/>
          <w:shd w:val="clear" w:fill="FFFFFF"/>
          <w:lang w:eastAsia="zh-CN"/>
        </w:rPr>
        <w:t>、“</w:t>
      </w:r>
      <w:r>
        <w:rPr>
          <w:rFonts w:hint="eastAsia" w:ascii="仿宋_GB2312" w:hAnsi="仿宋_GB2312" w:eastAsia="仿宋_GB2312" w:cs="仿宋_GB2312"/>
          <w:i w:val="0"/>
          <w:iCs w:val="0"/>
          <w:caps w:val="0"/>
          <w:color w:val="121212"/>
          <w:spacing w:val="0"/>
          <w:sz w:val="32"/>
          <w:szCs w:val="32"/>
          <w:shd w:val="clear" w:fill="FFFFFF"/>
        </w:rPr>
        <w:t>零材料零跑腿</w:t>
      </w:r>
      <w:r>
        <w:rPr>
          <w:rFonts w:hint="eastAsia" w:ascii="仿宋_GB2312" w:hAnsi="仿宋_GB2312" w:eastAsia="仿宋_GB2312" w:cs="仿宋_GB2312"/>
          <w:i w:val="0"/>
          <w:iCs w:val="0"/>
          <w:caps w:val="0"/>
          <w:color w:val="121212"/>
          <w:spacing w:val="0"/>
          <w:sz w:val="32"/>
          <w:szCs w:val="32"/>
          <w:shd w:val="clear" w:fill="FFFFFF"/>
          <w:lang w:eastAsia="zh-CN"/>
        </w:rPr>
        <w:t>”</w:t>
      </w:r>
      <w:r>
        <w:rPr>
          <w:rFonts w:hint="eastAsia" w:ascii="仿宋_GB2312" w:hAnsi="仿宋_GB2312" w:eastAsia="仿宋_GB2312" w:cs="仿宋_GB2312"/>
          <w:i w:val="0"/>
          <w:iCs w:val="0"/>
          <w:caps w:val="0"/>
          <w:color w:val="121212"/>
          <w:spacing w:val="0"/>
          <w:sz w:val="32"/>
          <w:szCs w:val="32"/>
          <w:shd w:val="clear" w:fill="FFFFFF"/>
        </w:rPr>
        <w:t>。</w:t>
      </w:r>
    </w:p>
    <w:p w14:paraId="1951BC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i w:val="0"/>
          <w:iCs w:val="0"/>
          <w:caps w:val="0"/>
          <w:color w:val="333333"/>
          <w:spacing w:val="0"/>
          <w:sz w:val="32"/>
          <w:szCs w:val="32"/>
          <w:shd w:val="clear" w:fill="FFFFFF"/>
        </w:rPr>
      </w:pPr>
      <w:r>
        <w:rPr>
          <w:rFonts w:hint="eastAsia" w:ascii="黑体" w:hAnsi="黑体" w:eastAsia="黑体" w:cs="黑体"/>
          <w:i w:val="0"/>
          <w:iCs w:val="0"/>
          <w:caps w:val="0"/>
          <w:color w:val="333333"/>
          <w:spacing w:val="0"/>
          <w:sz w:val="32"/>
          <w:szCs w:val="32"/>
          <w:shd w:val="clear" w:fill="FFFFFF"/>
        </w:rPr>
        <w:t>三、实施期限</w:t>
      </w:r>
    </w:p>
    <w:p w14:paraId="01AE4F1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121212"/>
          <w:spacing w:val="0"/>
          <w:sz w:val="32"/>
          <w:szCs w:val="32"/>
          <w:lang w:eastAsia="zh-CN"/>
        </w:rPr>
      </w:pPr>
      <w:r>
        <w:rPr>
          <w:rFonts w:hint="eastAsia" w:ascii="仿宋_GB2312" w:hAnsi="仿宋_GB2312" w:eastAsia="仿宋_GB2312" w:cs="仿宋_GB2312"/>
          <w:i w:val="0"/>
          <w:iCs w:val="0"/>
          <w:caps w:val="0"/>
          <w:color w:val="121212"/>
          <w:spacing w:val="0"/>
          <w:sz w:val="32"/>
          <w:szCs w:val="32"/>
          <w:shd w:val="clear" w:fill="FFFFFF"/>
        </w:rPr>
        <w:t>《</w:t>
      </w:r>
      <w:r>
        <w:rPr>
          <w:rFonts w:hint="eastAsia" w:ascii="仿宋_GB2312" w:hAnsi="仿宋_GB2312" w:eastAsia="仿宋_GB2312" w:cs="仿宋_GB2312"/>
          <w:i w:val="0"/>
          <w:iCs w:val="0"/>
          <w:caps w:val="0"/>
          <w:color w:val="121212"/>
          <w:spacing w:val="0"/>
          <w:sz w:val="32"/>
          <w:szCs w:val="32"/>
          <w:shd w:val="clear" w:fill="FFFFFF"/>
          <w:lang w:eastAsia="zh-CN"/>
        </w:rPr>
        <w:t>通知</w:t>
      </w:r>
      <w:r>
        <w:rPr>
          <w:rFonts w:hint="eastAsia" w:ascii="仿宋_GB2312" w:hAnsi="仿宋_GB2312" w:eastAsia="仿宋_GB2312" w:cs="仿宋_GB2312"/>
          <w:i w:val="0"/>
          <w:iCs w:val="0"/>
          <w:caps w:val="0"/>
          <w:color w:val="121212"/>
          <w:spacing w:val="0"/>
          <w:sz w:val="32"/>
          <w:szCs w:val="32"/>
          <w:shd w:val="clear" w:fill="FFFFFF"/>
        </w:rPr>
        <w:t>》自202</w:t>
      </w:r>
      <w:r>
        <w:rPr>
          <w:rFonts w:hint="eastAsia" w:ascii="仿宋_GB2312" w:hAnsi="仿宋_GB2312" w:eastAsia="仿宋_GB2312" w:cs="仿宋_GB2312"/>
          <w:i w:val="0"/>
          <w:iCs w:val="0"/>
          <w:caps w:val="0"/>
          <w:color w:val="121212"/>
          <w:spacing w:val="0"/>
          <w:sz w:val="32"/>
          <w:szCs w:val="32"/>
          <w:shd w:val="clear" w:fill="FFFFFF"/>
          <w:lang w:val="en-US" w:eastAsia="zh-CN"/>
        </w:rPr>
        <w:t>5</w:t>
      </w:r>
      <w:r>
        <w:rPr>
          <w:rFonts w:hint="eastAsia" w:ascii="仿宋_GB2312" w:hAnsi="仿宋_GB2312" w:eastAsia="仿宋_GB2312" w:cs="仿宋_GB2312"/>
          <w:i w:val="0"/>
          <w:iCs w:val="0"/>
          <w:caps w:val="0"/>
          <w:color w:val="121212"/>
          <w:spacing w:val="0"/>
          <w:sz w:val="32"/>
          <w:szCs w:val="32"/>
          <w:shd w:val="clear" w:fill="FFFFFF"/>
        </w:rPr>
        <w:t>年</w:t>
      </w:r>
      <w:r>
        <w:rPr>
          <w:rFonts w:hint="eastAsia" w:ascii="仿宋_GB2312" w:hAnsi="仿宋_GB2312" w:eastAsia="仿宋_GB2312" w:cs="仿宋_GB2312"/>
          <w:i w:val="0"/>
          <w:iCs w:val="0"/>
          <w:caps w:val="0"/>
          <w:color w:val="121212"/>
          <w:spacing w:val="0"/>
          <w:sz w:val="32"/>
          <w:szCs w:val="32"/>
          <w:shd w:val="clear" w:fill="FFFFFF"/>
          <w:lang w:val="en-US" w:eastAsia="zh-CN"/>
        </w:rPr>
        <w:t>7</w:t>
      </w:r>
      <w:r>
        <w:rPr>
          <w:rFonts w:hint="eastAsia" w:ascii="仿宋_GB2312" w:hAnsi="仿宋_GB2312" w:eastAsia="仿宋_GB2312" w:cs="仿宋_GB2312"/>
          <w:i w:val="0"/>
          <w:iCs w:val="0"/>
          <w:caps w:val="0"/>
          <w:color w:val="121212"/>
          <w:spacing w:val="0"/>
          <w:sz w:val="32"/>
          <w:szCs w:val="32"/>
          <w:shd w:val="clear" w:fill="FFFFFF"/>
        </w:rPr>
        <w:t>月1日起</w:t>
      </w:r>
      <w:r>
        <w:rPr>
          <w:rFonts w:hint="eastAsia" w:ascii="仿宋_GB2312" w:hAnsi="仿宋_GB2312" w:eastAsia="仿宋_GB2312" w:cs="仿宋_GB2312"/>
          <w:i w:val="0"/>
          <w:iCs w:val="0"/>
          <w:caps w:val="0"/>
          <w:color w:val="121212"/>
          <w:spacing w:val="0"/>
          <w:sz w:val="32"/>
          <w:szCs w:val="32"/>
          <w:shd w:val="clear" w:fill="FFFFFF"/>
          <w:lang w:eastAsia="zh-CN"/>
        </w:rPr>
        <w:t>实施</w:t>
      </w:r>
      <w:r>
        <w:rPr>
          <w:rFonts w:hint="eastAsia" w:ascii="仿宋_GB2312" w:hAnsi="仿宋_GB2312" w:eastAsia="仿宋_GB2312" w:cs="仿宋_GB2312"/>
          <w:i w:val="0"/>
          <w:iCs w:val="0"/>
          <w:caps w:val="0"/>
          <w:color w:val="121212"/>
          <w:spacing w:val="0"/>
          <w:sz w:val="32"/>
          <w:szCs w:val="32"/>
          <w:shd w:val="clear" w:fill="FFFFFF"/>
        </w:rPr>
        <w:t>，</w:t>
      </w:r>
      <w:r>
        <w:rPr>
          <w:rFonts w:hint="eastAsia" w:ascii="仿宋_GB2312" w:hAnsi="仿宋_GB2312" w:eastAsia="仿宋_GB2312" w:cs="仿宋_GB2312"/>
          <w:i w:val="0"/>
          <w:iCs w:val="0"/>
          <w:caps w:val="0"/>
          <w:color w:val="121212"/>
          <w:spacing w:val="0"/>
          <w:sz w:val="32"/>
          <w:szCs w:val="32"/>
          <w:shd w:val="clear" w:fill="FFFFFF"/>
          <w:lang w:eastAsia="zh-CN"/>
        </w:rPr>
        <w:t>有效期三年。</w:t>
      </w:r>
    </w:p>
    <w:p w14:paraId="4AA45F0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7080E247">
      <w:pPr>
        <w:keepNext w:val="0"/>
        <w:keepLines w:val="0"/>
        <w:pageBreakBefore w:val="0"/>
        <w:kinsoku/>
        <w:wordWrap/>
        <w:overflowPunct/>
        <w:topLinePunct w:val="0"/>
        <w:autoSpaceDE/>
        <w:autoSpaceDN/>
        <w:bidi w:val="0"/>
        <w:adjustRightInd/>
        <w:snapToGrid/>
        <w:spacing w:line="560" w:lineRule="exact"/>
        <w:ind w:firstLine="883" w:firstLineChars="200"/>
        <w:textAlignment w:val="auto"/>
        <w:rPr>
          <w:rFonts w:hint="default" w:ascii="方正小标宋简体" w:hAnsi="方正小标宋简体" w:eastAsia="方正小标宋简体" w:cs="方正小标宋简体"/>
          <w:b/>
          <w:bCs/>
          <w:i w:val="0"/>
          <w:iCs w:val="0"/>
          <w:caps w:val="0"/>
          <w:color w:val="121212"/>
          <w:spacing w:val="0"/>
          <w:kern w:val="44"/>
          <w:sz w:val="44"/>
          <w:szCs w:val="44"/>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AC69CF"/>
    <w:multiLevelType w:val="singleLevel"/>
    <w:tmpl w:val="7EAC69C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F5C1A"/>
    <w:rsid w:val="0BBC4395"/>
    <w:rsid w:val="67D84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4</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8823</cp:lastModifiedBy>
  <dcterms:modified xsi:type="dcterms:W3CDTF">2026-02-12T01:45:46Z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eyJoZGlkIjoiNmJiYzkwMWRmN2RkMDdkZDRjNDIxZjg2YzBmZGM5MzgiLCJ1c2VySWQiOiIxMTU5NjU5MDk3In0=</vt:lpwstr>
  </property>
  <property fmtid="{D5CDD505-2E9C-101B-9397-08002B2CF9AE}" pid="4" name="ICV">
    <vt:lpwstr>BB86C1CB8AC646909ADA1E9835B59F70_12</vt:lpwstr>
  </property>
</Properties>
</file>