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0"/>
        <w:gridCol w:w="2040"/>
        <w:gridCol w:w="3030"/>
        <w:gridCol w:w="2229"/>
        <w:gridCol w:w="1508"/>
        <w:gridCol w:w="1596"/>
        <w:gridCol w:w="13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21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2026年度市商务局涉企行政检查计划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行政执法部门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检查对象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检查内容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检查依据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检查频次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检查时间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单用途商业预付卡发卡监督检查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发卡企业和售卡企业的单用途卡业务活动、内部控制和风险状况等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《单用途商业预付卡管理办法（试行）》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现场检查及非现场检查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对报废机动车回收企业的监督检查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是否违反《报废机动车回收管理办法》第十六、十九、二十一、二十二、二十三条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《报废机动车回收管理办法实施细则》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exac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对依法取得从事拍卖业务许可的企业的监督管理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核查拍卖企业基本情况、核查拍卖企业执业规范情况、核查拍卖师执业及注册登记情况、核查拍卖企业经营及信息报送情况等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《拍卖管理办法》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现场检查及非现场检查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exac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对实施备案的二手车交易市场经营者、二手车经营主体的监督管理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二手车市场和经营主体随机抽查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《二手车流通管理办法》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现场检查及非现场检查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exac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对外国投资者、外商投资企业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履行信息报告义务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监督检查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对辖区内外商投资企业及其投资者遵守《外商投资信息报告办法》（商务部令2019年第2号）的情况进行检查，并对违反《办法》的行为实施行政处罚的活动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《外商投资信息报告办法》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现场检查及非现场检查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exac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对成品油零售经营企业的行政检查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成品油批发、仓储企业建立购销和出入库台账制度、完善油品来源、销售去向、检验报告、检查记录等凭证材料档案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国务院办公厅关于加快发展流通促进商业消费的意见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现场检查及非现场检查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exac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市商务局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对汽车销售及其相关服务活动的监督检查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汽车销售企业是否备案，明示“三包”信息及投诉渠道，是否明示各项收费标准及加价销售</w:t>
            </w:r>
          </w:p>
        </w:tc>
        <w:tc>
          <w:tcPr>
            <w:tcW w:w="2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《汽车销售管理办法》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</w:t>
            </w:r>
            <w:bookmarkStart w:id="0" w:name="_GoBack"/>
            <w:bookmarkEnd w:id="0"/>
          </w:p>
        </w:tc>
      </w:tr>
    </w:tbl>
    <w:p>
      <w:pPr>
        <w:rPr>
          <w:rFonts w:hint="default"/>
          <w:lang w:val="en-US" w:eastAsia="zh-CN"/>
        </w:rPr>
      </w:pPr>
    </w:p>
    <w:p/>
    <w:sectPr>
      <w:pgSz w:w="16838" w:h="11906" w:orient="landscape"/>
      <w:pgMar w:top="1531" w:right="1417" w:bottom="1531" w:left="1417" w:header="851" w:footer="737" w:gutter="0"/>
      <w:pgNumType w:fmt="decimal"/>
      <w:cols w:space="720" w:num="1"/>
      <w:titlePg/>
      <w:rtlGutter w:val="0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EF883"/>
    <w:rsid w:val="2B7623C8"/>
    <w:rsid w:val="33FFBE95"/>
    <w:rsid w:val="76DEF883"/>
    <w:rsid w:val="7FBD0434"/>
    <w:rsid w:val="EBDF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2026-02-28T16:08:00Z</dcterms:created>
  <dc:creator>uos</dc:creator>
  <cp:lastModifiedBy>uos</cp:lastModifiedBy>
  <dcterms:modified xsi:type="dcterms:W3CDTF">2026-02-28T10:43:37Z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B7297A80955A59430532A269F42DF211</vt:lpwstr>
  </property>
</Properties>
</file>