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检查频次上限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594"/>
        <w:gridCol w:w="1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559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行政检查事项名称</w:t>
            </w:r>
          </w:p>
        </w:tc>
        <w:tc>
          <w:tcPr>
            <w:tcW w:w="19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频次上限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5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单用途商业预付卡发卡监督检查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5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对报废机动车回收企业的监督检查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98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5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对依法取得从事拍卖业务许可的企业的监督管理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98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5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对实施备案的二手车交易市场经营者、二手车经营主体的监督管理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98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5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对外国投资者、外商投资企业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履行信息报告义务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监督检查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5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对成品油零售经营企业的行政检查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  <w:bookmarkStart w:id="0" w:name="_GoBack"/>
            <w:bookmarkEnd w:id="0"/>
          </w:p>
        </w:tc>
        <w:tc>
          <w:tcPr>
            <w:tcW w:w="5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  <w:t>对汽车销售及其相关服务活动的监督检查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/年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DDEAC4"/>
    <w:rsid w:val="5AFFC97C"/>
    <w:rsid w:val="5FEE4965"/>
    <w:rsid w:val="73BDF620"/>
    <w:rsid w:val="BFFA068D"/>
    <w:rsid w:val="F5FB6143"/>
    <w:rsid w:val="FE79CC92"/>
    <w:rsid w:val="FEDDEAC4"/>
    <w:rsid w:val="FFFCF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2025-06-19T09:57:00Z</dcterms:created>
  <dc:creator>马雯慧</dc:creator>
  <cp:lastModifiedBy>uos</cp:lastModifiedBy>
  <dcterms:modified xsi:type="dcterms:W3CDTF">2026-03-03T11:17:03Z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