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40" w:lineRule="exact"/>
        <w:jc w:val="center"/>
        <w:textAlignment w:val="top"/>
        <w:rPr>
          <w:rStyle w:val="9"/>
          <w:rFonts w:hint="eastAsia" w:ascii="方正小标宋简体" w:hAnsi="方正小标宋简体" w:eastAsia="方正小标宋简体" w:cs="方正小标宋简体"/>
          <w:b w:val="0"/>
          <w:bCs/>
          <w:color w:val="000000" w:themeColor="text1"/>
          <w:spacing w:val="0"/>
          <w:sz w:val="44"/>
          <w:szCs w:val="44"/>
          <w:highlight w:val="none"/>
          <w:shd w:val="clear" w:color="auto" w:fill="FFFFFF"/>
          <w:lang w:eastAsia="zh-CN"/>
          <w14:textFill>
            <w14:solidFill>
              <w14:schemeClr w14:val="tx1"/>
            </w14:solidFill>
          </w14:textFill>
        </w:rPr>
      </w:pPr>
      <w:r>
        <w:rPr>
          <w:rStyle w:val="9"/>
          <w:rFonts w:hint="eastAsia" w:ascii="方正小标宋简体" w:hAnsi="方正小标宋简体" w:eastAsia="方正小标宋简体" w:cs="方正小标宋简体"/>
          <w:b w:val="0"/>
          <w:bCs/>
          <w:sz w:val="44"/>
          <w:szCs w:val="44"/>
          <w:lang w:eastAsia="zh-CN"/>
        </w:rPr>
        <w:t>焦作市人民政府办公室</w:t>
      </w:r>
      <w:r>
        <w:rPr>
          <w:rStyle w:val="9"/>
          <w:rFonts w:hint="eastAsia" w:ascii="方正小标宋简体" w:hAnsi="方正小标宋简体" w:eastAsia="方正小标宋简体" w:cs="方正小标宋简体"/>
          <w:b w:val="0"/>
          <w:bCs/>
          <w:sz w:val="44"/>
          <w:szCs w:val="44"/>
        </w:rPr>
        <w:t>印发《</w:t>
      </w:r>
      <w:r>
        <w:rPr>
          <w:rStyle w:val="9"/>
          <w:rFonts w:hint="eastAsia" w:ascii="方正小标宋简体" w:hAnsi="方正小标宋简体" w:eastAsia="方正小标宋简体" w:cs="方正小标宋简体"/>
          <w:b w:val="0"/>
          <w:bCs/>
          <w:color w:val="000000" w:themeColor="text1"/>
          <w:spacing w:val="0"/>
          <w:sz w:val="44"/>
          <w:szCs w:val="44"/>
          <w:highlight w:val="none"/>
          <w:shd w:val="clear" w:color="auto" w:fill="FFFFFF"/>
          <w14:textFill>
            <w14:solidFill>
              <w14:schemeClr w14:val="tx1"/>
            </w14:solidFill>
          </w14:textFill>
        </w:rPr>
        <w:t>焦作市促进内外贸一体化发展若干</w:t>
      </w:r>
      <w:r>
        <w:rPr>
          <w:rStyle w:val="9"/>
          <w:rFonts w:hint="eastAsia" w:ascii="方正小标宋简体" w:hAnsi="方正小标宋简体" w:eastAsia="方正小标宋简体" w:cs="方正小标宋简体"/>
          <w:b w:val="0"/>
          <w:bCs/>
          <w:color w:val="000000" w:themeColor="text1"/>
          <w:spacing w:val="0"/>
          <w:sz w:val="44"/>
          <w:szCs w:val="44"/>
          <w:highlight w:val="none"/>
          <w:shd w:val="clear" w:color="auto" w:fill="FFFFFF"/>
          <w:lang w:eastAsia="zh-CN"/>
          <w14:textFill>
            <w14:solidFill>
              <w14:schemeClr w14:val="tx1"/>
            </w14:solidFill>
          </w14:textFill>
        </w:rPr>
        <w:t>措施</w:t>
      </w:r>
      <w:r>
        <w:rPr>
          <w:rStyle w:val="9"/>
          <w:rFonts w:hint="eastAsia" w:ascii="方正小标宋简体" w:hAnsi="方正小标宋简体" w:eastAsia="方正小标宋简体" w:cs="方正小标宋简体"/>
          <w:b w:val="0"/>
          <w:bCs/>
          <w:sz w:val="44"/>
          <w:szCs w:val="44"/>
        </w:rPr>
        <w:t>》的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0"/>
        <w:jc w:val="center"/>
        <w:rPr>
          <w:rFonts w:hint="eastAsia" w:ascii="方正小标宋简体" w:hAnsi="方正小标宋简体" w:eastAsia="方正小标宋简体" w:cs="方正小标宋简体"/>
          <w:b w:val="0"/>
          <w:bCs/>
          <w:sz w:val="44"/>
          <w:szCs w:val="44"/>
        </w:rPr>
      </w:pPr>
      <w:r>
        <w:rPr>
          <w:rStyle w:val="9"/>
          <w:rFonts w:hint="eastAsia" w:ascii="方正小标宋简体" w:hAnsi="方正小标宋简体" w:eastAsia="方正小标宋简体" w:cs="方正小标宋简体"/>
          <w:b w:val="0"/>
          <w:bCs/>
          <w:sz w:val="44"/>
          <w:szCs w:val="44"/>
        </w:rPr>
        <w:t>通</w:t>
      </w:r>
      <w:r>
        <w:rPr>
          <w:rStyle w:val="9"/>
          <w:rFonts w:hint="eastAsia" w:ascii="方正小标宋简体" w:hAnsi="方正小标宋简体" w:eastAsia="方正小标宋简体" w:cs="方正小标宋简体"/>
          <w:b w:val="0"/>
          <w:bCs/>
          <w:sz w:val="44"/>
          <w:szCs w:val="44"/>
          <w:lang w:val="en-US" w:eastAsia="zh-CN"/>
        </w:rPr>
        <w:t xml:space="preserve">  </w:t>
      </w:r>
      <w:r>
        <w:rPr>
          <w:rStyle w:val="9"/>
          <w:rFonts w:hint="eastAsia" w:ascii="方正小标宋简体" w:hAnsi="方正小标宋简体" w:eastAsia="方正小标宋简体" w:cs="方正小标宋简体"/>
          <w:b w:val="0"/>
          <w:bCs/>
          <w:sz w:val="44"/>
          <w:szCs w:val="44"/>
        </w:rPr>
        <w:t>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60" w:lineRule="exact"/>
        <w:ind w:left="0" w:right="0" w:firstLine="0"/>
        <w:jc w:val="center"/>
        <w:rPr>
          <w:sz w:val="32"/>
          <w:szCs w:val="32"/>
        </w:rPr>
      </w:pPr>
      <w:r>
        <w:rPr>
          <w:rFonts w:hint="eastAsia" w:ascii="楷体" w:hAnsi="楷体" w:eastAsia="楷体" w:cs="楷体"/>
          <w:sz w:val="32"/>
          <w:szCs w:val="32"/>
          <w:lang w:eastAsia="zh-CN"/>
        </w:rPr>
        <w:t>焦政办</w:t>
      </w:r>
      <w:r>
        <w:rPr>
          <w:rFonts w:ascii="楷体" w:hAnsi="楷体" w:eastAsia="楷体" w:cs="楷体"/>
          <w:sz w:val="32"/>
          <w:szCs w:val="32"/>
        </w:rPr>
        <w:t>〔202</w:t>
      </w:r>
      <w:r>
        <w:rPr>
          <w:rFonts w:hint="eastAsia" w:ascii="楷体" w:hAnsi="楷体" w:eastAsia="楷体" w:cs="楷体"/>
          <w:sz w:val="32"/>
          <w:szCs w:val="32"/>
          <w:lang w:val="en-US" w:eastAsia="zh-CN"/>
        </w:rPr>
        <w:t>6</w:t>
      </w:r>
      <w:r>
        <w:rPr>
          <w:rFonts w:ascii="楷体" w:hAnsi="楷体" w:eastAsia="楷体" w:cs="楷体"/>
          <w:sz w:val="32"/>
          <w:szCs w:val="32"/>
        </w:rPr>
        <w:t>〕</w:t>
      </w:r>
      <w:r>
        <w:rPr>
          <w:rFonts w:hint="eastAsia" w:ascii="楷体" w:hAnsi="楷体" w:eastAsia="楷体" w:cs="楷体"/>
          <w:sz w:val="32"/>
          <w:szCs w:val="32"/>
          <w:lang w:val="en-US" w:eastAsia="zh-CN"/>
        </w:rPr>
        <w:t xml:space="preserve"> </w:t>
      </w:r>
      <w:r>
        <w:rPr>
          <w:rFonts w:ascii="楷体" w:hAnsi="楷体" w:eastAsia="楷体" w:cs="楷体"/>
          <w:sz w:val="32"/>
          <w:szCs w:val="32"/>
        </w:rPr>
        <w:t>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60" w:lineRule="exact"/>
        <w:ind w:left="0" w:right="0" w:firstLine="420"/>
        <w:jc w:val="cente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both"/>
        <w:textAlignment w:val="top"/>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，市人民政府各部门：</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pP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焦作市促进内外贸一体化发展若干</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措施》已经市政府同意，现印发给你们，请认真贯彻执行。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60" w:lineRule="exact"/>
        <w:ind w:left="0" w:right="0" w:firstLine="4160" w:firstLineChars="1300"/>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60" w:lineRule="exact"/>
        <w:ind w:left="0" w:right="0" w:firstLine="4160" w:firstLineChars="1300"/>
        <w:rPr>
          <w:rStyle w:val="9"/>
          <w:rFonts w:hint="eastAsia" w:ascii="仿宋_GB2312" w:hAnsi="仿宋_GB2312" w:eastAsia="仿宋_GB2312" w:cs="仿宋_GB2312"/>
          <w:b w:val="0"/>
          <w:bCs/>
          <w:color w:val="000000" w:themeColor="text1"/>
          <w:spacing w:val="0"/>
          <w:sz w:val="44"/>
          <w:szCs w:val="44"/>
          <w:highlight w:val="none"/>
          <w:shd w:val="clear" w:color="auto" w:fill="FFFFFF"/>
          <w14:textFill>
            <w14:solidFill>
              <w14:schemeClr w14:val="tx1"/>
            </w14:solidFill>
          </w14:textFill>
        </w:rPr>
      </w:pP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焦作市人民政府办公室</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　　　　　 </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sz w:val="32"/>
          <w:szCs w:val="32"/>
          <w:highlight w:val="none"/>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　　　</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eastAsia" w:ascii="仿宋_GB2312" w:hAnsi="仿宋_GB2312" w:eastAsia="仿宋_GB2312" w:cs="仿宋_GB2312"/>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eastAsia" w:ascii="Times New Roman" w:hAnsi="Times New Roman" w:eastAsia="方正小标宋简体" w:cs="Times New Roman"/>
          <w:b w:val="0"/>
          <w:bCs/>
          <w:color w:val="000000" w:themeColor="text1"/>
          <w:spacing w:val="0"/>
          <w:sz w:val="44"/>
          <w:szCs w:val="44"/>
          <w:highlight w:val="none"/>
          <w:shd w:val="clear" w:color="auto" w:fill="FFFFFF"/>
          <w:lang w:eastAsia="zh-CN"/>
          <w14:textFill>
            <w14:solidFill>
              <w14:schemeClr w14:val="tx1"/>
            </w14:solidFill>
          </w14:textFill>
        </w:rPr>
      </w:pPr>
      <w:r>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t>焦作市促进内外贸一体化发展若干</w:t>
      </w:r>
      <w:r>
        <w:rPr>
          <w:rStyle w:val="9"/>
          <w:rFonts w:hint="eastAsia" w:ascii="Times New Roman" w:hAnsi="Times New Roman" w:eastAsia="方正小标宋简体" w:cs="Times New Roman"/>
          <w:b w:val="0"/>
          <w:bCs/>
          <w:color w:val="000000" w:themeColor="text1"/>
          <w:spacing w:val="0"/>
          <w:sz w:val="44"/>
          <w:szCs w:val="44"/>
          <w:highlight w:val="none"/>
          <w:shd w:val="clear" w:color="auto" w:fill="FFFFFF"/>
          <w:lang w:eastAsia="zh-CN"/>
          <w14:textFill>
            <w14:solidFill>
              <w14:schemeClr w14:val="tx1"/>
            </w14:solidFill>
          </w14:textFill>
        </w:rPr>
        <w:t>措施</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top"/>
        <w:rPr>
          <w:rStyle w:val="9"/>
          <w:rFonts w:hint="eastAsia" w:ascii="Times New Roman" w:hAnsi="Times New Roman" w:eastAsia="方正小标宋简体" w:cs="Times New Roman"/>
          <w:b w:val="0"/>
          <w:bCs/>
          <w:color w:val="000000" w:themeColor="text1"/>
          <w:spacing w:val="0"/>
          <w:sz w:val="44"/>
          <w:szCs w:val="44"/>
          <w:highlight w:val="none"/>
          <w:shd w:val="clear" w:color="auto" w:fill="FFFFFF"/>
          <w:lang w:eastAsia="zh-CN"/>
          <w14:textFill>
            <w14:solidFill>
              <w14:schemeClr w14:val="tx1"/>
            </w14:solidFill>
          </w14:textFill>
        </w:rPr>
      </w:pPr>
      <w:r>
        <w:rPr>
          <w:rStyle w:val="9"/>
          <w:rFonts w:hint="eastAsia" w:ascii="楷体" w:hAnsi="楷体" w:eastAsia="楷体" w:cs="楷体"/>
          <w:b w:val="0"/>
          <w:bCs/>
          <w:color w:val="000000" w:themeColor="text1"/>
          <w:spacing w:val="0"/>
          <w:sz w:val="32"/>
          <w:szCs w:val="32"/>
          <w:highlight w:val="none"/>
          <w:shd w:val="clear" w:color="auto" w:fill="FFFFFF"/>
          <w:lang w:eastAsia="zh-CN"/>
          <w14:textFill>
            <w14:solidFill>
              <w14:schemeClr w14:val="tx1"/>
            </w14:solidFill>
          </w14:textFill>
        </w:rPr>
        <w:t>（征求意见稿）</w:t>
      </w:r>
      <w:bookmarkStart w:id="0" w:name="_GoBack"/>
      <w:bookmarkEnd w:id="0"/>
    </w:p>
    <w:p>
      <w:pPr>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cs="Times New Roman"/>
          <w:color w:val="000000" w:themeColor="text1"/>
          <w:highlight w:val="none"/>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为贯彻落实</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《国务院办公厅印发关于加快</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内外贸一体化发展</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的</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若干措施</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的通知</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（国办发〔</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2023</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42号</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《河南省促进内外贸一体化发展若干措施》</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（豫政办〔</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2024</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36号</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结合我市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实际，推动内外贸一体化发展，制定如下</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措施</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一、推进规则衔接，筑牢一体化制度基础</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themeColor="text1"/>
          <w:spacing w:val="0"/>
          <w:sz w:val="32"/>
          <w:szCs w:val="32"/>
          <w:highlight w:val="none"/>
          <w:shd w:val="clear" w:color="auto" w:fill="FFFFFF"/>
          <w:lang w:val="en-US"/>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（一）</w:t>
      </w:r>
      <w:r>
        <w:rPr>
          <w:rFonts w:hint="default" w:ascii="Times New Roman" w:hAnsi="Times New Roman" w:eastAsia="楷体_GB2312" w:cs="Times New Roman"/>
          <w:color w:val="000000" w:themeColor="text1"/>
          <w:spacing w:val="0"/>
          <w:sz w:val="32"/>
          <w:szCs w:val="32"/>
          <w:highlight w:val="none"/>
          <w:shd w:val="clear" w:color="auto" w:fill="FFFFFF"/>
          <w14:textFill>
            <w14:solidFill>
              <w14:schemeClr w14:val="tx1"/>
            </w14:solidFill>
          </w14:textFill>
        </w:rPr>
        <w:t>强化标准国际化适配。</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拓展“标准动态雷达”服务场景，实时监测行业</w:t>
      </w:r>
      <w:r>
        <w:rPr>
          <w:rFonts w:hint="eastAsia" w:ascii="仿宋_GB2312" w:hAnsi="仿宋_GB2312" w:eastAsia="仿宋_GB2312" w:cs="仿宋_GB2312"/>
          <w:color w:val="000000" w:themeColor="text1"/>
          <w:spacing w:val="0"/>
          <w:sz w:val="32"/>
          <w:szCs w:val="32"/>
          <w:highlight w:val="none"/>
          <w:shd w:val="clear" w:color="auto" w:fill="FFFFFF"/>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国家</w:t>
      </w:r>
      <w:r>
        <w:rPr>
          <w:rFonts w:hint="eastAsia" w:ascii="仿宋_GB2312" w:hAnsi="仿宋_GB2312" w:eastAsia="仿宋_GB2312" w:cs="仿宋_GB2312"/>
          <w:color w:val="000000" w:themeColor="text1"/>
          <w:spacing w:val="0"/>
          <w:sz w:val="32"/>
          <w:szCs w:val="32"/>
          <w:highlight w:val="none"/>
          <w:shd w:val="clear" w:color="auto" w:fill="FFFFFF"/>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国际标准的新增、修订、废止进行实时监测，紧盯我市重点产业链核心标准，第一时间掌握，第一时间推送，引领企业第一时间适配新标准。针对“一带一路”沿线国家、RCEP成员国等重点市场，在为企业提供“一对一”国际标准查询的基础上，做好跨境合规标准适配指引服务，引导我市企业参与国际、国家、行业标准的研究和制定，实现焦作标准“走出去”，提升影响力和话语权。</w:t>
      </w:r>
      <w:r>
        <w:rPr>
          <w:rFonts w:hint="eastAsia" w:ascii="仿宋_GB2312" w:hAnsi="仿宋_GB2312" w:eastAsia="仿宋_GB2312" w:cs="仿宋_GB2312"/>
          <w:color w:val="auto"/>
          <w:sz w:val="32"/>
          <w:szCs w:val="32"/>
          <w:lang w:eastAsia="zh-CN"/>
        </w:rPr>
        <w:t>促进数字经济企业拓展内外贸业务，服务我市数字经济企业适配“全国</w:t>
      </w:r>
      <w:r>
        <w:rPr>
          <w:rFonts w:hint="eastAsia" w:ascii="仿宋_GB2312" w:hAnsi="仿宋_GB2312" w:eastAsia="仿宋_GB2312" w:cs="仿宋_GB2312"/>
          <w:color w:val="auto"/>
          <w:sz w:val="32"/>
          <w:szCs w:val="32"/>
          <w:lang w:val="en-US" w:eastAsia="zh-CN"/>
        </w:rPr>
        <w:t>+专项+国际</w:t>
      </w:r>
      <w:r>
        <w:rPr>
          <w:rFonts w:hint="eastAsia" w:ascii="仿宋_GB2312" w:hAnsi="仿宋_GB2312" w:eastAsia="仿宋_GB2312" w:cs="仿宋_GB2312"/>
          <w:color w:val="auto"/>
          <w:sz w:val="32"/>
          <w:szCs w:val="32"/>
          <w:lang w:eastAsia="zh-CN"/>
        </w:rPr>
        <w:t>”规则，做大智能制造、数据服务、电商云仓、智慧城市等核心产业规模。</w:t>
      </w:r>
      <w:r>
        <w:rPr>
          <w:rFonts w:hint="eastAsia" w:ascii="仿宋_GB2312" w:hAnsi="仿宋_GB2312" w:eastAsia="仿宋_GB2312" w:cs="仿宋_GB2312"/>
          <w:sz w:val="32"/>
          <w:szCs w:val="32"/>
          <w:lang w:val="en-US" w:eastAsia="zh-CN"/>
        </w:rPr>
        <w:t>推进市场化、法治化、国际化一流营商环境建设。</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、市商务局，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（二）优化检验</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检测</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认证服务。</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全市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检验检测认证机构提供“一站式”服务，</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设立“一站式服务窗口”，做到企业一次性提交资料，实现“检测、认证、报告、标准、合规、整改”全流程办结。</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扩大第三方检验检测结果采信范围</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对接认证机构</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，拓宽</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强制性产</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品</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3</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C认证绿色通道，为出口转内销企业提供压缩办证时间、合理减免费用等便利。引导农业企业申报</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农产品地理标志</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绿色食品</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认证</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、有机农产品</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认证</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等境内外认证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，加强</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绿色食品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年检和</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有机农产品</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认证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活动监管，提升我市内外贸农产品安全质量水平</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。（责任单位：市市场监管局、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农业农村局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pPr>
      <w:r>
        <w:rPr>
          <w:rFonts w:hint="default" w:ascii="Times New Roman" w:hAnsi="Times New Roman" w:eastAsia="楷体_GB2312" w:cs="Times New Roman"/>
          <w:color w:val="000000" w:themeColor="text1"/>
          <w:spacing w:val="0"/>
          <w:kern w:val="0"/>
          <w:sz w:val="32"/>
          <w:szCs w:val="32"/>
          <w:highlight w:val="none"/>
          <w:shd w:val="clear" w:color="auto" w:fill="FFFFFF"/>
          <w:lang w:val="en-US" w:eastAsia="zh-CN" w:bidi="ar"/>
          <w14:textFill>
            <w14:solidFill>
              <w14:schemeClr w14:val="tx1"/>
            </w14:solidFill>
          </w14:textFill>
        </w:rPr>
        <w:t>（</w:t>
      </w:r>
      <w:r>
        <w:rPr>
          <w:rFonts w:hint="eastAsia" w:ascii="Times New Roman" w:hAnsi="Times New Roman" w:eastAsia="楷体_GB2312" w:cs="Times New Roman"/>
          <w:color w:val="000000" w:themeColor="text1"/>
          <w:spacing w:val="0"/>
          <w:kern w:val="0"/>
          <w:sz w:val="32"/>
          <w:szCs w:val="32"/>
          <w:highlight w:val="none"/>
          <w:shd w:val="clear" w:color="auto" w:fill="FFFFFF"/>
          <w:lang w:val="en-US" w:eastAsia="zh-CN" w:bidi="ar"/>
          <w14:textFill>
            <w14:solidFill>
              <w14:schemeClr w14:val="tx1"/>
            </w14:solidFill>
          </w14:textFill>
        </w:rPr>
        <w:t>三</w:t>
      </w:r>
      <w:r>
        <w:rPr>
          <w:rFonts w:hint="default" w:ascii="Times New Roman" w:hAnsi="Times New Roman" w:eastAsia="楷体_GB2312" w:cs="Times New Roman"/>
          <w:color w:val="000000" w:themeColor="text1"/>
          <w:spacing w:val="0"/>
          <w:kern w:val="0"/>
          <w:sz w:val="32"/>
          <w:szCs w:val="32"/>
          <w:highlight w:val="none"/>
          <w:shd w:val="clear" w:color="auto" w:fill="FFFFFF"/>
          <w:lang w:val="en-US" w:eastAsia="zh-CN" w:bidi="ar"/>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完善</w:t>
      </w:r>
      <w:r>
        <w:rPr>
          <w:rFonts w:hint="default" w:ascii="Times New Roman" w:hAnsi="Times New Roman" w:eastAsia="楷体_GB2312" w:cs="Times New Roman"/>
          <w:color w:val="000000" w:themeColor="text1"/>
          <w:spacing w:val="0"/>
          <w:kern w:val="0"/>
          <w:sz w:val="32"/>
          <w:szCs w:val="32"/>
          <w:highlight w:val="none"/>
          <w:shd w:val="clear" w:color="auto" w:fill="FFFFFF"/>
          <w:lang w:val="en-US" w:eastAsia="zh-CN" w:bidi="ar"/>
          <w14:textFill>
            <w14:solidFill>
              <w14:schemeClr w14:val="tx1"/>
            </w14:solidFill>
          </w14:textFill>
        </w:rPr>
        <w:t>监管</w:t>
      </w:r>
      <w:r>
        <w:rPr>
          <w:rFonts w:hint="eastAsia" w:ascii="Times New Roman" w:hAnsi="Times New Roman" w:eastAsia="楷体_GB2312" w:cs="Times New Roman"/>
          <w:color w:val="000000" w:themeColor="text1"/>
          <w:spacing w:val="0"/>
          <w:kern w:val="0"/>
          <w:sz w:val="32"/>
          <w:szCs w:val="32"/>
          <w:highlight w:val="none"/>
          <w:shd w:val="clear" w:color="auto" w:fill="FFFFFF"/>
          <w:lang w:val="en-US" w:eastAsia="zh-CN" w:bidi="ar"/>
          <w14:textFill>
            <w14:solidFill>
              <w14:schemeClr w14:val="tx1"/>
            </w14:solidFill>
          </w14:textFill>
        </w:rPr>
        <w:t>体制</w:t>
      </w:r>
      <w:r>
        <w:rPr>
          <w:rFonts w:hint="default" w:ascii="Times New Roman" w:hAnsi="Times New Roman" w:eastAsia="楷体_GB2312" w:cs="Times New Roman"/>
          <w:color w:val="000000" w:themeColor="text1"/>
          <w:spacing w:val="0"/>
          <w:kern w:val="0"/>
          <w:sz w:val="32"/>
          <w:szCs w:val="32"/>
          <w:highlight w:val="none"/>
          <w:shd w:val="clear" w:color="auto" w:fill="FFFFFF"/>
          <w:lang w:val="en-US" w:eastAsia="zh-CN" w:bidi="ar"/>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严格执行《市场准入负面清单（2025年版）》，常态化开展市场准入壁垒清理整治，全面落实“非禁即入”。</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强化公平竞争审查</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，健全会审机制和监督抽查制度，破除地方保护、行业垄断</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、市场分割</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等</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不公平做法和</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隐性壁垒，保障内外贸资源要素顺畅流动</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，促进内外贸企业公平竞争。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加强短缺药品监测，依托国家短缺药品信息直报系统，督促指导各县（市、区）、各级医疗机构规范报送信息</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分级核实</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和</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应对处置药品短缺。完善储备药品紧急使用制度，落实医疗器械紧急使用制度，优化采购路径，允许医疗机构自主备案采购，畅通药品、医疗器械等商品在发生自然灾害、公共卫生事件等突发情况下快速进入国内市场渠道。（责任单位：</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市发展改革委</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市商务局、市</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卫生健康委、</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市工信局</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四</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）推进“三同”产品提质扩面。</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依托</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河南省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内外贸产品‘</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三同</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’（同线同标同质）服务</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平台</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，加强政策宣传引导，优先在</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食品、农产品、调味品、肉制品、怀药</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皮革</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等领域，</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发展“三同”产品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鼓励企业通过自我声明或</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委托</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第三方</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机构进行</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认证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。组织</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“三同”产品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对接</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商超、</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电商</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平台、展会</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、社区等，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推动“三同”产品</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进万家。</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加强企业和产品信息推介，扩大市场占有率。（责任单位：市市场监管局、市商务局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市农业农村局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二、拓展市场渠道，激活一体化发展动能</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（五）</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推动外贸企业开拓国内市场</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。推动外贸企业与电商平台通过产品联合开发、订单直采等方式开展</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深度合作。</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编印焦作市第二批外贸优品名录，</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开展“外贸优品中华行”活动，</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推动</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皮毛制品、陶瓷、食品等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外贸</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优</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品进电商平台、进商场超市、进商圈步行街、进工厂折扣店、进商品交易市场。（责任单位：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商务</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局，各县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（六）推动内贸企业开拓国际市场。</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持续实施“百企百展”行动，提升我市产品全球曝光度。全方位培优培育新主体，稳定龙头企业、培育中小微企业、扶持成长型企业，夯实外贸发展根基。</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坚持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以市场需求为导向，优化产品结构，推动高附加值、高技术含量、绿色低碳产品出口，提升产品核心竞争力。积极顺应外贸发展新趋势，推动外贸模式创新，重点发展跨境电商等新业态新模式，打造外贸增长新引擎。</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提升通关便利化水平</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优化“提前报+随时查+当场放+云签发”通关模式，压缩农食产品、中药材等特色商品出口通关时间。扩大“AEO+经核准出口商”培育覆盖面，推动更多企业自主声明享受原产地优惠政策。（责任单位：市商务局、焦作海关</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（七）</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发挥</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展会</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联结内外作用</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组织和引导外贸企业参加广交会、消博会、服贸会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、河南省投洽会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等展会，打通国内市场。支持举办区域性特色品牌展会，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利用</w:t>
      </w:r>
      <w:r>
        <w:rPr>
          <w:rFonts w:hint="eastAsia"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我</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市“一赛一节”</w:t>
      </w:r>
      <w:r>
        <w:rPr>
          <w:rFonts w:hint="eastAsia"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活动</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，对外展示</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我市“四大怀药”、绿色食品、陶瓷等优势和特色商品，</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提升</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焦作特色产品知名度。（责任单位：市商务局、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14:textFill>
            <w14:solidFill>
              <w14:schemeClr w14:val="tx1"/>
            </w14:solidFill>
          </w14:textFill>
        </w:rPr>
      </w:pPr>
      <w:r>
        <w:rPr>
          <w:rStyle w:val="9"/>
          <w:rFonts w:hint="eastAsia"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三</w:t>
      </w:r>
      <w:r>
        <w:rPr>
          <w:rStyle w:val="9"/>
          <w:rFonts w:hint="default" w:ascii="Times New Roman" w:hAnsi="Times New Roman" w:eastAsia="黑体" w:cs="Times New Roman"/>
          <w:b w:val="0"/>
          <w:bCs/>
          <w:color w:val="000000" w:themeColor="text1"/>
          <w:spacing w:val="0"/>
          <w:sz w:val="32"/>
          <w:szCs w:val="32"/>
          <w:highlight w:val="none"/>
          <w:shd w:val="clear" w:color="auto" w:fill="FFFFFF"/>
          <w14:textFill>
            <w14:solidFill>
              <w14:schemeClr w14:val="tx1"/>
            </w14:solidFill>
          </w14:textFill>
        </w:rPr>
        <w:t>、</w:t>
      </w: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实施提升工程</w:t>
      </w:r>
      <w:r>
        <w:rPr>
          <w:rStyle w:val="9"/>
          <w:rFonts w:hint="default" w:ascii="Times New Roman" w:hAnsi="Times New Roman" w:eastAsia="黑体" w:cs="Times New Roman"/>
          <w:b w:val="0"/>
          <w:bCs/>
          <w:color w:val="000000" w:themeColor="text1"/>
          <w:spacing w:val="0"/>
          <w:sz w:val="32"/>
          <w:szCs w:val="32"/>
          <w:highlight w:val="none"/>
          <w:shd w:val="clear" w:color="auto" w:fill="FFFFFF"/>
          <w:lang w:val="en-US" w:eastAsia="zh-CN"/>
          <w14:textFill>
            <w14:solidFill>
              <w14:schemeClr w14:val="tx1"/>
            </w14:solidFill>
          </w14:textFill>
        </w:rPr>
        <w:t>，优化一体化发展环境</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八</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建设内外贸一体化示范载体。</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发挥河南自贸试验区焦作联动创新区制度创新先行先试作用，复制推广自贸区创新成果，开展自贸区联动创新区提升行动，探索实施符合焦作实际的改革创新举措</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支持温县、孟州</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市、沁阳市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等产业基础较好的县（市），围绕特色产业</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形成一批</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内外贸一体化典型案例。（责任单位：市商务局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九</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）加强知识产权保护和服务。</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聚焦重点产业和关键领域，</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持续强化专利侵权纠纷行政裁决的案件办理，始终保持知识产权侵权行为高压严打态势，严厉打击商标、专利等领域违法行为。</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围绕重点领域、重点产品开展打击侵权假冒专项行动。</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健全商标品牌培育体系，推进商标品牌指导站建设，支持企业打造国际自主品牌。（责任单位：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w:t>
      </w:r>
    </w:p>
    <w:p>
      <w:pPr>
        <w:pStyle w:val="6"/>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健全内外贸信用体系。</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依托</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信</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用信息共享平台，推动内外贸企业信用信息归集共享，鼓励企业使用信用报告、保险等工具防范风险。</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在食品药品、知识产权、企业生产等重点领域完善信用评价机制，推进各领域运用公共信用综合评价结果开展信用分级分类监管。</w:t>
      </w:r>
      <w:r>
        <w:rPr>
          <w:rFonts w:hint="eastAsia" w:ascii="Times New Roman" w:hAnsi="Times New Roman" w:eastAsia="仿宋_GB2312" w:cs="Times New Roman"/>
          <w:strike w:val="0"/>
          <w:dstrike w:val="0"/>
          <w:color w:val="000000" w:themeColor="text1"/>
          <w:spacing w:val="0"/>
          <w:sz w:val="32"/>
          <w:szCs w:val="32"/>
          <w:highlight w:val="none"/>
          <w:shd w:val="clear" w:color="auto" w:fill="FFFFFF"/>
          <w:lang w:val="en-US" w:eastAsia="zh-CN"/>
          <w14:textFill>
            <w14:solidFill>
              <w14:schemeClr w14:val="tx1"/>
            </w14:solidFill>
          </w14:textFill>
        </w:rPr>
        <w:t>开展“减证便民”行动，运用市场主体专项信用报告代替无违法违规记录证明。</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全面推行信用修复高效办成一件事和跨省信用协同修复，助力企业重塑信用。同步构建失信预警机制，引导企业主动维护自身信用。</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高质量建设商务信用体系，举办诚信兴商宣传活动。（责任单位：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市发展改革委</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、市市场</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监管局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商务局</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一</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）强化人才培育和引进。</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健全终身职业技能培训制度，举办职业技能竞赛，</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及时将新标准、新技术、新工艺、新模式等融入专业人才培养方案，</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为企业培养实用型、技能型人才。</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提升职业学校关键办学能力</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，推进</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高等职业教育“双高”工程和中等职业教育“双优”工程建设，</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加大</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内外贸相关专业建设</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力度</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，提升人才培养质量。</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征集企业</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紧缺</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人才需求，引进产业急需的技术专家和管理人才。加强与高校、科研院所战略合作，通过项目合作、</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协同攻关</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等方</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式集聚高端创新资源，为产业升级提供人才支撑。</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（责任单位：市教育局、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人力资源社会保障局</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科技局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eastAsia"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四</w:t>
      </w: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、培育产业集群，强化一体化发展根基</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top"/>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十二</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）打造特色产业集群。</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围绕“3+13+N”重点产业链群体系，</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以新材料、绿色食品、高端装备及汽车零部件三</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大千亿级产业集群为核心，聚焦新能源电池材料、新式茶饮</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速食调味料</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汽车总成等优势领域</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培育具有国际竞争力的标志产品，推动产业内外贸融合高质量发展</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通过“定向委托”“揭榜挂帅”模式，针对第三代半导体、高端装备智能控制等关键技术，以及智慧农业、智能物流等场景应用开展重点攻关</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支持国家级、省级外贸转型升级基地提质增效，依托产业创新联合体、工业设计中心等公共服务平台完善研发、检测、物流等配套服务，培育产业链供应链完整的线上线下融合商品市场，引导企业布局海外研发与品牌营销网络，反哺国内产业链升级。（责任单位：市工信局、市科技局、市商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十三</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）强化创新平台支撑。</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持续推进省级高新区培育创建，深化产学研协同创新</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支持创新龙头或重点骨干企业申请组建创新联合体</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。瞄准关键配套、前沿技术项目，加强与高校科研院所和高端创新资源的深入对接，</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努力推进最新科技创新成果在焦转化。</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（责任单位：市科技局、市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发展改革委</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、市工信局）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四</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）加大市场基础建设力度。</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聚焦完善商业基础设施、畅通双向流通渠道，持续推进县域商业体系建设，健全工作推进与协同联动机制。重点支持县乡村三级商业网络提质升级，推动乡镇商贸中心功能完善、村级便民服务点“一点多能”建设。加大农产品初加工项目扶持力度，提升农产品商品化处理能力。整合物流资源，推进电商与快递进一步深度融合，高效畅通</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工业品下乡、农产品</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上行”</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双向渠道。</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商务</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五</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）培育</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内外贸一体化</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焦作品牌。</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围绕我市制造业、农业、商贸与服务等领域，开展内外贸一体化品牌提升行动。</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引</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导外贸企业</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和加工贸易企业，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从贴牌、代加工生产向研发设计、自有品牌、收购知名品牌等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多元经营转型</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，提高自主品牌产品出口比重。</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实</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施农产品“三品一标”行动，持续培育绿色食品、有机农产品、地理标志产品，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不断壮大我市区域公用品牌、企业品牌和农产品品牌体系</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。支持企业积极开展产品认证、商标注册、专利申请和体系认证，提高产品质量和附加值。（责任单位：</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市场监管局、市农业农村局、</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市工信局、</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市商务局）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五、完善保障措施，夯实一体化支撑体系</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六</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落实</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财政支持</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政策</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积极协助企业申报开拓国际市场、境外专利申请、产品认证、商标注册、体系认证、出口信保等政策性资金，助力企业拓展国内外市场空间</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。争取上级</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专项资金重点投向内外贸一体化试点、冷链物流与供应链建设领域。积极争取省级财政政策及资金支持，主动对接省商务厅高品质商业街、商圈培育相关工作要求，推动本地符合条件的商业街、商圈纳入省级重点培育名单，争取</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政策性补助</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资金，专项用于支持环境设施提升、业态调整</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升级</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、智慧化建设、规范化管理等</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建设</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项目，</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着力</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拓宽内外贸消费场景。</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积极争取地方政府专项债券资金，支持区域物流枢纽等基础设施建设，畅通内外贸商品集散运输。</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（责任单位：</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市财政局、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市商务局</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发展改革委)</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七</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）发挥信用保险作用。</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组织辖区外贸企业积极投保信用保险，争取出口信保补贴。组织各保险机构要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扩大出口信用保险覆盖面，</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积极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开展国内贸易信用保险业务，加强出口信用保险和国内贸易信用保险协同。保险机构</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在风险可控前提下按照内外贸一体化需求</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创新国内贸易信用险等险种，加大保障力度和扩大保障范围，提升保险服务水平。扩大政策性出口信用保险承保规模，探索通过共保、再保等形式提升国内贸易信用保险承保能力。（责任单位：</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商务局、</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市政府办公室、市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金融监管局、</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国家外汇管理局焦作市分局，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政府、高新区管委会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w:t>
      </w:r>
      <w:r>
        <w:rPr>
          <w:rFonts w:hint="eastAsia"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八</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）加大金融支持力度。</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组织辖区内外贸企业在河南省中小企业融资云平台注册，加强信用信息共享应用。组织银行业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金融</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机构</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靠前服务，深化“一企一策”，</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实现我</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市有进出口实绩的外贸企业全覆盖，加大信贷供给</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，实现</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融资支持更加有力、业务品种更加丰富、融资成本更加合理。</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银行业金融机构要依托应收账款、存货、仓单、订单、保单等提供金融产品和服务，规范发展供应链金融。</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扩大支持领域，将外贸、民营、科技型企业和退役军人创业主体纳入小微企业融资协调机制支持范畴</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。银行业金融机构要开展跨境融资便利化政策宣讲，实现科创企业“境外借钱”便利化。</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（责任单位：</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市发展改革委、市商务局、焦作金融监管分局、国家外汇管理局焦作市分局，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区</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）人民</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政府</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、高新区管委会）</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建设全国统一大市场，是党中央作出的重大决策。推动内外贸一体化发展是纵深推进全国统一大市场建设的内在要求。</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各县</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区政府、高新区管委会</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和各有关部门要坚决贯彻落实党中央、国务院决策部署，按照任务要求主动研究具体的落实举措，大力推动我市内外贸一体化发展取得实效。市商务局要发挥牵头作用，会同有关部门及时总结整体推进情况，研判存在问题和对策。相关</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责任单位</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每半年总结一次政策措施落实情况报市商务局。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after="0" w:afterAutospacing="0" w:line="560" w:lineRule="exact"/>
        <w:ind w:firstLine="640" w:firstLineChars="200"/>
        <w:textAlignment w:val="top"/>
        <w:rPr>
          <w:rFonts w:hint="default" w:ascii="Times New Roman" w:hAnsi="Times New Roman" w:eastAsia="宋体" w:cs="Times New Roman"/>
          <w:color w:val="000000" w:themeColor="text1"/>
          <w:spacing w:val="0"/>
          <w:sz w:val="32"/>
          <w:szCs w:val="32"/>
          <w:highlight w:val="none"/>
          <w:shd w:val="clear" w:color="auto" w:fill="FFFFFF"/>
          <w:lang w:val="en-US" w:eastAsia="zh-CN"/>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top"/>
        <w:rPr>
          <w:rFonts w:hint="default" w:ascii="Times New Roman" w:hAnsi="Times New Roman" w:eastAsia="仿宋_GB2312" w:cs="Times New Roman"/>
          <w:color w:val="000000" w:themeColor="text1"/>
          <w:spacing w:val="0"/>
          <w:sz w:val="32"/>
          <w:szCs w:val="32"/>
          <w:highlight w:val="yellow"/>
          <w:shd w:val="clear" w:color="auto" w:fill="FFFFFF"/>
          <w:lang w:val="en-US" w:eastAsia="zh-CN"/>
          <w14:textFill>
            <w14:solidFill>
              <w14:schemeClr w14:val="tx1"/>
            </w14:solidFill>
          </w14:textFill>
        </w:rPr>
      </w:pPr>
    </w:p>
    <w:sectPr>
      <w:footerReference r:id="rId3" w:type="default"/>
      <w:pgSz w:w="11906" w:h="16838"/>
      <w:pgMar w:top="2098" w:right="1474" w:bottom="1984"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3F8B29"/>
    <w:rsid w:val="0FFD6236"/>
    <w:rsid w:val="1B77E1A5"/>
    <w:rsid w:val="1DFC7195"/>
    <w:rsid w:val="1F7F6613"/>
    <w:rsid w:val="27BF62A3"/>
    <w:rsid w:val="2C5D9D77"/>
    <w:rsid w:val="2FFF4063"/>
    <w:rsid w:val="35FFCE84"/>
    <w:rsid w:val="37B79FA1"/>
    <w:rsid w:val="3B564360"/>
    <w:rsid w:val="3BED0ACF"/>
    <w:rsid w:val="3BF7B7B6"/>
    <w:rsid w:val="3DC34045"/>
    <w:rsid w:val="3DFD7930"/>
    <w:rsid w:val="3FD37838"/>
    <w:rsid w:val="47D3B91C"/>
    <w:rsid w:val="47FF11DA"/>
    <w:rsid w:val="4EF78F1D"/>
    <w:rsid w:val="4F618407"/>
    <w:rsid w:val="4FCE5066"/>
    <w:rsid w:val="4FFA3539"/>
    <w:rsid w:val="55173AEC"/>
    <w:rsid w:val="57FFB36B"/>
    <w:rsid w:val="5B7F1C7A"/>
    <w:rsid w:val="5BDF2439"/>
    <w:rsid w:val="5BFD12A7"/>
    <w:rsid w:val="5C8F7447"/>
    <w:rsid w:val="5DF6ED0F"/>
    <w:rsid w:val="5EE7EB4D"/>
    <w:rsid w:val="5FD06238"/>
    <w:rsid w:val="5FEB881F"/>
    <w:rsid w:val="5FEDFA3F"/>
    <w:rsid w:val="5FF7C0D5"/>
    <w:rsid w:val="639F608E"/>
    <w:rsid w:val="6AEFEFF8"/>
    <w:rsid w:val="6BDB5080"/>
    <w:rsid w:val="6DFF4587"/>
    <w:rsid w:val="6EDF4512"/>
    <w:rsid w:val="6EF3D656"/>
    <w:rsid w:val="6EFD3C9A"/>
    <w:rsid w:val="6FBF3E85"/>
    <w:rsid w:val="6FFEF612"/>
    <w:rsid w:val="73F5E95E"/>
    <w:rsid w:val="73FBE810"/>
    <w:rsid w:val="74FFE20A"/>
    <w:rsid w:val="75971C94"/>
    <w:rsid w:val="773765E9"/>
    <w:rsid w:val="77BA00F8"/>
    <w:rsid w:val="794F3CDD"/>
    <w:rsid w:val="7953F4DA"/>
    <w:rsid w:val="79BC443A"/>
    <w:rsid w:val="79D1E906"/>
    <w:rsid w:val="7B5EC211"/>
    <w:rsid w:val="7B876316"/>
    <w:rsid w:val="7BA614F8"/>
    <w:rsid w:val="7BFBF3A3"/>
    <w:rsid w:val="7CB72CB9"/>
    <w:rsid w:val="7D57A057"/>
    <w:rsid w:val="7D67853D"/>
    <w:rsid w:val="7D79FDE2"/>
    <w:rsid w:val="7D7F7695"/>
    <w:rsid w:val="7DBB0AE6"/>
    <w:rsid w:val="7DBF2F3F"/>
    <w:rsid w:val="7DED9347"/>
    <w:rsid w:val="7E7B59D9"/>
    <w:rsid w:val="7F6E168E"/>
    <w:rsid w:val="7FA6A62E"/>
    <w:rsid w:val="7FADC69A"/>
    <w:rsid w:val="7FBD199F"/>
    <w:rsid w:val="7FBDBDC0"/>
    <w:rsid w:val="7FBE9BC5"/>
    <w:rsid w:val="7FE78FEE"/>
    <w:rsid w:val="7FEC1253"/>
    <w:rsid w:val="7FEF2626"/>
    <w:rsid w:val="7FFF3C5E"/>
    <w:rsid w:val="7FFF4131"/>
    <w:rsid w:val="84B38DD2"/>
    <w:rsid w:val="8F5F5413"/>
    <w:rsid w:val="96DB8AE5"/>
    <w:rsid w:val="9DFF4F39"/>
    <w:rsid w:val="AEFB1A1E"/>
    <w:rsid w:val="AEFCB488"/>
    <w:rsid w:val="AF5F9C5B"/>
    <w:rsid w:val="AF774B6A"/>
    <w:rsid w:val="AFE78135"/>
    <w:rsid w:val="B5E4889E"/>
    <w:rsid w:val="B9FF8FDD"/>
    <w:rsid w:val="BABF5BCC"/>
    <w:rsid w:val="BCFF584B"/>
    <w:rsid w:val="BD93CF60"/>
    <w:rsid w:val="BDB221EB"/>
    <w:rsid w:val="BDBF6ADD"/>
    <w:rsid w:val="BDCF2578"/>
    <w:rsid w:val="BF7F4DDC"/>
    <w:rsid w:val="BFAB5927"/>
    <w:rsid w:val="C2FB1462"/>
    <w:rsid w:val="D4DAB13A"/>
    <w:rsid w:val="D5FC7137"/>
    <w:rsid w:val="D97CEE81"/>
    <w:rsid w:val="DBAEB526"/>
    <w:rsid w:val="DF5653AA"/>
    <w:rsid w:val="DF58B7BF"/>
    <w:rsid w:val="DF7F7277"/>
    <w:rsid w:val="DF8F0AFA"/>
    <w:rsid w:val="DFF793F8"/>
    <w:rsid w:val="DFFF24E3"/>
    <w:rsid w:val="DFFF6DF1"/>
    <w:rsid w:val="DFFF71D9"/>
    <w:rsid w:val="E5B7A7B2"/>
    <w:rsid w:val="E7BFD06D"/>
    <w:rsid w:val="E7FE1473"/>
    <w:rsid w:val="EAEED651"/>
    <w:rsid w:val="EC77B627"/>
    <w:rsid w:val="ECBE6DE9"/>
    <w:rsid w:val="ED6B419A"/>
    <w:rsid w:val="EDFF0A17"/>
    <w:rsid w:val="EE0729D0"/>
    <w:rsid w:val="EEFD696C"/>
    <w:rsid w:val="EF772535"/>
    <w:rsid w:val="EF7D5976"/>
    <w:rsid w:val="F2B7C5A9"/>
    <w:rsid w:val="F329C622"/>
    <w:rsid w:val="F5FE933D"/>
    <w:rsid w:val="F64F2D9F"/>
    <w:rsid w:val="F8FEB97F"/>
    <w:rsid w:val="F97EE8F3"/>
    <w:rsid w:val="FAF6D6CE"/>
    <w:rsid w:val="FBBB39BA"/>
    <w:rsid w:val="FBF6A864"/>
    <w:rsid w:val="FBF75D5B"/>
    <w:rsid w:val="FBF79472"/>
    <w:rsid w:val="FBF8EDFC"/>
    <w:rsid w:val="FBFC2994"/>
    <w:rsid w:val="FC3CE37A"/>
    <w:rsid w:val="FD1C60B8"/>
    <w:rsid w:val="FDF7B5B7"/>
    <w:rsid w:val="FDFB1A15"/>
    <w:rsid w:val="FE3E529F"/>
    <w:rsid w:val="FE3F03BA"/>
    <w:rsid w:val="FEA6D19F"/>
    <w:rsid w:val="FEBF4F46"/>
    <w:rsid w:val="FED20F75"/>
    <w:rsid w:val="FEE64CA1"/>
    <w:rsid w:val="FF3B1F02"/>
    <w:rsid w:val="FF3C576B"/>
    <w:rsid w:val="FF3D6301"/>
    <w:rsid w:val="FF3F8B29"/>
    <w:rsid w:val="FF4D0383"/>
    <w:rsid w:val="FF9178A6"/>
    <w:rsid w:val="FF9F36EF"/>
    <w:rsid w:val="FFB7DF14"/>
    <w:rsid w:val="FFBDE616"/>
    <w:rsid w:val="FFBE4777"/>
    <w:rsid w:val="FFF66371"/>
    <w:rsid w:val="FFFF2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2026-02-09T02:14:00Z</dcterms:created>
  <dc:creator>uos</dc:creator>
  <cp:lastModifiedBy>uos</cp:lastModifiedBy>
  <cp:lastPrinted>2026-03-06T17:28:00Z</cp:lastPrinted>
  <dcterms:modified xsi:type="dcterms:W3CDTF">2026-03-13T15:27:45Z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97155D632A7CDC54F1FAA769BA47C11A</vt:lpwstr>
  </property>
</Properties>
</file>