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EC78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rPr>
        <w:t>焦作市</w:t>
      </w:r>
      <w:r>
        <w:rPr>
          <w:rFonts w:hint="eastAsia" w:ascii="方正小标宋简体" w:hAnsi="方正小标宋简体" w:eastAsia="方正小标宋简体" w:cs="方正小标宋简体"/>
          <w:sz w:val="44"/>
          <w:szCs w:val="44"/>
          <w:highlight w:val="none"/>
          <w:lang w:val="en-US" w:eastAsia="zh-CN"/>
        </w:rPr>
        <w:t>动物疫病防控与畜牧发展中心</w:t>
      </w:r>
    </w:p>
    <w:p w14:paraId="495D29B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Arial Unicode MS" w:cs="Times New Roman"/>
          <w:sz w:val="44"/>
          <w:szCs w:val="44"/>
          <w:highlight w:val="none"/>
        </w:rPr>
      </w:pPr>
      <w:r>
        <w:rPr>
          <w:rFonts w:hint="eastAsia" w:ascii="方正小标宋简体" w:hAnsi="方正小标宋简体" w:eastAsia="方正小标宋简体" w:cs="方正小标宋简体"/>
          <w:sz w:val="44"/>
          <w:szCs w:val="44"/>
          <w:highlight w:val="none"/>
          <w:lang w:val="en-US" w:eastAsia="zh-CN"/>
        </w:rPr>
        <w:t>水产品样品前处理一体机、氮吹仪及氮气发生器</w:t>
      </w:r>
      <w:r>
        <w:rPr>
          <w:rFonts w:hint="eastAsia" w:ascii="方正小标宋简体" w:hAnsi="方正小标宋简体" w:eastAsia="方正小标宋简体" w:cs="方正小标宋简体"/>
          <w:sz w:val="44"/>
          <w:szCs w:val="44"/>
          <w:highlight w:val="none"/>
        </w:rPr>
        <w:t>采购询价公告</w:t>
      </w:r>
    </w:p>
    <w:p w14:paraId="11203A9B">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宋体" w:cs="Times New Roman"/>
          <w:sz w:val="32"/>
          <w:szCs w:val="32"/>
          <w:highlight w:val="none"/>
        </w:rPr>
      </w:pPr>
    </w:p>
    <w:p w14:paraId="45CC5E5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为</w:t>
      </w:r>
      <w:r>
        <w:rPr>
          <w:rFonts w:hint="eastAsia" w:ascii="Times New Roman" w:hAnsi="Times New Roman" w:eastAsia="仿宋_GB2312" w:cs="Times New Roman"/>
          <w:sz w:val="32"/>
          <w:szCs w:val="32"/>
          <w:highlight w:val="none"/>
          <w:lang w:val="en-US" w:eastAsia="zh-CN"/>
        </w:rPr>
        <w:t>提升水产品</w:t>
      </w:r>
      <w:r>
        <w:rPr>
          <w:rFonts w:hint="default" w:ascii="Times New Roman" w:hAnsi="Times New Roman" w:eastAsia="仿宋_GB2312" w:cs="Times New Roman"/>
          <w:sz w:val="32"/>
          <w:szCs w:val="32"/>
          <w:highlight w:val="none"/>
        </w:rPr>
        <w:t>质量安全</w:t>
      </w:r>
      <w:r>
        <w:rPr>
          <w:rFonts w:hint="eastAsia" w:ascii="Times New Roman" w:hAnsi="Times New Roman" w:eastAsia="仿宋_GB2312" w:cs="Times New Roman"/>
          <w:sz w:val="32"/>
          <w:szCs w:val="32"/>
          <w:highlight w:val="none"/>
          <w:lang w:val="en-US" w:eastAsia="zh-CN"/>
        </w:rPr>
        <w:t>检测能力</w:t>
      </w:r>
      <w:r>
        <w:rPr>
          <w:rFonts w:hint="default" w:ascii="Times New Roman" w:hAnsi="Times New Roman" w:eastAsia="仿宋_GB2312" w:cs="Times New Roman"/>
          <w:sz w:val="32"/>
          <w:szCs w:val="32"/>
          <w:highlight w:val="none"/>
        </w:rPr>
        <w:t>，焦作市</w:t>
      </w:r>
      <w:r>
        <w:rPr>
          <w:rFonts w:hint="eastAsia" w:ascii="Times New Roman" w:hAnsi="Times New Roman" w:eastAsia="仿宋_GB2312" w:cs="Times New Roman"/>
          <w:sz w:val="32"/>
          <w:szCs w:val="32"/>
          <w:highlight w:val="none"/>
          <w:lang w:val="en-US" w:eastAsia="zh-CN"/>
        </w:rPr>
        <w:t>动物疫病防控与畜牧发展中心</w:t>
      </w:r>
      <w:r>
        <w:rPr>
          <w:rFonts w:hint="default" w:ascii="Times New Roman" w:hAnsi="Times New Roman" w:eastAsia="仿宋_GB2312" w:cs="Times New Roman"/>
          <w:sz w:val="32"/>
          <w:szCs w:val="32"/>
          <w:highlight w:val="none"/>
        </w:rPr>
        <w:t>现对</w:t>
      </w:r>
      <w:r>
        <w:rPr>
          <w:rFonts w:hint="default" w:ascii="Times New Roman" w:hAnsi="Times New Roman" w:eastAsia="仿宋_GB2312" w:cs="Times New Roman"/>
          <w:sz w:val="32"/>
          <w:szCs w:val="32"/>
          <w:highlight w:val="none"/>
          <w:lang w:val="en-US" w:eastAsia="zh-CN"/>
        </w:rPr>
        <w:t>水产品样品前处理一体机、氮吹仪及氮气发生器</w:t>
      </w:r>
      <w:r>
        <w:rPr>
          <w:rFonts w:hint="eastAsia" w:ascii="Times New Roman" w:hAnsi="Times New Roman" w:eastAsia="仿宋_GB2312" w:cs="Times New Roman"/>
          <w:sz w:val="32"/>
          <w:szCs w:val="32"/>
          <w:highlight w:val="none"/>
          <w:lang w:val="en-US" w:eastAsia="zh-CN"/>
        </w:rPr>
        <w:t>进行询价</w:t>
      </w:r>
      <w:r>
        <w:rPr>
          <w:rFonts w:hint="default" w:ascii="Times New Roman" w:hAnsi="Times New Roman" w:eastAsia="仿宋_GB2312" w:cs="Times New Roman"/>
          <w:sz w:val="32"/>
          <w:szCs w:val="32"/>
          <w:highlight w:val="none"/>
          <w:lang w:val="en-US" w:eastAsia="zh-CN"/>
        </w:rPr>
        <w:t>采购</w:t>
      </w:r>
      <w:r>
        <w:rPr>
          <w:rFonts w:hint="default" w:ascii="Times New Roman" w:hAnsi="Times New Roman" w:eastAsia="仿宋_GB2312" w:cs="Times New Roman"/>
          <w:sz w:val="32"/>
          <w:szCs w:val="32"/>
          <w:highlight w:val="none"/>
        </w:rPr>
        <w:t>，诚邀符合资质条件的</w:t>
      </w:r>
      <w:r>
        <w:rPr>
          <w:rFonts w:hint="eastAsia" w:ascii="Times New Roman" w:hAnsi="Times New Roman" w:eastAsia="仿宋_GB2312" w:cs="Times New Roman"/>
          <w:sz w:val="32"/>
          <w:szCs w:val="32"/>
          <w:highlight w:val="none"/>
          <w:lang w:val="en-US" w:eastAsia="zh-CN"/>
        </w:rPr>
        <w:t>供应商</w:t>
      </w:r>
      <w:r>
        <w:rPr>
          <w:rFonts w:hint="default" w:ascii="Times New Roman" w:hAnsi="Times New Roman" w:eastAsia="仿宋_GB2312" w:cs="Times New Roman"/>
          <w:sz w:val="32"/>
          <w:szCs w:val="32"/>
          <w:highlight w:val="none"/>
        </w:rPr>
        <w:t xml:space="preserve">参与本项目询价。 </w:t>
      </w:r>
    </w:p>
    <w:p w14:paraId="13DC972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项目概况</w:t>
      </w:r>
    </w:p>
    <w:p w14:paraId="6EA5C3C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1.项目名称：</w:t>
      </w:r>
      <w:r>
        <w:rPr>
          <w:rFonts w:hint="default" w:ascii="Times New Roman" w:hAnsi="Times New Roman" w:eastAsia="仿宋_GB2312" w:cs="Times New Roman"/>
          <w:sz w:val="32"/>
          <w:szCs w:val="32"/>
          <w:highlight w:val="none"/>
          <w:lang w:val="en-US" w:eastAsia="zh-CN"/>
        </w:rPr>
        <w:t>水产品样品前处理一体机、氮吹仪及氮气发生器采购</w:t>
      </w:r>
      <w:r>
        <w:rPr>
          <w:rFonts w:hint="eastAsia" w:ascii="Times New Roman" w:hAnsi="Times New Roman" w:eastAsia="仿宋_GB2312" w:cs="Times New Roman"/>
          <w:sz w:val="32"/>
          <w:szCs w:val="32"/>
          <w:highlight w:val="none"/>
          <w:lang w:val="en-US" w:eastAsia="zh-CN"/>
        </w:rPr>
        <w:t>项目</w:t>
      </w:r>
      <w:r>
        <w:rPr>
          <w:rFonts w:hint="default" w:ascii="Times New Roman" w:hAnsi="Times New Roman" w:eastAsia="仿宋_GB2312" w:cs="Times New Roman"/>
          <w:sz w:val="32"/>
          <w:szCs w:val="32"/>
          <w:highlight w:val="none"/>
        </w:rPr>
        <w:t>。</w:t>
      </w:r>
    </w:p>
    <w:p w14:paraId="561955B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2.项目预算：</w:t>
      </w: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 xml:space="preserve">万元。 </w:t>
      </w:r>
    </w:p>
    <w:p w14:paraId="10E31E3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楷体_GB2312" w:cs="Times New Roman"/>
          <w:sz w:val="32"/>
          <w:szCs w:val="32"/>
          <w:highlight w:val="none"/>
        </w:rPr>
        <w:t>3.项目内容：</w:t>
      </w:r>
      <w:r>
        <w:rPr>
          <w:rFonts w:hint="default" w:ascii="Times New Roman" w:hAnsi="Times New Roman" w:eastAsia="仿宋_GB2312" w:cs="Times New Roman"/>
          <w:sz w:val="32"/>
          <w:szCs w:val="32"/>
          <w:highlight w:val="none"/>
          <w:lang w:val="en-US" w:eastAsia="zh-CN"/>
        </w:rPr>
        <w:t>水产品样品前处理一体机</w:t>
      </w:r>
      <w:r>
        <w:rPr>
          <w:rFonts w:hint="eastAsia" w:ascii="Times New Roman" w:hAnsi="Times New Roman" w:eastAsia="仿宋_GB2312" w:cs="Times New Roman"/>
          <w:sz w:val="32"/>
          <w:szCs w:val="32"/>
          <w:highlight w:val="none"/>
          <w:lang w:val="en-US" w:eastAsia="zh-CN"/>
        </w:rPr>
        <w:t>2套</w:t>
      </w:r>
      <w:r>
        <w:rPr>
          <w:rFonts w:hint="default" w:ascii="Times New Roman" w:hAnsi="Times New Roman" w:eastAsia="仿宋_GB2312" w:cs="Times New Roman"/>
          <w:sz w:val="32"/>
          <w:szCs w:val="32"/>
          <w:highlight w:val="none"/>
          <w:lang w:val="en-US" w:eastAsia="zh-CN"/>
        </w:rPr>
        <w:t>、氮吹仪及氮气发生器</w:t>
      </w:r>
      <w:r>
        <w:rPr>
          <w:rFonts w:hint="eastAsia" w:ascii="Times New Roman" w:hAnsi="Times New Roman" w:eastAsia="仿宋_GB2312" w:cs="Times New Roman"/>
          <w:sz w:val="32"/>
          <w:szCs w:val="32"/>
          <w:highlight w:val="none"/>
          <w:lang w:val="en-US" w:eastAsia="zh-CN"/>
        </w:rPr>
        <w:t>1套</w:t>
      </w:r>
      <w:r>
        <w:rPr>
          <w:rFonts w:hint="default" w:ascii="Times New Roman" w:hAnsi="Times New Roman" w:eastAsia="仿宋_GB2312" w:cs="Times New Roman"/>
          <w:sz w:val="32"/>
          <w:szCs w:val="32"/>
          <w:highlight w:val="none"/>
          <w:lang w:val="en-US" w:eastAsia="zh-CN"/>
        </w:rPr>
        <w:t>。</w:t>
      </w:r>
    </w:p>
    <w:p w14:paraId="0768788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sz w:val="32"/>
          <w:szCs w:val="32"/>
          <w:highlight w:val="none"/>
          <w:lang w:val="en-US" w:eastAsia="zh-CN"/>
        </w:rPr>
        <w:t>4.</w:t>
      </w:r>
      <w:r>
        <w:rPr>
          <w:rFonts w:hint="eastAsia" w:ascii="Times New Roman" w:hAnsi="Times New Roman" w:eastAsia="楷体_GB2312" w:cs="Times New Roman"/>
          <w:sz w:val="32"/>
          <w:szCs w:val="32"/>
          <w:highlight w:val="none"/>
          <w:lang w:val="en-US" w:eastAsia="zh-CN"/>
        </w:rPr>
        <w:t>项目类型：</w:t>
      </w:r>
      <w:r>
        <w:rPr>
          <w:rFonts w:hint="eastAsia" w:ascii="Times New Roman" w:hAnsi="Times New Roman" w:eastAsia="仿宋_GB2312" w:cs="Times New Roman"/>
          <w:sz w:val="32"/>
          <w:szCs w:val="32"/>
          <w:highlight w:val="none"/>
          <w:lang w:val="en-US" w:eastAsia="zh-CN"/>
        </w:rPr>
        <w:t>货物</w:t>
      </w:r>
    </w:p>
    <w:p w14:paraId="46F54725">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楷体_GB2312" w:cs="Times New Roman"/>
          <w:sz w:val="32"/>
          <w:szCs w:val="32"/>
          <w:highlight w:val="none"/>
          <w:lang w:val="en-US" w:eastAsia="zh-CN"/>
        </w:rPr>
      </w:pPr>
      <w:r>
        <w:rPr>
          <w:rFonts w:hint="eastAsia" w:ascii="Times New Roman" w:hAnsi="Times New Roman" w:eastAsia="楷体_GB2312" w:cs="Times New Roman"/>
          <w:sz w:val="32"/>
          <w:szCs w:val="32"/>
          <w:highlight w:val="none"/>
          <w:lang w:val="en-US" w:eastAsia="zh-CN"/>
        </w:rPr>
        <w:t xml:space="preserve">    5.所属行业：</w:t>
      </w:r>
      <w:r>
        <w:rPr>
          <w:rFonts w:hint="eastAsia" w:ascii="Times New Roman" w:hAnsi="Times New Roman" w:eastAsia="仿宋_GB2312" w:cs="Times New Roman"/>
          <w:sz w:val="32"/>
          <w:szCs w:val="32"/>
          <w:highlight w:val="none"/>
          <w:lang w:val="en-US" w:eastAsia="zh-CN"/>
        </w:rPr>
        <w:t>工业</w:t>
      </w:r>
    </w:p>
    <w:p w14:paraId="15BDF33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楷体_GB2312" w:cs="Times New Roman"/>
          <w:sz w:val="32"/>
          <w:szCs w:val="32"/>
          <w:highlight w:val="none"/>
          <w:lang w:val="en-US" w:eastAsia="zh-CN"/>
        </w:rPr>
        <w:t>6.</w:t>
      </w:r>
      <w:r>
        <w:rPr>
          <w:rFonts w:hint="default" w:ascii="Times New Roman" w:hAnsi="Times New Roman" w:eastAsia="楷体_GB2312" w:cs="Times New Roman"/>
          <w:sz w:val="32"/>
          <w:szCs w:val="32"/>
          <w:highlight w:val="none"/>
        </w:rPr>
        <w:t>技术参数要求</w:t>
      </w:r>
      <w:r>
        <w:rPr>
          <w:rFonts w:hint="eastAsia"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 xml:space="preserve"> </w:t>
      </w:r>
      <w:r>
        <w:rPr>
          <w:rFonts w:hint="default" w:ascii="Times New Roman" w:hAnsi="Times New Roman" w:eastAsia="仿宋_GB2312" w:cs="Times New Roman"/>
          <w:sz w:val="32"/>
          <w:szCs w:val="32"/>
          <w:highlight w:val="none"/>
        </w:rPr>
        <w:t>所供产品必须是全新的、未拆封过的合格产品，完全符合采购产品规定的质量、规格和性能的要求，供应商应保证其提供的产品在正常使用条件下，在使用寿命期内具有满意的性能</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设备质保期不低于6年</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详细参数见下表。</w:t>
      </w:r>
    </w:p>
    <w:p w14:paraId="5D2603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p>
    <w:p w14:paraId="32273647">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highlight w:val="none"/>
          <w:lang w:val="en-US" w:eastAsia="zh-CN"/>
        </w:rPr>
      </w:pPr>
    </w:p>
    <w:tbl>
      <w:tblPr>
        <w:tblStyle w:val="13"/>
        <w:tblW w:w="8564"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79"/>
        <w:gridCol w:w="5985"/>
      </w:tblGrid>
      <w:tr w14:paraId="6C1EF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2579" w:type="dxa"/>
            <w:tcBorders>
              <w:top w:val="single" w:color="000000" w:sz="4" w:space="0"/>
              <w:left w:val="single" w:color="000000" w:sz="4" w:space="0"/>
              <w:bottom w:val="single" w:color="000000" w:sz="4" w:space="0"/>
              <w:right w:val="single" w:color="000000" w:sz="4" w:space="0"/>
            </w:tcBorders>
            <w:noWrap w:val="0"/>
            <w:vAlign w:val="center"/>
          </w:tcPr>
          <w:p w14:paraId="056C3DEE">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名称</w:t>
            </w:r>
          </w:p>
        </w:tc>
        <w:tc>
          <w:tcPr>
            <w:tcW w:w="5985" w:type="dxa"/>
            <w:tcBorders>
              <w:top w:val="single" w:color="000000" w:sz="4" w:space="0"/>
              <w:left w:val="single" w:color="000000" w:sz="4" w:space="0"/>
              <w:bottom w:val="single" w:color="000000" w:sz="4" w:space="0"/>
              <w:right w:val="single" w:color="000000" w:sz="4" w:space="0"/>
            </w:tcBorders>
            <w:noWrap w:val="0"/>
            <w:vAlign w:val="center"/>
          </w:tcPr>
          <w:p w14:paraId="71E7FF6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lang w:eastAsia="zh-CN"/>
              </w:rPr>
            </w:pPr>
            <w:r>
              <w:rPr>
                <w:rFonts w:hint="eastAsia" w:ascii="宋体" w:hAnsi="宋体" w:cs="宋体"/>
                <w:i w:val="0"/>
                <w:iCs w:val="0"/>
                <w:color w:val="000000"/>
                <w:sz w:val="22"/>
                <w:szCs w:val="22"/>
                <w:highlight w:val="none"/>
                <w:u w:val="none"/>
                <w:lang w:eastAsia="zh-CN"/>
              </w:rPr>
              <w:t>参数</w:t>
            </w:r>
          </w:p>
        </w:tc>
      </w:tr>
      <w:tr w14:paraId="6FF19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1" w:hRule="atLeast"/>
        </w:trPr>
        <w:tc>
          <w:tcPr>
            <w:tcW w:w="2579" w:type="dxa"/>
            <w:tcBorders>
              <w:top w:val="single" w:color="000000" w:sz="4" w:space="0"/>
              <w:left w:val="single" w:color="000000" w:sz="4" w:space="0"/>
              <w:bottom w:val="single" w:color="000000" w:sz="4" w:space="0"/>
              <w:right w:val="single" w:color="000000" w:sz="4" w:space="0"/>
            </w:tcBorders>
            <w:noWrap/>
            <w:vAlign w:val="center"/>
          </w:tcPr>
          <w:p w14:paraId="68CA842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lang w:eastAsia="zh-CN"/>
              </w:rPr>
            </w:pPr>
            <w:r>
              <w:rPr>
                <w:rFonts w:hint="eastAsia" w:ascii="宋体" w:hAnsi="宋体" w:cs="宋体"/>
                <w:i w:val="0"/>
                <w:iCs w:val="0"/>
                <w:color w:val="000000"/>
                <w:sz w:val="22"/>
                <w:szCs w:val="22"/>
                <w:highlight w:val="none"/>
                <w:u w:val="none"/>
                <w:lang w:eastAsia="zh-CN"/>
              </w:rPr>
              <w:t>水产前处理一体机</w:t>
            </w:r>
          </w:p>
        </w:tc>
        <w:tc>
          <w:tcPr>
            <w:tcW w:w="5985" w:type="dxa"/>
            <w:tcBorders>
              <w:top w:val="single" w:color="000000" w:sz="4" w:space="0"/>
              <w:left w:val="single" w:color="000000" w:sz="4" w:space="0"/>
              <w:bottom w:val="single" w:color="000000" w:sz="4" w:space="0"/>
              <w:right w:val="single" w:color="000000" w:sz="4" w:space="0"/>
            </w:tcBorders>
            <w:noWrap/>
            <w:vAlign w:val="center"/>
          </w:tcPr>
          <w:p w14:paraId="4DF0A099">
            <w:pPr>
              <w:numPr>
                <w:ilvl w:val="0"/>
                <w:numId w:val="2"/>
              </w:numPr>
              <w:rPr>
                <w:rFonts w:hint="eastAsia"/>
                <w:highlight w:val="none"/>
              </w:rPr>
            </w:pPr>
            <w:r>
              <w:rPr>
                <w:rFonts w:hint="eastAsia"/>
                <w:highlight w:val="none"/>
              </w:rPr>
              <w:t>样品前处理一体机</w:t>
            </w:r>
            <w:r>
              <w:rPr>
                <w:rFonts w:hint="eastAsia"/>
                <w:highlight w:val="none"/>
                <w:lang w:eastAsia="zh-CN"/>
              </w:rPr>
              <w:t>，</w:t>
            </w:r>
            <w:r>
              <w:rPr>
                <w:rFonts w:hint="eastAsia"/>
                <w:highlight w:val="none"/>
              </w:rPr>
              <w:t>样品前处理集成箱将样本前处理过程中样品浓缩、水浴恒温、离心分层、均质、振荡混匀等步骤所需设备进行集成，仅需一台样品前处理集成箱设备即可完成所有样本前处理过程，并且方便携带，不仅适用于现场检测使用，还可用于色谱、质谱等分析样品的纯化和制备</w:t>
            </w:r>
            <w:r>
              <w:rPr>
                <w:rFonts w:hint="eastAsia"/>
                <w:highlight w:val="none"/>
                <w:lang w:eastAsia="zh-CN"/>
              </w:rPr>
              <w:t>，需要提供产品承诺函。</w:t>
            </w:r>
          </w:p>
          <w:p w14:paraId="37BB075F">
            <w:pPr>
              <w:numPr>
                <w:ilvl w:val="0"/>
                <w:numId w:val="0"/>
              </w:numPr>
              <w:rPr>
                <w:rFonts w:hint="eastAsia"/>
                <w:highlight w:val="none"/>
              </w:rPr>
            </w:pPr>
            <w:r>
              <w:rPr>
                <w:rFonts w:hint="eastAsia"/>
                <w:highlight w:val="none"/>
                <w:lang w:eastAsia="zh-CN"/>
              </w:rPr>
              <w:t>二、</w:t>
            </w:r>
            <w:r>
              <w:rPr>
                <w:rFonts w:hint="eastAsia"/>
                <w:highlight w:val="none"/>
              </w:rPr>
              <w:t>技术参数</w:t>
            </w:r>
          </w:p>
          <w:p w14:paraId="41A65259">
            <w:pPr>
              <w:spacing w:line="240" w:lineRule="auto"/>
              <w:rPr>
                <w:rFonts w:hint="eastAsia"/>
                <w:highlight w:val="none"/>
              </w:rPr>
            </w:pPr>
            <w:r>
              <w:rPr>
                <w:rFonts w:hint="eastAsia"/>
                <w:highlight w:val="none"/>
              </w:rPr>
              <w:t>离心功能</w:t>
            </w:r>
          </w:p>
          <w:p w14:paraId="042681C8">
            <w:pPr>
              <w:spacing w:line="240" w:lineRule="auto"/>
              <w:rPr>
                <w:rFonts w:hint="eastAsia"/>
                <w:highlight w:val="none"/>
              </w:rPr>
            </w:pPr>
            <w:r>
              <w:rPr>
                <w:rFonts w:hint="eastAsia"/>
                <w:highlight w:val="none"/>
              </w:rPr>
              <w:t>1.最高转速：4500 rpm(转/分）</w:t>
            </w:r>
          </w:p>
          <w:p w14:paraId="2E39FCBB">
            <w:pPr>
              <w:spacing w:line="240" w:lineRule="auto"/>
              <w:rPr>
                <w:rFonts w:hint="eastAsia"/>
                <w:highlight w:val="none"/>
              </w:rPr>
            </w:pPr>
            <w:r>
              <w:rPr>
                <w:rFonts w:hint="eastAsia"/>
                <w:highlight w:val="none"/>
              </w:rPr>
              <w:t>2.最大相对离心力：2200（×g)</w:t>
            </w:r>
          </w:p>
          <w:p w14:paraId="0D061BC9">
            <w:pPr>
              <w:spacing w:line="240" w:lineRule="auto"/>
              <w:rPr>
                <w:rFonts w:hint="eastAsia" w:eastAsiaTheme="minorEastAsia"/>
                <w:highlight w:val="none"/>
                <w:lang w:eastAsia="zh-CN"/>
              </w:rPr>
            </w:pPr>
            <w:r>
              <w:rPr>
                <w:rFonts w:hint="eastAsia"/>
                <w:highlight w:val="none"/>
              </w:rPr>
              <w:t>3.角转容量：10 mlx6 </w:t>
            </w:r>
            <w:r>
              <w:rPr>
                <w:rFonts w:hint="eastAsia"/>
                <w:highlight w:val="none"/>
                <w:lang w:val="en-US" w:eastAsia="zh-CN"/>
              </w:rPr>
              <w:t xml:space="preserve">  </w:t>
            </w:r>
            <w:r>
              <w:rPr>
                <w:rFonts w:hint="eastAsia"/>
                <w:highlight w:val="none"/>
              </w:rPr>
              <w:t>20mlx6</w:t>
            </w:r>
            <w:r>
              <w:rPr>
                <w:rFonts w:hint="eastAsia"/>
                <w:highlight w:val="none"/>
                <w:lang w:eastAsia="zh-CN"/>
              </w:rPr>
              <w:t>（</w:t>
            </w:r>
            <w:r>
              <w:rPr>
                <w:rFonts w:hint="eastAsia"/>
                <w:highlight w:val="none"/>
                <w:lang w:val="en-US" w:eastAsia="zh-CN"/>
              </w:rPr>
              <w:t>配两种型号转子及适配器</w:t>
            </w:r>
            <w:r>
              <w:rPr>
                <w:rFonts w:hint="eastAsia"/>
                <w:highlight w:val="none"/>
                <w:lang w:eastAsia="zh-CN"/>
              </w:rPr>
              <w:t>）</w:t>
            </w:r>
          </w:p>
          <w:p w14:paraId="6C8B8BC8">
            <w:pPr>
              <w:spacing w:line="240" w:lineRule="auto"/>
              <w:rPr>
                <w:rFonts w:hint="eastAsia"/>
                <w:highlight w:val="none"/>
              </w:rPr>
            </w:pPr>
            <w:r>
              <w:rPr>
                <w:rFonts w:hint="eastAsia"/>
                <w:highlight w:val="none"/>
              </w:rPr>
              <w:t>振荡混匀功能</w:t>
            </w:r>
          </w:p>
          <w:p w14:paraId="6E898DC5">
            <w:pPr>
              <w:spacing w:line="240" w:lineRule="auto"/>
              <w:rPr>
                <w:rFonts w:hint="eastAsia"/>
                <w:highlight w:val="none"/>
              </w:rPr>
            </w:pPr>
            <w:r>
              <w:rPr>
                <w:rFonts w:hint="eastAsia"/>
                <w:highlight w:val="none"/>
              </w:rPr>
              <w:t>1.   振荡混匀速度：3000 rpm(转/分）</w:t>
            </w:r>
          </w:p>
          <w:p w14:paraId="374EE999">
            <w:pPr>
              <w:spacing w:line="240" w:lineRule="auto"/>
              <w:rPr>
                <w:rFonts w:hint="eastAsia"/>
                <w:highlight w:val="none"/>
              </w:rPr>
            </w:pPr>
            <w:r>
              <w:rPr>
                <w:rFonts w:hint="eastAsia"/>
                <w:highlight w:val="none"/>
              </w:rPr>
              <w:t>2.   工作方式：连续</w:t>
            </w:r>
          </w:p>
          <w:p w14:paraId="1086DB13">
            <w:pPr>
              <w:spacing w:line="240" w:lineRule="auto"/>
              <w:rPr>
                <w:rFonts w:hint="eastAsia"/>
                <w:highlight w:val="none"/>
              </w:rPr>
            </w:pPr>
            <w:r>
              <w:rPr>
                <w:rFonts w:hint="eastAsia"/>
                <w:highlight w:val="none"/>
              </w:rPr>
              <w:t>3.   调速方式：无极调速</w:t>
            </w:r>
          </w:p>
          <w:p w14:paraId="41A4D11A">
            <w:pPr>
              <w:spacing w:line="240" w:lineRule="auto"/>
              <w:rPr>
                <w:rFonts w:hint="eastAsia"/>
                <w:highlight w:val="none"/>
              </w:rPr>
            </w:pPr>
            <w:r>
              <w:rPr>
                <w:rFonts w:hint="eastAsia"/>
                <w:highlight w:val="none"/>
              </w:rPr>
              <w:t>均质捣碎功能</w:t>
            </w:r>
          </w:p>
          <w:p w14:paraId="3C66D471">
            <w:pPr>
              <w:spacing w:line="240" w:lineRule="auto"/>
              <w:rPr>
                <w:rFonts w:hint="eastAsia"/>
                <w:highlight w:val="none"/>
              </w:rPr>
            </w:pPr>
            <w:r>
              <w:rPr>
                <w:rFonts w:hint="eastAsia"/>
                <w:highlight w:val="none"/>
              </w:rPr>
              <w:t>1.  电机转速：15000 rpm(转/分）</w:t>
            </w:r>
          </w:p>
          <w:p w14:paraId="722F5EC5">
            <w:pPr>
              <w:spacing w:line="240" w:lineRule="auto"/>
              <w:rPr>
                <w:rFonts w:hint="eastAsia"/>
                <w:highlight w:val="none"/>
              </w:rPr>
            </w:pPr>
            <w:r>
              <w:rPr>
                <w:rFonts w:hint="eastAsia"/>
                <w:highlight w:val="none"/>
              </w:rPr>
              <w:t>2.  刀头材质：304不锈钢立体刀片</w:t>
            </w:r>
          </w:p>
          <w:p w14:paraId="26109F97">
            <w:pPr>
              <w:spacing w:line="240" w:lineRule="auto"/>
              <w:rPr>
                <w:rFonts w:hint="eastAsia"/>
                <w:highlight w:val="none"/>
              </w:rPr>
            </w:pPr>
            <w:r>
              <w:rPr>
                <w:rFonts w:hint="eastAsia"/>
                <w:highlight w:val="none"/>
              </w:rPr>
              <w:t>3.  杯身材质：ABS</w:t>
            </w:r>
          </w:p>
          <w:p w14:paraId="4FB00905">
            <w:pPr>
              <w:spacing w:line="240" w:lineRule="auto"/>
              <w:rPr>
                <w:rFonts w:hint="eastAsia"/>
                <w:highlight w:val="none"/>
              </w:rPr>
            </w:pPr>
            <w:r>
              <w:rPr>
                <w:rFonts w:hint="eastAsia"/>
                <w:highlight w:val="none"/>
              </w:rPr>
              <w:t>浓缩吹干功能（兼加热模块）</w:t>
            </w:r>
          </w:p>
          <w:p w14:paraId="177D1650">
            <w:pPr>
              <w:spacing w:line="240" w:lineRule="auto"/>
              <w:rPr>
                <w:rFonts w:hint="eastAsia"/>
                <w:highlight w:val="none"/>
              </w:rPr>
            </w:pPr>
            <w:r>
              <w:rPr>
                <w:rFonts w:hint="eastAsia"/>
                <w:highlight w:val="none"/>
              </w:rPr>
              <w:t>1.   加热吹气孔位: 12孔</w:t>
            </w:r>
          </w:p>
          <w:p w14:paraId="5A8E5D2E">
            <w:pPr>
              <w:spacing w:line="240" w:lineRule="auto"/>
              <w:rPr>
                <w:rFonts w:hint="eastAsia"/>
                <w:highlight w:val="none"/>
              </w:rPr>
            </w:pPr>
            <w:r>
              <w:rPr>
                <w:rFonts w:hint="eastAsia"/>
                <w:highlight w:val="none"/>
              </w:rPr>
              <w:t>2.   气源A: 空气（高性能空气压缩机）</w:t>
            </w:r>
          </w:p>
          <w:p w14:paraId="00D56584">
            <w:pPr>
              <w:spacing w:line="240" w:lineRule="auto"/>
              <w:rPr>
                <w:rFonts w:hint="eastAsia"/>
                <w:highlight w:val="none"/>
              </w:rPr>
            </w:pPr>
            <w:r>
              <w:rPr>
                <w:rFonts w:hint="eastAsia"/>
                <w:highlight w:val="none"/>
              </w:rPr>
              <w:t>      气源B:  可接氮气 </w:t>
            </w:r>
          </w:p>
          <w:p w14:paraId="6ECEC724">
            <w:pPr>
              <w:spacing w:line="240" w:lineRule="auto"/>
              <w:rPr>
                <w:rFonts w:hint="eastAsia"/>
                <w:highlight w:val="none"/>
              </w:rPr>
            </w:pPr>
            <w:r>
              <w:rPr>
                <w:rFonts w:hint="eastAsia"/>
                <w:highlight w:val="none"/>
              </w:rPr>
              <w:t>3.   温度误差：≤±0.5℃</w:t>
            </w:r>
          </w:p>
          <w:p w14:paraId="3F1BAE62">
            <w:pPr>
              <w:spacing w:line="240" w:lineRule="auto"/>
              <w:rPr>
                <w:rFonts w:hint="eastAsia"/>
                <w:highlight w:val="none"/>
              </w:rPr>
            </w:pPr>
            <w:r>
              <w:rPr>
                <w:rFonts w:hint="eastAsia"/>
                <w:highlight w:val="none"/>
              </w:rPr>
              <w:t>4.   载气流量：36L／min</w:t>
            </w:r>
          </w:p>
          <w:p w14:paraId="18674AAD">
            <w:pPr>
              <w:spacing w:line="240" w:lineRule="auto"/>
              <w:rPr>
                <w:rFonts w:hint="eastAsia"/>
                <w:highlight w:val="none"/>
              </w:rPr>
            </w:pPr>
            <w:r>
              <w:rPr>
                <w:rFonts w:hint="eastAsia"/>
                <w:highlight w:val="none"/>
              </w:rPr>
              <w:t>5.   加热范围：室温</w:t>
            </w:r>
            <w:r>
              <w:rPr>
                <w:rFonts w:hint="eastAsia" w:ascii="仿宋" w:hAnsi="仿宋" w:eastAsia="仿宋" w:cs="仿宋"/>
                <w:highlight w:val="none"/>
              </w:rPr>
              <w:t>～</w:t>
            </w:r>
            <w:r>
              <w:rPr>
                <w:rFonts w:hint="eastAsia"/>
                <w:highlight w:val="none"/>
              </w:rPr>
              <w:t>100℃</w:t>
            </w:r>
          </w:p>
          <w:p w14:paraId="7515D755">
            <w:pPr>
              <w:spacing w:line="240" w:lineRule="auto"/>
              <w:rPr>
                <w:rFonts w:hint="eastAsia"/>
                <w:highlight w:val="none"/>
              </w:rPr>
            </w:pPr>
            <w:r>
              <w:rPr>
                <w:rFonts w:hint="eastAsia"/>
                <w:highlight w:val="none"/>
              </w:rPr>
              <w:t>水浴加热</w:t>
            </w:r>
          </w:p>
          <w:p w14:paraId="4F8F04E2">
            <w:pPr>
              <w:spacing w:line="240" w:lineRule="auto"/>
              <w:rPr>
                <w:rFonts w:hint="eastAsia"/>
                <w:highlight w:val="none"/>
              </w:rPr>
            </w:pPr>
            <w:r>
              <w:rPr>
                <w:rFonts w:hint="eastAsia"/>
                <w:highlight w:val="none"/>
              </w:rPr>
              <w:t>1.   加热范围：室温</w:t>
            </w:r>
            <w:r>
              <w:rPr>
                <w:rFonts w:hint="eastAsia" w:ascii="仿宋" w:hAnsi="仿宋" w:eastAsia="仿宋" w:cs="仿宋"/>
                <w:highlight w:val="none"/>
              </w:rPr>
              <w:t>～</w:t>
            </w:r>
            <w:r>
              <w:rPr>
                <w:rFonts w:hint="eastAsia"/>
                <w:highlight w:val="none"/>
              </w:rPr>
              <w:t>100℃</w:t>
            </w:r>
          </w:p>
          <w:p w14:paraId="1361A3C4">
            <w:pPr>
              <w:spacing w:line="240" w:lineRule="auto"/>
              <w:rPr>
                <w:rFonts w:hint="eastAsia"/>
                <w:highlight w:val="none"/>
              </w:rPr>
            </w:pPr>
            <w:r>
              <w:rPr>
                <w:rFonts w:hint="eastAsia"/>
                <w:highlight w:val="none"/>
              </w:rPr>
              <w:t>2.   内部最大尺寸：150mmX140mmX100mm</w:t>
            </w:r>
          </w:p>
          <w:p w14:paraId="11FCB376">
            <w:pPr>
              <w:spacing w:line="240" w:lineRule="auto"/>
              <w:rPr>
                <w:rFonts w:hint="eastAsia" w:ascii="宋体" w:hAnsi="宋体" w:eastAsia="宋体" w:cs="宋体"/>
                <w:i w:val="0"/>
                <w:iCs w:val="0"/>
                <w:color w:val="000000"/>
                <w:sz w:val="22"/>
                <w:szCs w:val="22"/>
                <w:highlight w:val="none"/>
                <w:u w:val="none"/>
              </w:rPr>
            </w:pPr>
            <w:r>
              <w:rPr>
                <w:rFonts w:hint="eastAsia"/>
                <w:highlight w:val="none"/>
              </w:rPr>
              <w:t>3.   配不锈钢支架</w:t>
            </w:r>
          </w:p>
        </w:tc>
      </w:tr>
      <w:tr w14:paraId="611C7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79" w:type="dxa"/>
            <w:tcBorders>
              <w:top w:val="single" w:color="000000" w:sz="4" w:space="0"/>
              <w:left w:val="single" w:color="000000" w:sz="4" w:space="0"/>
              <w:bottom w:val="single" w:color="000000" w:sz="4" w:space="0"/>
              <w:right w:val="single" w:color="000000" w:sz="4" w:space="0"/>
            </w:tcBorders>
            <w:noWrap/>
            <w:vAlign w:val="center"/>
          </w:tcPr>
          <w:p w14:paraId="49324B0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highlight w:val="none"/>
                <w:u w:val="none"/>
                <w:lang w:eastAsia="zh-CN"/>
              </w:rPr>
            </w:pPr>
            <w:r>
              <w:rPr>
                <w:rFonts w:hint="eastAsia" w:asciiTheme="minorEastAsia" w:hAnsiTheme="minorEastAsia" w:eastAsiaTheme="minorEastAsia" w:cstheme="minorEastAsia"/>
                <w:i w:val="0"/>
                <w:iCs w:val="0"/>
                <w:color w:val="000000"/>
                <w:sz w:val="21"/>
                <w:szCs w:val="21"/>
                <w:highlight w:val="none"/>
                <w:u w:val="none"/>
                <w:lang w:eastAsia="zh-CN"/>
              </w:rPr>
              <w:t>氮吹仪</w:t>
            </w:r>
          </w:p>
        </w:tc>
        <w:tc>
          <w:tcPr>
            <w:tcW w:w="5985" w:type="dxa"/>
            <w:tcBorders>
              <w:top w:val="single" w:color="000000" w:sz="4" w:space="0"/>
              <w:left w:val="single" w:color="000000" w:sz="4" w:space="0"/>
              <w:bottom w:val="single" w:color="000000" w:sz="4" w:space="0"/>
              <w:right w:val="single" w:color="000000" w:sz="4" w:space="0"/>
            </w:tcBorders>
            <w:noWrap/>
            <w:vAlign w:val="center"/>
          </w:tcPr>
          <w:p w14:paraId="251DC698">
            <w:pPr>
              <w:tabs>
                <w:tab w:val="left" w:pos="5280"/>
              </w:tabs>
              <w:wordWrap w:val="0"/>
              <w:autoSpaceDE w:val="0"/>
              <w:autoSpaceDN w:val="0"/>
              <w:spacing w:before="0" w:after="0" w:line="240" w:lineRule="auto"/>
              <w:ind w:firstLine="0"/>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温度范围</w:t>
            </w:r>
            <w:r>
              <w:rPr>
                <w:rFonts w:hint="eastAsia" w:asciiTheme="minorEastAsia" w:hAnsiTheme="minorEastAsia" w:eastAsia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室温＋5℃</w:t>
            </w:r>
            <w:r>
              <w:rPr>
                <w:rFonts w:hint="eastAsia" w:ascii="仿宋" w:hAnsi="仿宋" w:eastAsia="仿宋" w:cs="仿宋"/>
                <w:highlight w:val="none"/>
              </w:rPr>
              <w:t>～</w:t>
            </w:r>
            <w:r>
              <w:rPr>
                <w:rFonts w:hint="eastAsia" w:asciiTheme="minorEastAsia" w:hAnsiTheme="minorEastAsia" w:eastAsiaTheme="minorEastAsia" w:cstheme="minorEastAsia"/>
                <w:color w:val="000000"/>
                <w:sz w:val="21"/>
                <w:szCs w:val="21"/>
                <w:highlight w:val="none"/>
              </w:rPr>
              <w:t>150℃</w:t>
            </w:r>
          </w:p>
          <w:p w14:paraId="228C1AEA">
            <w:pPr>
              <w:tabs>
                <w:tab w:val="left" w:pos="5280"/>
              </w:tabs>
              <w:wordWrap w:val="0"/>
              <w:autoSpaceDE w:val="0"/>
              <w:autoSpaceDN w:val="0"/>
              <w:spacing w:before="0" w:after="0" w:line="240" w:lineRule="auto"/>
              <w:ind w:firstLine="0"/>
              <w:jc w:val="both"/>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rPr>
              <w:t>升温时间</w:t>
            </w:r>
            <w:r>
              <w:rPr>
                <w:rFonts w:hint="eastAsia" w:asciiTheme="minorEastAsia" w:hAnsi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≤30</w:t>
            </w:r>
            <w:r>
              <w:rPr>
                <w:rFonts w:hint="eastAsia" w:asciiTheme="minorEastAsia" w:hAnsiTheme="minorEastAsia" w:cstheme="minorEastAsia"/>
                <w:color w:val="000000"/>
                <w:sz w:val="21"/>
                <w:szCs w:val="21"/>
                <w:highlight w:val="none"/>
                <w:lang w:val="en-US" w:eastAsia="zh-CN"/>
              </w:rPr>
              <w:t>min</w:t>
            </w:r>
            <w:r>
              <w:rPr>
                <w:rFonts w:hint="eastAsia" w:asciiTheme="minorEastAsia" w:hAnsiTheme="minorEastAsia" w:eastAsiaTheme="minorEastAsia" w:cstheme="minorEastAsia"/>
                <w:color w:val="000000"/>
                <w:sz w:val="21"/>
                <w:szCs w:val="21"/>
                <w:highlight w:val="none"/>
              </w:rPr>
              <w:t>（从20℃升至</w:t>
            </w:r>
            <w:r>
              <w:rPr>
                <w:rFonts w:hint="eastAsia" w:asciiTheme="minorEastAsia" w:hAnsiTheme="minorEastAsia" w:eastAsiaTheme="minorEastAsia" w:cstheme="minorEastAsia"/>
                <w:color w:val="000000"/>
                <w:sz w:val="21"/>
                <w:szCs w:val="21"/>
                <w:highlight w:val="none"/>
                <w:u w:val="none"/>
              </w:rPr>
              <w:t>15</w:t>
            </w:r>
            <w:r>
              <w:rPr>
                <w:rFonts w:hint="eastAsia" w:asciiTheme="minorEastAsia" w:hAnsiTheme="minorEastAsia" w:eastAsiaTheme="minorEastAsia" w:cstheme="minorEastAsia"/>
                <w:color w:val="000000"/>
                <w:sz w:val="21"/>
                <w:szCs w:val="21"/>
                <w:highlight w:val="none"/>
              </w:rPr>
              <w:t>0℃</w:t>
            </w:r>
            <w:r>
              <w:rPr>
                <w:rFonts w:hint="eastAsia" w:asciiTheme="minorEastAsia" w:hAnsiTheme="minorEastAsia" w:cstheme="minorEastAsia"/>
                <w:color w:val="000000"/>
                <w:sz w:val="21"/>
                <w:szCs w:val="21"/>
                <w:highlight w:val="none"/>
                <w:lang w:eastAsia="zh-CN"/>
              </w:rPr>
              <w:t>）</w:t>
            </w:r>
          </w:p>
          <w:p w14:paraId="281EEFC2">
            <w:pPr>
              <w:tabs>
                <w:tab w:val="left" w:pos="5280"/>
              </w:tabs>
              <w:wordWrap w:val="0"/>
              <w:autoSpaceDE w:val="0"/>
              <w:autoSpaceDN w:val="0"/>
              <w:spacing w:before="0" w:after="0" w:line="240" w:lineRule="auto"/>
              <w:ind w:firstLine="0"/>
              <w:jc w:val="both"/>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u w:val="none"/>
              </w:rPr>
              <w:t>温度稳定性</w:t>
            </w:r>
            <w:r>
              <w:rPr>
                <w:rFonts w:hint="eastAsia" w:asciiTheme="minorEastAsia" w:hAnsiTheme="minorEastAsia" w:cstheme="minorEastAsia"/>
                <w:color w:val="000000"/>
                <w:sz w:val="21"/>
                <w:szCs w:val="21"/>
                <w:highlight w:val="none"/>
                <w:u w:val="none"/>
                <w:lang w:eastAsia="zh-CN"/>
              </w:rPr>
              <w:t>：</w:t>
            </w:r>
            <w:r>
              <w:rPr>
                <w:rFonts w:hint="eastAsia" w:asciiTheme="minorEastAsia" w:hAnsiTheme="minorEastAsia" w:cstheme="minorEastAsia"/>
                <w:color w:val="000000"/>
                <w:sz w:val="21"/>
                <w:szCs w:val="21"/>
                <w:highlight w:val="none"/>
                <w:u w:val="none"/>
                <w:lang w:val="en-US" w:eastAsia="zh-CN"/>
              </w:rPr>
              <w:t>在</w:t>
            </w:r>
            <w:r>
              <w:rPr>
                <w:rFonts w:hint="eastAsia" w:asciiTheme="minorEastAsia" w:hAnsiTheme="minorEastAsia" w:eastAsiaTheme="minorEastAsia" w:cstheme="minorEastAsia"/>
                <w:color w:val="000000"/>
                <w:sz w:val="21"/>
                <w:szCs w:val="21"/>
                <w:highlight w:val="none"/>
                <w:u w:val="none"/>
                <w:lang w:val="en-US" w:eastAsia="zh-CN"/>
              </w:rPr>
              <w:t>40</w:t>
            </w: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cstheme="minorEastAsia"/>
                <w:color w:val="000000"/>
                <w:sz w:val="21"/>
                <w:szCs w:val="21"/>
                <w:highlight w:val="none"/>
                <w:lang w:val="en-US" w:eastAsia="zh-CN"/>
              </w:rPr>
              <w:t>时，</w:t>
            </w:r>
            <w:r>
              <w:rPr>
                <w:rFonts w:hint="eastAsia" w:asciiTheme="minorEastAsia" w:hAnsiTheme="minorEastAsia" w:eastAsiaTheme="minorEastAsia" w:cstheme="minorEastAsia"/>
                <w:color w:val="000000"/>
                <w:sz w:val="21"/>
                <w:szCs w:val="21"/>
                <w:highlight w:val="none"/>
              </w:rPr>
              <w:t>≤±0.</w:t>
            </w:r>
            <w:r>
              <w:rPr>
                <w:rFonts w:hint="eastAsia" w:asciiTheme="minorEastAsia" w:hAnsiTheme="minorEastAsia" w:eastAsiaTheme="minorEastAsia" w:cstheme="minorEastAsia"/>
                <w:color w:val="000000"/>
                <w:sz w:val="21"/>
                <w:szCs w:val="21"/>
                <w:highlight w:val="none"/>
                <w:lang w:val="en-US" w:eastAsia="zh-CN"/>
              </w:rPr>
              <w:t>3</w:t>
            </w:r>
            <w:r>
              <w:rPr>
                <w:rFonts w:hint="eastAsia" w:asciiTheme="minorEastAsia" w:hAnsiTheme="minorEastAsia" w:eastAsiaTheme="minorEastAsia" w:cstheme="minorEastAsia"/>
                <w:color w:val="000000"/>
                <w:sz w:val="21"/>
                <w:szCs w:val="21"/>
                <w:highlight w:val="none"/>
              </w:rPr>
              <w:t>℃</w:t>
            </w:r>
          </w:p>
          <w:p w14:paraId="54B276F8">
            <w:pPr>
              <w:tabs>
                <w:tab w:val="left" w:pos="5280"/>
              </w:tabs>
              <w:wordWrap w:val="0"/>
              <w:autoSpaceDE w:val="0"/>
              <w:autoSpaceDN w:val="0"/>
              <w:spacing w:before="0" w:after="0" w:line="240" w:lineRule="auto"/>
              <w:ind w:firstLine="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u w:val="none"/>
              </w:rPr>
              <w:t>温度稳定性</w:t>
            </w:r>
            <w:r>
              <w:rPr>
                <w:rFonts w:hint="eastAsia" w:asciiTheme="minorEastAsia" w:hAnsiTheme="minorEastAsia" w:cstheme="minorEastAsia"/>
                <w:color w:val="000000"/>
                <w:sz w:val="21"/>
                <w:szCs w:val="21"/>
                <w:highlight w:val="none"/>
                <w:u w:val="none"/>
                <w:lang w:eastAsia="zh-CN"/>
              </w:rPr>
              <w:t>：</w:t>
            </w:r>
            <w:r>
              <w:rPr>
                <w:rFonts w:hint="eastAsia" w:asciiTheme="minorEastAsia" w:hAnsiTheme="minorEastAsia" w:cstheme="minorEastAsia"/>
                <w:color w:val="000000"/>
                <w:sz w:val="21"/>
                <w:szCs w:val="21"/>
                <w:highlight w:val="none"/>
                <w:u w:val="none"/>
                <w:lang w:val="en-US" w:eastAsia="zh-CN"/>
              </w:rPr>
              <w:t>在</w:t>
            </w:r>
            <w:r>
              <w:rPr>
                <w:rFonts w:hint="eastAsia" w:asciiTheme="minorEastAsia" w:hAnsiTheme="minorEastAsia" w:eastAsiaTheme="minorEastAsia" w:cstheme="minorEastAsia"/>
                <w:color w:val="000000"/>
                <w:sz w:val="21"/>
                <w:szCs w:val="21"/>
                <w:highlight w:val="none"/>
                <w:u w:val="none"/>
              </w:rPr>
              <w:t>100</w:t>
            </w: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cstheme="minorEastAsia"/>
                <w:color w:val="000000"/>
                <w:sz w:val="21"/>
                <w:szCs w:val="21"/>
                <w:highlight w:val="none"/>
                <w:lang w:val="en-US" w:eastAsia="zh-CN"/>
              </w:rPr>
              <w:t>时，</w:t>
            </w:r>
            <w:r>
              <w:rPr>
                <w:rFonts w:hint="eastAsia" w:asciiTheme="minorEastAsia" w:hAnsiTheme="minorEastAsia" w:eastAsiaTheme="minorEastAsia" w:cstheme="minorEastAsia"/>
                <w:color w:val="000000"/>
                <w:sz w:val="21"/>
                <w:szCs w:val="21"/>
                <w:highlight w:val="none"/>
              </w:rPr>
              <w:t>≤±0.5℃</w:t>
            </w:r>
          </w:p>
          <w:p w14:paraId="6F77F42B">
            <w:pPr>
              <w:tabs>
                <w:tab w:val="left" w:pos="5280"/>
              </w:tabs>
              <w:wordWrap w:val="0"/>
              <w:autoSpaceDE w:val="0"/>
              <w:autoSpaceDN w:val="0"/>
              <w:spacing w:before="0" w:after="0" w:line="240" w:lineRule="auto"/>
              <w:ind w:firstLine="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sz w:val="21"/>
                <w:szCs w:val="21"/>
                <w:highlight w:val="none"/>
              </w:rPr>
              <w:t>温度稳定性</w:t>
            </w:r>
            <w:r>
              <w:rPr>
                <w:rFonts w:hint="eastAsia" w:asciiTheme="minorEastAsia" w:hAnsiTheme="minorEastAsia" w:cstheme="minorEastAsia"/>
                <w:color w:val="000000"/>
                <w:sz w:val="21"/>
                <w:szCs w:val="21"/>
                <w:highlight w:val="none"/>
                <w:u w:val="none"/>
                <w:lang w:eastAsia="zh-CN"/>
              </w:rPr>
              <w:t>：</w:t>
            </w:r>
            <w:r>
              <w:rPr>
                <w:rFonts w:hint="eastAsia" w:asciiTheme="minorEastAsia" w:hAnsiTheme="minorEastAsia" w:cstheme="minorEastAsia"/>
                <w:color w:val="000000"/>
                <w:sz w:val="21"/>
                <w:szCs w:val="21"/>
                <w:highlight w:val="none"/>
                <w:u w:val="none"/>
                <w:lang w:val="en-US" w:eastAsia="zh-CN"/>
              </w:rPr>
              <w:t>在</w:t>
            </w:r>
            <w:r>
              <w:rPr>
                <w:rFonts w:hint="eastAsia" w:asciiTheme="minorEastAsia" w:hAnsiTheme="minorEastAsia" w:eastAsiaTheme="minorEastAsia" w:cstheme="minorEastAsia"/>
                <w:color w:val="000000"/>
                <w:sz w:val="21"/>
                <w:szCs w:val="21"/>
                <w:highlight w:val="none"/>
              </w:rPr>
              <w:t>120℃</w:t>
            </w:r>
            <w:r>
              <w:rPr>
                <w:rFonts w:hint="eastAsia" w:asciiTheme="minorEastAsia" w:hAnsiTheme="minorEastAsia" w:cstheme="minorEastAsia"/>
                <w:color w:val="000000"/>
                <w:sz w:val="21"/>
                <w:szCs w:val="21"/>
                <w:highlight w:val="none"/>
                <w:lang w:val="en-US" w:eastAsia="zh-CN"/>
              </w:rPr>
              <w:t>时，</w:t>
            </w: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eastAsiaTheme="minorEastAsia" w:cstheme="minorEastAsia"/>
                <w:color w:val="000000"/>
                <w:sz w:val="21"/>
                <w:szCs w:val="21"/>
                <w:highlight w:val="none"/>
                <w:lang w:val="en-US" w:eastAsia="zh-CN"/>
              </w:rPr>
              <w:t>1</w:t>
            </w:r>
            <w:r>
              <w:rPr>
                <w:rFonts w:hint="eastAsia" w:asciiTheme="minorEastAsia" w:hAnsiTheme="minorEastAsia" w:eastAsiaTheme="minorEastAsia" w:cstheme="minorEastAsia"/>
                <w:color w:val="000000"/>
                <w:sz w:val="21"/>
                <w:szCs w:val="21"/>
                <w:highlight w:val="none"/>
              </w:rPr>
              <w:t>℃</w:t>
            </w:r>
          </w:p>
          <w:p w14:paraId="0722ED54">
            <w:pPr>
              <w:tabs>
                <w:tab w:val="left" w:pos="5980"/>
              </w:tabs>
              <w:wordWrap w:val="0"/>
              <w:autoSpaceDE w:val="0"/>
              <w:autoSpaceDN w:val="0"/>
              <w:spacing w:before="0" w:after="0" w:line="240" w:lineRule="auto"/>
              <w:ind w:firstLine="0"/>
              <w:jc w:val="both"/>
              <w:rPr>
                <w:rFonts w:hint="eastAsia" w:asciiTheme="minorEastAsia" w:hAnsiTheme="minorEastAsia" w:eastAsiaTheme="minorEastAsia" w:cstheme="minorEastAsia"/>
                <w:sz w:val="21"/>
                <w:szCs w:val="21"/>
                <w:highlight w:val="none"/>
              </w:rPr>
            </w:pPr>
            <w:r>
              <w:rPr>
                <w:rFonts w:hint="eastAsia" w:ascii="宋体" w:hAnsi="宋体" w:eastAsia="宋体"/>
                <w:color w:val="000000"/>
                <w:sz w:val="21"/>
                <w:szCs w:val="21"/>
                <w:highlight w:val="none"/>
              </w:rPr>
              <w:t>放置模块孔数</w:t>
            </w:r>
            <w:r>
              <w:rPr>
                <w:rFonts w:hint="eastAsia" w:asciiTheme="majorEastAsia" w:hAnsiTheme="majorEastAsia" w:eastAsiaTheme="majorEastAsia" w:cstheme="majorEastAsia"/>
                <w:color w:val="000000"/>
                <w:sz w:val="21"/>
                <w:szCs w:val="21"/>
                <w:highlight w:val="none"/>
                <w:lang w:eastAsia="zh-CN"/>
              </w:rPr>
              <w:t>：</w:t>
            </w:r>
            <w:r>
              <w:rPr>
                <w:rFonts w:hint="eastAsia" w:asciiTheme="majorEastAsia" w:hAnsiTheme="majorEastAsia" w:eastAsiaTheme="majorEastAsia" w:cstheme="majorEastAsia"/>
                <w:color w:val="000000"/>
                <w:sz w:val="21"/>
                <w:szCs w:val="21"/>
                <w:highlight w:val="none"/>
              </w:rPr>
              <w:t>12孔</w:t>
            </w:r>
            <w:r>
              <w:rPr>
                <w:rFonts w:hint="eastAsia" w:asciiTheme="majorEastAsia" w:hAnsiTheme="majorEastAsia" w:eastAsiaTheme="majorEastAsia" w:cstheme="majorEastAsia"/>
                <w:color w:val="000000"/>
                <w:sz w:val="21"/>
                <w:szCs w:val="21"/>
                <w:highlight w:val="none"/>
                <w:lang w:eastAsia="zh-CN"/>
              </w:rPr>
              <w:t>可视</w:t>
            </w:r>
            <w:r>
              <w:rPr>
                <w:rFonts w:hint="eastAsia" w:asciiTheme="minorEastAsia" w:hAnsiTheme="minorEastAsia" w:eastAsiaTheme="minorEastAsia" w:cstheme="minorEastAsia"/>
                <w:color w:val="000000"/>
                <w:sz w:val="21"/>
                <w:szCs w:val="21"/>
                <w:highlight w:val="none"/>
              </w:rPr>
              <w:tab/>
            </w:r>
            <w:r>
              <w:rPr>
                <w:rFonts w:hint="eastAsia" w:asciiTheme="minorEastAsia" w:hAnsiTheme="minorEastAsia" w:eastAsiaTheme="minorEastAsia" w:cstheme="minorEastAsia"/>
                <w:color w:val="000000"/>
                <w:sz w:val="21"/>
                <w:szCs w:val="21"/>
                <w:highlight w:val="none"/>
              </w:rPr>
              <w:t>≤±1℃</w:t>
            </w:r>
          </w:p>
          <w:p w14:paraId="29FA1917">
            <w:pPr>
              <w:wordWrap w:val="0"/>
              <w:autoSpaceDE w:val="0"/>
              <w:autoSpaceDN w:val="0"/>
              <w:spacing w:before="0" w:after="0" w:line="240" w:lineRule="auto"/>
              <w:ind w:right="140"/>
              <w:jc w:val="both"/>
              <w:rPr>
                <w:rFonts w:hint="eastAsia" w:asciiTheme="minorEastAsia" w:hAnsiTheme="minorEastAsia" w:eastAsiaTheme="minorEastAsia" w:cstheme="minorEastAsia"/>
                <w:sz w:val="21"/>
                <w:szCs w:val="21"/>
                <w:highlight w:val="none"/>
                <w:lang w:val="en-US" w:eastAsia="zh-CN"/>
              </w:rPr>
            </w:pPr>
            <w:r>
              <w:rPr>
                <w:rFonts w:hint="eastAsia" w:ascii="宋体" w:hAnsi="宋体" w:eastAsia="宋体"/>
                <w:color w:val="000000"/>
                <w:sz w:val="21"/>
                <w:szCs w:val="21"/>
                <w:highlight w:val="none"/>
              </w:rPr>
              <w:t>定时时间设置</w:t>
            </w:r>
            <w:r>
              <w:rPr>
                <w:rFonts w:hint="eastAsia" w:asciiTheme="minorEastAsia" w:hAnsi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0</w:t>
            </w:r>
            <w:r>
              <w:rPr>
                <w:rFonts w:hint="eastAsia" w:ascii="仿宋" w:hAnsi="仿宋" w:eastAsia="仿宋" w:cs="仿宋"/>
                <w:highlight w:val="none"/>
              </w:rPr>
              <w:t>～</w:t>
            </w:r>
            <w:r>
              <w:rPr>
                <w:rFonts w:hint="eastAsia" w:asciiTheme="minorEastAsia" w:hAnsiTheme="minorEastAsia" w:eastAsiaTheme="minorEastAsia" w:cstheme="minorEastAsia"/>
                <w:color w:val="000000"/>
                <w:sz w:val="21"/>
                <w:szCs w:val="21"/>
                <w:highlight w:val="none"/>
              </w:rPr>
              <w:t>99</w:t>
            </w:r>
            <w:r>
              <w:rPr>
                <w:rFonts w:hint="eastAsia" w:asciiTheme="minorEastAsia" w:hAnsiTheme="minorEastAsia" w:cstheme="minorEastAsia"/>
                <w:color w:val="000000"/>
                <w:sz w:val="21"/>
                <w:szCs w:val="21"/>
                <w:highlight w:val="none"/>
                <w:lang w:val="en-US" w:eastAsia="zh-CN"/>
              </w:rPr>
              <w:t>h</w:t>
            </w:r>
            <w:r>
              <w:rPr>
                <w:rFonts w:hint="eastAsia" w:asciiTheme="minorEastAsia" w:hAnsiTheme="minorEastAsia" w:eastAsiaTheme="minorEastAsia" w:cstheme="minorEastAsia"/>
                <w:color w:val="000000"/>
                <w:sz w:val="21"/>
                <w:szCs w:val="21"/>
                <w:highlight w:val="none"/>
              </w:rPr>
              <w:t>59</w:t>
            </w:r>
            <w:r>
              <w:rPr>
                <w:rFonts w:hint="eastAsia" w:asciiTheme="minorEastAsia" w:hAnsiTheme="minorEastAsia" w:cstheme="minorEastAsia"/>
                <w:color w:val="000000"/>
                <w:sz w:val="21"/>
                <w:szCs w:val="21"/>
                <w:highlight w:val="none"/>
                <w:lang w:val="en-US" w:eastAsia="zh-CN"/>
              </w:rPr>
              <w:t>min</w:t>
            </w:r>
          </w:p>
          <w:p w14:paraId="49FD34BC">
            <w:pPr>
              <w:tabs>
                <w:tab w:val="left" w:pos="5800"/>
              </w:tabs>
              <w:wordWrap w:val="0"/>
              <w:autoSpaceDE w:val="0"/>
              <w:autoSpaceDN w:val="0"/>
              <w:spacing w:before="0" w:after="0" w:line="240" w:lineRule="auto"/>
              <w:ind w:firstLine="0"/>
              <w:jc w:val="both"/>
              <w:rPr>
                <w:rFonts w:hint="eastAsia" w:asciiTheme="minorEastAsia" w:hAnsiTheme="minorEastAsia" w:eastAsiaTheme="minorEastAsia" w:cstheme="minorEastAsia"/>
                <w:color w:val="000000"/>
                <w:sz w:val="21"/>
                <w:szCs w:val="21"/>
                <w:highlight w:val="none"/>
                <w:lang w:eastAsia="zh-CN"/>
              </w:rPr>
            </w:pPr>
            <w:r>
              <w:rPr>
                <w:rFonts w:hint="eastAsia" w:ascii="宋体" w:hAnsi="宋体" w:eastAsia="宋体"/>
                <w:color w:val="000000"/>
                <w:sz w:val="21"/>
                <w:szCs w:val="21"/>
                <w:highlight w:val="none"/>
              </w:rPr>
              <w:t>最大升降行程</w:t>
            </w:r>
            <w:r>
              <w:rPr>
                <w:rFonts w:hint="eastAsia" w:asciiTheme="minorEastAsia" w:hAnsiTheme="minorEastAsia" w:cstheme="minorEastAsia"/>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200</w:t>
            </w:r>
            <w:r>
              <w:rPr>
                <w:rFonts w:hint="eastAsia" w:asciiTheme="minorEastAsia" w:hAnsiTheme="minorEastAsia" w:cstheme="minorEastAsia"/>
                <w:color w:val="000000"/>
                <w:sz w:val="21"/>
                <w:szCs w:val="21"/>
                <w:highlight w:val="none"/>
                <w:lang w:val="en-US" w:eastAsia="zh-CN"/>
              </w:rPr>
              <w:t>mm</w:t>
            </w:r>
          </w:p>
          <w:p w14:paraId="7B6D5F74">
            <w:pPr>
              <w:tabs>
                <w:tab w:val="left" w:pos="5620"/>
              </w:tabs>
              <w:wordWrap w:val="0"/>
              <w:autoSpaceDE w:val="0"/>
              <w:autoSpaceDN w:val="0"/>
              <w:spacing w:before="0" w:after="0" w:line="240" w:lineRule="auto"/>
              <w:ind w:firstLine="0"/>
              <w:jc w:val="both"/>
              <w:rPr>
                <w:rFonts w:hint="eastAsia" w:asciiTheme="minorEastAsia" w:hAnsiTheme="minorEastAsia" w:eastAsiaTheme="minorEastAsia" w:cstheme="minorEastAsia"/>
                <w:color w:val="000000"/>
                <w:sz w:val="21"/>
                <w:szCs w:val="21"/>
                <w:highlight w:val="none"/>
                <w:lang w:eastAsia="zh-CN"/>
              </w:rPr>
            </w:pPr>
            <w:r>
              <w:rPr>
                <w:rFonts w:hint="eastAsia" w:ascii="宋体" w:hAnsi="宋体" w:eastAsia="宋体"/>
                <w:color w:val="000000"/>
                <w:sz w:val="21"/>
                <w:szCs w:val="21"/>
                <w:highlight w:val="none"/>
              </w:rPr>
              <w:t>氮气流量</w:t>
            </w:r>
            <w:r>
              <w:rPr>
                <w:rFonts w:hint="eastAsia" w:ascii="宋体" w:hAnsi="宋体" w:eastAsia="宋体"/>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0</w:t>
            </w:r>
            <w:r>
              <w:rPr>
                <w:rFonts w:hint="eastAsia" w:ascii="仿宋" w:hAnsi="仿宋" w:eastAsia="仿宋" w:cs="仿宋"/>
                <w:highlight w:val="none"/>
              </w:rPr>
              <w:t>～</w:t>
            </w:r>
            <w:r>
              <w:rPr>
                <w:rFonts w:hint="eastAsia" w:asciiTheme="minorEastAsia" w:hAnsiTheme="minorEastAsia" w:eastAsiaTheme="minorEastAsia" w:cstheme="minorEastAsia"/>
                <w:color w:val="000000"/>
                <w:sz w:val="21"/>
                <w:szCs w:val="21"/>
                <w:highlight w:val="none"/>
              </w:rPr>
              <w:t>12L/</w:t>
            </w:r>
            <w:r>
              <w:rPr>
                <w:rFonts w:hint="eastAsia" w:asciiTheme="minorEastAsia" w:hAnsiTheme="minorEastAsia" w:cstheme="minorEastAsia"/>
                <w:color w:val="000000"/>
                <w:sz w:val="21"/>
                <w:szCs w:val="21"/>
                <w:highlight w:val="none"/>
                <w:lang w:val="en-US" w:eastAsia="zh-CN"/>
              </w:rPr>
              <w:t>min</w:t>
            </w:r>
          </w:p>
          <w:p w14:paraId="431A6FE9">
            <w:pPr>
              <w:tabs>
                <w:tab w:val="left" w:pos="5800"/>
              </w:tabs>
              <w:wordWrap w:val="0"/>
              <w:autoSpaceDE w:val="0"/>
              <w:autoSpaceDN w:val="0"/>
              <w:spacing w:before="0" w:after="0" w:line="240" w:lineRule="auto"/>
              <w:ind w:firstLine="0"/>
              <w:jc w:val="both"/>
              <w:rPr>
                <w:rFonts w:hint="eastAsia" w:asciiTheme="minorEastAsia" w:hAnsiTheme="minorEastAsia" w:eastAsiaTheme="minorEastAsia" w:cstheme="minorEastAsia"/>
                <w:sz w:val="21"/>
                <w:szCs w:val="21"/>
                <w:highlight w:val="none"/>
                <w:lang w:eastAsia="zh-CN"/>
              </w:rPr>
            </w:pPr>
            <w:r>
              <w:rPr>
                <w:rFonts w:hint="eastAsia" w:ascii="宋体" w:hAnsi="宋体" w:eastAsia="宋体"/>
                <w:color w:val="000000"/>
                <w:sz w:val="21"/>
                <w:szCs w:val="21"/>
                <w:highlight w:val="none"/>
              </w:rPr>
              <w:t>氮气压力</w:t>
            </w:r>
            <w:r>
              <w:rPr>
                <w:rFonts w:hint="eastAsia" w:ascii="宋体" w:hAnsi="宋体" w:eastAsia="宋体"/>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≤0.2MP</w:t>
            </w:r>
            <w:r>
              <w:rPr>
                <w:rFonts w:hint="eastAsia" w:asciiTheme="minorEastAsia" w:hAnsiTheme="minorEastAsia" w:cstheme="minorEastAsia"/>
                <w:color w:val="000000"/>
                <w:sz w:val="21"/>
                <w:szCs w:val="21"/>
                <w:highlight w:val="none"/>
                <w:lang w:val="en-US" w:eastAsia="zh-CN"/>
              </w:rPr>
              <w:t>a</w:t>
            </w:r>
          </w:p>
          <w:p w14:paraId="4573B795">
            <w:pPr>
              <w:tabs>
                <w:tab w:val="left" w:pos="5620"/>
              </w:tabs>
              <w:wordWrap w:val="0"/>
              <w:autoSpaceDE w:val="0"/>
              <w:autoSpaceDN w:val="0"/>
              <w:spacing w:before="0" w:after="0" w:line="240" w:lineRule="auto"/>
              <w:ind w:firstLine="0"/>
              <w:jc w:val="both"/>
              <w:rPr>
                <w:rFonts w:hint="eastAsia" w:asciiTheme="minorEastAsia" w:hAnsiTheme="minorEastAsia" w:eastAsiaTheme="minorEastAsia" w:cstheme="minorEastAsia"/>
                <w:color w:val="000000"/>
                <w:sz w:val="21"/>
                <w:szCs w:val="21"/>
                <w:highlight w:val="none"/>
              </w:rPr>
            </w:pPr>
            <w:r>
              <w:rPr>
                <w:rFonts w:hint="eastAsia" w:ascii="宋体" w:hAnsi="宋体" w:eastAsia="宋体"/>
                <w:color w:val="000000"/>
                <w:sz w:val="21"/>
                <w:szCs w:val="21"/>
                <w:highlight w:val="none"/>
              </w:rPr>
              <w:t>最大功率</w:t>
            </w:r>
            <w:r>
              <w:rPr>
                <w:rFonts w:hint="eastAsia" w:ascii="宋体" w:hAnsi="宋体" w:eastAsia="宋体"/>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200W</w:t>
            </w:r>
            <w:r>
              <w:rPr>
                <w:rFonts w:hint="eastAsia" w:asciiTheme="minorEastAsia" w:hAnsiTheme="minorEastAsia" w:eastAsiaTheme="minorEastAsia" w:cstheme="minorEastAsia"/>
                <w:color w:val="000000"/>
                <w:sz w:val="21"/>
                <w:szCs w:val="21"/>
                <w:highlight w:val="none"/>
                <w:lang w:val="en-US" w:eastAsia="zh-CN"/>
              </w:rPr>
              <w:t xml:space="preserve"> </w:t>
            </w:r>
          </w:p>
          <w:p w14:paraId="7F9B476A">
            <w:pPr>
              <w:tabs>
                <w:tab w:val="left" w:pos="5120"/>
              </w:tabs>
              <w:wordWrap w:val="0"/>
              <w:autoSpaceDE w:val="0"/>
              <w:autoSpaceDN w:val="0"/>
              <w:spacing w:before="0" w:after="0" w:line="240" w:lineRule="auto"/>
              <w:ind w:firstLine="0"/>
              <w:jc w:val="both"/>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宋体" w:hAnsi="宋体" w:eastAsia="宋体"/>
                <w:color w:val="000000"/>
                <w:sz w:val="21"/>
                <w:szCs w:val="21"/>
                <w:highlight w:val="none"/>
              </w:rPr>
              <w:t>外形尺寸</w:t>
            </w:r>
            <w:r>
              <w:rPr>
                <w:rFonts w:hint="eastAsia" w:ascii="宋体" w:hAnsi="宋体" w:eastAsia="宋体"/>
                <w:color w:val="000000"/>
                <w:sz w:val="21"/>
                <w:szCs w:val="21"/>
                <w:highlight w:val="none"/>
                <w:lang w:eastAsia="zh-CN"/>
              </w:rPr>
              <w:t>：</w:t>
            </w:r>
            <w:r>
              <w:rPr>
                <w:rFonts w:hint="eastAsia" w:asciiTheme="minorEastAsia" w:hAnsiTheme="minorEastAsia" w:eastAsiaTheme="minorEastAsia" w:cstheme="minorEastAsia"/>
                <w:color w:val="000000"/>
                <w:sz w:val="21"/>
                <w:szCs w:val="21"/>
                <w:highlight w:val="none"/>
              </w:rPr>
              <w:t>≤220</w:t>
            </w:r>
            <w:r>
              <w:rPr>
                <w:rFonts w:hint="eastAsia" w:asciiTheme="minorEastAsia" w:hAnsiTheme="minorEastAsia" w:cstheme="minorEastAsia"/>
                <w:color w:val="000000"/>
                <w:sz w:val="21"/>
                <w:szCs w:val="21"/>
                <w:highlight w:val="none"/>
                <w:lang w:val="en-US" w:eastAsia="zh-CN"/>
              </w:rPr>
              <w:t>mm</w:t>
            </w:r>
            <w:r>
              <w:rPr>
                <w:rFonts w:hint="eastAsia" w:asciiTheme="minorEastAsia" w:hAnsiTheme="minorEastAsia" w:eastAsiaTheme="minorEastAsia" w:cstheme="minorEastAsia"/>
                <w:color w:val="000000"/>
                <w:sz w:val="21"/>
                <w:szCs w:val="21"/>
                <w:highlight w:val="none"/>
              </w:rPr>
              <w:t>X220</w:t>
            </w:r>
            <w:r>
              <w:rPr>
                <w:rFonts w:hint="eastAsia" w:asciiTheme="minorEastAsia" w:hAnsiTheme="minorEastAsia" w:cstheme="minorEastAsia"/>
                <w:color w:val="000000"/>
                <w:sz w:val="21"/>
                <w:szCs w:val="21"/>
                <w:highlight w:val="none"/>
                <w:lang w:val="en-US" w:eastAsia="zh-CN"/>
              </w:rPr>
              <w:t>mm</w:t>
            </w:r>
            <w:r>
              <w:rPr>
                <w:rFonts w:hint="eastAsia" w:asciiTheme="minorEastAsia" w:hAnsiTheme="minorEastAsia" w:eastAsiaTheme="minorEastAsia" w:cstheme="minorEastAsia"/>
                <w:color w:val="000000"/>
                <w:sz w:val="21"/>
                <w:szCs w:val="21"/>
                <w:highlight w:val="none"/>
              </w:rPr>
              <w:t>X550</w:t>
            </w:r>
            <w:r>
              <w:rPr>
                <w:rFonts w:hint="eastAsia" w:asciiTheme="minorEastAsia" w:hAnsiTheme="minorEastAsia" w:cstheme="minorEastAsia"/>
                <w:color w:val="000000"/>
                <w:sz w:val="21"/>
                <w:szCs w:val="21"/>
                <w:highlight w:val="none"/>
                <w:lang w:val="en-US" w:eastAsia="zh-CN"/>
              </w:rPr>
              <w:t>mm</w:t>
            </w:r>
            <w:r>
              <w:rPr>
                <w:rFonts w:hint="eastAsia" w:asciiTheme="minorEastAsia" w:hAnsiTheme="minorEastAsia" w:eastAsiaTheme="minorEastAsia" w:cstheme="minorEastAsia"/>
                <w:color w:val="000000"/>
                <w:sz w:val="21"/>
                <w:szCs w:val="21"/>
                <w:highlight w:val="none"/>
              </w:rPr>
              <w:tab/>
            </w:r>
          </w:p>
        </w:tc>
      </w:tr>
      <w:tr w14:paraId="610CB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79" w:type="dxa"/>
            <w:tcBorders>
              <w:top w:val="single" w:color="000000" w:sz="4" w:space="0"/>
              <w:left w:val="single" w:color="000000" w:sz="4" w:space="0"/>
              <w:bottom w:val="single" w:color="000000" w:sz="4" w:space="0"/>
              <w:right w:val="single" w:color="000000" w:sz="4" w:space="0"/>
            </w:tcBorders>
            <w:noWrap/>
            <w:vAlign w:val="center"/>
          </w:tcPr>
          <w:p w14:paraId="5C2FE31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highlight w:val="none"/>
                <w:u w:val="none"/>
                <w:lang w:eastAsia="zh-CN"/>
              </w:rPr>
            </w:pPr>
            <w:r>
              <w:rPr>
                <w:rFonts w:hint="eastAsia" w:asciiTheme="minorEastAsia" w:hAnsiTheme="minorEastAsia" w:eastAsiaTheme="minorEastAsia" w:cstheme="minorEastAsia"/>
                <w:i w:val="0"/>
                <w:iCs w:val="0"/>
                <w:color w:val="000000"/>
                <w:sz w:val="21"/>
                <w:szCs w:val="21"/>
                <w:highlight w:val="none"/>
                <w:u w:val="none"/>
                <w:lang w:eastAsia="zh-CN"/>
              </w:rPr>
              <w:t>氮气发声器</w:t>
            </w:r>
          </w:p>
        </w:tc>
        <w:tc>
          <w:tcPr>
            <w:tcW w:w="5985" w:type="dxa"/>
            <w:tcBorders>
              <w:top w:val="single" w:color="000000" w:sz="4" w:space="0"/>
              <w:left w:val="single" w:color="000000" w:sz="4" w:space="0"/>
              <w:bottom w:val="single" w:color="000000" w:sz="4" w:space="0"/>
              <w:right w:val="single" w:color="000000" w:sz="4" w:space="0"/>
            </w:tcBorders>
            <w:noWrap/>
            <w:vAlign w:val="center"/>
          </w:tcPr>
          <w:p w14:paraId="06E9B72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最大流量：300mL/min</w:t>
            </w:r>
          </w:p>
          <w:p w14:paraId="1989589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输出压力：0.4MPa</w:t>
            </w:r>
          </w:p>
          <w:p w14:paraId="49A5021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气体纯度：O2≤3ppm露点：-70℃</w:t>
            </w:r>
          </w:p>
          <w:p w14:paraId="35DA93C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最大功率：80W</w:t>
            </w:r>
          </w:p>
          <w:p w14:paraId="74D4B25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highlight w:val="none"/>
                <w:u w:val="none"/>
                <w:lang w:val="en-US" w:eastAsia="zh-CN" w:bidi="ar"/>
              </w:rPr>
            </w:pP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外形尺寸：</w:t>
            </w:r>
            <w:r>
              <w:rPr>
                <w:rFonts w:hint="eastAsia" w:asciiTheme="minorEastAsia" w:hAnsiTheme="minorEastAsia" w:eastAsiaTheme="minorEastAsia" w:cstheme="minorEastAsia"/>
                <w:color w:val="000000"/>
                <w:sz w:val="21"/>
                <w:szCs w:val="21"/>
                <w:highlight w:val="none"/>
              </w:rPr>
              <w:t>≤</w:t>
            </w:r>
            <w:r>
              <w:rPr>
                <w:rFonts w:hint="eastAsia" w:asciiTheme="minorEastAsia" w:hAnsiTheme="minorEastAsia" w:eastAsiaTheme="minorEastAsia" w:cstheme="minorEastAsia"/>
                <w:i w:val="0"/>
                <w:iCs w:val="0"/>
                <w:color w:val="000000"/>
                <w:kern w:val="0"/>
                <w:sz w:val="21"/>
                <w:szCs w:val="21"/>
                <w:highlight w:val="none"/>
                <w:u w:val="none"/>
                <w:lang w:val="en-US" w:eastAsia="zh-CN" w:bidi="ar"/>
              </w:rPr>
              <w:t>31cm×20cm×37cm</w:t>
            </w:r>
          </w:p>
        </w:tc>
      </w:tr>
    </w:tbl>
    <w:p w14:paraId="52166B9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楷体_GB2312" w:cs="Times New Roman"/>
          <w:sz w:val="32"/>
          <w:szCs w:val="32"/>
          <w:highlight w:val="none"/>
          <w:lang w:val="en-US" w:eastAsia="zh-CN"/>
        </w:rPr>
      </w:pPr>
    </w:p>
    <w:p w14:paraId="1BA904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楷体_GB2312" w:cs="Times New Roman"/>
          <w:sz w:val="32"/>
          <w:szCs w:val="32"/>
          <w:highlight w:val="none"/>
          <w:lang w:val="en-US" w:eastAsia="zh-CN"/>
        </w:rPr>
        <w:t>7</w:t>
      </w:r>
      <w:r>
        <w:rPr>
          <w:rFonts w:hint="default" w:ascii="Times New Roman" w:hAnsi="Times New Roman" w:eastAsia="楷体_GB2312" w:cs="Times New Roman"/>
          <w:sz w:val="32"/>
          <w:szCs w:val="32"/>
          <w:highlight w:val="none"/>
          <w:lang w:val="en-US" w:eastAsia="zh-CN"/>
        </w:rPr>
        <w:t>.</w:t>
      </w:r>
      <w:r>
        <w:rPr>
          <w:rFonts w:hint="eastAsia" w:ascii="Times New Roman" w:hAnsi="Times New Roman" w:eastAsia="楷体_GB2312" w:cs="Times New Roman"/>
          <w:sz w:val="32"/>
          <w:szCs w:val="32"/>
          <w:highlight w:val="none"/>
          <w:lang w:val="en-US" w:eastAsia="zh-CN"/>
        </w:rPr>
        <w:t>供货期限：</w:t>
      </w:r>
      <w:r>
        <w:rPr>
          <w:rFonts w:hint="eastAsia" w:ascii="Times New Roman" w:hAnsi="Times New Roman" w:eastAsia="仿宋_GB2312" w:cs="Times New Roman"/>
          <w:sz w:val="32"/>
          <w:szCs w:val="32"/>
          <w:highlight w:val="none"/>
          <w:lang w:val="en-US" w:eastAsia="zh-CN"/>
        </w:rPr>
        <w:t>2025年12月8日前。</w:t>
      </w:r>
    </w:p>
    <w:p w14:paraId="18F772B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楷体_GB2312" w:cs="Times New Roman"/>
          <w:sz w:val="32"/>
          <w:szCs w:val="32"/>
          <w:highlight w:val="none"/>
          <w:lang w:val="en-US" w:eastAsia="zh-CN"/>
        </w:rPr>
        <w:t>8.</w:t>
      </w:r>
      <w:r>
        <w:rPr>
          <w:rFonts w:hint="default" w:ascii="Times New Roman" w:hAnsi="Times New Roman" w:eastAsia="楷体_GB2312" w:cs="Times New Roman"/>
          <w:sz w:val="32"/>
          <w:szCs w:val="32"/>
          <w:highlight w:val="none"/>
          <w:lang w:val="en-US" w:eastAsia="zh-CN"/>
        </w:rPr>
        <w:t>本项目是否接受联合体投标：</w:t>
      </w:r>
      <w:r>
        <w:rPr>
          <w:rFonts w:hint="default" w:ascii="Times New Roman" w:hAnsi="Times New Roman" w:eastAsia="仿宋_GB2312" w:cs="Times New Roman"/>
          <w:sz w:val="32"/>
          <w:szCs w:val="32"/>
          <w:highlight w:val="none"/>
          <w:lang w:val="en-US" w:eastAsia="zh-CN"/>
        </w:rPr>
        <w:t>否。</w:t>
      </w:r>
    </w:p>
    <w:p w14:paraId="53AF05E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楷体_GB2312" w:cs="Times New Roman"/>
          <w:sz w:val="32"/>
          <w:szCs w:val="32"/>
          <w:highlight w:val="none"/>
          <w:lang w:val="en-US" w:eastAsia="zh-CN"/>
        </w:rPr>
        <w:t>9</w:t>
      </w:r>
      <w:r>
        <w:rPr>
          <w:rFonts w:hint="default" w:ascii="Times New Roman" w:hAnsi="Times New Roman" w:eastAsia="楷体_GB2312" w:cs="Times New Roman"/>
          <w:sz w:val="32"/>
          <w:szCs w:val="32"/>
          <w:highlight w:val="none"/>
          <w:lang w:val="en-US" w:eastAsia="zh-CN"/>
        </w:rPr>
        <w:t>.是否接受进口产品：</w:t>
      </w:r>
      <w:r>
        <w:rPr>
          <w:rFonts w:hint="default" w:ascii="Times New Roman" w:hAnsi="Times New Roman" w:eastAsia="仿宋_GB2312" w:cs="Times New Roman"/>
          <w:sz w:val="32"/>
          <w:szCs w:val="32"/>
          <w:highlight w:val="none"/>
          <w:lang w:val="en-US" w:eastAsia="zh-CN"/>
        </w:rPr>
        <w:t>否。</w:t>
      </w:r>
    </w:p>
    <w:p w14:paraId="240189D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楷体_GB2312" w:cs="Times New Roman"/>
          <w:sz w:val="32"/>
          <w:szCs w:val="32"/>
          <w:highlight w:val="none"/>
          <w:lang w:val="en-US" w:eastAsia="zh-CN"/>
        </w:rPr>
        <w:t>10</w:t>
      </w:r>
      <w:r>
        <w:rPr>
          <w:rFonts w:hint="default" w:ascii="Times New Roman" w:hAnsi="Times New Roman" w:eastAsia="楷体_GB2312" w:cs="Times New Roman"/>
          <w:sz w:val="32"/>
          <w:szCs w:val="32"/>
          <w:highlight w:val="none"/>
          <w:lang w:val="en-US" w:eastAsia="zh-CN"/>
        </w:rPr>
        <w:t>.是否专门面向中小企业：</w:t>
      </w:r>
      <w:r>
        <w:rPr>
          <w:rFonts w:hint="default" w:ascii="Times New Roman" w:hAnsi="Times New Roman" w:eastAsia="仿宋_GB2312" w:cs="Times New Roman"/>
          <w:sz w:val="32"/>
          <w:szCs w:val="32"/>
          <w:highlight w:val="none"/>
          <w:lang w:val="en-US" w:eastAsia="zh-CN"/>
        </w:rPr>
        <w:t>是。</w:t>
      </w:r>
    </w:p>
    <w:p w14:paraId="5E93E1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 xml:space="preserve"> 二、供应商资质条件 </w:t>
      </w:r>
    </w:p>
    <w:p w14:paraId="6D008FA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1.符合《中华人民共和国政府采购法》第二十二条规定应当具备的条件</w:t>
      </w:r>
      <w:r>
        <w:rPr>
          <w:rFonts w:hint="eastAsia" w:ascii="Times New Roman" w:hAnsi="Times New Roman" w:eastAsia="仿宋_GB2312" w:cs="Times New Roman"/>
          <w:sz w:val="32"/>
          <w:szCs w:val="32"/>
          <w:highlight w:val="none"/>
          <w:lang w:val="en-US" w:eastAsia="zh-CN"/>
        </w:rPr>
        <w:t>，提供供应商投标承诺函</w:t>
      </w:r>
      <w:r>
        <w:rPr>
          <w:rFonts w:hint="default" w:ascii="Times New Roman" w:hAnsi="Times New Roman" w:eastAsia="仿宋_GB2312" w:cs="Times New Roman"/>
          <w:sz w:val="32"/>
          <w:szCs w:val="32"/>
          <w:highlight w:val="none"/>
          <w:lang w:eastAsia="zh-CN"/>
        </w:rPr>
        <w:t>；</w:t>
      </w:r>
    </w:p>
    <w:p w14:paraId="49573AD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2.</w:t>
      </w:r>
      <w:r>
        <w:rPr>
          <w:rFonts w:hint="eastAsia" w:ascii="Times New Roman" w:hAnsi="Times New Roman" w:eastAsia="仿宋_GB2312" w:cs="Times New Roman"/>
          <w:sz w:val="32"/>
          <w:szCs w:val="32"/>
          <w:highlight w:val="none"/>
          <w:lang w:val="en-US" w:eastAsia="zh-CN"/>
        </w:rPr>
        <w:t>提供</w:t>
      </w:r>
      <w:r>
        <w:rPr>
          <w:rFonts w:hint="default" w:ascii="Times New Roman" w:hAnsi="Times New Roman" w:eastAsia="仿宋_GB2312" w:cs="Times New Roman"/>
          <w:sz w:val="32"/>
          <w:szCs w:val="32"/>
          <w:highlight w:val="none"/>
          <w:lang w:eastAsia="zh-CN"/>
        </w:rPr>
        <w:t>有效的营业执照、组织机构代码证、税务登记证或三证合一营业执照；</w:t>
      </w:r>
    </w:p>
    <w:p w14:paraId="34142AF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3.投标人为</w:t>
      </w:r>
      <w:r>
        <w:rPr>
          <w:rFonts w:hint="default" w:ascii="Times New Roman" w:hAnsi="Times New Roman" w:eastAsia="仿宋_GB2312" w:cs="Times New Roman"/>
          <w:sz w:val="32"/>
          <w:szCs w:val="32"/>
          <w:highlight w:val="none"/>
          <w:lang w:val="en-US" w:eastAsia="zh-CN"/>
        </w:rPr>
        <w:t>设备</w:t>
      </w:r>
      <w:r>
        <w:rPr>
          <w:rFonts w:hint="default" w:ascii="Times New Roman" w:hAnsi="Times New Roman" w:eastAsia="仿宋_GB2312" w:cs="Times New Roman"/>
          <w:sz w:val="32"/>
          <w:szCs w:val="32"/>
          <w:highlight w:val="none"/>
          <w:lang w:eastAsia="zh-CN"/>
        </w:rPr>
        <w:t>生产厂商</w:t>
      </w:r>
      <w:r>
        <w:rPr>
          <w:rFonts w:hint="eastAsia" w:ascii="Times New Roman" w:hAnsi="Times New Roman" w:eastAsia="仿宋_GB2312" w:cs="Times New Roman"/>
          <w:sz w:val="32"/>
          <w:szCs w:val="32"/>
          <w:highlight w:val="none"/>
          <w:lang w:val="en-US" w:eastAsia="zh-CN"/>
        </w:rPr>
        <w:t>或</w:t>
      </w:r>
      <w:r>
        <w:rPr>
          <w:rFonts w:hint="default" w:ascii="Times New Roman" w:hAnsi="Times New Roman" w:eastAsia="仿宋_GB2312" w:cs="Times New Roman"/>
          <w:sz w:val="32"/>
          <w:szCs w:val="32"/>
          <w:highlight w:val="none"/>
          <w:lang w:eastAsia="zh-CN"/>
        </w:rPr>
        <w:t>授权经销商；</w:t>
      </w:r>
    </w:p>
    <w:p w14:paraId="2F9EC0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4.提供2024年、2025年以来每年度各一个月的依法缴纳税 收证明及社保证明，依法免税或不需要缴纳社会保障资金的供应 商，应提供相应证明文件</w:t>
      </w:r>
      <w:r>
        <w:rPr>
          <w:rFonts w:hint="eastAsia" w:ascii="Times New Roman" w:hAnsi="Times New Roman" w:eastAsia="仿宋_GB2312" w:cs="Times New Roman"/>
          <w:sz w:val="32"/>
          <w:szCs w:val="32"/>
          <w:highlight w:val="none"/>
          <w:lang w:eastAsia="zh-CN"/>
        </w:rPr>
        <w:t>；</w:t>
      </w:r>
    </w:p>
    <w:p w14:paraId="767692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CN"/>
        </w:rPr>
        <w:t>落实政府采购政策</w:t>
      </w:r>
      <w:r>
        <w:rPr>
          <w:rFonts w:hint="eastAsia" w:ascii="Times New Roman" w:hAnsi="Times New Roman" w:eastAsia="仿宋_GB2312" w:cs="Times New Roman"/>
          <w:sz w:val="32"/>
          <w:szCs w:val="32"/>
          <w:highlight w:val="none"/>
          <w:lang w:val="en-US" w:eastAsia="zh-CN"/>
        </w:rPr>
        <w:t>需</w:t>
      </w:r>
      <w:r>
        <w:rPr>
          <w:rFonts w:hint="eastAsia" w:ascii="Times New Roman" w:hAnsi="Times New Roman" w:eastAsia="仿宋_GB2312" w:cs="Times New Roman"/>
          <w:sz w:val="32"/>
          <w:szCs w:val="32"/>
          <w:highlight w:val="none"/>
          <w:lang w:eastAsia="zh-CN"/>
        </w:rPr>
        <w:t>满足的资格要求：本项目专门面向中小企业采购，</w:t>
      </w:r>
      <w:r>
        <w:rPr>
          <w:rFonts w:hint="eastAsia" w:ascii="Times New Roman" w:hAnsi="Times New Roman" w:eastAsia="仿宋_GB2312" w:cs="Times New Roman"/>
          <w:sz w:val="32"/>
          <w:szCs w:val="32"/>
          <w:highlight w:val="none"/>
          <w:lang w:val="en-US" w:eastAsia="zh-CN"/>
        </w:rPr>
        <w:t>货物类项目的货物生产企业</w:t>
      </w:r>
      <w:r>
        <w:rPr>
          <w:rFonts w:hint="eastAsia" w:ascii="Times New Roman" w:hAnsi="Times New Roman" w:eastAsia="仿宋_GB2312" w:cs="Times New Roman"/>
          <w:sz w:val="32"/>
          <w:szCs w:val="32"/>
          <w:highlight w:val="none"/>
          <w:lang w:eastAsia="zh-CN"/>
        </w:rPr>
        <w:t>应为中小微企业</w:t>
      </w:r>
      <w:r>
        <w:rPr>
          <w:rFonts w:hint="eastAsia" w:ascii="Times New Roman" w:hAnsi="Times New Roman" w:eastAsia="仿宋_GB2312" w:cs="Times New Roman"/>
          <w:sz w:val="32"/>
          <w:szCs w:val="32"/>
          <w:highlight w:val="none"/>
          <w:lang w:val="en-US" w:eastAsia="zh-CN"/>
        </w:rPr>
        <w:t>、监狱企业、戒毒企业、残疾人福利性单位。并提供《中小企业声明函》《残疾人福利性单位声明函》或监狱/戒毒企业证明材料</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 xml:space="preserve"> </w:t>
      </w:r>
    </w:p>
    <w:p w14:paraId="2059C3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三、采购预算</w:t>
      </w:r>
    </w:p>
    <w:p w14:paraId="5FDFB5D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lang w:eastAsia="zh-CN"/>
        </w:rPr>
        <w:t xml:space="preserve">万元 </w:t>
      </w:r>
    </w:p>
    <w:p w14:paraId="1ACE6FE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四、报名方式及</w:t>
      </w:r>
      <w:r>
        <w:rPr>
          <w:rFonts w:hint="eastAsia" w:ascii="Times New Roman" w:hAnsi="Times New Roman" w:eastAsia="黑体" w:cs="Times New Roman"/>
          <w:sz w:val="32"/>
          <w:szCs w:val="32"/>
          <w:highlight w:val="none"/>
          <w:lang w:val="en-US" w:eastAsia="zh-CN"/>
        </w:rPr>
        <w:t>截止</w:t>
      </w:r>
      <w:r>
        <w:rPr>
          <w:rFonts w:hint="default" w:ascii="Times New Roman" w:hAnsi="Times New Roman" w:eastAsia="黑体" w:cs="Times New Roman"/>
          <w:sz w:val="32"/>
          <w:szCs w:val="32"/>
          <w:highlight w:val="none"/>
        </w:rPr>
        <w:t xml:space="preserve">时间 </w:t>
      </w:r>
    </w:p>
    <w:p w14:paraId="34F069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参加的供应商应于2025年11月</w:t>
      </w:r>
      <w:r>
        <w:rPr>
          <w:rFonts w:hint="eastAsia" w:ascii="Times New Roman" w:hAnsi="Times New Roman" w:eastAsia="仿宋_GB2312" w:cs="Times New Roman"/>
          <w:sz w:val="32"/>
          <w:szCs w:val="32"/>
          <w:highlight w:val="none"/>
          <w:lang w:val="en-US" w:eastAsia="zh-CN"/>
        </w:rPr>
        <w:t>13</w:t>
      </w:r>
      <w:r>
        <w:rPr>
          <w:rFonts w:hint="default" w:ascii="Times New Roman" w:hAnsi="Times New Roman" w:eastAsia="仿宋_GB2312" w:cs="Times New Roman"/>
          <w:sz w:val="32"/>
          <w:szCs w:val="32"/>
          <w:highlight w:val="none"/>
          <w:lang w:val="en-US" w:eastAsia="zh-CN"/>
        </w:rPr>
        <w:t>日</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lang w:val="en-US" w:eastAsia="zh-CN"/>
        </w:rPr>
        <w:t>:00前，将加盖供应商公章的“</w:t>
      </w:r>
      <w:r>
        <w:rPr>
          <w:rFonts w:hint="eastAsia" w:ascii="Times New Roman" w:hAnsi="Times New Roman" w:eastAsia="仿宋_GB2312" w:cs="Times New Roman"/>
          <w:sz w:val="32"/>
          <w:szCs w:val="32"/>
          <w:highlight w:val="none"/>
          <w:lang w:val="en-US" w:eastAsia="zh-CN"/>
        </w:rPr>
        <w:t>询价响应</w:t>
      </w:r>
      <w:r>
        <w:rPr>
          <w:rFonts w:hint="default" w:ascii="Times New Roman" w:hAnsi="Times New Roman" w:eastAsia="仿宋_GB2312" w:cs="Times New Roman"/>
          <w:sz w:val="32"/>
          <w:szCs w:val="32"/>
          <w:highlight w:val="none"/>
          <w:lang w:val="en-US" w:eastAsia="zh-CN"/>
        </w:rPr>
        <w:t>文件”以邮寄或直接送达的方式，递交至焦作市动物疫病防控与畜牧发展中心</w:t>
      </w:r>
      <w:r>
        <w:rPr>
          <w:rFonts w:hint="eastAsia" w:ascii="Times New Roman" w:hAnsi="Times New Roman" w:eastAsia="仿宋_GB2312" w:cs="Times New Roman"/>
          <w:sz w:val="32"/>
          <w:szCs w:val="32"/>
          <w:highlight w:val="none"/>
          <w:lang w:val="en-US" w:eastAsia="zh-CN"/>
        </w:rPr>
        <w:t>西楼201室</w:t>
      </w:r>
      <w:r>
        <w:rPr>
          <w:rFonts w:hint="default" w:ascii="Times New Roman" w:hAnsi="Times New Roman" w:eastAsia="仿宋_GB2312" w:cs="Times New Roman"/>
          <w:sz w:val="32"/>
          <w:szCs w:val="32"/>
          <w:highlight w:val="none"/>
          <w:lang w:val="en-US" w:eastAsia="zh-CN"/>
        </w:rPr>
        <w:t xml:space="preserve">（山阳区山阳路68号），联系人:吴先生，电话：0391-2108525。 </w:t>
      </w:r>
    </w:p>
    <w:p w14:paraId="2CFD97B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询价响应</w:t>
      </w:r>
      <w:r>
        <w:rPr>
          <w:rFonts w:hint="default" w:ascii="Times New Roman" w:hAnsi="Times New Roman" w:eastAsia="仿宋_GB2312" w:cs="Times New Roman"/>
          <w:sz w:val="32"/>
          <w:szCs w:val="32"/>
          <w:highlight w:val="none"/>
          <w:lang w:val="en-US" w:eastAsia="zh-CN"/>
        </w:rPr>
        <w:t>文件包括：</w:t>
      </w:r>
      <w:r>
        <w:rPr>
          <w:rFonts w:hint="eastAsia" w:ascii="Times New Roman" w:hAnsi="Times New Roman" w:eastAsia="仿宋_GB2312" w:cs="Times New Roman"/>
          <w:sz w:val="32"/>
          <w:szCs w:val="32"/>
          <w:highlight w:val="none"/>
          <w:lang w:val="en-US" w:eastAsia="zh-CN"/>
        </w:rPr>
        <w:t>供应商投标承诺函、</w:t>
      </w:r>
      <w:r>
        <w:rPr>
          <w:rFonts w:hint="default" w:ascii="Times New Roman" w:hAnsi="Times New Roman" w:eastAsia="仿宋_GB2312" w:cs="Times New Roman"/>
          <w:sz w:val="32"/>
          <w:szCs w:val="32"/>
          <w:highlight w:val="none"/>
          <w:lang w:val="en-US" w:eastAsia="zh-CN"/>
        </w:rPr>
        <w:t>营业执照复印件、近两年各一个月的依法缴纳税收证明及社保证明、</w:t>
      </w:r>
      <w:r>
        <w:rPr>
          <w:rFonts w:hint="eastAsia" w:ascii="Times New Roman" w:hAnsi="Times New Roman" w:eastAsia="仿宋_GB2312" w:cs="Times New Roman"/>
          <w:sz w:val="32"/>
          <w:szCs w:val="32"/>
          <w:highlight w:val="none"/>
          <w:lang w:val="en-US" w:eastAsia="zh-CN"/>
        </w:rPr>
        <w:t>《中小企业声明函》《残疾人福利性单位声明函》或监狱/戒毒企业证明材料、</w:t>
      </w:r>
      <w:r>
        <w:rPr>
          <w:rFonts w:hint="default" w:ascii="Times New Roman" w:hAnsi="Times New Roman" w:eastAsia="仿宋_GB2312" w:cs="Times New Roman"/>
          <w:sz w:val="32"/>
          <w:szCs w:val="32"/>
          <w:highlight w:val="none"/>
          <w:lang w:val="en-US" w:eastAsia="zh-CN"/>
        </w:rPr>
        <w:t>法定代表人身份证明书或授权委托书</w:t>
      </w:r>
      <w:r>
        <w:rPr>
          <w:rFonts w:hint="eastAsia" w:ascii="Times New Roman" w:hAnsi="Times New Roman" w:eastAsia="仿宋_GB2312" w:cs="Times New Roman"/>
          <w:sz w:val="32"/>
          <w:szCs w:val="32"/>
          <w:highlight w:val="none"/>
          <w:lang w:val="en-US" w:eastAsia="zh-CN"/>
        </w:rPr>
        <w:t>、技术响应表（包含设备技术参数、质保期等）、商务响应表（包含供货时间、技术服务等）、</w:t>
      </w:r>
      <w:r>
        <w:rPr>
          <w:rFonts w:hint="default" w:ascii="Times New Roman" w:hAnsi="Times New Roman" w:eastAsia="仿宋_GB2312" w:cs="Times New Roman"/>
          <w:sz w:val="32"/>
          <w:szCs w:val="32"/>
          <w:highlight w:val="none"/>
          <w:lang w:val="en-US" w:eastAsia="zh-CN"/>
        </w:rPr>
        <w:t>报价表</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产品文件要求的资质证明材料</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包括但不限于产品评价报告、说明书等</w:t>
      </w:r>
      <w:r>
        <w:rPr>
          <w:rFonts w:hint="eastAsia" w:ascii="Times New Roman" w:hAnsi="Times New Roman" w:eastAsia="仿宋_GB2312" w:cs="Times New Roman"/>
          <w:sz w:val="32"/>
          <w:szCs w:val="32"/>
          <w:highlight w:val="none"/>
          <w:lang w:val="en-US" w:eastAsia="zh-CN"/>
        </w:rPr>
        <w:t>，供应商为经销商的应提供设备生产厂商授权经销的证明材料）</w:t>
      </w:r>
      <w:r>
        <w:rPr>
          <w:rFonts w:hint="default" w:ascii="Times New Roman" w:hAnsi="Times New Roman" w:eastAsia="仿宋_GB2312" w:cs="Times New Roman"/>
          <w:sz w:val="32"/>
          <w:szCs w:val="32"/>
          <w:highlight w:val="none"/>
          <w:lang w:val="en-US" w:eastAsia="zh-CN"/>
        </w:rPr>
        <w:t>等。以上文件签章应齐全，如复印件应加盖公章方为有效，供应商对其提供资料的真实性负责。注：1.投报资料需装订成册1份，必须密封。2.经核实提供的为虚假文件的，报政府采购监督管理部门处理。</w:t>
      </w:r>
    </w:p>
    <w:p w14:paraId="74D4F9B6">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开标时间及地点</w:t>
      </w:r>
    </w:p>
    <w:p w14:paraId="4EC8098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2025年11月13日9</w:t>
      </w:r>
      <w:r>
        <w:rPr>
          <w:rFonts w:hint="default" w:ascii="Times New Roman" w:hAnsi="Times New Roman" w:eastAsia="仿宋_GB2312" w:cs="Times New Roman"/>
          <w:sz w:val="32"/>
          <w:szCs w:val="32"/>
          <w:highlight w:val="none"/>
          <w:lang w:val="en-US" w:eastAsia="zh-CN"/>
        </w:rPr>
        <w:t>:00</w:t>
      </w:r>
      <w:r>
        <w:rPr>
          <w:rFonts w:hint="eastAsia" w:ascii="Times New Roman" w:hAnsi="Times New Roman" w:eastAsia="仿宋_GB2312" w:cs="Times New Roman"/>
          <w:sz w:val="32"/>
          <w:szCs w:val="32"/>
          <w:highlight w:val="none"/>
          <w:lang w:val="en-US" w:eastAsia="zh-CN"/>
        </w:rPr>
        <w:t>在焦作市山阳路68号焦作市动物疫病防控与畜牧发展中心实验楼一楼会议室开标。</w:t>
      </w:r>
    </w:p>
    <w:p w14:paraId="43A163CF">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 xml:space="preserve">中标方式 </w:t>
      </w:r>
    </w:p>
    <w:p w14:paraId="53BD3FB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1.开标条件：必须有3家及以上企业递交响应文件方可开标。 </w:t>
      </w:r>
    </w:p>
    <w:p w14:paraId="5A852D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2.评标规则：焦作市动物疫病防控与畜牧发展中心将组建</w:t>
      </w:r>
      <w:r>
        <w:rPr>
          <w:rFonts w:hint="eastAsia" w:ascii="Times New Roman" w:hAnsi="Times New Roman" w:eastAsia="仿宋_GB2312" w:cs="Times New Roman"/>
          <w:sz w:val="32"/>
          <w:szCs w:val="32"/>
          <w:highlight w:val="none"/>
          <w:lang w:val="en-US" w:eastAsia="zh-CN"/>
        </w:rPr>
        <w:t>询价小组</w:t>
      </w:r>
      <w:r>
        <w:rPr>
          <w:rFonts w:hint="default" w:ascii="Times New Roman" w:hAnsi="Times New Roman" w:eastAsia="仿宋_GB2312" w:cs="Times New Roman"/>
          <w:sz w:val="32"/>
          <w:szCs w:val="32"/>
          <w:highlight w:val="none"/>
          <w:lang w:val="en-US" w:eastAsia="zh-CN"/>
        </w:rPr>
        <w:t>，对各</w:t>
      </w:r>
      <w:r>
        <w:rPr>
          <w:rFonts w:hint="eastAsia" w:ascii="Times New Roman" w:hAnsi="Times New Roman" w:eastAsia="仿宋_GB2312" w:cs="Times New Roman"/>
          <w:sz w:val="32"/>
          <w:szCs w:val="32"/>
          <w:highlight w:val="none"/>
          <w:lang w:val="en-US" w:eastAsia="zh-CN"/>
        </w:rPr>
        <w:t>供应商</w:t>
      </w:r>
      <w:r>
        <w:rPr>
          <w:rFonts w:hint="default" w:ascii="Times New Roman" w:hAnsi="Times New Roman" w:eastAsia="仿宋_GB2312" w:cs="Times New Roman"/>
          <w:sz w:val="32"/>
          <w:szCs w:val="32"/>
          <w:highlight w:val="none"/>
          <w:lang w:val="en-US" w:eastAsia="zh-CN"/>
        </w:rPr>
        <w:t>响应文件进行综合评审。</w:t>
      </w:r>
    </w:p>
    <w:p w14:paraId="053EF2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询价小组先对供应商的资格性和符合性进行审查，对通过资格性和符合性审查的供应商按照其报价由低到高的顺序进行排序，在符合采购需求、质量和服务相等的前提下，以合理报价最低的原则确定成交供应商。如果出现最低价相同的情况，通过抽签决定的方式确定成交供应商；</w:t>
      </w:r>
      <w:bookmarkStart w:id="0" w:name="_GoBack"/>
      <w:bookmarkEnd w:id="0"/>
      <w:r>
        <w:rPr>
          <w:rFonts w:hint="eastAsia" w:ascii="Times New Roman" w:hAnsi="Times New Roman" w:eastAsia="仿宋_GB2312" w:cs="Times New Roman"/>
          <w:sz w:val="32"/>
          <w:szCs w:val="32"/>
          <w:highlight w:val="none"/>
          <w:lang w:val="en-US" w:eastAsia="zh-CN"/>
        </w:rPr>
        <w:t>如果某供应商报价大幅低于其他供应商且该供应商无法做出合理说明或做出的说明询价小组不认同的，视为无效响应。</w:t>
      </w:r>
    </w:p>
    <w:p w14:paraId="63E9C6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 xml:space="preserve">.本项目最终解释权归焦作市动物疫病防控与畜牧发展中心所有。 </w:t>
      </w:r>
    </w:p>
    <w:p w14:paraId="7314E9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七</w:t>
      </w:r>
      <w:r>
        <w:rPr>
          <w:rFonts w:hint="default" w:ascii="Times New Roman" w:hAnsi="Times New Roman" w:eastAsia="黑体" w:cs="Times New Roman"/>
          <w:sz w:val="32"/>
          <w:szCs w:val="32"/>
          <w:highlight w:val="none"/>
        </w:rPr>
        <w:t xml:space="preserve">、其他要求 </w:t>
      </w:r>
    </w:p>
    <w:p w14:paraId="481A792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rPr>
        <w:t xml:space="preserve">（一）验收要求 </w:t>
      </w:r>
    </w:p>
    <w:p w14:paraId="0C1E07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供货时须按照</w:t>
      </w:r>
      <w:r>
        <w:rPr>
          <w:rFonts w:hint="eastAsia" w:ascii="Times New Roman" w:hAnsi="Times New Roman" w:eastAsia="仿宋_GB2312" w:cs="Times New Roman"/>
          <w:sz w:val="32"/>
          <w:szCs w:val="32"/>
          <w:highlight w:val="none"/>
          <w:lang w:val="en-US" w:eastAsia="zh-CN"/>
        </w:rPr>
        <w:t>与询价响应文件</w:t>
      </w:r>
      <w:r>
        <w:rPr>
          <w:rFonts w:hint="default" w:ascii="Times New Roman" w:hAnsi="Times New Roman" w:eastAsia="仿宋_GB2312" w:cs="Times New Roman"/>
          <w:sz w:val="32"/>
          <w:szCs w:val="32"/>
          <w:highlight w:val="none"/>
          <w:lang w:val="en-US" w:eastAsia="zh-CN"/>
        </w:rPr>
        <w:t>同等质量的标准供货，验收时所供产品质量不符合要求，采购人有权要求成交供应商免费退换货或取消其成交资格。</w:t>
      </w:r>
    </w:p>
    <w:p w14:paraId="4EE424E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rPr>
        <w:t>（二）售后服务要求</w:t>
      </w:r>
      <w:r>
        <w:rPr>
          <w:rFonts w:hint="default" w:ascii="Times New Roman" w:hAnsi="Times New Roman" w:eastAsia="仿宋_GB2312" w:cs="Times New Roman"/>
          <w:sz w:val="32"/>
          <w:szCs w:val="32"/>
          <w:highlight w:val="none"/>
        </w:rPr>
        <w:t xml:space="preserve"> </w:t>
      </w:r>
    </w:p>
    <w:p w14:paraId="4B69C78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本项目质保期内产品出现质量问题，由成交供应商无偿解决问题，并承担由此造成的一切损失。须提供不间断售后电话，接到采购人电话后，成交供应商应2小时内作出响应，24小时内解决问题。成交供应商负责免费提供技术培训服务。</w:t>
      </w:r>
      <w:r>
        <w:rPr>
          <w:rFonts w:hint="default" w:ascii="Times New Roman" w:hAnsi="Times New Roman" w:eastAsia="仿宋_GB2312" w:cs="Times New Roman"/>
          <w:sz w:val="32"/>
          <w:szCs w:val="32"/>
          <w:highlight w:val="none"/>
        </w:rPr>
        <w:t xml:space="preserve"> </w:t>
      </w:r>
    </w:p>
    <w:p w14:paraId="52FE80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黑体" w:cs="Times New Roman"/>
          <w:sz w:val="32"/>
          <w:szCs w:val="32"/>
          <w:highlight w:val="none"/>
          <w:lang w:val="en-US" w:eastAsia="zh-CN"/>
        </w:rPr>
        <w:t>八</w:t>
      </w:r>
      <w:r>
        <w:rPr>
          <w:rFonts w:hint="default"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rPr>
        <w:t>合同签订</w:t>
      </w:r>
      <w:r>
        <w:rPr>
          <w:rFonts w:hint="default" w:ascii="Times New Roman" w:hAnsi="Times New Roman" w:eastAsia="仿宋_GB2312" w:cs="Times New Roman"/>
          <w:sz w:val="32"/>
          <w:szCs w:val="32"/>
          <w:highlight w:val="none"/>
        </w:rPr>
        <w:t xml:space="preserve"> </w:t>
      </w:r>
    </w:p>
    <w:p w14:paraId="5A8B42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询价结果确定后公示3个工作日。公示无异议的，签订合同。</w:t>
      </w:r>
      <w:r>
        <w:rPr>
          <w:rFonts w:hint="default" w:ascii="Times New Roman" w:hAnsi="Times New Roman" w:eastAsia="仿宋_GB2312" w:cs="Times New Roman"/>
          <w:sz w:val="32"/>
          <w:szCs w:val="32"/>
          <w:highlight w:val="none"/>
        </w:rPr>
        <w:t xml:space="preserve"> </w:t>
      </w:r>
    </w:p>
    <w:p w14:paraId="1EC7902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九</w:t>
      </w:r>
      <w:r>
        <w:rPr>
          <w:rFonts w:hint="default" w:ascii="Times New Roman" w:hAnsi="Times New Roman" w:eastAsia="黑体" w:cs="Times New Roman"/>
          <w:sz w:val="32"/>
          <w:szCs w:val="32"/>
          <w:highlight w:val="none"/>
          <w:lang w:val="en-US" w:eastAsia="zh-CN"/>
        </w:rPr>
        <w:t xml:space="preserve">、支付方式 </w:t>
      </w:r>
    </w:p>
    <w:p w14:paraId="1B81AF6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采购人收到采购</w:t>
      </w:r>
      <w:r>
        <w:rPr>
          <w:rFonts w:hint="eastAsia" w:ascii="Times New Roman" w:hAnsi="Times New Roman" w:eastAsia="仿宋_GB2312" w:cs="Times New Roman"/>
          <w:sz w:val="32"/>
          <w:szCs w:val="32"/>
          <w:highlight w:val="none"/>
          <w:lang w:val="en-US" w:eastAsia="zh-CN"/>
        </w:rPr>
        <w:t>货物</w:t>
      </w:r>
      <w:r>
        <w:rPr>
          <w:rFonts w:hint="default" w:ascii="Times New Roman" w:hAnsi="Times New Roman" w:eastAsia="仿宋_GB2312" w:cs="Times New Roman"/>
          <w:sz w:val="32"/>
          <w:szCs w:val="32"/>
          <w:highlight w:val="none"/>
          <w:lang w:val="en-US" w:eastAsia="zh-CN"/>
        </w:rPr>
        <w:t>，验收合格后，供货方开具合格票据等 报账凭证，</w:t>
      </w:r>
      <w:r>
        <w:rPr>
          <w:rFonts w:hint="eastAsia" w:ascii="Times New Roman" w:hAnsi="Times New Roman" w:eastAsia="仿宋_GB2312" w:cs="Times New Roman"/>
          <w:sz w:val="32"/>
          <w:szCs w:val="32"/>
          <w:highlight w:val="none"/>
          <w:lang w:val="en-US" w:eastAsia="zh-CN"/>
        </w:rPr>
        <w:t>采购人</w:t>
      </w:r>
      <w:r>
        <w:rPr>
          <w:rFonts w:hint="default" w:ascii="Times New Roman" w:hAnsi="Times New Roman" w:eastAsia="仿宋_GB2312" w:cs="Times New Roman"/>
          <w:sz w:val="32"/>
          <w:szCs w:val="32"/>
          <w:highlight w:val="none"/>
          <w:lang w:val="en-US" w:eastAsia="zh-CN"/>
        </w:rPr>
        <w:t>按照程序</w:t>
      </w:r>
      <w:r>
        <w:rPr>
          <w:rFonts w:hint="eastAsia" w:ascii="Times New Roman" w:hAnsi="Times New Roman" w:eastAsia="仿宋_GB2312" w:cs="Times New Roman"/>
          <w:sz w:val="32"/>
          <w:szCs w:val="32"/>
          <w:highlight w:val="none"/>
          <w:lang w:val="en-US" w:eastAsia="zh-CN"/>
        </w:rPr>
        <w:t>一次性</w:t>
      </w:r>
      <w:r>
        <w:rPr>
          <w:rFonts w:hint="default" w:ascii="Times New Roman" w:hAnsi="Times New Roman" w:eastAsia="仿宋_GB2312" w:cs="Times New Roman"/>
          <w:sz w:val="32"/>
          <w:szCs w:val="32"/>
          <w:highlight w:val="none"/>
          <w:lang w:val="en-US" w:eastAsia="zh-CN"/>
        </w:rPr>
        <w:t>支付相应的资金。</w:t>
      </w:r>
      <w:r>
        <w:rPr>
          <w:rFonts w:hint="default" w:ascii="Times New Roman" w:hAnsi="Times New Roman" w:eastAsia="仿宋_GB2312" w:cs="Times New Roman"/>
          <w:sz w:val="32"/>
          <w:szCs w:val="32"/>
          <w:highlight w:val="none"/>
        </w:rPr>
        <w:t xml:space="preserve">  </w:t>
      </w:r>
    </w:p>
    <w:p w14:paraId="1BB697D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黑体" w:cs="Times New Roman"/>
          <w:sz w:val="32"/>
          <w:szCs w:val="32"/>
          <w:highlight w:val="none"/>
          <w:lang w:val="en-US" w:eastAsia="zh-CN"/>
        </w:rPr>
        <w:t>十</w:t>
      </w:r>
      <w:r>
        <w:rPr>
          <w:rFonts w:hint="default" w:ascii="Times New Roman" w:hAnsi="Times New Roman" w:eastAsia="黑体" w:cs="Times New Roman"/>
          <w:sz w:val="32"/>
          <w:szCs w:val="32"/>
          <w:highlight w:val="none"/>
          <w:lang w:val="en-US" w:eastAsia="zh-CN"/>
        </w:rPr>
        <w:t>、联系方式</w:t>
      </w:r>
      <w:r>
        <w:rPr>
          <w:rFonts w:hint="default" w:ascii="Times New Roman" w:hAnsi="Times New Roman" w:eastAsia="仿宋_GB2312" w:cs="Times New Roman"/>
          <w:sz w:val="32"/>
          <w:szCs w:val="32"/>
          <w:highlight w:val="none"/>
        </w:rPr>
        <w:t xml:space="preserve"> </w:t>
      </w:r>
    </w:p>
    <w:p w14:paraId="03D7B9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采购人：焦作市动物疫病防控与畜牧发展中心 </w:t>
      </w:r>
    </w:p>
    <w:p w14:paraId="20CE86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联系人：吴先生 </w:t>
      </w:r>
    </w:p>
    <w:p w14:paraId="4E7A4BF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电话：0391-2108525</w:t>
      </w:r>
    </w:p>
    <w:p w14:paraId="752C499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_GB2312" w:cs="Times New Roman"/>
          <w:sz w:val="32"/>
          <w:szCs w:val="32"/>
          <w:highlight w:val="none"/>
        </w:rPr>
      </w:pPr>
    </w:p>
    <w:p w14:paraId="3465653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仿宋_GB2312" w:cs="Times New Roman"/>
          <w:sz w:val="32"/>
          <w:szCs w:val="32"/>
          <w:highlight w:val="none"/>
        </w:rPr>
      </w:pPr>
    </w:p>
    <w:p w14:paraId="48D81234">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leftChars="0"/>
        <w:jc w:val="righ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2025年</w:t>
      </w:r>
      <w:r>
        <w:rPr>
          <w:rFonts w:hint="eastAsia"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日</w:t>
      </w:r>
      <w:r>
        <w:rPr>
          <w:rFonts w:hint="default" w:ascii="Times New Roman" w:hAnsi="Times New Roman" w:eastAsia="仿宋_GB2312" w:cs="Times New Roman"/>
          <w:sz w:val="32"/>
          <w:szCs w:val="32"/>
          <w:highlight w:val="none"/>
          <w:lang w:val="en-US" w:eastAsia="zh-CN"/>
        </w:rPr>
        <w:t xml:space="preserve">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1EEA5F-3049-4470-B192-C2383B5595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817120A0-5929-45D6-AAF0-24FCF279643F}"/>
  </w:font>
  <w:font w:name="方正小标宋简体">
    <w:panose1 w:val="02010600010101010101"/>
    <w:charset w:val="86"/>
    <w:family w:val="auto"/>
    <w:pitch w:val="default"/>
    <w:sig w:usb0="00000001" w:usb1="080E0000" w:usb2="00000000" w:usb3="00000000" w:csb0="00040000" w:csb1="00000000"/>
    <w:embedRegular r:id="rId3" w:fontKey="{F71DFA05-2402-463F-9767-9DBC0CBAE0CF}"/>
  </w:font>
  <w:font w:name="Arial Unicode MS">
    <w:panose1 w:val="020B0604020202020204"/>
    <w:charset w:val="86"/>
    <w:family w:val="auto"/>
    <w:pitch w:val="default"/>
    <w:sig w:usb0="FFFFFFFF" w:usb1="E9FFFFFF" w:usb2="0000003F" w:usb3="00000000" w:csb0="603F01FF" w:csb1="FFFF0000"/>
    <w:embedRegular r:id="rId4" w:fontKey="{D4AA10ED-77BD-4CA2-BA35-1690E288A3CC}"/>
  </w:font>
  <w:font w:name="仿宋_GB2312">
    <w:panose1 w:val="02010609030101010101"/>
    <w:charset w:val="86"/>
    <w:family w:val="auto"/>
    <w:pitch w:val="default"/>
    <w:sig w:usb0="00000001" w:usb1="080E0000" w:usb2="00000000" w:usb3="00000000" w:csb0="00040000" w:csb1="00000000"/>
    <w:embedRegular r:id="rId5" w:fontKey="{807832D9-F561-4774-93BE-1008EC144FBC}"/>
  </w:font>
  <w:font w:name="楷体_GB2312">
    <w:panose1 w:val="02010609030101010101"/>
    <w:charset w:val="86"/>
    <w:family w:val="auto"/>
    <w:pitch w:val="default"/>
    <w:sig w:usb0="00000001" w:usb1="080E0000" w:usb2="00000000" w:usb3="00000000" w:csb0="00040000" w:csb1="00000000"/>
    <w:embedRegular r:id="rId6" w:fontKey="{79B4986D-5CB9-4ED0-A7EC-7CE4FC8894C0}"/>
  </w:font>
  <w:font w:name="WPSEMBED2">
    <w:panose1 w:val="02010609030101010101"/>
    <w:charset w:val="86"/>
    <w:family w:val="auto"/>
    <w:pitch w:val="default"/>
    <w:sig w:usb0="00000001" w:usb1="080E0000" w:usb2="00000000" w:usb3="00000000" w:csb0="00040000" w:csb1="00000000"/>
  </w:font>
  <w:font w:name="WPSEMBED1">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EC6D4B"/>
    <w:multiLevelType w:val="singleLevel"/>
    <w:tmpl w:val="DFEC6D4B"/>
    <w:lvl w:ilvl="0" w:tentative="0">
      <w:start w:val="1"/>
      <w:numFmt w:val="chineseCounting"/>
      <w:suff w:val="nothing"/>
      <w:lvlText w:val="%1、"/>
      <w:lvlJc w:val="left"/>
      <w:rPr>
        <w:rFonts w:hint="eastAsia"/>
      </w:rPr>
    </w:lvl>
  </w:abstractNum>
  <w:abstractNum w:abstractNumId="1">
    <w:nsid w:val="2AE0E0D7"/>
    <w:multiLevelType w:val="singleLevel"/>
    <w:tmpl w:val="2AE0E0D7"/>
    <w:lvl w:ilvl="0" w:tentative="0">
      <w:start w:val="5"/>
      <w:numFmt w:val="chineseCounting"/>
      <w:suff w:val="nothing"/>
      <w:lvlText w:val="%1、"/>
      <w:lvlJc w:val="left"/>
      <w:rPr>
        <w:rFonts w:hint="eastAsia"/>
      </w:rPr>
    </w:lvl>
  </w:abstractNum>
  <w:abstractNum w:abstractNumId="2">
    <w:nsid w:val="6E7496B7"/>
    <w:multiLevelType w:val="singleLevel"/>
    <w:tmpl w:val="6E7496B7"/>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4381C"/>
    <w:rsid w:val="02FF087C"/>
    <w:rsid w:val="034C0D49"/>
    <w:rsid w:val="058C1C12"/>
    <w:rsid w:val="060321AA"/>
    <w:rsid w:val="09623EB4"/>
    <w:rsid w:val="0AC260D6"/>
    <w:rsid w:val="0C085A40"/>
    <w:rsid w:val="0EA26D90"/>
    <w:rsid w:val="0F7F00F1"/>
    <w:rsid w:val="106F3A7D"/>
    <w:rsid w:val="14592F17"/>
    <w:rsid w:val="16152E10"/>
    <w:rsid w:val="174C51CF"/>
    <w:rsid w:val="17F84EE5"/>
    <w:rsid w:val="19490542"/>
    <w:rsid w:val="1AD5211E"/>
    <w:rsid w:val="1BC93928"/>
    <w:rsid w:val="1C80194D"/>
    <w:rsid w:val="1E3E561C"/>
    <w:rsid w:val="1E74175E"/>
    <w:rsid w:val="1F0C5241"/>
    <w:rsid w:val="1F24418F"/>
    <w:rsid w:val="1F2C56F3"/>
    <w:rsid w:val="21124C57"/>
    <w:rsid w:val="237E60E0"/>
    <w:rsid w:val="245E197C"/>
    <w:rsid w:val="26162A09"/>
    <w:rsid w:val="2891635B"/>
    <w:rsid w:val="29CA4207"/>
    <w:rsid w:val="2B1313AE"/>
    <w:rsid w:val="2E7F11BF"/>
    <w:rsid w:val="2F3B2C7B"/>
    <w:rsid w:val="2F430CE4"/>
    <w:rsid w:val="2FE9346D"/>
    <w:rsid w:val="31505C80"/>
    <w:rsid w:val="31F07516"/>
    <w:rsid w:val="33503E39"/>
    <w:rsid w:val="345906D6"/>
    <w:rsid w:val="34A2796A"/>
    <w:rsid w:val="372C6501"/>
    <w:rsid w:val="3B7353C8"/>
    <w:rsid w:val="3BDD5AD8"/>
    <w:rsid w:val="3F9B1362"/>
    <w:rsid w:val="4002052E"/>
    <w:rsid w:val="46B362F7"/>
    <w:rsid w:val="48AC401B"/>
    <w:rsid w:val="499758D4"/>
    <w:rsid w:val="4A712751"/>
    <w:rsid w:val="4A943797"/>
    <w:rsid w:val="4AD5598B"/>
    <w:rsid w:val="4AF07F0F"/>
    <w:rsid w:val="4BF6283F"/>
    <w:rsid w:val="503F314A"/>
    <w:rsid w:val="55DE5B71"/>
    <w:rsid w:val="565C2A94"/>
    <w:rsid w:val="582C0A6C"/>
    <w:rsid w:val="58E617C2"/>
    <w:rsid w:val="5B486848"/>
    <w:rsid w:val="5B532F7B"/>
    <w:rsid w:val="60AE7E03"/>
    <w:rsid w:val="62A0335F"/>
    <w:rsid w:val="62D6719E"/>
    <w:rsid w:val="651A0C19"/>
    <w:rsid w:val="658B5E7A"/>
    <w:rsid w:val="65DB138E"/>
    <w:rsid w:val="6A502786"/>
    <w:rsid w:val="6C117E2E"/>
    <w:rsid w:val="6CCC19C1"/>
    <w:rsid w:val="6F0137F4"/>
    <w:rsid w:val="6F343BCA"/>
    <w:rsid w:val="6FF674E3"/>
    <w:rsid w:val="70C8530E"/>
    <w:rsid w:val="73893DB8"/>
    <w:rsid w:val="75524368"/>
    <w:rsid w:val="75964837"/>
    <w:rsid w:val="765C1B70"/>
    <w:rsid w:val="7A2A66F5"/>
    <w:rsid w:val="7A3E7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djustRightInd w:val="0"/>
      <w:spacing w:after="60" w:afterLines="0" w:line="360" w:lineRule="atLeast"/>
      <w:ind w:left="72" w:leftChars="30" w:right="30" w:rightChars="30"/>
      <w:jc w:val="center"/>
      <w:textAlignment w:val="baseline"/>
    </w:pPr>
    <w:rPr>
      <w:rFonts w:ascii="Times New Roman" w:hAnsi="Times New Roman"/>
      <w:kern w:val="0"/>
      <w:sz w:val="20"/>
      <w:szCs w:val="20"/>
    </w:rPr>
  </w:style>
  <w:style w:type="paragraph" w:customStyle="1" w:styleId="3">
    <w:name w:val="Default"/>
    <w:next w:val="4"/>
    <w:unhideWhenUsed/>
    <w:qFormat/>
    <w:uiPriority w:val="99"/>
    <w:pPr>
      <w:widowControl w:val="0"/>
      <w:autoSpaceDE w:val="0"/>
      <w:autoSpaceDN w:val="0"/>
    </w:pPr>
    <w:rPr>
      <w:rFonts w:hint="eastAsia" w:ascii="仿宋" w:hAnsi="仿宋" w:eastAsia="仿宋" w:cs="Times New Roman"/>
      <w:color w:val="000000"/>
      <w:sz w:val="24"/>
      <w:lang w:val="en-US" w:eastAsia="zh-CN" w:bidi="ar-SA"/>
    </w:rPr>
  </w:style>
  <w:style w:type="paragraph" w:customStyle="1" w:styleId="4">
    <w:name w:val="表格文字"/>
    <w:basedOn w:val="1"/>
    <w:next w:val="5"/>
    <w:qFormat/>
    <w:uiPriority w:val="0"/>
    <w:pPr>
      <w:spacing w:line="420" w:lineRule="atLeast"/>
      <w:ind w:firstLine="3584"/>
    </w:pPr>
  </w:style>
  <w:style w:type="paragraph" w:customStyle="1" w:styleId="5">
    <w:name w:val="_Style 43"/>
    <w:basedOn w:val="1"/>
    <w:next w:val="6"/>
    <w:qFormat/>
    <w:uiPriority w:val="0"/>
    <w:pPr>
      <w:ind w:firstLine="3584"/>
    </w:pPr>
  </w:style>
  <w:style w:type="paragraph" w:customStyle="1" w:styleId="6">
    <w:name w:val="标题3.1"/>
    <w:basedOn w:val="1"/>
    <w:next w:val="7"/>
    <w:qFormat/>
    <w:uiPriority w:val="0"/>
    <w:pPr>
      <w:ind w:firstLine="18"/>
      <w:jc w:val="center"/>
      <w:outlineLvl w:val="1"/>
    </w:pPr>
    <w:rPr>
      <w:rFonts w:ascii="黑体"/>
    </w:rPr>
  </w:style>
  <w:style w:type="paragraph" w:customStyle="1" w:styleId="7">
    <w:name w:val="1"/>
    <w:basedOn w:val="1"/>
    <w:next w:val="8"/>
    <w:qFormat/>
    <w:uiPriority w:val="0"/>
  </w:style>
  <w:style w:type="paragraph" w:customStyle="1" w:styleId="8">
    <w:name w:val="p0"/>
    <w:basedOn w:val="1"/>
    <w:next w:val="9"/>
    <w:qFormat/>
    <w:uiPriority w:val="0"/>
    <w:pPr>
      <w:widowControl/>
    </w:pPr>
    <w:rPr>
      <w:rFonts w:ascii="Calibri" w:hAnsi="Calibri" w:cs="宋体"/>
      <w:kern w:val="0"/>
      <w:szCs w:val="21"/>
    </w:rPr>
  </w:style>
  <w:style w:type="paragraph" w:customStyle="1" w:styleId="9">
    <w:name w:val="Char Char1 Char Char"/>
    <w:basedOn w:val="1"/>
    <w:next w:val="10"/>
    <w:qFormat/>
    <w:uiPriority w:val="0"/>
    <w:pPr>
      <w:widowControl/>
      <w:spacing w:after="160" w:line="240" w:lineRule="exact"/>
      <w:ind w:firstLine="3584"/>
    </w:pPr>
  </w:style>
  <w:style w:type="paragraph" w:customStyle="1" w:styleId="10">
    <w:name w:val="Char Char Char Char Char Char Char Char Char Char Char Char Char Char Char Char Char Char Char Char Char Char Char Char Char Char Char Char Char Char Char Char Char"/>
    <w:basedOn w:val="1"/>
    <w:next w:val="11"/>
    <w:qFormat/>
    <w:uiPriority w:val="0"/>
    <w:pPr>
      <w:widowControl/>
      <w:spacing w:after="160" w:line="240" w:lineRule="exact"/>
      <w:ind w:firstLine="3584"/>
    </w:pPr>
  </w:style>
  <w:style w:type="paragraph" w:customStyle="1" w:styleId="11">
    <w:name w:val="正文 New"/>
    <w:next w:val="12"/>
    <w:qFormat/>
    <w:uiPriority w:val="0"/>
    <w:pPr>
      <w:widowControl w:val="0"/>
      <w:ind w:firstLine="1536"/>
      <w:jc w:val="both"/>
    </w:pPr>
    <w:rPr>
      <w:rFonts w:ascii="Times New Roman" w:hAnsi="Times New Roman" w:eastAsia="宋体" w:cs="Times New Roman"/>
      <w:lang w:val="en-US" w:eastAsia="zh-CN" w:bidi="ar-SA"/>
    </w:rPr>
  </w:style>
  <w:style w:type="paragraph" w:customStyle="1" w:styleId="12">
    <w:name w:val="表头"/>
    <w:basedOn w:val="1"/>
    <w:next w:val="1"/>
    <w:qFormat/>
    <w:uiPriority w:val="0"/>
    <w:pPr>
      <w:autoSpaceDE w:val="0"/>
      <w:autoSpaceDN w:val="0"/>
      <w:spacing w:before="156"/>
      <w:ind w:firstLine="3584"/>
      <w:jc w:val="cente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2239</Words>
  <Characters>2481</Characters>
  <Lines>0</Lines>
  <Paragraphs>0</Paragraphs>
  <TotalTime>2</TotalTime>
  <ScaleCrop>false</ScaleCrop>
  <LinksUpToDate>false</LinksUpToDate>
  <CharactersWithSpaces>2576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2025-10-21T06:48:00Z</dcterms:created>
  <dc:creator>Wzj</dc:creator>
  <cp:lastModifiedBy>等待</cp:lastModifiedBy>
  <dcterms:modified xsi:type="dcterms:W3CDTF">2025-11-05T07:57:42Z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eyJoZGlkIjoiMTE4NDQwY2ZiNjRmODE2NTcxMzFkMDBmYzYzNWJjYjkiLCJ1c2VySWQiOiI0MjY5ODAyMTUifQ==</vt:lpwstr>
  </property>
  <property fmtid="{D5CDD505-2E9C-101B-9397-08002B2CF9AE}" pid="4" name="ICV">
    <vt:lpwstr>CD2AF375F78D4F798C850357EE13F688_13</vt:lpwstr>
  </property>
</Properties>
</file>