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37D29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eastAsia="zh-CN"/>
        </w:rPr>
        <w:t>附件</w:t>
      </w:r>
      <w:r>
        <w:rPr>
          <w:rFonts w:hint="default" w:ascii="Times New Roman" w:hAnsi="Times New Roman" w:cs="Times New Roman"/>
          <w:lang w:val="en-US" w:eastAsia="zh-CN"/>
        </w:rPr>
        <w:t>1</w:t>
      </w:r>
    </w:p>
    <w:p w14:paraId="475C6C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/>
          <w:lang w:eastAsia="zh-CN"/>
        </w:rPr>
      </w:pPr>
    </w:p>
    <w:p w14:paraId="6D355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孟州市2026年玉米单产提升工程</w:t>
      </w:r>
    </w:p>
    <w:p w14:paraId="2F0931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初步设计内容</w:t>
      </w:r>
      <w:bookmarkEnd w:id="0"/>
    </w:p>
    <w:p w14:paraId="05BADF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</w:p>
    <w:p w14:paraId="782DDE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一、建设单位：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孟州市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农业农村局</w:t>
      </w:r>
    </w:p>
    <w:p w14:paraId="65BEB7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6" w:firstLineChars="195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pacing w:val="-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二、建设地点：</w:t>
      </w:r>
      <w:r>
        <w:rPr>
          <w:rFonts w:hint="default" w:ascii="Times New Roman" w:hAnsi="Times New Roman" w:eastAsia="仿宋_GB2312" w:cs="Times New Roman"/>
          <w:color w:val="000000"/>
          <w:spacing w:val="-12"/>
          <w:sz w:val="32"/>
          <w:szCs w:val="32"/>
        </w:rPr>
        <w:t>孟州市域内大定街道、会昌街道、河雍街道、河阳街道、化工镇、南庄镇、城伯镇、谷旦镇、西虢镇、赵和镇10个乡镇（街道）。</w:t>
      </w:r>
    </w:p>
    <w:p w14:paraId="362814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三、主要建设内容及规模：</w:t>
      </w:r>
    </w:p>
    <w:p w14:paraId="1EE040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项目主要建设内容为水肥精准调控设施设备、田间输配水管网、地力提升工程、机械化种管收工程。</w:t>
      </w:r>
    </w:p>
    <w:p w14:paraId="5F8F6B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1）水肥精准调控设施设备，移动式智控水肥一体化设备1500套，规格型号为：水肥机柜体规格尺寸≥240*500*900mm，厚度≥0.8mm镀锌钢板；7寸高清触摸屏；离心过滤器，流量30-50m3/h；网式过滤器，流量30-50m3/h，80目≤过滤精度≤120目；施肥桶容积≥400L，采用LDPE材质；进出水口尺寸DN80。</w:t>
      </w:r>
    </w:p>
    <w:p w14:paraId="5A7616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（2）田间输配水管网，滴灌带（单翼迷宫式滴灌带，滴头q=2.1L/h，滴头间距0.3m，毛管间距0.9m，毛管内径为16mm）80000km；</w:t>
      </w:r>
    </w:p>
    <w:p w14:paraId="43978E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（3）地力提升工程，商品肥料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100000亩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；</w:t>
      </w:r>
    </w:p>
    <w:p w14:paraId="1B2FAC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（4）机械化种管收工程，密植种肥同播（含种子）10万亩，病虫草害绿色防控（4遍飞防，含各种病虫草害防治与增产，1遍除草）、收割运输10万亩。</w:t>
      </w:r>
    </w:p>
    <w:p w14:paraId="3ACFDC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四、总投资及资金来源：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总投资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超长期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特别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国债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3000万元，县级财政配套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万元，自筹资金6000万元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724F96E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3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五、建设年限：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自项目投资计划下达一年内</w:t>
      </w:r>
    </w:p>
    <w:p w14:paraId="218582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ans-serif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DB5FC4"/>
    <w:rsid w:val="BFDB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2026-01-27T08:54:00Z</dcterms:created>
  <dc:creator>uos</dc:creator>
  <cp:lastModifiedBy>uos</cp:lastModifiedBy>
  <dcterms:modified xsi:type="dcterms:W3CDTF">2026-01-27T08:55:49Z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E5290C74ACB5C7D7CE0C7869009EF5F4_41</vt:lpwstr>
  </property>
</Properties>
</file>