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742AE">
      <w:pPr>
        <w:pStyle w:val="2"/>
        <w:rPr>
          <w:rFonts w:hint="default"/>
          <w:lang w:val="en-US" w:eastAsia="zh-CN"/>
        </w:rPr>
      </w:pPr>
      <w:r>
        <w:rPr>
          <w:rFonts w:hint="default"/>
          <w:lang w:eastAsia="zh-CN"/>
        </w:rPr>
        <w:t>附件</w:t>
      </w:r>
      <w:r>
        <w:rPr>
          <w:rFonts w:hint="eastAsia" w:ascii="Times New Roman" w:hAnsi="Times New Roman" w:cs="Times New Roman"/>
          <w:lang w:val="en-US" w:eastAsia="zh-CN"/>
        </w:rPr>
        <w:t>2</w:t>
      </w:r>
    </w:p>
    <w:p w14:paraId="78479C6A">
      <w:pPr>
        <w:rPr>
          <w:rFonts w:hint="default"/>
          <w:lang w:eastAsia="zh-CN"/>
        </w:rPr>
      </w:pPr>
    </w:p>
    <w:p w14:paraId="47866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沁阳市2026年玉米单产提升工程</w:t>
      </w:r>
    </w:p>
    <w:p w14:paraId="0E035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初步设计内容</w:t>
      </w:r>
      <w:bookmarkEnd w:id="0"/>
    </w:p>
    <w:p w14:paraId="18ABE6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1C15960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建设单位</w:t>
      </w:r>
    </w:p>
    <w:p w14:paraId="3C5D4C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沁阳市农业农村局</w:t>
      </w:r>
    </w:p>
    <w:p w14:paraId="25B2F5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二、建设地点</w:t>
      </w:r>
    </w:p>
    <w:p w14:paraId="074BD3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沁阳市王召乡、崇义镇、王曲乡、柏香镇、西向镇、西万镇、山王庄镇、紫陵镇、太行怀庆、沁园覃怀等10个乡镇（街道）。</w:t>
      </w:r>
    </w:p>
    <w:p w14:paraId="01A731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三、主要建设内容及规模</w:t>
      </w:r>
    </w:p>
    <w:p w14:paraId="5FA676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、5万亩示范推广区建设：本项目主要在王召乡、崇义镇、王曲乡、柏香镇、西向镇、西万镇、山王庄镇、紫陵镇、太行怀庆、沁园覃怀等10个乡（镇）街道开展5万亩玉米单产提升示范推广区建设。根据玉米需水需肥关键节点，进行精准水肥一体化喷施，并在玉米生长后期开展“一喷多促”统防作业。</w:t>
      </w:r>
    </w:p>
    <w:p w14:paraId="381668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2、水肥精准调控设备购置：购置715套水肥一体化设备，水肥一体化设备包括水肥一体机、施肥桶、过滤器及各种配件。</w:t>
      </w:r>
    </w:p>
    <w:p w14:paraId="783FE1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3、全生育期精准调控技术集成推广：5万亩玉米滴灌带，配方施肥、良种示范推广，化学除草剂、杀虫剂、杀菌剂，免耕精量播种，病虫害统防统治（飞防作业），机械收割等。</w:t>
      </w:r>
    </w:p>
    <w:p w14:paraId="6905D56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总投资及资金来源</w:t>
      </w:r>
    </w:p>
    <w:p w14:paraId="0D791C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总投资4515万元，其中超长期特别国债1500万元，县级财政配套15万元，自筹资金3000万元。</w:t>
      </w:r>
    </w:p>
    <w:p w14:paraId="4875A0F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建设年限</w:t>
      </w:r>
    </w:p>
    <w:p w14:paraId="0E1C5E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自项目投资计划下达一年内。</w:t>
      </w:r>
    </w:p>
    <w:p w14:paraId="7547A7C6"/>
    <w:sectPr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599C5C"/>
    <w:multiLevelType w:val="singleLevel"/>
    <w:tmpl w:val="E1599C5C"/>
    <w:lvl w:ilvl="0" w:tentative="0">
      <w:start w:val="4"/>
      <w:numFmt w:val="chineseCounting"/>
      <w:suff w:val="nothing"/>
      <w:lvlText w:val="%1、"/>
      <w:lvlJc w:val="left"/>
      <w:rPr>
        <w:rFonts w:hint="eastAsia" w:ascii="仿宋_GB2312" w:hAnsi="仿宋_GB2312" w:eastAsia="仿宋_GB2312" w:cs="仿宋_GB2312"/>
        <w:b/>
        <w:bCs/>
        <w:sz w:val="32"/>
        <w:szCs w:val="32"/>
      </w:rPr>
    </w:lvl>
  </w:abstractNum>
  <w:abstractNum w:abstractNumId="1">
    <w:nsid w:val="24B56AC1"/>
    <w:multiLevelType w:val="singleLevel"/>
    <w:tmpl w:val="24B56AC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D73B6"/>
    <w:rsid w:val="7DBD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jc w:val="both"/>
      <w:outlineLvl w:val="2"/>
    </w:pPr>
    <w:rPr>
      <w:rFonts w:ascii="Times New Roman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2026-01-27T08:56:00Z</dcterms:created>
  <dc:creator>uos</dc:creator>
  <cp:lastModifiedBy>uos</cp:lastModifiedBy>
  <dcterms:modified xsi:type="dcterms:W3CDTF">2026-01-27T08:56:25Z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329C1B6CDB5D288C290D786952B73743_41</vt:lpwstr>
  </property>
</Properties>
</file>