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line="600" w:lineRule="exact"/>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焦作市长期护理保险制度实施细则</w:t>
      </w:r>
    </w:p>
    <w:p>
      <w:pPr>
        <w:keepNext w:val="0"/>
        <w:keepLines w:val="0"/>
        <w:pageBreakBefore w:val="0"/>
        <w:kinsoku/>
        <w:wordWrap/>
        <w:overflowPunct/>
        <w:autoSpaceDE/>
        <w:autoSpaceDN/>
        <w:bidi w:val="0"/>
        <w:adjustRightInd/>
        <w:spacing w:line="6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征求意见稿</w:t>
      </w:r>
      <w:r>
        <w:rPr>
          <w:rFonts w:hint="eastAsia" w:ascii="方正小标宋_GBK" w:hAnsi="方正小标宋_GBK" w:eastAsia="方正小标宋_GBK" w:cs="方正小标宋_GBK"/>
          <w:sz w:val="44"/>
          <w:szCs w:val="44"/>
        </w:rPr>
        <w:t>）</w:t>
      </w:r>
    </w:p>
    <w:p/>
    <w:p>
      <w:pPr>
        <w:pStyle w:val="3"/>
        <w:pageBreakBefore w:val="0"/>
        <w:widowControl w:val="0"/>
        <w:numPr>
          <w:ilvl w:val="1"/>
          <w:numId w:val="1"/>
        </w:numPr>
        <w:kinsoku/>
        <w:overflowPunct/>
        <w:topLinePunct w:val="0"/>
        <w:autoSpaceDE/>
        <w:autoSpaceDN/>
        <w:bidi w:val="0"/>
        <w:adjustRightInd/>
        <w:snapToGrid/>
        <w:spacing w:after="0" w:line="600" w:lineRule="exact"/>
        <w:ind w:left="0" w:firstLine="402"/>
        <w:textAlignment w:val="auto"/>
        <w:rPr>
          <w:rFonts w:hint="eastAsia"/>
          <w:b w:val="0"/>
          <w:bCs/>
        </w:rPr>
      </w:pPr>
      <w:r>
        <w:rPr>
          <w:rFonts w:hint="eastAsia"/>
          <w:b w:val="0"/>
          <w:bCs/>
        </w:rPr>
        <w:t>总则</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为做好</w:t>
      </w:r>
      <w:r>
        <w:rPr>
          <w:rFonts w:hint="eastAsia" w:ascii="仿宋_GB2312" w:hAnsi="仿宋_GB2312" w:eastAsia="仿宋_GB2312" w:cstheme="minorBidi"/>
          <w:sz w:val="32"/>
          <w:lang w:eastAsia="zh-CN"/>
        </w:rPr>
        <w:t>我市</w:t>
      </w:r>
      <w:r>
        <w:rPr>
          <w:rFonts w:hint="eastAsia" w:ascii="仿宋_GB2312" w:hAnsi="仿宋_GB2312" w:eastAsia="仿宋_GB2312" w:cstheme="minorBidi"/>
          <w:sz w:val="32"/>
        </w:rPr>
        <w:t>长期护理保险（以下简称“长护险”）工作，根据《中共中央办公厅 国务院办公厅关于加快建立长期护理保险制度的意见》（厅字</w:t>
      </w:r>
      <w:r>
        <w:rPr>
          <w:rFonts w:hint="eastAsia" w:ascii="仿宋_GB2312" w:hAnsi="仿宋_GB2312" w:eastAsia="仿宋_GB2312" w:cs="仿宋_GB2312"/>
          <w:sz w:val="32"/>
        </w:rPr>
        <w:t>〔2025〕19号</w:t>
      </w:r>
      <w:r>
        <w:rPr>
          <w:rFonts w:hint="eastAsia" w:ascii="仿宋_GB2312" w:hAnsi="仿宋_GB2312" w:eastAsia="仿宋_GB2312" w:cstheme="minorBidi"/>
          <w:sz w:val="32"/>
        </w:rPr>
        <w:t>）</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《河南省人民政府办公厅关于印发河南省建立长期护理保险制度实施方案的通知》（豫</w:t>
      </w:r>
      <w:r>
        <w:rPr>
          <w:rFonts w:hint="eastAsia" w:ascii="仿宋_GB2312" w:hAnsi="仿宋_GB2312" w:eastAsia="仿宋_GB2312" w:cs="仿宋_GB2312"/>
          <w:sz w:val="32"/>
        </w:rPr>
        <w:t>政办〔2026〕24号</w:t>
      </w:r>
      <w:r>
        <w:rPr>
          <w:rFonts w:hint="eastAsia" w:ascii="仿宋_GB2312" w:hAnsi="仿宋_GB2312" w:eastAsia="仿宋_GB2312" w:cstheme="minorBidi"/>
          <w:sz w:val="32"/>
        </w:rPr>
        <w:t>）及国家、省等有关规定，结合我市实际，制定本实施细则。</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本细则适用于</w:t>
      </w:r>
      <w:r>
        <w:rPr>
          <w:rFonts w:hint="eastAsia" w:ascii="仿宋_GB2312" w:hAnsi="仿宋_GB2312" w:eastAsia="仿宋_GB2312" w:cstheme="minorBidi"/>
          <w:sz w:val="32"/>
          <w:lang w:eastAsia="zh-CN"/>
        </w:rPr>
        <w:t>我市</w:t>
      </w:r>
      <w:r>
        <w:rPr>
          <w:rFonts w:hint="eastAsia" w:ascii="仿宋_GB2312" w:hAnsi="仿宋_GB2312" w:eastAsia="仿宋_GB2312" w:cstheme="minorBidi"/>
          <w:sz w:val="32"/>
        </w:rPr>
        <w:t>行政区域内长护险的参保筹资、</w:t>
      </w:r>
      <w:r>
        <w:rPr>
          <w:rFonts w:hint="eastAsia" w:ascii="仿宋_GB2312" w:hAnsi="仿宋_GB2312" w:eastAsia="仿宋_GB2312" w:cstheme="minorBidi"/>
          <w:sz w:val="32"/>
          <w:lang w:val="en-US" w:eastAsia="zh-CN"/>
        </w:rPr>
        <w:t>失能评估、</w:t>
      </w:r>
      <w:r>
        <w:rPr>
          <w:rFonts w:hint="eastAsia" w:ascii="仿宋_GB2312" w:hAnsi="仿宋_GB2312" w:eastAsia="仿宋_GB2312" w:cstheme="minorBidi"/>
          <w:sz w:val="32"/>
        </w:rPr>
        <w:t>待遇保障、服务</w:t>
      </w:r>
      <w:r>
        <w:rPr>
          <w:rFonts w:hint="eastAsia" w:ascii="仿宋_GB2312" w:hAnsi="仿宋_GB2312" w:eastAsia="仿宋_GB2312" w:cstheme="minorBidi"/>
          <w:sz w:val="32"/>
          <w:lang w:val="en-US" w:eastAsia="zh-CN"/>
        </w:rPr>
        <w:t>供给</w:t>
      </w:r>
      <w:r>
        <w:rPr>
          <w:rFonts w:hint="eastAsia" w:ascii="仿宋_GB2312" w:hAnsi="仿宋_GB2312" w:eastAsia="仿宋_GB2312" w:cstheme="minorBidi"/>
          <w:sz w:val="32"/>
        </w:rPr>
        <w:t>、经办管理、基金</w:t>
      </w:r>
      <w:r>
        <w:rPr>
          <w:rFonts w:hint="eastAsia" w:ascii="仿宋_GB2312" w:hAnsi="仿宋_GB2312" w:eastAsia="仿宋_GB2312" w:cstheme="minorBidi"/>
          <w:sz w:val="32"/>
          <w:lang w:val="en-US" w:eastAsia="zh-CN"/>
        </w:rPr>
        <w:t>管理与</w:t>
      </w:r>
      <w:r>
        <w:rPr>
          <w:rFonts w:hint="eastAsia" w:ascii="仿宋_GB2312" w:hAnsi="仿宋_GB2312" w:eastAsia="仿宋_GB2312" w:cstheme="minorBidi"/>
          <w:sz w:val="32"/>
        </w:rPr>
        <w:t>监管等相关工作。</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长护险制度是为失能人员的基本生活照料和与之密切相关的医疗护理提供服务或资金保障的社会保险制度。</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highlight w:val="none"/>
        </w:rPr>
      </w:pPr>
      <w:r>
        <w:rPr>
          <w:rFonts w:hint="eastAsia" w:ascii="仿宋_GB2312" w:hAnsi="仿宋_GB2312" w:eastAsia="仿宋_GB2312" w:cstheme="minorBidi"/>
          <w:sz w:val="32"/>
        </w:rPr>
        <w:t>长护险实行市级统筹，统一基本政策、统一待遇标准、统一基金管理、统一定点管理、统一经办管理。遵循覆盖全民、统筹城乡、公平统一、安全规范、可持续的原则，坚持独立运行、保障基本、责任共担、机制创</w:t>
      </w:r>
      <w:r>
        <w:rPr>
          <w:rFonts w:hint="eastAsia" w:ascii="仿宋_GB2312" w:hAnsi="仿宋_GB2312" w:eastAsia="仿宋_GB2312" w:cstheme="minorBidi"/>
          <w:sz w:val="32"/>
          <w:highlight w:val="none"/>
        </w:rPr>
        <w:t>新、科学规范、统筹协调。</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color w:val="000000"/>
          <w:sz w:val="30"/>
          <w:szCs w:val="30"/>
          <w:highlight w:val="none"/>
        </w:rPr>
      </w:pPr>
      <w:r>
        <w:rPr>
          <w:rFonts w:hint="eastAsia" w:ascii="仿宋_GB2312" w:hAnsi="仿宋_GB2312" w:eastAsia="仿宋_GB2312" w:cstheme="minorBidi"/>
          <w:sz w:val="32"/>
          <w:highlight w:val="none"/>
        </w:rPr>
        <w:t>长护险从单位职工、退休人员、灵活就业人员等人群起步，逐步将未就业城乡居民纳入保障范围</w:t>
      </w:r>
      <w:r>
        <w:rPr>
          <w:rFonts w:hint="eastAsia" w:ascii="仿宋_GB2312" w:hAnsi="仿宋_GB2312" w:eastAsia="仿宋_GB2312" w:cstheme="minorBidi"/>
          <w:color w:val="000000"/>
          <w:sz w:val="32"/>
          <w:highlight w:val="none"/>
        </w:rPr>
        <w:t>，2026年启动实施就业人员</w:t>
      </w:r>
      <w:r>
        <w:rPr>
          <w:rFonts w:hint="eastAsia" w:ascii="仿宋_GB2312" w:hAnsi="仿宋_GB2312" w:eastAsia="仿宋_GB2312" w:cstheme="minorBidi"/>
          <w:color w:val="000000"/>
          <w:sz w:val="32"/>
          <w:highlight w:val="none"/>
          <w:lang w:eastAsia="zh-CN"/>
        </w:rPr>
        <w:t>长护险</w:t>
      </w:r>
      <w:r>
        <w:rPr>
          <w:rFonts w:hint="eastAsia" w:ascii="仿宋_GB2312" w:hAnsi="仿宋_GB2312" w:eastAsia="仿宋_GB2312" w:cstheme="minorBidi"/>
          <w:color w:val="000000"/>
          <w:sz w:val="32"/>
          <w:highlight w:val="none"/>
        </w:rPr>
        <w:t>制度；2027年启动实施未就业城乡居民</w:t>
      </w:r>
      <w:r>
        <w:rPr>
          <w:rFonts w:hint="eastAsia" w:ascii="仿宋_GB2312" w:hAnsi="仿宋_GB2312" w:eastAsia="仿宋_GB2312" w:cstheme="minorBidi"/>
          <w:color w:val="000000"/>
          <w:sz w:val="32"/>
          <w:highlight w:val="none"/>
          <w:lang w:eastAsia="zh-CN"/>
        </w:rPr>
        <w:t>长护险</w:t>
      </w:r>
      <w:r>
        <w:rPr>
          <w:rFonts w:hint="eastAsia" w:ascii="仿宋_GB2312" w:hAnsi="仿宋_GB2312" w:eastAsia="仿宋_GB2312" w:cstheme="minorBidi"/>
          <w:color w:val="000000"/>
          <w:sz w:val="32"/>
          <w:highlight w:val="none"/>
        </w:rPr>
        <w:t>制度。</w:t>
      </w:r>
    </w:p>
    <w:p>
      <w:pPr>
        <w:pStyle w:val="3"/>
        <w:pageBreakBefore w:val="0"/>
        <w:widowControl w:val="0"/>
        <w:numPr>
          <w:ilvl w:val="1"/>
          <w:numId w:val="1"/>
        </w:numPr>
        <w:kinsoku/>
        <w:overflowPunct/>
        <w:topLinePunct w:val="0"/>
        <w:autoSpaceDE/>
        <w:autoSpaceDN/>
        <w:bidi w:val="0"/>
        <w:adjustRightInd/>
        <w:snapToGrid/>
        <w:spacing w:after="0" w:line="600" w:lineRule="exact"/>
        <w:ind w:left="0" w:firstLine="402"/>
        <w:textAlignment w:val="auto"/>
        <w:rPr>
          <w:rFonts w:hint="eastAsia"/>
          <w:b w:val="0"/>
          <w:bCs/>
        </w:rPr>
      </w:pPr>
      <w:r>
        <w:rPr>
          <w:rFonts w:hint="eastAsia"/>
          <w:b w:val="0"/>
          <w:bCs/>
        </w:rPr>
        <w:t>参保</w:t>
      </w:r>
      <w:r>
        <w:rPr>
          <w:rFonts w:hint="eastAsia"/>
          <w:b w:val="0"/>
          <w:bCs/>
          <w:lang w:val="en-US" w:eastAsia="zh-CN"/>
        </w:rPr>
        <w:t>筹资</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color w:val="auto"/>
          <w:sz w:val="32"/>
        </w:rPr>
      </w:pPr>
      <w:r>
        <w:rPr>
          <w:rFonts w:hint="eastAsia" w:ascii="仿宋_GB2312" w:hAnsi="仿宋_GB2312" w:eastAsia="仿宋_GB2312" w:cstheme="minorBidi"/>
          <w:sz w:val="32"/>
        </w:rPr>
        <w:t>长护险参保对象为</w:t>
      </w:r>
      <w:r>
        <w:rPr>
          <w:rFonts w:hint="eastAsia" w:ascii="仿宋_GB2312" w:hAnsi="仿宋_GB2312" w:eastAsia="仿宋_GB2312" w:cstheme="minorBidi"/>
          <w:sz w:val="32"/>
          <w:lang w:eastAsia="zh-CN"/>
        </w:rPr>
        <w:t>我市</w:t>
      </w:r>
      <w:r>
        <w:rPr>
          <w:rFonts w:hint="eastAsia" w:ascii="仿宋_GB2312" w:hAnsi="仿宋_GB2312" w:eastAsia="仿宋_GB2312" w:cstheme="minorBidi"/>
          <w:sz w:val="32"/>
        </w:rPr>
        <w:t>行政区域内的用人单位（包括企业、事业单位、机关、社会组织）以及单位职工、退休人员、灵活就业人员和未就业城乡居民</w:t>
      </w:r>
      <w:r>
        <w:rPr>
          <w:rFonts w:hint="eastAsia" w:ascii="仿宋_GB2312" w:hAnsi="仿宋_GB2312" w:eastAsia="仿宋_GB2312" w:cstheme="minorBidi"/>
          <w:sz w:val="32"/>
          <w:lang w:val="en-US" w:eastAsia="zh-CN"/>
        </w:rPr>
        <w:t>等</w:t>
      </w:r>
      <w:r>
        <w:rPr>
          <w:rFonts w:hint="eastAsia" w:ascii="仿宋_GB2312" w:hAnsi="仿宋_GB2312" w:eastAsia="仿宋_GB2312" w:cstheme="minorBidi"/>
          <w:sz w:val="32"/>
        </w:rPr>
        <w:t>按照属地管理原则参加长护险。</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color w:val="auto"/>
          <w:sz w:val="32"/>
        </w:rPr>
      </w:pPr>
      <w:r>
        <w:rPr>
          <w:rFonts w:hint="eastAsia" w:ascii="仿宋_GB2312" w:hAnsi="仿宋_GB2312" w:eastAsia="仿宋_GB2312" w:cstheme="minorBidi"/>
          <w:sz w:val="32"/>
          <w:lang w:val="en-US" w:eastAsia="zh-CN"/>
        </w:rPr>
        <w:t>参保对象应</w:t>
      </w:r>
      <w:r>
        <w:rPr>
          <w:rFonts w:hint="eastAsia" w:ascii="仿宋_GB2312" w:hAnsi="仿宋_GB2312" w:eastAsia="仿宋_GB2312" w:cstheme="minorBidi"/>
          <w:sz w:val="32"/>
        </w:rPr>
        <w:t>按照规定缴费参加长护险，与基本医疗</w:t>
      </w:r>
      <w:r>
        <w:rPr>
          <w:rFonts w:hint="eastAsia" w:ascii="仿宋_GB2312" w:hAnsi="仿宋_GB2312" w:eastAsia="仿宋_GB2312" w:cstheme="minorBidi"/>
          <w:color w:val="auto"/>
          <w:sz w:val="32"/>
        </w:rPr>
        <w:t>保险费同步缴纳。</w:t>
      </w:r>
    </w:p>
    <w:p>
      <w:pPr>
        <w:pageBreakBefore w:val="0"/>
        <w:widowControl w:val="0"/>
        <w:numPr>
          <w:ilvl w:val="0"/>
          <w:numId w:val="0"/>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color w:val="auto"/>
          <w:sz w:val="32"/>
          <w:highlight w:val="none"/>
        </w:rPr>
      </w:pPr>
      <w:r>
        <w:rPr>
          <w:rFonts w:hint="eastAsia" w:ascii="楷体" w:hAnsi="楷体" w:eastAsia="楷体" w:cs="楷体"/>
          <w:b w:val="0"/>
          <w:bCs w:val="0"/>
          <w:color w:val="auto"/>
          <w:sz w:val="32"/>
          <w:lang w:eastAsia="zh-CN"/>
        </w:rPr>
        <w:t>（一）</w:t>
      </w:r>
      <w:r>
        <w:rPr>
          <w:rFonts w:hint="eastAsia" w:ascii="楷体" w:hAnsi="楷体" w:eastAsia="楷体" w:cs="楷体"/>
          <w:b w:val="0"/>
          <w:bCs w:val="0"/>
          <w:color w:val="auto"/>
          <w:sz w:val="32"/>
        </w:rPr>
        <w:t>单位职工</w:t>
      </w:r>
      <w:r>
        <w:rPr>
          <w:rFonts w:hint="eastAsia" w:ascii="楷体" w:hAnsi="楷体" w:eastAsia="楷体" w:cs="楷体"/>
          <w:b w:val="0"/>
          <w:bCs w:val="0"/>
          <w:color w:val="auto"/>
          <w:sz w:val="32"/>
          <w:lang w:eastAsia="zh-CN"/>
        </w:rPr>
        <w:t>。</w:t>
      </w:r>
      <w:r>
        <w:rPr>
          <w:rFonts w:hint="eastAsia" w:ascii="仿宋_GB2312" w:hAnsi="仿宋_GB2312" w:eastAsia="仿宋_GB2312" w:cstheme="minorBidi"/>
          <w:color w:val="auto"/>
          <w:sz w:val="32"/>
        </w:rPr>
        <w:t>单位在职职工长护险费率为0.3%，由用人单位和个人按照同比例分担，各为0.15%。单位缴费基数为职工工资总额，由用人单位按月缴纳；个人缴费基数为本人工资收入。用人单位按照规定的费率，自行向税务部门申报缴费。职工个人缴纳部分由用人单位按月代扣代缴</w:t>
      </w:r>
      <w:r>
        <w:rPr>
          <w:rFonts w:hint="eastAsia" w:ascii="仿宋_GB2312" w:hAnsi="仿宋_GB2312" w:eastAsia="仿宋_GB2312" w:cstheme="minorBidi"/>
          <w:color w:val="auto"/>
          <w:sz w:val="32"/>
          <w:highlight w:val="none"/>
        </w:rPr>
        <w:t>。</w:t>
      </w:r>
    </w:p>
    <w:p>
      <w:pPr>
        <w:pageBreakBefore w:val="0"/>
        <w:widowControl w:val="0"/>
        <w:numPr>
          <w:ilvl w:val="0"/>
          <w:numId w:val="0"/>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color w:val="auto"/>
          <w:sz w:val="32"/>
        </w:rPr>
      </w:pPr>
      <w:r>
        <w:rPr>
          <w:rFonts w:hint="eastAsia" w:ascii="楷体" w:hAnsi="楷体" w:eastAsia="楷体" w:cs="楷体"/>
          <w:b w:val="0"/>
          <w:bCs w:val="0"/>
          <w:color w:val="auto"/>
          <w:sz w:val="32"/>
          <w:highlight w:val="none"/>
          <w:lang w:eastAsia="zh-CN"/>
        </w:rPr>
        <w:t>（二）</w:t>
      </w:r>
      <w:r>
        <w:rPr>
          <w:rFonts w:hint="eastAsia" w:ascii="楷体" w:hAnsi="楷体" w:eastAsia="楷体" w:cs="楷体"/>
          <w:b w:val="0"/>
          <w:bCs w:val="0"/>
          <w:color w:val="auto"/>
          <w:sz w:val="32"/>
          <w:highlight w:val="none"/>
        </w:rPr>
        <w:t>退休人员</w:t>
      </w:r>
      <w:r>
        <w:rPr>
          <w:rFonts w:hint="eastAsia" w:ascii="楷体" w:hAnsi="楷体" w:eastAsia="楷体" w:cs="楷体"/>
          <w:b w:val="0"/>
          <w:bCs w:val="0"/>
          <w:color w:val="auto"/>
          <w:sz w:val="32"/>
          <w:highlight w:val="none"/>
          <w:lang w:eastAsia="zh-CN"/>
        </w:rPr>
        <w:t>。</w:t>
      </w:r>
      <w:r>
        <w:rPr>
          <w:rFonts w:hint="eastAsia" w:ascii="仿宋_GB2312" w:hAnsi="仿宋_GB2312" w:eastAsia="仿宋_GB2312" w:cstheme="minorBidi"/>
          <w:color w:val="auto"/>
          <w:sz w:val="32"/>
          <w:highlight w:val="none"/>
        </w:rPr>
        <w:t>退休人员保费由个人缴纳，原用人单位不缴纳。费率</w:t>
      </w:r>
      <w:r>
        <w:rPr>
          <w:rFonts w:hint="eastAsia" w:ascii="仿宋_GB2312" w:hAnsi="仿宋_GB2312" w:eastAsia="仿宋_GB2312" w:cstheme="minorBidi"/>
          <w:color w:val="auto"/>
          <w:sz w:val="32"/>
        </w:rPr>
        <w:t>为0.15%，</w:t>
      </w:r>
      <w:r>
        <w:rPr>
          <w:rFonts w:ascii="仿宋_GB2312" w:hAnsi="仿宋_GB2312" w:eastAsia="仿宋_GB2312" w:cs="仿宋_GB2312"/>
          <w:i w:val="0"/>
          <w:strike w:val="0"/>
          <w:color w:val="auto"/>
          <w:sz w:val="32"/>
          <w:u w:val="none"/>
        </w:rPr>
        <w:t>缴费基数为本人上年度12月份基本养老金（当年退休人员，以退休当月基本养老金为缴费基数），不享受或尚未</w:t>
      </w:r>
      <w:r>
        <w:rPr>
          <w:rFonts w:ascii="仿宋_GB2312" w:hAnsi="仿宋_GB2312" w:eastAsia="仿宋_GB2312" w:cs="仿宋_GB2312"/>
          <w:i w:val="0"/>
          <w:strike w:val="0"/>
          <w:color w:val="auto"/>
          <w:spacing w:val="0"/>
          <w:sz w:val="32"/>
          <w:u w:val="none"/>
        </w:rPr>
        <w:t>核定职工养老保险待遇的，</w:t>
      </w:r>
      <w:r>
        <w:rPr>
          <w:rFonts w:hint="eastAsia" w:ascii="仿宋_GB2312" w:hAnsi="仿宋_GB2312" w:eastAsia="仿宋_GB2312" w:cs="仿宋_GB2312"/>
          <w:i w:val="0"/>
          <w:strike w:val="0"/>
          <w:color w:val="auto"/>
          <w:spacing w:val="0"/>
          <w:sz w:val="32"/>
          <w:u w:val="none"/>
        </w:rPr>
        <w:t>以</w:t>
      </w:r>
      <w:r>
        <w:rPr>
          <w:rFonts w:hint="eastAsia" w:ascii="仿宋_GB2312" w:hAnsi="仿宋_GB2312" w:eastAsia="仿宋_GB2312" w:cs="仿宋_GB2312"/>
          <w:i w:val="0"/>
          <w:strike w:val="0"/>
          <w:color w:val="auto"/>
          <w:spacing w:val="0"/>
          <w:sz w:val="32"/>
          <w:u w:val="none"/>
          <w:lang w:eastAsia="zh-CN"/>
        </w:rPr>
        <w:t>我市</w:t>
      </w:r>
      <w:r>
        <w:rPr>
          <w:rFonts w:ascii="仿宋_GB2312" w:hAnsi="仿宋_GB2312" w:eastAsia="仿宋_GB2312" w:cs="仿宋_GB2312"/>
          <w:i w:val="0"/>
          <w:strike w:val="0"/>
          <w:color w:val="auto"/>
          <w:spacing w:val="0"/>
          <w:sz w:val="32"/>
          <w:u w:val="none"/>
        </w:rPr>
        <w:t>上年度平均基本养老金为基数</w:t>
      </w:r>
      <w:r>
        <w:rPr>
          <w:rFonts w:ascii="仿宋_GB2312" w:hAnsi="仿宋_GB2312" w:eastAsia="仿宋_GB2312" w:cs="仿宋_GB2312"/>
          <w:i w:val="0"/>
          <w:strike w:val="0"/>
          <w:color w:val="auto"/>
          <w:spacing w:val="0"/>
          <w:sz w:val="32"/>
          <w:highlight w:val="none"/>
          <w:u w:val="none"/>
        </w:rPr>
        <w:t>。</w:t>
      </w:r>
      <w:r>
        <w:rPr>
          <w:rFonts w:ascii="仿宋_GB2312" w:hAnsi="仿宋_GB2312" w:eastAsia="仿宋_GB2312" w:cs="仿宋_GB2312"/>
          <w:i w:val="0"/>
          <w:strike w:val="0"/>
          <w:color w:val="auto"/>
          <w:sz w:val="32"/>
          <w:highlight w:val="none"/>
          <w:u w:val="none"/>
        </w:rPr>
        <w:t>经个人同意，保费可由医保部门从其基本医疗保险个人账户中代扣代缴，也可由发放职工基本养老金的社会</w:t>
      </w:r>
      <w:r>
        <w:rPr>
          <w:rFonts w:hint="eastAsia" w:ascii="仿宋_GB2312" w:hAnsi="仿宋_GB2312" w:eastAsia="仿宋_GB2312" w:cs="仿宋_GB2312"/>
          <w:i w:val="0"/>
          <w:strike w:val="0"/>
          <w:color w:val="auto"/>
          <w:sz w:val="32"/>
          <w:highlight w:val="none"/>
          <w:u w:val="none"/>
          <w:lang w:val="en-US" w:eastAsia="zh-CN"/>
        </w:rPr>
        <w:t>保险</w:t>
      </w:r>
      <w:r>
        <w:rPr>
          <w:rFonts w:ascii="仿宋_GB2312" w:hAnsi="仿宋_GB2312" w:eastAsia="仿宋_GB2312" w:cs="仿宋_GB2312"/>
          <w:i w:val="0"/>
          <w:strike w:val="0"/>
          <w:color w:val="auto"/>
          <w:sz w:val="32"/>
          <w:highlight w:val="none"/>
          <w:u w:val="none"/>
        </w:rPr>
        <w:t>经办机构代扣代缴</w:t>
      </w:r>
      <w:r>
        <w:rPr>
          <w:rFonts w:hint="eastAsia" w:ascii="仿宋_GB2312" w:hAnsi="仿宋_GB2312" w:eastAsia="仿宋_GB2312" w:cs="仿宋_GB2312"/>
          <w:i w:val="0"/>
          <w:strike w:val="0"/>
          <w:color w:val="auto"/>
          <w:sz w:val="32"/>
          <w:highlight w:val="none"/>
          <w:u w:val="none"/>
        </w:rPr>
        <w:t>。</w:t>
      </w:r>
    </w:p>
    <w:p>
      <w:pPr>
        <w:pageBreakBefore w:val="0"/>
        <w:widowControl w:val="0"/>
        <w:numPr>
          <w:ilvl w:val="0"/>
          <w:numId w:val="0"/>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highlight w:val="none"/>
        </w:rPr>
      </w:pPr>
      <w:r>
        <w:rPr>
          <w:rFonts w:hint="eastAsia" w:ascii="楷体" w:hAnsi="楷体" w:eastAsia="楷体" w:cs="楷体"/>
          <w:b w:val="0"/>
          <w:bCs w:val="0"/>
          <w:sz w:val="32"/>
          <w:lang w:eastAsia="zh-CN"/>
        </w:rPr>
        <w:t>（三）</w:t>
      </w:r>
      <w:r>
        <w:rPr>
          <w:rFonts w:hint="eastAsia" w:ascii="楷体" w:hAnsi="楷体" w:eastAsia="楷体" w:cs="楷体"/>
          <w:b w:val="0"/>
          <w:bCs w:val="0"/>
          <w:sz w:val="32"/>
        </w:rPr>
        <w:t>未就业城乡居民</w:t>
      </w:r>
      <w:r>
        <w:rPr>
          <w:rFonts w:hint="eastAsia" w:ascii="楷体" w:hAnsi="楷体" w:eastAsia="楷体" w:cs="楷体"/>
          <w:b w:val="0"/>
          <w:bCs w:val="0"/>
          <w:color w:val="auto"/>
          <w:sz w:val="32"/>
          <w:lang w:eastAsia="zh-CN"/>
        </w:rPr>
        <w:t>。</w:t>
      </w:r>
      <w:r>
        <w:rPr>
          <w:rFonts w:hint="eastAsia" w:ascii="仿宋_GB2312" w:hAnsi="仿宋_GB2312" w:eastAsia="仿宋_GB2312" w:cstheme="minorBidi"/>
          <w:color w:val="auto"/>
          <w:sz w:val="32"/>
        </w:rPr>
        <w:t>未就业城乡居民保费按年度筹集。费率从0.15%</w:t>
      </w:r>
      <w:r>
        <w:rPr>
          <w:rFonts w:hint="eastAsia" w:ascii="仿宋_GB2312" w:hAnsi="仿宋_GB2312" w:eastAsia="仿宋_GB2312" w:cstheme="minorBidi"/>
          <w:color w:val="auto"/>
          <w:sz w:val="32"/>
          <w:lang w:val="en-US" w:eastAsia="zh-CN"/>
        </w:rPr>
        <w:t>左右</w:t>
      </w:r>
      <w:r>
        <w:rPr>
          <w:rFonts w:hint="eastAsia" w:ascii="仿宋_GB2312" w:hAnsi="仿宋_GB2312" w:eastAsia="仿宋_GB2312" w:cstheme="minorBidi"/>
          <w:color w:val="auto"/>
          <w:sz w:val="32"/>
        </w:rPr>
        <w:t>起步</w:t>
      </w:r>
      <w:r>
        <w:rPr>
          <w:rFonts w:hint="eastAsia" w:ascii="仿宋_GB2312" w:hAnsi="仿宋_GB2312" w:eastAsia="仿宋_GB2312" w:cstheme="minorBidi"/>
          <w:color w:val="auto"/>
          <w:sz w:val="32"/>
          <w:lang w:val="en-US" w:eastAsia="zh-CN"/>
        </w:rPr>
        <w:t>，</w:t>
      </w:r>
      <w:r>
        <w:rPr>
          <w:rFonts w:hint="eastAsia" w:ascii="仿宋_GB2312" w:hAnsi="仿宋_GB2312" w:eastAsia="仿宋_GB2312" w:cstheme="minorBidi"/>
          <w:color w:val="auto"/>
          <w:sz w:val="32"/>
        </w:rPr>
        <w:t>用5年</w:t>
      </w:r>
      <w:r>
        <w:rPr>
          <w:rFonts w:hint="eastAsia" w:ascii="仿宋_GB2312" w:hAnsi="仿宋_GB2312" w:eastAsia="仿宋_GB2312" w:cstheme="minorBidi"/>
          <w:color w:val="auto"/>
          <w:sz w:val="32"/>
          <w:lang w:val="en-US" w:eastAsia="zh-CN"/>
        </w:rPr>
        <w:t>左右</w:t>
      </w:r>
      <w:r>
        <w:rPr>
          <w:rFonts w:hint="eastAsia" w:ascii="仿宋_GB2312" w:hAnsi="仿宋_GB2312" w:eastAsia="仿宋_GB2312" w:cstheme="minorBidi"/>
          <w:color w:val="auto"/>
          <w:sz w:val="32"/>
        </w:rPr>
        <w:t>时间逐步过渡到0.3%</w:t>
      </w:r>
      <w:r>
        <w:rPr>
          <w:rFonts w:hint="eastAsia" w:ascii="仿宋_GB2312" w:hAnsi="仿宋_GB2312" w:eastAsia="仿宋_GB2312" w:cstheme="minorBidi"/>
          <w:color w:val="auto"/>
          <w:sz w:val="32"/>
          <w:lang w:val="en-US" w:eastAsia="zh-CN"/>
        </w:rPr>
        <w:t>左右</w:t>
      </w:r>
      <w:r>
        <w:rPr>
          <w:rFonts w:hint="eastAsia" w:ascii="仿宋_GB2312" w:hAnsi="仿宋_GB2312" w:eastAsia="仿宋_GB2312" w:cstheme="minorBidi"/>
          <w:color w:val="auto"/>
          <w:sz w:val="32"/>
        </w:rPr>
        <w:t>，以</w:t>
      </w:r>
      <w:r>
        <w:rPr>
          <w:rFonts w:hint="eastAsia" w:ascii="仿宋_GB2312" w:hAnsi="仿宋_GB2312" w:eastAsia="仿宋_GB2312" w:cstheme="minorBidi"/>
          <w:color w:val="auto"/>
          <w:sz w:val="32"/>
          <w:lang w:eastAsia="zh-CN"/>
        </w:rPr>
        <w:t>我市</w:t>
      </w:r>
      <w:r>
        <w:rPr>
          <w:rFonts w:hint="eastAsia" w:ascii="仿宋_GB2312" w:hAnsi="仿宋_GB2312" w:eastAsia="仿宋_GB2312" w:cstheme="minorBidi"/>
          <w:color w:val="auto"/>
          <w:sz w:val="32"/>
        </w:rPr>
        <w:t>上年</w:t>
      </w:r>
      <w:r>
        <w:rPr>
          <w:rFonts w:hint="eastAsia" w:ascii="仿宋_GB2312" w:hAnsi="仿宋_GB2312" w:eastAsia="仿宋_GB2312" w:cstheme="minorBidi"/>
          <w:color w:val="auto"/>
          <w:sz w:val="32"/>
          <w:highlight w:val="none"/>
        </w:rPr>
        <w:t>度城乡居民人均可</w:t>
      </w:r>
      <w:r>
        <w:rPr>
          <w:rFonts w:hint="eastAsia" w:ascii="仿宋_GB2312" w:hAnsi="仿宋_GB2312" w:eastAsia="仿宋_GB2312" w:cstheme="minorBidi"/>
          <w:sz w:val="32"/>
          <w:highlight w:val="none"/>
        </w:rPr>
        <w:t>支配收入为缴费基数，由个人缴费和财政补助按1:1</w:t>
      </w:r>
      <w:r>
        <w:rPr>
          <w:rFonts w:hint="eastAsia" w:ascii="仿宋_GB2312" w:hAnsi="仿宋_GB2312" w:eastAsia="仿宋_GB2312" w:cstheme="minorBidi"/>
          <w:sz w:val="32"/>
          <w:highlight w:val="none"/>
          <w:lang w:val="en-US" w:eastAsia="zh-CN"/>
        </w:rPr>
        <w:t>左右</w:t>
      </w:r>
      <w:r>
        <w:rPr>
          <w:rFonts w:hint="eastAsia" w:ascii="仿宋_GB2312" w:hAnsi="仿宋_GB2312" w:eastAsia="仿宋_GB2312" w:cstheme="minorBidi"/>
          <w:sz w:val="32"/>
          <w:highlight w:val="none"/>
        </w:rPr>
        <w:t>比例分担。政府补助具体办法按照国家、省、市有关规定执行</w:t>
      </w:r>
      <w:r>
        <w:rPr>
          <w:rFonts w:hint="eastAsia" w:ascii="仿宋_GB2312" w:hAnsi="仿宋_GB2312" w:eastAsia="仿宋_GB2312" w:cstheme="minorBidi"/>
          <w:sz w:val="32"/>
          <w:highlight w:val="none"/>
          <w:lang w:eastAsia="zh-CN"/>
        </w:rPr>
        <w:t>。</w:t>
      </w:r>
    </w:p>
    <w:p>
      <w:pPr>
        <w:pageBreakBefore w:val="0"/>
        <w:widowControl w:val="0"/>
        <w:numPr>
          <w:ilvl w:val="0"/>
          <w:numId w:val="0"/>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highlight w:val="none"/>
        </w:rPr>
      </w:pPr>
      <w:r>
        <w:rPr>
          <w:rFonts w:hint="eastAsia" w:ascii="楷体" w:hAnsi="楷体" w:eastAsia="楷体" w:cs="楷体"/>
          <w:b w:val="0"/>
          <w:bCs w:val="0"/>
          <w:sz w:val="32"/>
          <w:highlight w:val="none"/>
          <w:lang w:eastAsia="zh-CN"/>
        </w:rPr>
        <w:t>（四）</w:t>
      </w:r>
      <w:r>
        <w:rPr>
          <w:rFonts w:hint="eastAsia" w:ascii="楷体" w:hAnsi="楷体" w:eastAsia="楷体" w:cs="楷体"/>
          <w:b w:val="0"/>
          <w:bCs w:val="0"/>
          <w:sz w:val="32"/>
          <w:highlight w:val="none"/>
        </w:rPr>
        <w:t>灵活就业人员</w:t>
      </w:r>
      <w:r>
        <w:rPr>
          <w:rFonts w:hint="eastAsia" w:ascii="楷体" w:hAnsi="楷体" w:eastAsia="楷体" w:cs="楷体"/>
          <w:b w:val="0"/>
          <w:bCs w:val="0"/>
          <w:sz w:val="32"/>
          <w:highlight w:val="none"/>
          <w:lang w:eastAsia="zh-CN"/>
        </w:rPr>
        <w:t>。</w:t>
      </w:r>
      <w:r>
        <w:rPr>
          <w:rFonts w:hint="eastAsia" w:ascii="仿宋_GB2312" w:hAnsi="仿宋_GB2312" w:eastAsia="仿宋_GB2312" w:cstheme="minorBidi"/>
          <w:sz w:val="32"/>
          <w:highlight w:val="none"/>
        </w:rPr>
        <w:t>鼓励参加职工基本医疗保险的灵活就业人员（含领取失业保险</w:t>
      </w:r>
      <w:r>
        <w:rPr>
          <w:rFonts w:hint="eastAsia" w:ascii="仿宋_GB2312" w:hAnsi="仿宋_GB2312" w:eastAsia="仿宋_GB2312" w:cstheme="minorBidi"/>
          <w:sz w:val="32"/>
          <w:highlight w:val="none"/>
          <w:shd w:val="clear" w:color="auto" w:fill="auto"/>
        </w:rPr>
        <w:t>金人</w:t>
      </w:r>
      <w:r>
        <w:rPr>
          <w:rFonts w:hint="eastAsia" w:ascii="仿宋_GB2312" w:hAnsi="仿宋_GB2312" w:eastAsia="仿宋_GB2312" w:cstheme="minorBidi"/>
          <w:sz w:val="32"/>
          <w:highlight w:val="none"/>
        </w:rPr>
        <w:t>员，下同）按照单位职工费率标准参保，费率为0.3%，缴费基数不低于统筹地区上一年度社会平均工资的60%，由个人按照规定缴费</w:t>
      </w:r>
      <w:r>
        <w:rPr>
          <w:rFonts w:hint="eastAsia" w:ascii="仿宋_GB2312" w:hAnsi="仿宋_GB2312" w:eastAsia="仿宋_GB2312" w:cstheme="minorBidi"/>
          <w:sz w:val="32"/>
          <w:highlight w:val="none"/>
          <w:lang w:eastAsia="zh-CN"/>
        </w:rPr>
        <w:t>。</w:t>
      </w:r>
      <w:r>
        <w:rPr>
          <w:rFonts w:ascii="仿宋_GB2312" w:hAnsi="仿宋_GB2312" w:eastAsia="仿宋_GB2312" w:cs="仿宋_GB2312"/>
          <w:i w:val="0"/>
          <w:strike w:val="0"/>
          <w:color w:val="000000"/>
          <w:sz w:val="32"/>
          <w:u w:val="none"/>
        </w:rPr>
        <w:t>未参加职工基本医疗保险的灵活就业人员在基本医疗保险参保地按未就业城乡居民参保政策参保缴费。</w:t>
      </w:r>
    </w:p>
    <w:p>
      <w:pPr>
        <w:pageBreakBefore w:val="0"/>
        <w:widowControl w:val="0"/>
        <w:numPr>
          <w:ilvl w:val="0"/>
          <w:numId w:val="0"/>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shd w:val="clear" w:color="auto" w:fill="FF0000"/>
        </w:rPr>
      </w:pPr>
      <w:r>
        <w:rPr>
          <w:rFonts w:hint="eastAsia" w:ascii="楷体" w:hAnsi="楷体" w:eastAsia="楷体" w:cs="楷体"/>
          <w:b w:val="0"/>
          <w:bCs w:val="0"/>
          <w:sz w:val="32"/>
          <w:lang w:eastAsia="zh-CN"/>
        </w:rPr>
        <w:t>（五）</w:t>
      </w:r>
      <w:r>
        <w:rPr>
          <w:rFonts w:hint="eastAsia" w:ascii="楷体" w:hAnsi="楷体" w:eastAsia="楷体" w:cs="楷体"/>
          <w:b w:val="0"/>
          <w:bCs w:val="0"/>
          <w:sz w:val="32"/>
        </w:rPr>
        <w:t>困难人群</w:t>
      </w:r>
      <w:r>
        <w:rPr>
          <w:rFonts w:hint="eastAsia" w:ascii="楷体" w:hAnsi="楷体" w:eastAsia="楷体" w:cs="楷体"/>
          <w:b w:val="0"/>
          <w:bCs w:val="0"/>
          <w:sz w:val="32"/>
          <w:lang w:eastAsia="zh-CN"/>
        </w:rPr>
        <w:t>。</w:t>
      </w:r>
      <w:r>
        <w:rPr>
          <w:rFonts w:hint="eastAsia" w:ascii="仿宋_GB2312" w:hAnsi="仿宋_GB2312" w:eastAsia="仿宋_GB2312" w:cstheme="minorBidi"/>
          <w:sz w:val="32"/>
        </w:rPr>
        <w:t>对符合条件的困难人群按未就业城乡居民参加</w:t>
      </w:r>
      <w:r>
        <w:rPr>
          <w:rFonts w:hint="eastAsia" w:ascii="仿宋_GB2312" w:hAnsi="仿宋_GB2312" w:eastAsia="仿宋_GB2312" w:cstheme="minorBidi"/>
          <w:sz w:val="32"/>
          <w:lang w:val="en-US" w:eastAsia="zh-CN"/>
        </w:rPr>
        <w:t>长护险</w:t>
      </w:r>
      <w:r>
        <w:rPr>
          <w:rFonts w:hint="eastAsia" w:ascii="仿宋_GB2312" w:hAnsi="仿宋_GB2312" w:eastAsia="仿宋_GB2312" w:cstheme="minorBidi"/>
          <w:sz w:val="32"/>
        </w:rPr>
        <w:t>个人缴费部分予以分类资助，全额资助特困人员，定额资助低保对象、符合条件的防止返贫致贫对象。定额资助标准为不低于个人缴费部分的50%。</w:t>
      </w:r>
    </w:p>
    <w:p>
      <w:pPr>
        <w:pageBreakBefore w:val="0"/>
        <w:widowControl w:val="0"/>
        <w:numPr>
          <w:ilvl w:val="0"/>
          <w:numId w:val="0"/>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楷体" w:hAnsi="楷体" w:eastAsia="楷体" w:cs="楷体"/>
          <w:b w:val="0"/>
          <w:bCs w:val="0"/>
          <w:sz w:val="32"/>
          <w:lang w:eastAsia="zh-CN"/>
        </w:rPr>
        <w:t>（六）</w:t>
      </w:r>
      <w:r>
        <w:rPr>
          <w:rFonts w:hint="eastAsia" w:ascii="楷体" w:hAnsi="楷体" w:eastAsia="楷体" w:cs="楷体"/>
          <w:b w:val="0"/>
          <w:bCs w:val="0"/>
          <w:sz w:val="32"/>
        </w:rPr>
        <w:t>18周岁以下人员</w:t>
      </w:r>
      <w:r>
        <w:rPr>
          <w:rFonts w:hint="eastAsia" w:ascii="楷体" w:hAnsi="楷体" w:eastAsia="楷体" w:cs="楷体"/>
          <w:b w:val="0"/>
          <w:bCs w:val="0"/>
          <w:sz w:val="32"/>
          <w:lang w:eastAsia="zh-CN"/>
        </w:rPr>
        <w:t>。</w:t>
      </w:r>
      <w:r>
        <w:rPr>
          <w:rFonts w:hint="eastAsia" w:ascii="仿宋_GB2312" w:hAnsi="仿宋_GB2312" w:eastAsia="仿宋_GB2312" w:cstheme="minorBidi"/>
          <w:sz w:val="32"/>
        </w:rPr>
        <w:t>18周岁以下未就业人员跟随父母或其他法定抚养人等参保，不单独筹资，享受未就业人员</w:t>
      </w:r>
      <w:r>
        <w:rPr>
          <w:rFonts w:hint="eastAsia" w:ascii="仿宋_GB2312" w:hAnsi="仿宋_GB2312" w:eastAsia="仿宋_GB2312" w:cstheme="minorBidi"/>
          <w:sz w:val="32"/>
          <w:lang w:eastAsia="zh-CN"/>
        </w:rPr>
        <w:t>长护险</w:t>
      </w:r>
      <w:r>
        <w:rPr>
          <w:rFonts w:hint="eastAsia" w:ascii="仿宋_GB2312" w:hAnsi="仿宋_GB2312" w:eastAsia="仿宋_GB2312" w:cstheme="minorBidi"/>
          <w:sz w:val="32"/>
        </w:rPr>
        <w:t>待遇。孤儿、事实无人抚养儿童等人员无法跟从参保的，视同参保。</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职工基本医疗保险个人账户可用于本人及近亲属（包括配偶、父母、子女、兄弟姐妹、祖父母、外祖父母、孙子女、外孙子女）参加长护险的个人缴费。</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highlight w:val="none"/>
        </w:rPr>
      </w:pPr>
      <w:r>
        <w:rPr>
          <w:rFonts w:hint="eastAsia" w:ascii="仿宋_GB2312" w:hAnsi="仿宋_GB2312" w:eastAsia="仿宋_GB2312" w:cstheme="minorBidi"/>
          <w:sz w:val="32"/>
          <w:highlight w:val="none"/>
        </w:rPr>
        <w:t>医保、税务等部门探索完善便捷、高效的具体缴费方式。</w:t>
      </w:r>
    </w:p>
    <w:p>
      <w:pPr>
        <w:pStyle w:val="3"/>
        <w:pageBreakBefore w:val="0"/>
        <w:widowControl w:val="0"/>
        <w:numPr>
          <w:ilvl w:val="1"/>
          <w:numId w:val="1"/>
        </w:numPr>
        <w:kinsoku/>
        <w:overflowPunct/>
        <w:topLinePunct w:val="0"/>
        <w:autoSpaceDE/>
        <w:autoSpaceDN/>
        <w:bidi w:val="0"/>
        <w:adjustRightInd/>
        <w:snapToGrid/>
        <w:spacing w:after="0" w:line="600" w:lineRule="exact"/>
        <w:ind w:left="0" w:firstLine="402"/>
        <w:textAlignment w:val="auto"/>
        <w:rPr>
          <w:rFonts w:hint="eastAsia"/>
          <w:b w:val="0"/>
          <w:bCs/>
        </w:rPr>
      </w:pPr>
      <w:r>
        <w:rPr>
          <w:rFonts w:hint="eastAsia"/>
          <w:b w:val="0"/>
          <w:bCs/>
        </w:rPr>
        <w:t>失能评估</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highlight w:val="none"/>
        </w:rPr>
        <w:t>因年老、疾病、伤残等原因导致丧失生活自理能力，失能状态持续6个月及以上的参保人员</w:t>
      </w:r>
      <w:r>
        <w:rPr>
          <w:rFonts w:hint="eastAsia" w:ascii="仿宋_GB2312" w:hAnsi="仿宋_GB2312" w:eastAsia="仿宋_GB2312" w:cstheme="minorBidi"/>
          <w:sz w:val="32"/>
          <w:highlight w:val="none"/>
          <w:lang w:eastAsia="zh-CN"/>
        </w:rPr>
        <w:t>，</w:t>
      </w:r>
      <w:r>
        <w:rPr>
          <w:rFonts w:hint="eastAsia" w:ascii="仿宋_GB2312" w:hAnsi="仿宋_GB2312" w:eastAsia="仿宋_GB2312" w:cstheme="minorBidi"/>
          <w:sz w:val="32"/>
          <w:highlight w:val="none"/>
          <w:lang w:val="en-US" w:eastAsia="zh-CN"/>
        </w:rPr>
        <w:t>可按规定申请失能等级评估。</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highlight w:val="none"/>
          <w:lang w:val="en-US" w:eastAsia="zh-CN"/>
        </w:rPr>
        <w:t>执行全国统一的长护险失能等级评估标准、操作指南和管理办法</w:t>
      </w:r>
      <w:r>
        <w:rPr>
          <w:rFonts w:hint="eastAsia" w:ascii="仿宋_GB2312" w:hAnsi="仿宋_GB2312" w:eastAsia="仿宋_GB2312" w:cstheme="minorBidi"/>
          <w:sz w:val="32"/>
        </w:rPr>
        <w:t>，评估结论</w:t>
      </w:r>
      <w:r>
        <w:rPr>
          <w:rFonts w:hint="eastAsia" w:ascii="仿宋_GB2312" w:hAnsi="仿宋_GB2312" w:eastAsia="仿宋_GB2312" w:cstheme="minorBidi"/>
          <w:sz w:val="32"/>
          <w:highlight w:val="none"/>
        </w:rPr>
        <w:t>有效期为2年</w:t>
      </w:r>
      <w:r>
        <w:rPr>
          <w:rFonts w:hint="eastAsia" w:ascii="仿宋_GB2312" w:hAnsi="仿宋_GB2312" w:eastAsia="仿宋_GB2312" w:cstheme="minorBidi"/>
          <w:sz w:val="32"/>
        </w:rPr>
        <w:t>，有效期届满前应组织重新评估。按规定落实评估结果全省范围互认、有关部门按需使用。</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highlight w:val="none"/>
        </w:rPr>
      </w:pPr>
      <w:r>
        <w:rPr>
          <w:rFonts w:hint="eastAsia" w:ascii="仿宋_GB2312" w:hAnsi="仿宋_GB2312" w:eastAsia="仿宋_GB2312" w:cstheme="minorBidi"/>
          <w:sz w:val="32"/>
        </w:rPr>
        <w:t>市</w:t>
      </w:r>
      <w:r>
        <w:rPr>
          <w:rFonts w:hint="eastAsia" w:ascii="仿宋_GB2312" w:hAnsi="仿宋_GB2312" w:eastAsia="仿宋_GB2312" w:cstheme="minorBidi"/>
          <w:sz w:val="32"/>
          <w:lang w:eastAsia="zh-CN"/>
        </w:rPr>
        <w:t>医保部门</w:t>
      </w:r>
      <w:r>
        <w:rPr>
          <w:rFonts w:hint="eastAsia" w:ascii="仿宋_GB2312" w:hAnsi="仿宋_GB2312" w:eastAsia="仿宋_GB2312" w:cstheme="minorBidi"/>
          <w:sz w:val="32"/>
        </w:rPr>
        <w:t>会同市财政、卫健、民政、人社、残联等部门成立</w:t>
      </w:r>
      <w:bookmarkStart w:id="0" w:name="OLE_LINK4"/>
      <w:r>
        <w:rPr>
          <w:rFonts w:hint="eastAsia" w:ascii="仿宋_GB2312" w:hAnsi="仿宋_GB2312" w:eastAsia="仿宋_GB2312" w:cstheme="minorBidi"/>
          <w:sz w:val="32"/>
        </w:rPr>
        <w:t>焦作市长期护理保险失能评定委员</w:t>
      </w:r>
      <w:bookmarkEnd w:id="0"/>
      <w:r>
        <w:rPr>
          <w:rFonts w:hint="eastAsia" w:ascii="仿宋_GB2312" w:hAnsi="仿宋_GB2312" w:eastAsia="仿宋_GB2312" w:cstheme="minorBidi"/>
          <w:sz w:val="32"/>
        </w:rPr>
        <w:t>会，委员会负责制定</w:t>
      </w:r>
      <w:r>
        <w:rPr>
          <w:rFonts w:hint="eastAsia" w:ascii="仿宋_GB2312" w:hAnsi="仿宋_GB2312" w:eastAsia="仿宋_GB2312" w:cstheme="minorBidi"/>
          <w:sz w:val="32"/>
          <w:highlight w:val="none"/>
        </w:rPr>
        <w:t>失能等级评估操作规范、建立健全失能等级评估管理机制、指导全市失能等级评估</w:t>
      </w:r>
      <w:r>
        <w:rPr>
          <w:rFonts w:hint="eastAsia" w:ascii="仿宋_GB2312" w:hAnsi="仿宋_GB2312" w:eastAsia="仿宋_GB2312" w:cstheme="minorBidi"/>
          <w:sz w:val="32"/>
          <w:highlight w:val="none"/>
          <w:lang w:eastAsia="zh-CN"/>
        </w:rPr>
        <w:t>、</w:t>
      </w:r>
      <w:r>
        <w:rPr>
          <w:rFonts w:hint="eastAsia" w:ascii="仿宋_GB2312" w:hAnsi="仿宋_GB2312" w:eastAsia="仿宋_GB2312" w:cstheme="minorBidi"/>
          <w:sz w:val="32"/>
          <w:highlight w:val="none"/>
          <w:lang w:val="en-US" w:eastAsia="zh-CN"/>
        </w:rPr>
        <w:t>规范失能等级评估人员培训等相关</w:t>
      </w:r>
      <w:r>
        <w:rPr>
          <w:rFonts w:hint="eastAsia" w:ascii="仿宋_GB2312" w:hAnsi="仿宋_GB2312" w:eastAsia="仿宋_GB2312" w:cstheme="minorBidi"/>
          <w:sz w:val="32"/>
          <w:highlight w:val="none"/>
        </w:rPr>
        <w:t>工作。</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highlight w:val="none"/>
        </w:rPr>
        <w:t>失能评估应遵循公平公开、科学规范、权责明晰、高效便民的原则进行。</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jc w:val="both"/>
        <w:textAlignment w:val="auto"/>
        <w:rPr>
          <w:rFonts w:ascii="仿宋_GB2312" w:hAnsi="仿宋_GB2312" w:eastAsia="仿宋_GB2312" w:cstheme="minorBidi"/>
          <w:sz w:val="32"/>
        </w:rPr>
      </w:pPr>
      <w:r>
        <w:rPr>
          <w:rFonts w:hint="eastAsia" w:ascii="仿宋_GB2312" w:hAnsi="仿宋_GB2312" w:eastAsia="仿宋_GB2312" w:cstheme="minorBidi"/>
          <w:sz w:val="32"/>
        </w:rPr>
        <w:t>建立健全评估服务费由基金和个人合理分担机制</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参保人首次申请评估以及对评估结论申请复评的服务费由申请人预付</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评估服务费用</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lang w:val="en-US" w:eastAsia="zh-CN"/>
        </w:rPr>
        <w:t>含复评服务费</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标准暂定为200元/人·次。原则上</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参保人首次评估通过和按制度要求参加定期复评的评估服务费用由基金支付。对评估结论申请异议复评，复评结论与原评估结论不一致且符合待遇享受条件的，评估费用由基金支付；复评结论和原评估结论一致</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或与原结论不一致但不符合待遇享受条件的，评估费用由申请人承担。</w:t>
      </w:r>
      <w:r>
        <w:rPr>
          <w:rFonts w:hint="eastAsia" w:ascii="仿宋_GB2312" w:hAnsi="仿宋_GB2312" w:eastAsia="仿宋_GB2312" w:cstheme="minorBidi"/>
          <w:sz w:val="32"/>
          <w:highlight w:val="none"/>
        </w:rPr>
        <w:t>评估服务费用</w:t>
      </w:r>
      <w:r>
        <w:rPr>
          <w:rFonts w:hint="eastAsia" w:ascii="仿宋_GB2312" w:hAnsi="仿宋_GB2312" w:eastAsia="仿宋_GB2312" w:cstheme="minorBidi"/>
          <w:sz w:val="32"/>
          <w:highlight w:val="none"/>
          <w:lang w:val="en-US" w:eastAsia="zh-CN"/>
        </w:rPr>
        <w:t>支付</w:t>
      </w:r>
      <w:r>
        <w:rPr>
          <w:rFonts w:hint="eastAsia" w:ascii="仿宋_GB2312" w:hAnsi="仿宋_GB2312" w:eastAsia="仿宋_GB2312" w:cstheme="minorBidi"/>
          <w:sz w:val="32"/>
          <w:highlight w:val="none"/>
        </w:rPr>
        <w:t>标准结合经济社会发展水平、评估服务成本等因素适时调整。</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lang w:val="en-US" w:eastAsia="zh-CN"/>
        </w:rPr>
        <w:t>鼓励</w:t>
      </w:r>
      <w:r>
        <w:rPr>
          <w:rFonts w:hint="eastAsia" w:ascii="仿宋_GB2312" w:hAnsi="仿宋_GB2312" w:eastAsia="仿宋_GB2312" w:cstheme="minorBidi"/>
          <w:sz w:val="32"/>
        </w:rPr>
        <w:t>发展独立的评估机构，</w:t>
      </w:r>
      <w:r>
        <w:rPr>
          <w:rFonts w:hint="eastAsia" w:ascii="仿宋_GB2312" w:hAnsi="仿宋_GB2312" w:eastAsia="仿宋_GB2312" w:cstheme="minorBidi"/>
          <w:sz w:val="32"/>
          <w:lang w:val="en-US" w:eastAsia="zh-CN"/>
        </w:rPr>
        <w:t>实行定点管理</w:t>
      </w:r>
      <w:r>
        <w:rPr>
          <w:rFonts w:hint="eastAsia" w:ascii="仿宋_GB2312" w:hAnsi="仿宋_GB2312" w:eastAsia="仿宋_GB2312" w:cstheme="minorBidi"/>
          <w:sz w:val="32"/>
        </w:rPr>
        <w:t>。</w:t>
      </w:r>
    </w:p>
    <w:p>
      <w:pPr>
        <w:pStyle w:val="3"/>
        <w:pageBreakBefore w:val="0"/>
        <w:widowControl w:val="0"/>
        <w:numPr>
          <w:ilvl w:val="1"/>
          <w:numId w:val="1"/>
        </w:numPr>
        <w:kinsoku/>
        <w:overflowPunct/>
        <w:topLinePunct w:val="0"/>
        <w:autoSpaceDE/>
        <w:autoSpaceDN/>
        <w:bidi w:val="0"/>
        <w:adjustRightInd/>
        <w:snapToGrid/>
        <w:spacing w:after="0" w:line="600" w:lineRule="exact"/>
        <w:ind w:left="0" w:firstLine="402"/>
        <w:textAlignment w:val="auto"/>
        <w:rPr>
          <w:rFonts w:hint="eastAsia"/>
          <w:b w:val="0"/>
          <w:bCs/>
        </w:rPr>
      </w:pPr>
      <w:r>
        <w:rPr>
          <w:rFonts w:hint="eastAsia"/>
          <w:b w:val="0"/>
          <w:bCs/>
        </w:rPr>
        <w:t>待遇保障</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rPr>
      </w:pPr>
      <w:r>
        <w:rPr>
          <w:rFonts w:hint="eastAsia" w:ascii="仿宋_GB2312" w:hAnsi="仿宋_GB2312" w:eastAsia="仿宋_GB2312" w:cstheme="minorBidi"/>
          <w:sz w:val="32"/>
        </w:rPr>
        <w:t>长护险制度起步阶段保障重度失能人员。按规定参加长护险并连续足额缴费的参保人员，经申请通过失能等级评估认定的可按规定享受长护险待遇。异地居住人员长护险待遇支付，</w:t>
      </w:r>
      <w:r>
        <w:rPr>
          <w:rFonts w:hint="eastAsia" w:ascii="仿宋_GB2312" w:hAnsi="仿宋_GB2312" w:eastAsia="仿宋_GB2312" w:cstheme="minorBidi"/>
          <w:sz w:val="32"/>
          <w:lang w:val="en-US" w:eastAsia="zh-CN"/>
        </w:rPr>
        <w:t>按</w:t>
      </w:r>
      <w:r>
        <w:rPr>
          <w:rFonts w:hint="eastAsia" w:ascii="仿宋_GB2312" w:hAnsi="仿宋_GB2312" w:eastAsia="仿宋_GB2312" w:cstheme="minorBidi"/>
          <w:sz w:val="32"/>
        </w:rPr>
        <w:t>国家、省</w:t>
      </w:r>
      <w:r>
        <w:rPr>
          <w:rFonts w:hint="eastAsia" w:ascii="仿宋_GB2312" w:hAnsi="仿宋_GB2312" w:eastAsia="仿宋_GB2312" w:cstheme="minorBidi"/>
          <w:sz w:val="32"/>
          <w:lang w:val="en-US" w:eastAsia="zh-CN"/>
        </w:rPr>
        <w:t>有关规定执行</w:t>
      </w:r>
      <w:r>
        <w:rPr>
          <w:rFonts w:hint="eastAsia" w:ascii="仿宋_GB2312" w:hAnsi="仿宋_GB2312" w:eastAsia="仿宋_GB2312" w:cstheme="minorBidi"/>
          <w:sz w:val="32"/>
        </w:rPr>
        <w:t>。</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rPr>
      </w:pPr>
      <w:r>
        <w:rPr>
          <w:rFonts w:hint="eastAsia" w:ascii="仿宋_GB2312" w:hAnsi="仿宋_GB2312" w:eastAsia="仿宋_GB2312" w:cstheme="minorBidi"/>
          <w:sz w:val="32"/>
          <w:highlight w:val="none"/>
        </w:rPr>
        <w:t>长护险基金主要用于支付符合规定的长期护理服务机构和人员提供</w:t>
      </w:r>
      <w:r>
        <w:rPr>
          <w:rFonts w:hint="eastAsia" w:ascii="仿宋_GB2312" w:hAnsi="仿宋_GB2312" w:eastAsia="仿宋_GB2312" w:cstheme="minorBidi"/>
          <w:sz w:val="32"/>
          <w:highlight w:val="none"/>
          <w:lang w:val="en-US" w:eastAsia="zh-CN"/>
        </w:rPr>
        <w:t>长期护理</w:t>
      </w:r>
      <w:r>
        <w:rPr>
          <w:rFonts w:hint="eastAsia" w:ascii="仿宋_GB2312" w:hAnsi="仿宋_GB2312" w:eastAsia="仿宋_GB2312" w:cstheme="minorBidi"/>
          <w:sz w:val="32"/>
          <w:highlight w:val="none"/>
        </w:rPr>
        <w:t>基本服务所发生的费用，</w:t>
      </w:r>
      <w:r>
        <w:rPr>
          <w:rFonts w:hint="eastAsia" w:ascii="仿宋_GB2312" w:hAnsi="仿宋_GB2312" w:eastAsia="仿宋_GB2312" w:cstheme="minorBidi"/>
          <w:sz w:val="32"/>
        </w:rPr>
        <w:t>原则上不直接向保障对象发放现金。</w:t>
      </w:r>
      <w:r>
        <w:rPr>
          <w:rFonts w:hint="eastAsia" w:ascii="仿宋_GB2312" w:hAnsi="仿宋_GB2312" w:eastAsia="仿宋_GB2312" w:cstheme="minorBidi"/>
          <w:sz w:val="32"/>
          <w:highlight w:val="none"/>
        </w:rPr>
        <w:t>执行国家统一的长期护理保险服务项目目录，适时</w:t>
      </w:r>
      <w:r>
        <w:rPr>
          <w:rFonts w:hint="eastAsia" w:ascii="仿宋_GB2312" w:hAnsi="仿宋_GB2312" w:eastAsia="仿宋_GB2312" w:cstheme="minorBidi"/>
          <w:sz w:val="32"/>
        </w:rPr>
        <w:t>将长期护理相关智能化服务和支持性辅助器具等纳入支付范围。</w:t>
      </w:r>
    </w:p>
    <w:p>
      <w:pPr>
        <w:keepNext w:val="0"/>
        <w:keepLines w:val="0"/>
        <w:pageBreakBefore w:val="0"/>
        <w:widowControl w:val="0"/>
        <w:numPr>
          <w:ilvl w:val="1"/>
          <w:numId w:val="2"/>
        </w:numPr>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不予支付情形：</w:t>
      </w:r>
    </w:p>
    <w:p>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theme="minorBidi"/>
          <w:sz w:val="32"/>
          <w:highlight w:val="none"/>
        </w:rPr>
      </w:pPr>
      <w:r>
        <w:rPr>
          <w:rFonts w:hint="eastAsia" w:ascii="仿宋_GB2312" w:hAnsi="仿宋_GB2312" w:eastAsia="仿宋_GB2312" w:cstheme="minorBidi"/>
          <w:sz w:val="32"/>
          <w:highlight w:val="none"/>
        </w:rPr>
        <w:t>应当由</w:t>
      </w:r>
      <w:r>
        <w:rPr>
          <w:rFonts w:hint="eastAsia" w:ascii="仿宋_GB2312" w:hAnsi="仿宋_GB2312" w:eastAsia="仿宋_GB2312" w:cstheme="minorBidi"/>
          <w:sz w:val="32"/>
          <w:highlight w:val="none"/>
          <w:lang w:val="en-US" w:eastAsia="zh-CN"/>
        </w:rPr>
        <w:t>基本</w:t>
      </w:r>
      <w:r>
        <w:rPr>
          <w:rFonts w:hint="eastAsia" w:ascii="仿宋_GB2312" w:hAnsi="仿宋_GB2312" w:eastAsia="仿宋_GB2312" w:cstheme="minorBidi"/>
          <w:sz w:val="32"/>
          <w:highlight w:val="none"/>
        </w:rPr>
        <w:t>医疗保险</w:t>
      </w:r>
      <w:r>
        <w:rPr>
          <w:rFonts w:hint="eastAsia" w:ascii="仿宋_GB2312" w:hAnsi="仿宋_GB2312" w:eastAsia="仿宋_GB2312" w:cstheme="minorBidi"/>
          <w:sz w:val="32"/>
          <w:highlight w:val="none"/>
          <w:lang w:val="en-US" w:eastAsia="zh-CN"/>
        </w:rPr>
        <w:t>基金</w:t>
      </w:r>
      <w:r>
        <w:rPr>
          <w:rFonts w:hint="eastAsia" w:ascii="仿宋_GB2312" w:hAnsi="仿宋_GB2312" w:eastAsia="仿宋_GB2312" w:cstheme="minorBidi"/>
          <w:sz w:val="32"/>
          <w:highlight w:val="none"/>
        </w:rPr>
        <w:t>支付的医疗费用</w:t>
      </w:r>
      <w:r>
        <w:rPr>
          <w:rFonts w:hint="eastAsia" w:ascii="仿宋_GB2312" w:hAnsi="仿宋_GB2312" w:eastAsia="仿宋_GB2312" w:cstheme="minorBidi"/>
          <w:sz w:val="32"/>
          <w:highlight w:val="none"/>
          <w:lang w:eastAsia="zh-CN"/>
        </w:rPr>
        <w:t>；</w:t>
      </w:r>
    </w:p>
    <w:p>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应当由第三方负担的费用；</w:t>
      </w:r>
    </w:p>
    <w:p>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应当由公共卫生负担的费用；</w:t>
      </w:r>
    </w:p>
    <w:p>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非定点机构发生的费用；</w:t>
      </w:r>
    </w:p>
    <w:p>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床位费、膳食费等非护理服务费用；</w:t>
      </w:r>
    </w:p>
    <w:p>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在境外发生的护理费用；</w:t>
      </w:r>
    </w:p>
    <w:p>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超出长护险支付范围及标准的费用；</w:t>
      </w:r>
    </w:p>
    <w:p>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其他法律</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法规规定不予支付的费用。</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highlight w:val="none"/>
        </w:rPr>
      </w:pPr>
      <w:r>
        <w:rPr>
          <w:rFonts w:hint="eastAsia" w:ascii="仿宋_GB2312" w:hAnsi="仿宋_GB2312" w:eastAsia="仿宋_GB2312" w:cstheme="minorBidi"/>
          <w:sz w:val="32"/>
          <w:highlight w:val="none"/>
        </w:rPr>
        <w:t>领取工伤保险生活护理费用的参保人员不重复享受</w:t>
      </w:r>
      <w:r>
        <w:rPr>
          <w:rFonts w:hint="eastAsia" w:ascii="仿宋_GB2312" w:hAnsi="仿宋_GB2312" w:eastAsia="仿宋_GB2312" w:cstheme="minorBidi"/>
          <w:sz w:val="32"/>
          <w:highlight w:val="none"/>
          <w:lang w:eastAsia="zh-CN"/>
        </w:rPr>
        <w:t>长护险</w:t>
      </w:r>
      <w:r>
        <w:rPr>
          <w:rFonts w:hint="eastAsia" w:ascii="仿宋_GB2312" w:hAnsi="仿宋_GB2312" w:eastAsia="仿宋_GB2312" w:cstheme="minorBidi"/>
          <w:sz w:val="32"/>
          <w:highlight w:val="none"/>
        </w:rPr>
        <w:t>相关服务待遇</w:t>
      </w:r>
      <w:r>
        <w:rPr>
          <w:rFonts w:hint="eastAsia" w:ascii="仿宋_GB2312" w:hAnsi="仿宋_GB2312" w:eastAsia="仿宋_GB2312" w:cstheme="minorBidi"/>
          <w:sz w:val="32"/>
          <w:highlight w:val="none"/>
          <w:lang w:eastAsia="zh-CN"/>
        </w:rPr>
        <w:t>。</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color w:val="auto"/>
          <w:sz w:val="32"/>
          <w:highlight w:val="none"/>
        </w:rPr>
      </w:pPr>
      <w:r>
        <w:rPr>
          <w:rFonts w:hint="eastAsia" w:ascii="仿宋_GB2312" w:hAnsi="仿宋_GB2312" w:eastAsia="仿宋_GB2312" w:cstheme="minorBidi"/>
          <w:sz w:val="32"/>
        </w:rPr>
        <w:t>长护险待遇享受不设</w:t>
      </w:r>
      <w:r>
        <w:rPr>
          <w:rFonts w:hint="eastAsia" w:ascii="仿宋_GB2312" w:hAnsi="仿宋_GB2312" w:eastAsia="仿宋_GB2312" w:cstheme="minorBidi"/>
          <w:sz w:val="32"/>
          <w:lang w:val="en-US" w:eastAsia="zh-CN"/>
        </w:rPr>
        <w:t>起付标准</w:t>
      </w:r>
      <w:r>
        <w:rPr>
          <w:rFonts w:hint="eastAsia" w:ascii="仿宋_GB2312" w:hAnsi="仿宋_GB2312" w:eastAsia="仿宋_GB2312" w:cstheme="minorBidi"/>
          <w:sz w:val="32"/>
        </w:rPr>
        <w:t>，设定差别化待遇支付标准。按照单位职工参保政策参保的，基金支付比例为70%左右，退休人员享受单位职工参保待遇</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按照未就业城乡居民参保政策参保的，基金支付比例为50%左</w:t>
      </w:r>
      <w:r>
        <w:rPr>
          <w:rFonts w:hint="eastAsia" w:ascii="仿宋_GB2312" w:hAnsi="仿宋_GB2312" w:eastAsia="仿宋_GB2312" w:cstheme="minorBidi"/>
          <w:color w:val="auto"/>
          <w:sz w:val="32"/>
        </w:rPr>
        <w:t>右</w:t>
      </w:r>
      <w:bookmarkStart w:id="1" w:name="OLE_LINK5"/>
      <w:r>
        <w:rPr>
          <w:rFonts w:hint="eastAsia" w:ascii="仿宋_GB2312" w:hAnsi="仿宋_GB2312" w:eastAsia="仿宋_GB2312" w:cstheme="minorBidi"/>
          <w:color w:val="auto"/>
          <w:sz w:val="32"/>
          <w:lang w:eastAsia="zh-CN"/>
        </w:rPr>
        <w:t>。</w:t>
      </w:r>
      <w:r>
        <w:rPr>
          <w:rFonts w:hint="eastAsia" w:ascii="仿宋_GB2312" w:hAnsi="仿宋_GB2312" w:eastAsia="仿宋_GB2312" w:cstheme="minorBidi"/>
          <w:color w:val="auto"/>
          <w:sz w:val="32"/>
          <w:lang w:val="en-US" w:eastAsia="zh-CN"/>
        </w:rPr>
        <w:t>参保人基金</w:t>
      </w:r>
      <w:r>
        <w:rPr>
          <w:rFonts w:hint="eastAsia" w:ascii="仿宋_GB2312" w:hAnsi="仿宋_GB2312" w:eastAsia="仿宋_GB2312" w:cstheme="minorBidi"/>
          <w:color w:val="auto"/>
          <w:sz w:val="32"/>
        </w:rPr>
        <w:t>年度最高支付限额</w:t>
      </w:r>
      <w:r>
        <w:rPr>
          <w:rFonts w:hint="eastAsia" w:ascii="仿宋_GB2312" w:hAnsi="仿宋_GB2312" w:eastAsia="仿宋_GB2312" w:cstheme="minorBidi"/>
          <w:color w:val="auto"/>
          <w:sz w:val="32"/>
          <w:lang w:val="en-US" w:eastAsia="zh-CN"/>
        </w:rPr>
        <w:t>按照就业人员和未就业人员分类设定，最高不超过</w:t>
      </w:r>
      <w:r>
        <w:rPr>
          <w:rFonts w:hint="eastAsia" w:ascii="仿宋_GB2312" w:hAnsi="仿宋_GB2312" w:eastAsia="仿宋_GB2312" w:cstheme="minorBidi"/>
          <w:color w:val="auto"/>
          <w:sz w:val="32"/>
          <w:lang w:eastAsia="zh-CN"/>
        </w:rPr>
        <w:t>我市</w:t>
      </w:r>
      <w:r>
        <w:rPr>
          <w:rFonts w:hint="eastAsia" w:ascii="仿宋_GB2312" w:hAnsi="仿宋_GB2312" w:eastAsia="仿宋_GB2312" w:cstheme="minorBidi"/>
          <w:color w:val="auto"/>
          <w:sz w:val="32"/>
        </w:rPr>
        <w:t>上一年度城乡居民人均可支配收入的50%，</w:t>
      </w:r>
      <w:bookmarkEnd w:id="1"/>
      <w:r>
        <w:rPr>
          <w:rFonts w:hint="eastAsia" w:ascii="仿宋_GB2312" w:hAnsi="仿宋_GB2312" w:eastAsia="仿宋_GB2312" w:cstheme="minorBidi"/>
          <w:color w:val="auto"/>
          <w:sz w:val="32"/>
        </w:rPr>
        <w:t>限额内合规费用据实结算，</w:t>
      </w:r>
      <w:r>
        <w:rPr>
          <w:rFonts w:hint="eastAsia" w:ascii="仿宋_GB2312" w:hAnsi="仿宋_GB2312" w:eastAsia="仿宋_GB2312" w:cstheme="minorBidi"/>
          <w:color w:val="auto"/>
          <w:sz w:val="32"/>
          <w:highlight w:val="none"/>
          <w:lang w:val="en-US" w:eastAsia="zh-CN"/>
        </w:rPr>
        <w:t>超出目录支付范围、</w:t>
      </w:r>
      <w:r>
        <w:rPr>
          <w:rFonts w:hint="eastAsia" w:ascii="仿宋_GB2312" w:hAnsi="仿宋_GB2312" w:eastAsia="仿宋_GB2312" w:cstheme="minorBidi"/>
          <w:color w:val="auto"/>
          <w:sz w:val="32"/>
          <w:highlight w:val="none"/>
        </w:rPr>
        <w:t>超过支付限额的费</w:t>
      </w:r>
      <w:r>
        <w:rPr>
          <w:rFonts w:hint="eastAsia" w:ascii="仿宋_GB2312" w:hAnsi="仿宋_GB2312" w:eastAsia="仿宋_GB2312" w:cstheme="minorBidi"/>
          <w:sz w:val="32"/>
          <w:highlight w:val="none"/>
        </w:rPr>
        <w:t>用</w:t>
      </w:r>
      <w:r>
        <w:rPr>
          <w:rFonts w:hint="eastAsia" w:ascii="仿宋_GB2312" w:hAnsi="仿宋_GB2312" w:eastAsia="仿宋_GB2312" w:cstheme="minorBidi"/>
          <w:sz w:val="32"/>
          <w:highlight w:val="none"/>
          <w:lang w:eastAsia="zh-CN"/>
        </w:rPr>
        <w:t>，</w:t>
      </w:r>
      <w:r>
        <w:rPr>
          <w:rFonts w:hint="eastAsia" w:ascii="仿宋_GB2312" w:hAnsi="仿宋_GB2312" w:eastAsia="仿宋_GB2312" w:cstheme="minorBidi"/>
          <w:sz w:val="32"/>
          <w:highlight w:val="none"/>
          <w:lang w:val="en-US" w:eastAsia="zh-CN"/>
        </w:rPr>
        <w:t>以</w:t>
      </w:r>
      <w:r>
        <w:rPr>
          <w:rFonts w:hint="eastAsia" w:ascii="仿宋_GB2312" w:hAnsi="仿宋_GB2312" w:eastAsia="仿宋_GB2312" w:cstheme="minorBidi"/>
          <w:sz w:val="32"/>
          <w:highlight w:val="none"/>
        </w:rPr>
        <w:t>及按比</w:t>
      </w:r>
      <w:r>
        <w:rPr>
          <w:rFonts w:hint="eastAsia" w:ascii="仿宋_GB2312" w:hAnsi="仿宋_GB2312" w:eastAsia="仿宋_GB2312" w:cstheme="minorBidi"/>
          <w:color w:val="auto"/>
          <w:sz w:val="32"/>
          <w:highlight w:val="none"/>
        </w:rPr>
        <w:t>例</w:t>
      </w:r>
      <w:r>
        <w:rPr>
          <w:rFonts w:hint="eastAsia" w:ascii="仿宋_GB2312" w:hAnsi="仿宋_GB2312" w:eastAsia="仿宋_GB2312" w:cstheme="minorBidi"/>
          <w:color w:val="auto"/>
          <w:sz w:val="32"/>
          <w:highlight w:val="none"/>
          <w:lang w:val="en-US" w:eastAsia="zh-CN"/>
        </w:rPr>
        <w:t>应由个人</w:t>
      </w:r>
      <w:r>
        <w:rPr>
          <w:rFonts w:hint="eastAsia" w:ascii="仿宋_GB2312" w:hAnsi="仿宋_GB2312" w:eastAsia="仿宋_GB2312" w:cstheme="minorBidi"/>
          <w:color w:val="auto"/>
          <w:sz w:val="32"/>
          <w:highlight w:val="none"/>
        </w:rPr>
        <w:t>自付</w:t>
      </w:r>
      <w:r>
        <w:rPr>
          <w:rFonts w:hint="eastAsia" w:ascii="仿宋_GB2312" w:hAnsi="仿宋_GB2312" w:eastAsia="仿宋_GB2312" w:cstheme="minorBidi"/>
          <w:color w:val="auto"/>
          <w:sz w:val="32"/>
          <w:highlight w:val="none"/>
          <w:lang w:val="en-US" w:eastAsia="zh-CN"/>
        </w:rPr>
        <w:t>的</w:t>
      </w:r>
      <w:r>
        <w:rPr>
          <w:rFonts w:hint="eastAsia" w:ascii="仿宋_GB2312" w:hAnsi="仿宋_GB2312" w:eastAsia="仿宋_GB2312" w:cstheme="minorBidi"/>
          <w:color w:val="auto"/>
          <w:sz w:val="32"/>
          <w:highlight w:val="none"/>
        </w:rPr>
        <w:t>部分</w:t>
      </w:r>
      <w:r>
        <w:rPr>
          <w:rFonts w:hint="eastAsia" w:ascii="仿宋_GB2312" w:hAnsi="仿宋_GB2312" w:eastAsia="仿宋_GB2312" w:cstheme="minorBidi"/>
          <w:color w:val="auto"/>
          <w:sz w:val="32"/>
          <w:highlight w:val="none"/>
          <w:lang w:eastAsia="zh-CN"/>
        </w:rPr>
        <w:t>，</w:t>
      </w:r>
      <w:r>
        <w:rPr>
          <w:rFonts w:hint="eastAsia" w:ascii="仿宋_GB2312" w:hAnsi="仿宋_GB2312" w:eastAsia="仿宋_GB2312" w:cstheme="minorBidi"/>
          <w:color w:val="auto"/>
          <w:sz w:val="32"/>
          <w:highlight w:val="none"/>
        </w:rPr>
        <w:t>由参保人自行承担。</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theme="minorBidi"/>
          <w:color w:val="auto"/>
          <w:sz w:val="32"/>
        </w:rPr>
        <w:t>长期护理服务机构</w:t>
      </w:r>
      <w:r>
        <w:rPr>
          <w:rFonts w:hint="eastAsia" w:ascii="仿宋_GB2312" w:hAnsi="仿宋_GB2312" w:eastAsia="仿宋_GB2312" w:cs="仿宋_GB2312"/>
          <w:color w:val="auto"/>
          <w:sz w:val="32"/>
          <w:szCs w:val="32"/>
        </w:rPr>
        <w:t>提供的长期护理服务类型</w:t>
      </w:r>
      <w:r>
        <w:rPr>
          <w:rFonts w:hint="eastAsia" w:ascii="仿宋_GB2312" w:hAnsi="仿宋_GB2312" w:eastAsia="仿宋_GB2312" w:cs="仿宋_GB2312"/>
          <w:color w:val="auto"/>
          <w:sz w:val="32"/>
          <w:szCs w:val="32"/>
          <w:highlight w:val="none"/>
        </w:rPr>
        <w:t>主要分为居家护理、社区护理和机构护理。</w:t>
      </w:r>
    </w:p>
    <w:p>
      <w:pPr>
        <w:pageBreakBefore w:val="0"/>
        <w:widowControl w:val="0"/>
        <w:numPr>
          <w:ilvl w:val="0"/>
          <w:numId w:val="4"/>
        </w:numPr>
        <w:kinsoku/>
        <w:overflowPunct/>
        <w:topLinePunct w:val="0"/>
        <w:autoSpaceDE/>
        <w:autoSpaceDN/>
        <w:bidi w:val="0"/>
        <w:adjustRightInd/>
        <w:snapToGrid/>
        <w:spacing w:line="600" w:lineRule="exact"/>
        <w:ind w:left="0" w:leftChars="0" w:firstLine="420" w:firstLineChars="0"/>
        <w:textAlignment w:val="auto"/>
        <w:rPr>
          <w:rFonts w:ascii="仿宋_GB2312" w:hAnsi="仿宋_GB2312" w:eastAsia="仿宋_GB2312" w:cs="仿宋_GB2312"/>
          <w:strike w:val="0"/>
          <w:dstrike w:val="0"/>
          <w:color w:val="auto"/>
          <w:sz w:val="32"/>
          <w:szCs w:val="32"/>
          <w:highlight w:val="none"/>
        </w:rPr>
      </w:pPr>
      <w:bookmarkStart w:id="2" w:name="OLE_LINK3"/>
      <w:r>
        <w:rPr>
          <w:rFonts w:hint="eastAsia" w:ascii="仿宋_GB2312" w:hAnsi="仿宋_GB2312" w:eastAsia="仿宋_GB2312" w:cstheme="minorBidi"/>
          <w:color w:val="auto"/>
          <w:sz w:val="32"/>
          <w:lang w:val="en-US" w:eastAsia="zh-CN"/>
        </w:rPr>
        <w:t>居家</w:t>
      </w:r>
      <w:r>
        <w:rPr>
          <w:rFonts w:hint="eastAsia" w:ascii="仿宋_GB2312" w:hAnsi="仿宋_GB2312" w:eastAsia="仿宋_GB2312" w:cstheme="minorBidi"/>
          <w:color w:val="auto"/>
          <w:sz w:val="32"/>
          <w:highlight w:val="none"/>
          <w:lang w:val="en-US" w:eastAsia="zh-CN"/>
        </w:rPr>
        <w:t>护理</w:t>
      </w:r>
      <w:r>
        <w:rPr>
          <w:rFonts w:hint="eastAsia" w:ascii="仿宋_GB2312" w:hAnsi="仿宋_GB2312" w:eastAsia="仿宋_GB2312" w:cstheme="minorBidi"/>
          <w:color w:val="auto"/>
          <w:sz w:val="32"/>
          <w:lang w:val="en-US" w:eastAsia="zh-CN"/>
        </w:rPr>
        <w:t>是指服务机构在参保人员所居住的家庭住所内为</w:t>
      </w:r>
      <w:r>
        <w:rPr>
          <w:rFonts w:hint="eastAsia" w:ascii="仿宋_GB2312" w:hAnsi="仿宋_GB2312" w:eastAsia="仿宋_GB2312" w:cs="仿宋_GB2312"/>
          <w:color w:val="auto"/>
          <w:sz w:val="32"/>
          <w:szCs w:val="32"/>
          <w:highlight w:val="none"/>
        </w:rPr>
        <w:t>参保人员提供</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长期护理服务。</w:t>
      </w:r>
      <w:r>
        <w:rPr>
          <w:rFonts w:hint="eastAsia" w:ascii="仿宋_GB2312" w:hAnsi="仿宋_GB2312" w:eastAsia="仿宋_GB2312" w:cs="仿宋_GB2312"/>
          <w:color w:val="auto"/>
          <w:sz w:val="32"/>
          <w:szCs w:val="32"/>
          <w:highlight w:val="none"/>
          <w:lang w:val="en-US" w:eastAsia="zh-CN"/>
        </w:rPr>
        <w:t>具体待遇标准按以下规定执行：</w:t>
      </w:r>
      <w:r>
        <w:rPr>
          <w:rFonts w:hint="eastAsia" w:ascii="仿宋_GB2312" w:hAnsi="仿宋_GB2312" w:eastAsia="仿宋_GB2312" w:cstheme="minorBidi"/>
          <w:strike w:val="0"/>
          <w:dstrike w:val="0"/>
          <w:color w:val="auto"/>
          <w:sz w:val="32"/>
          <w:highlight w:val="none"/>
        </w:rPr>
        <w:t>按照单位职工参保政策参保的</w:t>
      </w:r>
      <w:r>
        <w:rPr>
          <w:rFonts w:hint="eastAsia" w:ascii="仿宋_GB2312" w:hAnsi="仿宋_GB2312" w:eastAsia="仿宋_GB2312" w:cstheme="minorBidi"/>
          <w:strike w:val="0"/>
          <w:dstrike w:val="0"/>
          <w:color w:val="auto"/>
          <w:sz w:val="32"/>
          <w:highlight w:val="none"/>
          <w:lang w:eastAsia="zh-CN"/>
        </w:rPr>
        <w:t>，</w:t>
      </w:r>
      <w:r>
        <w:rPr>
          <w:rFonts w:hint="eastAsia" w:ascii="仿宋_GB2312" w:hAnsi="仿宋_GB2312" w:eastAsia="仿宋_GB2312" w:cs="仿宋_GB2312"/>
          <w:strike w:val="0"/>
          <w:dstrike w:val="0"/>
          <w:color w:val="auto"/>
          <w:sz w:val="32"/>
          <w:szCs w:val="32"/>
          <w:highlight w:val="none"/>
          <w:lang w:val="en-US" w:eastAsia="zh-CN"/>
        </w:rPr>
        <w:t>基金支付比例为75%，支付限额1100元/月；</w:t>
      </w:r>
      <w:r>
        <w:rPr>
          <w:rFonts w:hint="eastAsia" w:ascii="仿宋_GB2312" w:hAnsi="仿宋_GB2312" w:eastAsia="仿宋_GB2312" w:cstheme="minorBidi"/>
          <w:strike w:val="0"/>
          <w:dstrike w:val="0"/>
          <w:color w:val="auto"/>
          <w:sz w:val="32"/>
          <w:highlight w:val="none"/>
        </w:rPr>
        <w:t>按照未就业城乡居民参保政策参保的</w:t>
      </w:r>
      <w:r>
        <w:rPr>
          <w:rFonts w:hint="eastAsia" w:ascii="仿宋_GB2312" w:hAnsi="仿宋_GB2312" w:eastAsia="仿宋_GB2312" w:cstheme="minorBidi"/>
          <w:strike w:val="0"/>
          <w:dstrike w:val="0"/>
          <w:color w:val="auto"/>
          <w:sz w:val="32"/>
          <w:highlight w:val="none"/>
          <w:lang w:eastAsia="zh-CN"/>
        </w:rPr>
        <w:t>，</w:t>
      </w:r>
      <w:r>
        <w:rPr>
          <w:rFonts w:hint="eastAsia" w:ascii="仿宋_GB2312" w:hAnsi="仿宋_GB2312" w:eastAsia="仿宋_GB2312" w:cs="仿宋_GB2312"/>
          <w:strike w:val="0"/>
          <w:dstrike w:val="0"/>
          <w:color w:val="auto"/>
          <w:sz w:val="32"/>
          <w:szCs w:val="32"/>
          <w:highlight w:val="none"/>
          <w:lang w:val="en-US" w:eastAsia="zh-CN"/>
        </w:rPr>
        <w:t>基金支付比例为55%。</w:t>
      </w:r>
    </w:p>
    <w:p>
      <w:pPr>
        <w:pageBreakBefore w:val="0"/>
        <w:widowControl w:val="0"/>
        <w:numPr>
          <w:ilvl w:val="0"/>
          <w:numId w:val="4"/>
        </w:numPr>
        <w:kinsoku/>
        <w:overflowPunct/>
        <w:topLinePunct w:val="0"/>
        <w:autoSpaceDE/>
        <w:autoSpaceDN/>
        <w:bidi w:val="0"/>
        <w:adjustRightInd/>
        <w:snapToGrid/>
        <w:spacing w:line="600" w:lineRule="exact"/>
        <w:ind w:left="0" w:leftChars="0" w:firstLine="420" w:firstLineChars="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社区护</w:t>
      </w:r>
      <w:r>
        <w:rPr>
          <w:rFonts w:hint="eastAsia" w:ascii="仿宋_GB2312" w:hAnsi="仿宋_GB2312" w:eastAsia="仿宋_GB2312" w:cs="仿宋_GB2312"/>
          <w:sz w:val="32"/>
          <w:szCs w:val="32"/>
          <w:highlight w:val="none"/>
        </w:rPr>
        <w:t>理是指长护服务机构以社区为依托为参保人员提供就近就便、非全日的长期护理服务。</w:t>
      </w:r>
      <w:r>
        <w:rPr>
          <w:rFonts w:hint="eastAsia" w:ascii="仿宋_GB2312" w:hAnsi="仿宋_GB2312" w:eastAsia="仿宋_GB2312" w:cs="仿宋_GB2312"/>
          <w:sz w:val="32"/>
          <w:szCs w:val="32"/>
          <w:highlight w:val="none"/>
          <w:lang w:val="en-US" w:eastAsia="zh-CN"/>
        </w:rPr>
        <w:t>具体待遇标准按以下规定执行：</w:t>
      </w:r>
      <w:r>
        <w:rPr>
          <w:rFonts w:hint="eastAsia" w:ascii="仿宋_GB2312" w:hAnsi="仿宋_GB2312" w:eastAsia="仿宋_GB2312" w:cstheme="minorBidi"/>
          <w:strike w:val="0"/>
          <w:dstrike w:val="0"/>
          <w:sz w:val="32"/>
          <w:highlight w:val="none"/>
        </w:rPr>
        <w:t>按照单位职工参保政策参保的</w:t>
      </w:r>
      <w:r>
        <w:rPr>
          <w:rFonts w:hint="eastAsia" w:ascii="仿宋_GB2312" w:hAnsi="仿宋_GB2312" w:eastAsia="仿宋_GB2312" w:cstheme="minorBidi"/>
          <w:strike w:val="0"/>
          <w:dstrike w:val="0"/>
          <w:sz w:val="32"/>
          <w:highlight w:val="none"/>
          <w:lang w:eastAsia="zh-CN"/>
        </w:rPr>
        <w:t>，</w:t>
      </w:r>
      <w:r>
        <w:rPr>
          <w:rFonts w:hint="eastAsia" w:ascii="仿宋_GB2312" w:hAnsi="仿宋_GB2312" w:eastAsia="仿宋_GB2312" w:cs="仿宋_GB2312"/>
          <w:strike w:val="0"/>
          <w:dstrike w:val="0"/>
          <w:sz w:val="32"/>
          <w:szCs w:val="32"/>
          <w:highlight w:val="none"/>
          <w:lang w:val="en-US" w:eastAsia="zh-CN"/>
        </w:rPr>
        <w:t>基金支付比例为</w:t>
      </w:r>
      <w:r>
        <w:rPr>
          <w:rFonts w:hint="eastAsia" w:ascii="仿宋_GB2312" w:hAnsi="仿宋_GB2312" w:eastAsia="仿宋_GB2312" w:cs="仿宋_GB2312"/>
          <w:strike w:val="0"/>
          <w:dstrike w:val="0"/>
          <w:color w:val="auto"/>
          <w:sz w:val="32"/>
          <w:szCs w:val="32"/>
          <w:highlight w:val="none"/>
          <w:lang w:val="en-US" w:eastAsia="zh-CN"/>
        </w:rPr>
        <w:t>70%，支付限额1300元/月；</w:t>
      </w:r>
      <w:r>
        <w:rPr>
          <w:rFonts w:hint="eastAsia" w:ascii="仿宋_GB2312" w:hAnsi="仿宋_GB2312" w:eastAsia="仿宋_GB2312" w:cstheme="minorBidi"/>
          <w:strike w:val="0"/>
          <w:dstrike w:val="0"/>
          <w:color w:val="auto"/>
          <w:sz w:val="32"/>
          <w:highlight w:val="none"/>
        </w:rPr>
        <w:t>按照未就业城乡居民参保</w:t>
      </w:r>
      <w:r>
        <w:rPr>
          <w:rFonts w:hint="eastAsia" w:ascii="仿宋_GB2312" w:hAnsi="仿宋_GB2312" w:eastAsia="仿宋_GB2312" w:cs="仿宋_GB2312"/>
          <w:color w:val="auto"/>
          <w:sz w:val="32"/>
          <w:szCs w:val="32"/>
          <w:highlight w:val="none"/>
        </w:rPr>
        <w:t>政策参保的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基金支付比例为50%。</w:t>
      </w:r>
    </w:p>
    <w:p>
      <w:pPr>
        <w:pageBreakBefore w:val="0"/>
        <w:widowControl w:val="0"/>
        <w:numPr>
          <w:ilvl w:val="0"/>
          <w:numId w:val="4"/>
        </w:numPr>
        <w:kinsoku/>
        <w:overflowPunct/>
        <w:topLinePunct w:val="0"/>
        <w:autoSpaceDE/>
        <w:autoSpaceDN/>
        <w:bidi w:val="0"/>
        <w:adjustRightInd/>
        <w:snapToGrid/>
        <w:spacing w:line="600" w:lineRule="exact"/>
        <w:ind w:left="0" w:leftChars="0" w:firstLine="420" w:firstLineChars="0"/>
        <w:textAlignment w:val="auto"/>
        <w:rPr>
          <w:rFonts w:ascii="仿宋_GB2312" w:hAnsi="仿宋_GB2312" w:eastAsia="仿宋_GB2312" w:cs="仿宋_GB2312"/>
          <w:strike w:val="0"/>
          <w:dstrike w:val="0"/>
          <w:color w:val="auto"/>
          <w:sz w:val="32"/>
          <w:szCs w:val="32"/>
          <w:highlight w:val="none"/>
        </w:rPr>
      </w:pPr>
      <w:r>
        <w:rPr>
          <w:rFonts w:hint="eastAsia" w:ascii="仿宋_GB2312" w:hAnsi="仿宋_GB2312" w:eastAsia="仿宋_GB2312" w:cs="仿宋_GB2312"/>
          <w:color w:val="auto"/>
          <w:sz w:val="32"/>
          <w:szCs w:val="32"/>
          <w:highlight w:val="none"/>
        </w:rPr>
        <w:t>机构护理是指长护服务机构在所开设的机构内为参保人员提</w:t>
      </w:r>
      <w:r>
        <w:rPr>
          <w:rFonts w:hint="eastAsia" w:ascii="仿宋_GB2312" w:hAnsi="仿宋_GB2312" w:eastAsia="仿宋_GB2312" w:cs="仿宋_GB2312"/>
          <w:strike w:val="0"/>
          <w:dstrike w:val="0"/>
          <w:color w:val="auto"/>
          <w:sz w:val="32"/>
          <w:szCs w:val="32"/>
          <w:highlight w:val="none"/>
        </w:rPr>
        <w:t>供全日的长期护理服务。</w:t>
      </w:r>
      <w:r>
        <w:rPr>
          <w:rFonts w:hint="eastAsia" w:ascii="仿宋_GB2312" w:hAnsi="仿宋_GB2312" w:eastAsia="仿宋_GB2312" w:cs="仿宋_GB2312"/>
          <w:color w:val="auto"/>
          <w:sz w:val="32"/>
          <w:szCs w:val="32"/>
          <w:highlight w:val="none"/>
          <w:lang w:val="en-US" w:eastAsia="zh-CN"/>
        </w:rPr>
        <w:t>具体待遇标准按以下规定执行：</w:t>
      </w:r>
      <w:bookmarkEnd w:id="2"/>
      <w:r>
        <w:rPr>
          <w:rFonts w:hint="eastAsia" w:ascii="仿宋_GB2312" w:hAnsi="仿宋_GB2312" w:eastAsia="仿宋_GB2312" w:cstheme="minorBidi"/>
          <w:strike w:val="0"/>
          <w:dstrike w:val="0"/>
          <w:color w:val="auto"/>
          <w:sz w:val="32"/>
          <w:highlight w:val="none"/>
        </w:rPr>
        <w:t>按照单位职工参保政策参保的</w:t>
      </w:r>
      <w:r>
        <w:rPr>
          <w:rFonts w:hint="eastAsia" w:ascii="仿宋_GB2312" w:hAnsi="仿宋_GB2312" w:eastAsia="仿宋_GB2312" w:cstheme="minorBidi"/>
          <w:strike w:val="0"/>
          <w:dstrike w:val="0"/>
          <w:color w:val="auto"/>
          <w:sz w:val="32"/>
          <w:highlight w:val="none"/>
          <w:lang w:eastAsia="zh-CN"/>
        </w:rPr>
        <w:t>，</w:t>
      </w:r>
      <w:r>
        <w:rPr>
          <w:rFonts w:hint="eastAsia" w:ascii="仿宋_GB2312" w:hAnsi="仿宋_GB2312" w:eastAsia="仿宋_GB2312" w:cs="仿宋_GB2312"/>
          <w:strike w:val="0"/>
          <w:dstrike w:val="0"/>
          <w:color w:val="auto"/>
          <w:sz w:val="32"/>
          <w:szCs w:val="32"/>
          <w:highlight w:val="none"/>
          <w:lang w:val="en-US" w:eastAsia="zh-CN"/>
        </w:rPr>
        <w:t>基金支付比例为65%，支付限额1500元/月；</w:t>
      </w:r>
      <w:r>
        <w:rPr>
          <w:rFonts w:hint="eastAsia" w:ascii="仿宋_GB2312" w:hAnsi="仿宋_GB2312" w:eastAsia="仿宋_GB2312" w:cstheme="minorBidi"/>
          <w:strike w:val="0"/>
          <w:dstrike w:val="0"/>
          <w:color w:val="auto"/>
          <w:sz w:val="32"/>
          <w:highlight w:val="none"/>
        </w:rPr>
        <w:t>按照未就业城乡居民参保政策参保的</w:t>
      </w:r>
      <w:r>
        <w:rPr>
          <w:rFonts w:hint="eastAsia" w:ascii="仿宋_GB2312" w:hAnsi="仿宋_GB2312" w:eastAsia="仿宋_GB2312" w:cstheme="minorBidi"/>
          <w:strike w:val="0"/>
          <w:dstrike w:val="0"/>
          <w:color w:val="auto"/>
          <w:sz w:val="32"/>
          <w:highlight w:val="none"/>
          <w:lang w:eastAsia="zh-CN"/>
        </w:rPr>
        <w:t>，</w:t>
      </w:r>
      <w:r>
        <w:rPr>
          <w:rFonts w:hint="eastAsia" w:ascii="仿宋_GB2312" w:hAnsi="仿宋_GB2312" w:eastAsia="仿宋_GB2312" w:cs="仿宋_GB2312"/>
          <w:strike w:val="0"/>
          <w:dstrike w:val="0"/>
          <w:color w:val="auto"/>
          <w:sz w:val="32"/>
          <w:szCs w:val="32"/>
          <w:highlight w:val="none"/>
          <w:lang w:val="en-US" w:eastAsia="zh-CN"/>
        </w:rPr>
        <w:t>基金支付比例为45%。</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highlight w:val="none"/>
        </w:rPr>
      </w:pPr>
      <w:r>
        <w:rPr>
          <w:rFonts w:hint="eastAsia" w:ascii="仿宋_GB2312" w:hAnsi="仿宋_GB2312" w:eastAsia="仿宋_GB2312" w:cstheme="minorBidi"/>
          <w:sz w:val="32"/>
          <w:highlight w:val="none"/>
        </w:rPr>
        <w:t>城乡居民长护险待遇与筹资挂钩，利</w:t>
      </w:r>
      <w:r>
        <w:rPr>
          <w:rFonts w:hint="eastAsia" w:ascii="仿宋_GB2312" w:hAnsi="仿宋_GB2312" w:eastAsia="仿宋_GB2312" w:cstheme="minorBidi"/>
          <w:sz w:val="32"/>
          <w:highlight w:val="none"/>
          <w:lang w:val="en-US" w:eastAsia="zh-CN"/>
        </w:rPr>
        <w:t>用5</w:t>
      </w:r>
      <w:r>
        <w:rPr>
          <w:rFonts w:hint="eastAsia" w:ascii="仿宋_GB2312" w:hAnsi="仿宋_GB2312" w:eastAsia="仿宋_GB2312" w:cstheme="minorBidi"/>
          <w:sz w:val="32"/>
          <w:highlight w:val="none"/>
        </w:rPr>
        <w:t>年时间逐步过渡。过渡期内，筹资标准在0.15%至0.3%左右之间调整，待遇随筹资水平相应提高。城乡居民长护险具体待遇支付</w:t>
      </w:r>
      <w:r>
        <w:rPr>
          <w:rFonts w:hint="eastAsia" w:ascii="仿宋_GB2312" w:hAnsi="仿宋_GB2312" w:eastAsia="仿宋_GB2312" w:cstheme="minorBidi"/>
          <w:sz w:val="32"/>
          <w:highlight w:val="none"/>
          <w:lang w:val="en-US" w:eastAsia="zh-CN"/>
        </w:rPr>
        <w:t>限额</w:t>
      </w:r>
      <w:r>
        <w:rPr>
          <w:rFonts w:hint="eastAsia" w:ascii="仿宋_GB2312" w:hAnsi="仿宋_GB2312" w:eastAsia="仿宋_GB2312" w:cstheme="minorBidi"/>
          <w:sz w:val="32"/>
          <w:highlight w:val="none"/>
        </w:rPr>
        <w:t>由市医保部门会同有关部门另行制定</w:t>
      </w:r>
      <w:r>
        <w:rPr>
          <w:rFonts w:hint="eastAsia" w:ascii="仿宋_GB2312" w:hAnsi="仿宋_GB2312" w:eastAsia="仿宋_GB2312" w:cstheme="minorBidi"/>
          <w:sz w:val="32"/>
          <w:highlight w:val="none"/>
          <w:lang w:eastAsia="zh-CN"/>
        </w:rPr>
        <w:t>。</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rPr>
      </w:pPr>
      <w:r>
        <w:rPr>
          <w:rFonts w:hint="eastAsia" w:ascii="仿宋_GB2312" w:hAnsi="仿宋_GB2312" w:eastAsia="仿宋_GB2312" w:cstheme="minorBidi"/>
          <w:sz w:val="32"/>
        </w:rPr>
        <w:t>市医保部门会同财政部门按照国家、省规定，建立符合长护险服务特点的支付机制和协商谈判机制，针对不同服务模式完善支付方式，明确按床日、按服务时长等不同方式的支付范围，结合本地经济社会发展水平、基金承受能力等，科学合理确定支付标准并进行动态调整。</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color w:val="auto"/>
          <w:sz w:val="32"/>
          <w:highlight w:val="none"/>
        </w:rPr>
      </w:pPr>
      <w:r>
        <w:rPr>
          <w:rFonts w:hint="eastAsia" w:ascii="仿宋_GB2312" w:hAnsi="仿宋_GB2312" w:eastAsia="仿宋_GB2312" w:cstheme="minorBidi"/>
          <w:color w:val="auto"/>
          <w:sz w:val="32"/>
          <w:highlight w:val="none"/>
          <w:lang w:val="en-US" w:eastAsia="zh-CN"/>
        </w:rPr>
        <w:t>参保人员</w:t>
      </w:r>
      <w:r>
        <w:rPr>
          <w:rFonts w:hint="eastAsia" w:ascii="仿宋_GB2312" w:hAnsi="仿宋_GB2312" w:eastAsia="仿宋_GB2312" w:cstheme="minorBidi"/>
          <w:color w:val="auto"/>
          <w:sz w:val="32"/>
          <w:highlight w:val="none"/>
        </w:rPr>
        <w:t>失能评估通过后由</w:t>
      </w:r>
      <w:r>
        <w:rPr>
          <w:rFonts w:hint="eastAsia" w:ascii="仿宋_GB2312" w:hAnsi="仿宋_GB2312" w:eastAsia="仿宋_GB2312" w:cstheme="minorBidi"/>
          <w:color w:val="auto"/>
          <w:sz w:val="32"/>
          <w:highlight w:val="none"/>
          <w:lang w:val="en-US" w:eastAsia="zh-CN"/>
        </w:rPr>
        <w:t>辖区</w:t>
      </w:r>
      <w:r>
        <w:rPr>
          <w:rFonts w:hint="eastAsia" w:ascii="仿宋_GB2312" w:hAnsi="仿宋_GB2312" w:eastAsia="仿宋_GB2312" w:cstheme="minorBidi"/>
          <w:color w:val="auto"/>
          <w:sz w:val="32"/>
          <w:highlight w:val="none"/>
        </w:rPr>
        <w:t>医保经办机构与参保人员或其监护人、委托代理人商定护理服务方式和服务机构</w:t>
      </w:r>
      <w:r>
        <w:rPr>
          <w:rFonts w:hint="eastAsia" w:ascii="仿宋_GB2312" w:hAnsi="仿宋_GB2312" w:eastAsia="仿宋_GB2312" w:cstheme="minorBidi"/>
          <w:color w:val="auto"/>
          <w:sz w:val="32"/>
          <w:highlight w:val="none"/>
          <w:lang w:eastAsia="zh-CN"/>
        </w:rPr>
        <w:t>。</w:t>
      </w:r>
      <w:r>
        <w:rPr>
          <w:rFonts w:hint="eastAsia" w:ascii="仿宋_GB2312" w:hAnsi="仿宋_GB2312" w:eastAsia="仿宋_GB2312" w:cstheme="minorBidi"/>
          <w:color w:val="auto"/>
          <w:sz w:val="32"/>
          <w:highlight w:val="none"/>
        </w:rPr>
        <w:t>护理服务方式和服务机构变更</w:t>
      </w:r>
      <w:r>
        <w:rPr>
          <w:rFonts w:hint="eastAsia" w:ascii="仿宋_GB2312" w:hAnsi="仿宋_GB2312" w:eastAsia="仿宋_GB2312" w:cstheme="minorBidi"/>
          <w:color w:val="auto"/>
          <w:sz w:val="32"/>
          <w:highlight w:val="none"/>
          <w:lang w:val="en-US" w:eastAsia="zh-CN"/>
        </w:rPr>
        <w:t>应提前提出申请</w:t>
      </w:r>
      <w:r>
        <w:rPr>
          <w:rFonts w:hint="eastAsia" w:ascii="仿宋_GB2312" w:hAnsi="仿宋_GB2312" w:eastAsia="仿宋_GB2312" w:cstheme="minorBidi"/>
          <w:color w:val="auto"/>
          <w:sz w:val="32"/>
          <w:highlight w:val="none"/>
        </w:rPr>
        <w:t>，</w:t>
      </w:r>
      <w:r>
        <w:rPr>
          <w:rFonts w:hint="eastAsia" w:ascii="仿宋_GB2312" w:hAnsi="仿宋_GB2312" w:eastAsia="仿宋_GB2312" w:cstheme="minorBidi"/>
          <w:color w:val="auto"/>
          <w:sz w:val="32"/>
          <w:highlight w:val="none"/>
          <w:lang w:val="en-US" w:eastAsia="zh-CN"/>
        </w:rPr>
        <w:t>由辖区内医保经办机构</w:t>
      </w:r>
      <w:r>
        <w:rPr>
          <w:rFonts w:hint="eastAsia" w:ascii="仿宋_GB2312" w:hAnsi="仿宋_GB2312" w:eastAsia="仿宋_GB2312" w:cstheme="minorBidi"/>
          <w:color w:val="auto"/>
          <w:sz w:val="32"/>
          <w:highlight w:val="none"/>
        </w:rPr>
        <w:t>审核通过后次月起享受变更后的保障待遇。</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rPr>
      </w:pPr>
      <w:r>
        <w:rPr>
          <w:rFonts w:hint="eastAsia" w:ascii="仿宋_GB2312" w:hAnsi="仿宋_GB2312" w:eastAsia="仿宋_GB2312" w:cstheme="minorBidi"/>
          <w:color w:val="auto"/>
          <w:sz w:val="32"/>
          <w:highlight w:val="none"/>
          <w:lang w:val="en-US" w:eastAsia="zh-CN"/>
        </w:rPr>
        <w:t>按照国家统一部署，</w:t>
      </w:r>
      <w:r>
        <w:rPr>
          <w:rFonts w:hint="eastAsia" w:ascii="仿宋_GB2312" w:hAnsi="仿宋_GB2312" w:eastAsia="仿宋_GB2312" w:cstheme="minorBidi"/>
          <w:sz w:val="32"/>
        </w:rPr>
        <w:t>做好长护险与经济困难的高龄、失能老年人补贴以及重度残疾人护理补贴等政策的衔接工作。</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rPr>
      </w:pPr>
      <w:r>
        <w:rPr>
          <w:rFonts w:hint="eastAsia" w:ascii="仿宋_GB2312" w:hAnsi="仿宋_GB2312" w:eastAsia="仿宋_GB2312" w:cstheme="minorBidi"/>
          <w:sz w:val="32"/>
        </w:rPr>
        <w:t>除新生儿等特殊群体外，对未在</w:t>
      </w:r>
      <w:r>
        <w:rPr>
          <w:rFonts w:hint="eastAsia" w:ascii="仿宋_GB2312" w:hAnsi="仿宋_GB2312" w:eastAsia="仿宋_GB2312" w:cstheme="minorBidi"/>
          <w:sz w:val="32"/>
          <w:lang w:eastAsia="zh-CN"/>
        </w:rPr>
        <w:t>我市</w:t>
      </w:r>
      <w:r>
        <w:rPr>
          <w:rFonts w:hint="eastAsia" w:ascii="仿宋_GB2312" w:hAnsi="仿宋_GB2312" w:eastAsia="仿宋_GB2312" w:cstheme="minorBidi"/>
          <w:sz w:val="32"/>
          <w:lang w:val="en-US" w:eastAsia="zh-CN"/>
        </w:rPr>
        <w:t>长护险</w:t>
      </w:r>
      <w:r>
        <w:rPr>
          <w:rFonts w:hint="eastAsia" w:ascii="仿宋_GB2312" w:hAnsi="仿宋_GB2312" w:eastAsia="仿宋_GB2312" w:cstheme="minorBidi"/>
          <w:sz w:val="32"/>
        </w:rPr>
        <w:t>制度启动时</w:t>
      </w:r>
      <w:r>
        <w:rPr>
          <w:rFonts w:hint="eastAsia" w:ascii="仿宋_GB2312" w:hAnsi="仿宋_GB2312" w:eastAsia="仿宋_GB2312" w:cstheme="minorBidi"/>
          <w:sz w:val="32"/>
          <w:lang w:val="en-US" w:eastAsia="zh-CN"/>
        </w:rPr>
        <w:t>初次</w:t>
      </w:r>
      <w:r>
        <w:rPr>
          <w:rFonts w:hint="eastAsia" w:ascii="仿宋_GB2312" w:hAnsi="仿宋_GB2312" w:eastAsia="仿宋_GB2312" w:cstheme="minorBidi"/>
          <w:sz w:val="32"/>
        </w:rPr>
        <w:t>参保</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中断缴费后再次参保的，设置固定待遇等待期6个月。</w:t>
      </w:r>
    </w:p>
    <w:p>
      <w:pPr>
        <w:pageBreakBefore w:val="0"/>
        <w:widowControl w:val="0"/>
        <w:kinsoku/>
        <w:overflowPunct/>
        <w:topLinePunct w:val="0"/>
        <w:autoSpaceDE/>
        <w:autoSpaceDN/>
        <w:bidi w:val="0"/>
        <w:adjustRightInd/>
        <w:snapToGrid/>
        <w:spacing w:before="0" w:line="600" w:lineRule="exact"/>
        <w:ind w:left="0" w:firstLine="640" w:firstLineChars="200"/>
        <w:jc w:val="both"/>
        <w:textAlignment w:val="auto"/>
        <w:rPr>
          <w:rFonts w:ascii="仿宋_GB2312" w:hAnsi="仿宋_GB2312" w:eastAsia="仿宋_GB2312" w:cs="仿宋_GB2312"/>
          <w:i w:val="0"/>
          <w:strike w:val="0"/>
          <w:color w:val="000000"/>
          <w:spacing w:val="0"/>
          <w:sz w:val="32"/>
          <w:u w:val="none"/>
          <w:shd w:val="clear" w:color="auto" w:fill="FFFFFF"/>
        </w:rPr>
      </w:pPr>
      <w:r>
        <w:rPr>
          <w:rFonts w:hint="eastAsia" w:ascii="仿宋_GB2312" w:hAnsi="仿宋_GB2312" w:eastAsia="仿宋_GB2312" w:cs="仿宋_GB2312"/>
          <w:i w:val="0"/>
          <w:strike w:val="0"/>
          <w:color w:val="000000"/>
          <w:spacing w:val="0"/>
          <w:sz w:val="32"/>
          <w:highlight w:val="none"/>
          <w:u w:val="none"/>
          <w:shd w:val="clear" w:color="auto" w:fill="FFFFFF"/>
          <w:lang w:val="en-US" w:eastAsia="zh-CN"/>
        </w:rPr>
        <w:t>按照单位职工参保政策参保的</w:t>
      </w:r>
      <w:r>
        <w:rPr>
          <w:rFonts w:ascii="仿宋_GB2312" w:hAnsi="仿宋_GB2312" w:eastAsia="仿宋_GB2312" w:cs="仿宋_GB2312"/>
          <w:i w:val="0"/>
          <w:strike w:val="0"/>
          <w:color w:val="000000"/>
          <w:spacing w:val="0"/>
          <w:sz w:val="32"/>
          <w:highlight w:val="none"/>
          <w:u w:val="none"/>
          <w:shd w:val="clear" w:color="auto" w:fill="FFFFFF"/>
        </w:rPr>
        <w:t>，中断缴费</w:t>
      </w:r>
      <w:r>
        <w:rPr>
          <w:rFonts w:hint="eastAsia" w:ascii="仿宋_GB2312" w:hAnsi="仿宋_GB2312" w:eastAsia="仿宋_GB2312" w:cs="仿宋_GB2312"/>
          <w:i w:val="0"/>
          <w:strike w:val="0"/>
          <w:color w:val="000000"/>
          <w:spacing w:val="0"/>
          <w:sz w:val="32"/>
          <w:highlight w:val="none"/>
          <w:u w:val="none"/>
          <w:shd w:val="clear" w:color="auto" w:fill="FFFFFF"/>
          <w:lang w:val="en-US" w:eastAsia="zh-CN"/>
        </w:rPr>
        <w:t>3</w:t>
      </w:r>
      <w:r>
        <w:rPr>
          <w:rFonts w:ascii="仿宋_GB2312" w:hAnsi="仿宋_GB2312" w:eastAsia="仿宋_GB2312" w:cs="仿宋_GB2312"/>
          <w:i w:val="0"/>
          <w:strike w:val="0"/>
          <w:color w:val="000000"/>
          <w:spacing w:val="0"/>
          <w:sz w:val="32"/>
          <w:highlight w:val="none"/>
          <w:u w:val="none"/>
          <w:shd w:val="clear" w:color="auto" w:fill="FFFFFF"/>
        </w:rPr>
        <w:t>个月（含）以内的，且在３个月以内补足中断期间长护险保费的，中断期间的待遇可按规定享受</w:t>
      </w:r>
      <w:r>
        <w:rPr>
          <w:rFonts w:ascii="仿宋_GB2312" w:hAnsi="仿宋_GB2312" w:eastAsia="仿宋_GB2312" w:cs="仿宋_GB2312"/>
          <w:i w:val="0"/>
          <w:strike w:val="0"/>
          <w:color w:val="000000"/>
          <w:spacing w:val="0"/>
          <w:sz w:val="32"/>
          <w:u w:val="none"/>
          <w:shd w:val="clear" w:color="auto" w:fill="FFFFFF"/>
        </w:rPr>
        <w:t>；中断缴费</w:t>
      </w:r>
      <w:r>
        <w:rPr>
          <w:rFonts w:ascii="仿宋_GB2312" w:hAnsi="仿宋_GB2312" w:eastAsia="仿宋_GB2312" w:cs="仿宋_GB2312"/>
          <w:i w:val="0"/>
          <w:strike w:val="0"/>
          <w:color w:val="000000"/>
          <w:spacing w:val="0"/>
          <w:sz w:val="32"/>
          <w:highlight w:val="none"/>
          <w:u w:val="none"/>
          <w:shd w:val="clear" w:color="auto" w:fill="FFFFFF"/>
        </w:rPr>
        <w:t>３</w:t>
      </w:r>
      <w:r>
        <w:rPr>
          <w:rFonts w:ascii="仿宋_GB2312" w:hAnsi="仿宋_GB2312" w:eastAsia="仿宋_GB2312" w:cs="仿宋_GB2312"/>
          <w:i w:val="0"/>
          <w:strike w:val="0"/>
          <w:color w:val="000000"/>
          <w:spacing w:val="0"/>
          <w:sz w:val="32"/>
          <w:u w:val="none"/>
          <w:shd w:val="clear" w:color="auto" w:fill="FFFFFF"/>
        </w:rPr>
        <w:t>个月以上的自再次参保缴费之月起设置6个月的待遇享受等待期。</w:t>
      </w:r>
    </w:p>
    <w:p>
      <w:pPr>
        <w:pageBreakBefore w:val="0"/>
        <w:widowControl w:val="0"/>
        <w:kinsoku/>
        <w:overflowPunct/>
        <w:topLinePunct w:val="0"/>
        <w:autoSpaceDE/>
        <w:autoSpaceDN/>
        <w:bidi w:val="0"/>
        <w:adjustRightInd/>
        <w:snapToGrid/>
        <w:spacing w:before="0" w:line="600" w:lineRule="exact"/>
        <w:ind w:left="0" w:firstLine="640" w:firstLineChars="200"/>
        <w:jc w:val="both"/>
        <w:textAlignment w:val="auto"/>
        <w:rPr>
          <w:rFonts w:ascii="仿宋_GB2312" w:hAnsi="仿宋_GB2312" w:eastAsia="仿宋_GB2312" w:cs="仿宋_GB2312"/>
          <w:i w:val="0"/>
          <w:strike w:val="0"/>
          <w:color w:val="000000"/>
          <w:spacing w:val="0"/>
          <w:sz w:val="32"/>
          <w:u w:val="none"/>
          <w:shd w:val="clear" w:color="auto" w:fill="FFFFFF"/>
        </w:rPr>
      </w:pPr>
      <w:r>
        <w:rPr>
          <w:rFonts w:hint="eastAsia" w:ascii="仿宋_GB2312" w:hAnsi="仿宋_GB2312" w:eastAsia="仿宋_GB2312" w:cs="仿宋_GB2312"/>
          <w:i w:val="0"/>
          <w:strike w:val="0"/>
          <w:color w:val="000000"/>
          <w:spacing w:val="0"/>
          <w:sz w:val="32"/>
          <w:u w:val="none"/>
          <w:shd w:val="clear" w:color="auto" w:fill="FFFFFF"/>
          <w:lang w:val="en-US" w:eastAsia="zh-CN"/>
        </w:rPr>
        <w:t>按照未就业城乡居民参保政策参保的</w:t>
      </w:r>
      <w:r>
        <w:rPr>
          <w:rFonts w:ascii="仿宋_GB2312" w:hAnsi="仿宋_GB2312" w:eastAsia="仿宋_GB2312" w:cs="仿宋_GB2312"/>
          <w:i w:val="0"/>
          <w:strike w:val="0"/>
          <w:color w:val="000000"/>
          <w:spacing w:val="0"/>
          <w:sz w:val="32"/>
          <w:u w:val="none"/>
          <w:shd w:val="clear" w:color="auto" w:fill="FFFFFF"/>
        </w:rPr>
        <w:t>，每多断保1年，在固定待遇等待期基础上增加变动待遇等待期1个月，参保人员可通过缴费修复变动待遇等待期，每多缴纳1年可减少1个月变动待遇等待期。连续断缴4年及以上的，修复后固定待遇等待期和变动待遇等待期之和原则上不少于9个月。</w:t>
      </w:r>
    </w:p>
    <w:p>
      <w:pPr>
        <w:pageBreakBefore w:val="0"/>
        <w:widowControl w:val="0"/>
        <w:kinsoku/>
        <w:overflowPunct/>
        <w:topLinePunct w:val="0"/>
        <w:autoSpaceDE/>
        <w:autoSpaceDN/>
        <w:bidi w:val="0"/>
        <w:adjustRightInd/>
        <w:snapToGrid/>
        <w:spacing w:before="0" w:line="600" w:lineRule="exact"/>
        <w:ind w:left="0" w:firstLine="640" w:firstLineChars="200"/>
        <w:jc w:val="both"/>
        <w:textAlignment w:val="auto"/>
        <w:rPr>
          <w:rFonts w:ascii="仿宋_GB2312" w:hAnsi="仿宋_GB2312" w:eastAsia="仿宋_GB2312" w:cstheme="minorBidi"/>
          <w:b w:val="0"/>
          <w:bCs w:val="0"/>
          <w:sz w:val="32"/>
        </w:rPr>
      </w:pPr>
      <w:r>
        <w:rPr>
          <w:rFonts w:hint="eastAsia" w:ascii="仿宋_GB2312" w:hAnsi="仿宋_GB2312" w:eastAsia="仿宋_GB2312" w:cstheme="minorBidi"/>
          <w:sz w:val="32"/>
          <w:lang w:val="en-US" w:eastAsia="zh-CN"/>
        </w:rPr>
        <w:t>对连续参加长护险满4年的未就业城乡居民，之后每连续参保1年，每年长护险基金支付比例提高1个百分点，最高提高5个百分点。中断缴费的，前期累计所提高的百分点清零</w:t>
      </w:r>
      <w:r>
        <w:rPr>
          <w:rFonts w:hint="eastAsia" w:ascii="仿宋_GB2312" w:hAnsi="仿宋_GB2312" w:eastAsia="仿宋_GB2312" w:cs="仿宋_GB2312"/>
          <w:i w:val="0"/>
          <w:strike w:val="0"/>
          <w:color w:val="000000"/>
          <w:spacing w:val="0"/>
          <w:sz w:val="32"/>
          <w:u w:val="none"/>
          <w:shd w:val="clear" w:color="auto" w:fill="FFFFFF"/>
        </w:rPr>
        <w:t>。</w:t>
      </w:r>
    </w:p>
    <w:p>
      <w:pPr>
        <w:pStyle w:val="3"/>
        <w:pageBreakBefore w:val="0"/>
        <w:widowControl w:val="0"/>
        <w:numPr>
          <w:ilvl w:val="1"/>
          <w:numId w:val="1"/>
        </w:numPr>
        <w:kinsoku/>
        <w:overflowPunct/>
        <w:topLinePunct w:val="0"/>
        <w:autoSpaceDE/>
        <w:autoSpaceDN/>
        <w:bidi w:val="0"/>
        <w:adjustRightInd/>
        <w:snapToGrid/>
        <w:spacing w:after="0" w:line="600" w:lineRule="exact"/>
        <w:ind w:left="0" w:firstLine="402"/>
        <w:textAlignment w:val="auto"/>
        <w:rPr>
          <w:rFonts w:hint="eastAsia"/>
          <w:b w:val="0"/>
          <w:bCs w:val="0"/>
        </w:rPr>
      </w:pPr>
      <w:r>
        <w:rPr>
          <w:rFonts w:hint="eastAsia"/>
          <w:b w:val="0"/>
          <w:bCs w:val="0"/>
        </w:rPr>
        <w:t>服务供给</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长期护理服务机构实行定点管理。</w:t>
      </w:r>
      <w:r>
        <w:rPr>
          <w:rFonts w:hint="eastAsia" w:ascii="仿宋_GB2312" w:hAnsi="仿宋_GB2312" w:eastAsia="仿宋_GB2312" w:cstheme="minorBidi"/>
          <w:sz w:val="32"/>
          <w:lang w:val="en-US" w:eastAsia="zh-CN"/>
        </w:rPr>
        <w:t>定点长期护理服务机构是指依法成立，经评估合格后与医保部门签订长护险服务协议，为参保人员提供长期护理服务的养老机构、医疗机构或者业务范围包括养老服务、照护服务或者护理服务的其他服务机构。</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highlight w:val="none"/>
          <w:lang w:eastAsia="zh-CN"/>
        </w:rPr>
      </w:pPr>
      <w:r>
        <w:rPr>
          <w:rFonts w:hint="eastAsia" w:ascii="仿宋_GB2312" w:hAnsi="仿宋_GB2312" w:eastAsia="仿宋_GB2312" w:cstheme="minorBidi"/>
          <w:sz w:val="32"/>
          <w:highlight w:val="none"/>
        </w:rPr>
        <w:t>市</w:t>
      </w:r>
      <w:r>
        <w:rPr>
          <w:rFonts w:hint="eastAsia" w:ascii="仿宋_GB2312" w:hAnsi="仿宋_GB2312" w:eastAsia="仿宋_GB2312" w:cstheme="minorBidi"/>
          <w:sz w:val="32"/>
          <w:highlight w:val="none"/>
          <w:lang w:eastAsia="zh-CN"/>
        </w:rPr>
        <w:t>医保部门</w:t>
      </w:r>
      <w:r>
        <w:rPr>
          <w:rFonts w:hint="eastAsia" w:ascii="仿宋_GB2312" w:hAnsi="仿宋_GB2312" w:eastAsia="仿宋_GB2312" w:cstheme="minorBidi"/>
          <w:sz w:val="32"/>
          <w:highlight w:val="none"/>
        </w:rPr>
        <w:t>根</w:t>
      </w:r>
      <w:r>
        <w:rPr>
          <w:rFonts w:hint="eastAsia" w:ascii="仿宋_GB2312" w:hAnsi="仿宋_GB2312" w:eastAsia="仿宋_GB2312" w:cstheme="minorBidi"/>
          <w:sz w:val="32"/>
        </w:rPr>
        <w:t>据参保人员长期护理服务需求、长期护理服务资源分布等情况</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lang w:val="en-US" w:eastAsia="zh-CN"/>
        </w:rPr>
        <w:t>统筹规划我市行政区域内定点长护服务机构的资源配置。</w:t>
      </w:r>
      <w:r>
        <w:rPr>
          <w:rFonts w:hint="eastAsia" w:ascii="仿宋_GB2312" w:hAnsi="仿宋_GB2312" w:eastAsia="仿宋_GB2312" w:cstheme="minorBidi"/>
          <w:sz w:val="32"/>
        </w:rPr>
        <w:t>鼓励符合条件的社区卫生服务中心、乡镇卫生院等基层医疗机构和养老机构申请纳入长期护理服务机构</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highlight w:val="none"/>
          <w:lang w:eastAsia="zh-CN"/>
        </w:rPr>
        <w:t>提供就近便利的护理服务。</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highlight w:val="none"/>
          <w:lang w:eastAsia="zh-CN"/>
        </w:rPr>
      </w:pPr>
      <w:r>
        <w:rPr>
          <w:rFonts w:hint="eastAsia" w:ascii="仿宋_GB2312" w:hAnsi="仿宋_GB2312" w:eastAsia="仿宋_GB2312" w:cstheme="minorBidi"/>
          <w:sz w:val="32"/>
          <w:highlight w:val="none"/>
          <w:lang w:eastAsia="zh-CN"/>
        </w:rPr>
        <w:t>定点长期护理服务机构实行差异化准入标准、分类管理，建立服务质量评价体系，评价结果与费用结算、协议续签直接挂钩，具体按照国家、省相关规定执行。</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highlight w:val="none"/>
          <w:lang w:eastAsia="zh-CN"/>
        </w:rPr>
      </w:pPr>
      <w:r>
        <w:rPr>
          <w:rFonts w:hint="eastAsia" w:ascii="仿宋_GB2312" w:hAnsi="仿宋_GB2312" w:eastAsia="仿宋_GB2312" w:cstheme="minorBidi"/>
          <w:sz w:val="32"/>
          <w:highlight w:val="none"/>
          <w:lang w:eastAsia="zh-CN"/>
        </w:rPr>
        <w:t>定点</w:t>
      </w:r>
      <w:r>
        <w:rPr>
          <w:rFonts w:hint="eastAsia" w:ascii="仿宋_GB2312" w:hAnsi="仿宋_GB2312" w:eastAsia="仿宋_GB2312" w:cstheme="minorBidi"/>
          <w:color w:val="auto"/>
          <w:sz w:val="32"/>
          <w:highlight w:val="none"/>
          <w:lang w:eastAsia="zh-CN"/>
        </w:rPr>
        <w:t>长期护理服务机构应当按照规定的服务项目及</w:t>
      </w:r>
      <w:r>
        <w:rPr>
          <w:rFonts w:hint="eastAsia" w:ascii="仿宋_GB2312" w:hAnsi="仿宋_GB2312" w:eastAsia="仿宋_GB2312" w:cstheme="minorBidi"/>
          <w:sz w:val="32"/>
          <w:highlight w:val="none"/>
          <w:lang w:eastAsia="zh-CN"/>
        </w:rPr>
        <w:t>内涵</w:t>
      </w:r>
      <w:r>
        <w:rPr>
          <w:rFonts w:hint="eastAsia" w:ascii="仿宋_GB2312" w:hAnsi="仿宋_GB2312" w:eastAsia="仿宋_GB2312" w:cstheme="minorBidi"/>
          <w:color w:val="auto"/>
          <w:sz w:val="32"/>
          <w:highlight w:val="none"/>
          <w:lang w:eastAsia="zh-CN"/>
        </w:rPr>
        <w:t>、服务</w:t>
      </w:r>
      <w:r>
        <w:rPr>
          <w:rFonts w:hint="eastAsia" w:ascii="仿宋_GB2312" w:hAnsi="仿宋_GB2312" w:eastAsia="仿宋_GB2312" w:cstheme="minorBidi"/>
          <w:sz w:val="32"/>
          <w:highlight w:val="none"/>
          <w:lang w:eastAsia="zh-CN"/>
        </w:rPr>
        <w:t>要求、服务时长、人员资质等开展服务。落实待遇享受人“一人一档”管理制度，做好服务全过程记录与档案留存归档，完善服务质控体系。</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highlight w:val="none"/>
          <w:lang w:eastAsia="zh-CN"/>
        </w:rPr>
      </w:pPr>
      <w:r>
        <w:rPr>
          <w:rFonts w:hint="eastAsia" w:ascii="仿宋_GB2312" w:hAnsi="仿宋_GB2312" w:eastAsia="仿宋_GB2312" w:cstheme="minorBidi"/>
          <w:sz w:val="32"/>
          <w:highlight w:val="none"/>
          <w:lang w:eastAsia="zh-CN"/>
        </w:rPr>
        <w:t>建立健全长期照护师培训</w:t>
      </w:r>
      <w:r>
        <w:rPr>
          <w:rFonts w:hint="eastAsia" w:ascii="仿宋_GB2312" w:hAnsi="仿宋_GB2312" w:eastAsia="仿宋_GB2312" w:cstheme="minorBidi"/>
          <w:sz w:val="32"/>
          <w:highlight w:val="none"/>
          <w:lang w:val="en-US" w:eastAsia="zh-CN"/>
        </w:rPr>
        <w:t>培养</w:t>
      </w:r>
      <w:r>
        <w:rPr>
          <w:rFonts w:hint="eastAsia" w:ascii="仿宋_GB2312" w:hAnsi="仿宋_GB2312" w:eastAsia="仿宋_GB2312" w:cstheme="minorBidi"/>
          <w:sz w:val="32"/>
          <w:highlight w:val="none"/>
          <w:lang w:eastAsia="zh-CN"/>
        </w:rPr>
        <w:t>机制，创新培训方式，丰富培训内容。鼓励引导各类培训机构、职业院校参与长期照护师培养工作，扩大培养规模，提升培训质量，切实提高照护人员的专业技能和服务能力。</w:t>
      </w:r>
    </w:p>
    <w:p>
      <w:pPr>
        <w:pStyle w:val="3"/>
        <w:pageBreakBefore w:val="0"/>
        <w:widowControl w:val="0"/>
        <w:numPr>
          <w:ilvl w:val="1"/>
          <w:numId w:val="1"/>
        </w:numPr>
        <w:kinsoku/>
        <w:overflowPunct/>
        <w:topLinePunct w:val="0"/>
        <w:autoSpaceDE/>
        <w:autoSpaceDN/>
        <w:bidi w:val="0"/>
        <w:adjustRightInd/>
        <w:snapToGrid/>
        <w:spacing w:after="0" w:line="600" w:lineRule="exact"/>
        <w:ind w:left="0" w:firstLine="402"/>
        <w:textAlignment w:val="auto"/>
        <w:rPr>
          <w:rFonts w:hint="eastAsia"/>
          <w:b w:val="0"/>
          <w:bCs/>
        </w:rPr>
      </w:pPr>
      <w:r>
        <w:rPr>
          <w:rFonts w:hint="eastAsia"/>
          <w:b w:val="0"/>
          <w:bCs/>
        </w:rPr>
        <w:t>经办管理</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highlight w:val="none"/>
        </w:rPr>
      </w:pPr>
      <w:r>
        <w:rPr>
          <w:rFonts w:hint="eastAsia" w:ascii="仿宋_GB2312" w:hAnsi="仿宋_GB2312" w:eastAsia="仿宋_GB2312" w:cstheme="minorBidi"/>
          <w:sz w:val="32"/>
          <w:lang w:val="en-US" w:eastAsia="zh-CN"/>
        </w:rPr>
        <w:t>长护险经办工作应当</w:t>
      </w:r>
      <w:r>
        <w:rPr>
          <w:rFonts w:hint="eastAsia" w:ascii="仿宋_GB2312" w:hAnsi="仿宋_GB2312" w:eastAsia="仿宋_GB2312" w:cstheme="minorBidi"/>
          <w:sz w:val="32"/>
        </w:rPr>
        <w:t>坚持依法规范，确保长期护理保险经办有序开展</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坚持政府主导，构建以政府经办为基础、社会力量为补充的经办体系</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坚持以人为本，提供便民高效的经办服务</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坚持统筹推进，各方联动，提升管理效能。</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rPr>
      </w:pPr>
      <w:r>
        <w:rPr>
          <w:rFonts w:hint="eastAsia" w:ascii="仿宋_GB2312" w:hAnsi="仿宋_GB2312" w:eastAsia="仿宋_GB2312" w:cstheme="minorBidi"/>
          <w:sz w:val="32"/>
          <w:highlight w:val="none"/>
          <w:lang w:val="en-US" w:eastAsia="zh-CN"/>
        </w:rPr>
        <w:t>长护险依托我市各级医保经办机构实施经办管理服务。市级医保经办机构作为长护险经办工作的实施主体，负责组织全市各级医保经办机构做好长护险经办管理工作，落实</w:t>
      </w:r>
      <w:r>
        <w:rPr>
          <w:rFonts w:hint="eastAsia" w:ascii="仿宋_GB2312" w:hAnsi="仿宋_GB2312" w:eastAsia="仿宋_GB2312" w:cstheme="minorBidi"/>
          <w:sz w:val="32"/>
          <w:lang w:val="en-US" w:eastAsia="zh-CN"/>
        </w:rPr>
        <w:t>国家、省出台的相关规程</w:t>
      </w:r>
      <w:r>
        <w:rPr>
          <w:rFonts w:hint="eastAsia" w:ascii="仿宋_GB2312" w:hAnsi="仿宋_GB2312" w:eastAsia="仿宋_GB2312" w:cstheme="minorBidi"/>
          <w:sz w:val="32"/>
          <w:lang w:eastAsia="zh-CN"/>
        </w:rPr>
        <w:t>。</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sz w:val="32"/>
        </w:rPr>
      </w:pPr>
      <w:r>
        <w:rPr>
          <w:rFonts w:hint="eastAsia" w:ascii="仿宋_GB2312" w:hAnsi="仿宋_GB2312" w:eastAsia="仿宋_GB2312" w:cstheme="minorBidi"/>
          <w:sz w:val="32"/>
          <w:lang w:val="en-US" w:eastAsia="zh-CN"/>
        </w:rPr>
        <w:t>市医保经办机构可依法依规通过公开招标等方式选择符合条件的第三方</w:t>
      </w:r>
      <w:r>
        <w:rPr>
          <w:rFonts w:hint="eastAsia" w:ascii="仿宋_GB2312" w:hAnsi="仿宋_GB2312" w:eastAsia="仿宋_GB2312" w:cstheme="minorBidi"/>
          <w:sz w:val="32"/>
        </w:rPr>
        <w:t>机构</w:t>
      </w:r>
      <w:r>
        <w:rPr>
          <w:rFonts w:hint="eastAsia" w:ascii="仿宋_GB2312" w:hAnsi="仿宋_GB2312" w:eastAsia="仿宋_GB2312" w:cstheme="minorBidi"/>
          <w:sz w:val="32"/>
          <w:lang w:val="en-US" w:eastAsia="zh-CN"/>
        </w:rPr>
        <w:t>等社会力量</w:t>
      </w:r>
      <w:r>
        <w:rPr>
          <w:rFonts w:hint="eastAsia" w:ascii="仿宋_GB2312" w:hAnsi="仿宋_GB2312" w:eastAsia="仿宋_GB2312" w:cstheme="minorBidi"/>
          <w:sz w:val="32"/>
        </w:rPr>
        <w:t>参与长护险的经办管理服务</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并与</w:t>
      </w:r>
      <w:r>
        <w:rPr>
          <w:rFonts w:hint="eastAsia" w:ascii="仿宋_GB2312" w:hAnsi="仿宋_GB2312" w:eastAsia="仿宋_GB2312" w:cstheme="minorBidi"/>
          <w:sz w:val="32"/>
          <w:lang w:val="en-US" w:eastAsia="zh-CN"/>
        </w:rPr>
        <w:t>第三方机构</w:t>
      </w:r>
      <w:r>
        <w:rPr>
          <w:rFonts w:hint="eastAsia" w:ascii="仿宋_GB2312" w:hAnsi="仿宋_GB2312" w:eastAsia="仿宋_GB2312" w:cstheme="minorBidi"/>
          <w:sz w:val="32"/>
        </w:rPr>
        <w:t>签订</w:t>
      </w:r>
      <w:r>
        <w:rPr>
          <w:rFonts w:hint="eastAsia" w:ascii="仿宋_GB2312" w:hAnsi="仿宋_GB2312" w:eastAsia="仿宋_GB2312" w:cstheme="minorBidi"/>
          <w:sz w:val="32"/>
          <w:lang w:val="en-US" w:eastAsia="zh-CN"/>
        </w:rPr>
        <w:t>合同，</w:t>
      </w:r>
      <w:r>
        <w:rPr>
          <w:rFonts w:hint="eastAsia" w:ascii="仿宋_GB2312" w:hAnsi="仿宋_GB2312" w:eastAsia="仿宋_GB2312" w:cstheme="minorBidi"/>
          <w:sz w:val="32"/>
        </w:rPr>
        <w:t>明确服务内容、责任、考核等。综合考虑服务人口、机构运行成本、工作绩效等因素合理确定第三方机构的服务费，</w:t>
      </w:r>
      <w:r>
        <w:rPr>
          <w:rFonts w:hint="eastAsia" w:ascii="仿宋_GB2312" w:hAnsi="仿宋_GB2312" w:eastAsia="仿宋_GB2312" w:cstheme="minorBidi"/>
          <w:color w:val="auto"/>
          <w:sz w:val="32"/>
          <w:szCs w:val="32"/>
          <w:highlight w:val="none"/>
          <w:u w:val="none"/>
        </w:rPr>
        <w:t>按照不超过当年筹资总额的</w:t>
      </w:r>
      <w:r>
        <w:rPr>
          <w:rFonts w:ascii="仿宋_GB2312" w:hAnsi="仿宋_GB2312" w:eastAsia="仿宋_GB2312" w:cstheme="minorBidi"/>
          <w:color w:val="auto"/>
          <w:sz w:val="32"/>
          <w:szCs w:val="32"/>
          <w:highlight w:val="none"/>
          <w:u w:val="none"/>
        </w:rPr>
        <w:t>4%</w:t>
      </w:r>
      <w:r>
        <w:rPr>
          <w:rFonts w:hint="eastAsia" w:ascii="仿宋_GB2312" w:hAnsi="仿宋_GB2312" w:eastAsia="仿宋_GB2312" w:cstheme="minorBidi"/>
          <w:color w:val="auto"/>
          <w:sz w:val="32"/>
          <w:szCs w:val="32"/>
          <w:highlight w:val="none"/>
          <w:u w:val="none"/>
        </w:rPr>
        <w:t>从基金中支付</w:t>
      </w:r>
      <w:r>
        <w:rPr>
          <w:rFonts w:hint="eastAsia" w:ascii="仿宋_GB2312" w:hAnsi="仿宋_GB2312" w:eastAsia="仿宋_GB2312" w:cstheme="minorBidi"/>
          <w:sz w:val="32"/>
        </w:rPr>
        <w:t>。</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lang w:val="en-US" w:eastAsia="zh-CN"/>
        </w:rPr>
        <w:t>落实</w:t>
      </w:r>
      <w:r>
        <w:rPr>
          <w:rFonts w:hint="eastAsia" w:ascii="仿宋_GB2312" w:hAnsi="仿宋_GB2312" w:eastAsia="仿宋_GB2312" w:cstheme="minorBidi"/>
          <w:sz w:val="32"/>
        </w:rPr>
        <w:t>全国统一的长护险子系统应用，实现参保登记、</w:t>
      </w:r>
      <w:r>
        <w:rPr>
          <w:rFonts w:hint="eastAsia" w:ascii="仿宋_GB2312" w:hAnsi="仿宋_GB2312" w:eastAsia="仿宋_GB2312" w:cstheme="minorBidi"/>
          <w:sz w:val="32"/>
          <w:lang w:val="en-US" w:eastAsia="zh-CN"/>
        </w:rPr>
        <w:t>转移接续、</w:t>
      </w:r>
      <w:r>
        <w:rPr>
          <w:rFonts w:hint="eastAsia" w:ascii="仿宋_GB2312" w:hAnsi="仿宋_GB2312" w:eastAsia="仿宋_GB2312" w:cstheme="minorBidi"/>
          <w:sz w:val="32"/>
        </w:rPr>
        <w:t>失能评估</w:t>
      </w:r>
      <w:r>
        <w:rPr>
          <w:rFonts w:hint="eastAsia" w:ascii="仿宋_GB2312" w:hAnsi="仿宋_GB2312" w:eastAsia="仿宋_GB2312" w:cstheme="minorBidi"/>
          <w:sz w:val="32"/>
          <w:lang w:val="en-US" w:eastAsia="zh-CN"/>
        </w:rPr>
        <w:t>、</w:t>
      </w:r>
      <w:r>
        <w:rPr>
          <w:rFonts w:hint="eastAsia" w:ascii="仿宋_GB2312" w:hAnsi="仿宋_GB2312" w:eastAsia="仿宋_GB2312" w:cstheme="minorBidi"/>
          <w:sz w:val="32"/>
        </w:rPr>
        <w:t>服务管理、费用结算、基金监管等全流程信息化管理。规范失能等级评估和护理服务文书体系，健全评估和服务质控体系。</w:t>
      </w:r>
    </w:p>
    <w:p>
      <w:pPr>
        <w:pStyle w:val="3"/>
        <w:pageBreakBefore w:val="0"/>
        <w:widowControl w:val="0"/>
        <w:numPr>
          <w:ilvl w:val="1"/>
          <w:numId w:val="1"/>
        </w:numPr>
        <w:kinsoku/>
        <w:overflowPunct/>
        <w:topLinePunct w:val="0"/>
        <w:autoSpaceDE/>
        <w:autoSpaceDN/>
        <w:bidi w:val="0"/>
        <w:adjustRightInd/>
        <w:snapToGrid/>
        <w:spacing w:after="0" w:line="600" w:lineRule="exact"/>
        <w:ind w:left="0" w:firstLine="402"/>
        <w:textAlignment w:val="auto"/>
        <w:rPr>
          <w:rFonts w:hint="eastAsia" w:cs="黑体"/>
          <w:b w:val="0"/>
          <w:bCs/>
        </w:rPr>
      </w:pPr>
      <w:r>
        <w:rPr>
          <w:rFonts w:hint="eastAsia" w:cs="黑体"/>
          <w:b w:val="0"/>
          <w:bCs/>
        </w:rPr>
        <w:t>基金管理与监</w:t>
      </w:r>
      <w:r>
        <w:rPr>
          <w:rFonts w:hint="eastAsia" w:cs="黑体"/>
          <w:b w:val="0"/>
          <w:bCs/>
          <w:lang w:val="en-US" w:eastAsia="zh-CN"/>
        </w:rPr>
        <w:t>管</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长护险基金纳入社会保障基金财政专户单独管理，单独</w:t>
      </w:r>
      <w:r>
        <w:rPr>
          <w:rFonts w:hint="eastAsia" w:ascii="仿宋_GB2312" w:hAnsi="仿宋_GB2312" w:eastAsia="仿宋_GB2312" w:cstheme="minorBidi"/>
          <w:sz w:val="32"/>
          <w:lang w:val="en-US" w:eastAsia="zh-CN"/>
        </w:rPr>
        <w:t>开设支出户</w:t>
      </w:r>
      <w:r>
        <w:rPr>
          <w:rFonts w:hint="eastAsia" w:ascii="仿宋_GB2312" w:hAnsi="仿宋_GB2312" w:eastAsia="仿宋_GB2312" w:cstheme="minorBidi"/>
          <w:sz w:val="32"/>
        </w:rPr>
        <w:t>、单独</w:t>
      </w:r>
      <w:r>
        <w:rPr>
          <w:rFonts w:hint="eastAsia" w:ascii="仿宋_GB2312" w:hAnsi="仿宋_GB2312" w:eastAsia="仿宋_GB2312" w:cstheme="minorBidi"/>
          <w:sz w:val="32"/>
          <w:lang w:val="en-US" w:eastAsia="zh-CN"/>
        </w:rPr>
        <w:t>建账</w:t>
      </w:r>
      <w:r>
        <w:rPr>
          <w:rFonts w:hint="eastAsia" w:ascii="仿宋_GB2312" w:hAnsi="仿宋_GB2312" w:eastAsia="仿宋_GB2312" w:cstheme="minorBidi"/>
          <w:sz w:val="32"/>
        </w:rPr>
        <w:t>、</w:t>
      </w:r>
      <w:r>
        <w:rPr>
          <w:rFonts w:hint="eastAsia" w:ascii="仿宋_GB2312" w:hAnsi="仿宋_GB2312" w:eastAsia="仿宋_GB2312" w:cstheme="minorBidi"/>
          <w:sz w:val="32"/>
          <w:lang w:val="en-US" w:eastAsia="zh-CN"/>
        </w:rPr>
        <w:t>单独计息、</w:t>
      </w:r>
      <w:r>
        <w:rPr>
          <w:rFonts w:hint="eastAsia" w:ascii="仿宋_GB2312" w:hAnsi="仿宋_GB2312" w:eastAsia="仿宋_GB2312" w:cstheme="minorBidi"/>
          <w:sz w:val="32"/>
        </w:rPr>
        <w:t>专款专用</w:t>
      </w:r>
      <w:r>
        <w:rPr>
          <w:rFonts w:hint="eastAsia" w:ascii="仿宋_GB2312" w:hAnsi="仿宋_GB2312" w:eastAsia="仿宋_GB2312" w:cstheme="minorBidi"/>
          <w:sz w:val="32"/>
          <w:lang w:eastAsia="zh-CN"/>
        </w:rPr>
        <w:t>、</w:t>
      </w:r>
      <w:r>
        <w:rPr>
          <w:rFonts w:hint="eastAsia" w:ascii="仿宋_GB2312" w:hAnsi="仿宋_GB2312" w:eastAsia="仿宋_GB2312" w:cstheme="minorBidi"/>
          <w:sz w:val="32"/>
        </w:rPr>
        <w:t>统收统支。</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将长护险纳入社会保险基金预算编制范围，科学编制收支预算，加强预算绩效管理，健全基金预算管理制度。严格执行基金财务制度，加强基金财务管理，规范基金收支。做好基金会计核算和统计分析。坚持以收定支、收支平衡，建立基金运行监控和风险防范机制，做好中长期精算分析。在长护险基金出现支付困难时，应当按照规定及时调整筹资</w:t>
      </w:r>
      <w:r>
        <w:rPr>
          <w:rFonts w:hint="eastAsia" w:ascii="仿宋_GB2312" w:hAnsi="仿宋_GB2312" w:eastAsia="仿宋_GB2312" w:cstheme="minorBidi"/>
          <w:sz w:val="32"/>
          <w:lang w:val="en-US" w:eastAsia="zh-CN"/>
        </w:rPr>
        <w:t>和</w:t>
      </w:r>
      <w:r>
        <w:rPr>
          <w:rFonts w:hint="eastAsia" w:ascii="仿宋_GB2312" w:hAnsi="仿宋_GB2312" w:eastAsia="仿宋_GB2312" w:cstheme="minorBidi"/>
          <w:sz w:val="32"/>
        </w:rPr>
        <w:t>待遇政策。</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highlight w:val="none"/>
        </w:rPr>
      </w:pPr>
      <w:r>
        <w:rPr>
          <w:rFonts w:hint="eastAsia" w:ascii="仿宋_GB2312" w:hAnsi="仿宋_GB2312" w:eastAsia="仿宋_GB2312" w:cstheme="minorBidi"/>
          <w:sz w:val="32"/>
          <w:highlight w:val="none"/>
        </w:rPr>
        <w:t>建立健全基金监管体系，加强监管能力建设，创新监管手段和方式，强化对长护险服务行为、评估行为等的监管，完善欺诈骗保人员、机构惩戒机制。加强财会监督和审计监督，严肃财经纪律，确保基金安全。完善长护险监管长效机制，</w:t>
      </w:r>
      <w:r>
        <w:rPr>
          <w:rFonts w:hint="eastAsia" w:ascii="仿宋_GB2312" w:hAnsi="仿宋_GB2312" w:eastAsia="仿宋_GB2312" w:cstheme="minorBidi"/>
          <w:sz w:val="32"/>
          <w:highlight w:val="none"/>
          <w:lang w:val="en-US" w:eastAsia="zh-CN"/>
        </w:rPr>
        <w:t>按规定</w:t>
      </w:r>
      <w:r>
        <w:rPr>
          <w:rFonts w:hint="eastAsia" w:ascii="仿宋_GB2312" w:hAnsi="仿宋_GB2312" w:eastAsia="仿宋_GB2312" w:cstheme="minorBidi"/>
          <w:sz w:val="32"/>
          <w:highlight w:val="none"/>
        </w:rPr>
        <w:t>将</w:t>
      </w:r>
      <w:r>
        <w:rPr>
          <w:rFonts w:hint="eastAsia" w:ascii="仿宋_GB2312" w:hAnsi="仿宋_GB2312" w:eastAsia="仿宋_GB2312" w:cstheme="minorBidi"/>
          <w:sz w:val="32"/>
          <w:highlight w:val="none"/>
          <w:lang w:eastAsia="zh-CN"/>
        </w:rPr>
        <w:t>长护险</w:t>
      </w:r>
      <w:r>
        <w:rPr>
          <w:rFonts w:hint="eastAsia" w:ascii="仿宋_GB2312" w:hAnsi="仿宋_GB2312" w:eastAsia="仿宋_GB2312" w:cstheme="minorBidi"/>
          <w:sz w:val="32"/>
          <w:highlight w:val="none"/>
        </w:rPr>
        <w:t>基金使用纳入飞行检查、日常监管、智能监管、社会监督等常态化监管范围。加大</w:t>
      </w:r>
      <w:r>
        <w:rPr>
          <w:rFonts w:hint="eastAsia" w:ascii="仿宋_GB2312" w:hAnsi="仿宋_GB2312" w:eastAsia="仿宋_GB2312" w:cstheme="minorBidi"/>
          <w:sz w:val="32"/>
          <w:highlight w:val="none"/>
          <w:lang w:eastAsia="zh-CN"/>
        </w:rPr>
        <w:t>长护险</w:t>
      </w:r>
      <w:r>
        <w:rPr>
          <w:rFonts w:hint="eastAsia" w:ascii="仿宋_GB2312" w:hAnsi="仿宋_GB2312" w:eastAsia="仿宋_GB2312" w:cstheme="minorBidi"/>
          <w:sz w:val="32"/>
          <w:highlight w:val="none"/>
        </w:rPr>
        <w:t>基金监管执法力度，做好协议管理与行政监管衔接，建立健全重要线索、重大案件联查联办和追责问责机制，坚决守住基金安全底线。</w:t>
      </w:r>
    </w:p>
    <w:p>
      <w:pPr>
        <w:pStyle w:val="3"/>
        <w:pageBreakBefore w:val="0"/>
        <w:widowControl w:val="0"/>
        <w:numPr>
          <w:ilvl w:val="1"/>
          <w:numId w:val="1"/>
        </w:numPr>
        <w:kinsoku/>
        <w:overflowPunct/>
        <w:topLinePunct w:val="0"/>
        <w:autoSpaceDE/>
        <w:autoSpaceDN/>
        <w:bidi w:val="0"/>
        <w:adjustRightInd/>
        <w:snapToGrid/>
        <w:spacing w:after="0" w:line="600" w:lineRule="exact"/>
        <w:ind w:left="0" w:firstLine="402"/>
        <w:textAlignment w:val="auto"/>
        <w:rPr>
          <w:rFonts w:hint="eastAsia"/>
          <w:b w:val="0"/>
          <w:bCs/>
        </w:rPr>
      </w:pPr>
      <w:r>
        <w:rPr>
          <w:rFonts w:hint="eastAsia"/>
          <w:b w:val="0"/>
          <w:bCs/>
        </w:rPr>
        <w:t>部门职责分工</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theme="minorBidi"/>
          <w:b w:val="0"/>
          <w:kern w:val="2"/>
          <w:sz w:val="32"/>
          <w:szCs w:val="24"/>
          <w:lang w:val="en-US" w:eastAsia="zh-CN" w:bidi="ar-SA"/>
        </w:rPr>
      </w:pPr>
      <w:r>
        <w:rPr>
          <w:rFonts w:hint="eastAsia" w:ascii="仿宋_GB2312" w:hAnsi="仿宋_GB2312" w:eastAsia="仿宋_GB2312" w:cstheme="minorBidi"/>
          <w:b w:val="0"/>
          <w:kern w:val="2"/>
          <w:sz w:val="32"/>
          <w:szCs w:val="24"/>
          <w:lang w:val="en-US" w:eastAsia="zh-CN" w:bidi="ar-SA"/>
        </w:rPr>
        <w:t>市医保局负责长期护理保险政策制定和组织实施。市财政局负责及时足额安排相关财政补助资金、配合医保部门做好基金测算等。市税务局负责保费征收工作。市民政局负责对提供长期护理服务的养老服务机构进行行业管理，统筹配置养老服务资源。市人力资源社会保障局负责配合做好长期护理保险与工伤保险衔接、长期照护师职业技能等级认定、退休人员基本养老金数据共享和保费代扣代缴等工作。市卫生健康委员会负责鼓励基层医疗卫生机构提供长期护理服务、探索发挥家庭医生在失能等级评估中的作用等工作。市农业农村局负责做好防止返贫致贫对象认定和帮扶工作。市残联负责协同做好残疾人参保相关工作。</w:t>
      </w:r>
    </w:p>
    <w:p>
      <w:pPr>
        <w:pStyle w:val="3"/>
        <w:pageBreakBefore w:val="0"/>
        <w:widowControl w:val="0"/>
        <w:numPr>
          <w:ilvl w:val="1"/>
          <w:numId w:val="1"/>
        </w:numPr>
        <w:kinsoku/>
        <w:overflowPunct/>
        <w:topLinePunct w:val="0"/>
        <w:autoSpaceDE/>
        <w:autoSpaceDN/>
        <w:bidi w:val="0"/>
        <w:adjustRightInd/>
        <w:snapToGrid/>
        <w:spacing w:after="0" w:line="600" w:lineRule="exact"/>
        <w:ind w:left="0" w:firstLine="402"/>
        <w:textAlignment w:val="auto"/>
        <w:rPr>
          <w:rFonts w:hint="eastAsia"/>
          <w:b w:val="0"/>
          <w:bCs/>
          <w:lang w:val="en-US" w:eastAsia="zh-CN"/>
        </w:rPr>
      </w:pPr>
      <w:r>
        <w:rPr>
          <w:rFonts w:hint="eastAsia"/>
          <w:b w:val="0"/>
          <w:bCs/>
          <w:lang w:val="en-US" w:eastAsia="zh-CN"/>
        </w:rPr>
        <w:t>附则</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本细则由市医疗保障局负责解释，并根据国家、省有关政策及</w:t>
      </w:r>
      <w:r>
        <w:rPr>
          <w:rFonts w:hint="eastAsia" w:ascii="仿宋_GB2312" w:hAnsi="仿宋_GB2312" w:eastAsia="仿宋_GB2312" w:cstheme="minorBidi"/>
          <w:sz w:val="32"/>
          <w:lang w:eastAsia="zh-CN"/>
        </w:rPr>
        <w:t>长护险</w:t>
      </w:r>
      <w:r>
        <w:rPr>
          <w:rFonts w:hint="eastAsia" w:ascii="仿宋_GB2312" w:hAnsi="仿宋_GB2312" w:eastAsia="仿宋_GB2312" w:cstheme="minorBidi"/>
          <w:sz w:val="32"/>
        </w:rPr>
        <w:t>推进情况会同有关部门适时调整。</w:t>
      </w:r>
    </w:p>
    <w:p>
      <w:pPr>
        <w:pageBreakBefore w:val="0"/>
        <w:widowControl w:val="0"/>
        <w:numPr>
          <w:ilvl w:val="1"/>
          <w:numId w:val="2"/>
        </w:numPr>
        <w:kinsoku/>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theme="minorBidi"/>
          <w:sz w:val="32"/>
        </w:rPr>
      </w:pPr>
      <w:r>
        <w:rPr>
          <w:rFonts w:hint="eastAsia" w:ascii="仿宋_GB2312" w:hAnsi="仿宋_GB2312" w:eastAsia="仿宋_GB2312" w:cstheme="minorBidi"/>
          <w:sz w:val="32"/>
        </w:rPr>
        <w:t>本细则自印发之日起实施。国家、省有新规定的，从其规定。</w:t>
      </w:r>
    </w:p>
    <w:p>
      <w:pPr>
        <w:keepNext w:val="0"/>
        <w:keepLines w:val="0"/>
        <w:pageBreakBefore w:val="0"/>
        <w:widowControl w:val="0"/>
        <w:kinsoku/>
        <w:wordWrap w:val="0"/>
        <w:overflowPunct/>
        <w:topLinePunct w:val="0"/>
        <w:autoSpaceDE/>
        <w:autoSpaceDN/>
        <w:bidi w:val="0"/>
        <w:adjustRightInd/>
        <w:snapToGrid/>
        <w:spacing w:line="600" w:lineRule="exact"/>
        <w:ind w:left="0" w:leftChars="0" w:right="0" w:rightChars="0"/>
        <w:textAlignment w:val="auto"/>
        <w:outlineLvl w:val="9"/>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val="0"/>
        <w:overflowPunct/>
        <w:topLinePunct w:val="0"/>
        <w:autoSpaceDE/>
        <w:autoSpaceDN/>
        <w:bidi w:val="0"/>
        <w:adjustRightInd/>
        <w:snapToGrid/>
        <w:spacing w:line="600" w:lineRule="exact"/>
        <w:ind w:left="0" w:leftChars="0" w:right="0" w:rightChars="0"/>
        <w:textAlignment w:val="auto"/>
        <w:outlineLvl w:val="9"/>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val="0"/>
        <w:overflowPunct/>
        <w:topLinePunct w:val="0"/>
        <w:autoSpaceDE/>
        <w:autoSpaceDN/>
        <w:bidi w:val="0"/>
        <w:adjustRightInd/>
        <w:snapToGrid/>
        <w:spacing w:line="600" w:lineRule="exact"/>
        <w:ind w:left="0" w:leftChars="0" w:right="0" w:rightChars="0"/>
        <w:textAlignment w:val="auto"/>
        <w:outlineLvl w:val="9"/>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val="0"/>
        <w:overflowPunct/>
        <w:topLinePunct w:val="0"/>
        <w:autoSpaceDE/>
        <w:autoSpaceDN/>
        <w:bidi w:val="0"/>
        <w:adjustRightInd/>
        <w:snapToGrid/>
        <w:spacing w:line="600" w:lineRule="exact"/>
        <w:ind w:left="0" w:leftChars="0" w:right="0" w:rightChars="0"/>
        <w:textAlignment w:val="auto"/>
        <w:outlineLvl w:val="9"/>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val="0"/>
        <w:overflowPunct/>
        <w:topLinePunct w:val="0"/>
        <w:autoSpaceDE/>
        <w:autoSpaceDN/>
        <w:bidi w:val="0"/>
        <w:adjustRightInd/>
        <w:snapToGrid/>
        <w:spacing w:line="600" w:lineRule="exact"/>
        <w:ind w:left="0" w:leftChars="0" w:right="0" w:rightChars="0"/>
        <w:textAlignment w:val="auto"/>
        <w:outlineLvl w:val="9"/>
        <w:rPr>
          <w:rFonts w:hint="default" w:ascii="Times New Roman" w:hAnsi="Times New Roman" w:eastAsia="方正小标宋简体" w:cs="Times New Roman"/>
          <w:sz w:val="44"/>
          <w:szCs w:val="44"/>
          <w:lang w:val="en-US" w:eastAsia="zh-CN"/>
        </w:rPr>
      </w:pPr>
      <w:bookmarkStart w:id="3" w:name="_GoBack"/>
      <w:bookmarkEnd w:id="3"/>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0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6"/>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3C8F4D"/>
    <w:multiLevelType w:val="multilevel"/>
    <w:tmpl w:val="E63C8F4D"/>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条　"/>
      <w:lvlJc w:val="left"/>
      <w:pPr>
        <w:tabs>
          <w:tab w:val="left" w:pos="0"/>
        </w:tabs>
        <w:ind w:left="0" w:firstLine="40"/>
      </w:pPr>
      <w:rPr>
        <w:rFonts w:hint="eastAsia" w:ascii="宋体" w:hAnsi="宋体" w:eastAsia="仿宋_GB2312" w:cs="宋体"/>
        <w:b/>
        <w:sz w:val="32"/>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1">
    <w:nsid w:val="F7CCCEF1"/>
    <w:multiLevelType w:val="singleLevel"/>
    <w:tmpl w:val="F7CCCEF1"/>
    <w:lvl w:ilvl="0" w:tentative="0">
      <w:start w:val="1"/>
      <w:numFmt w:val="chineseCounting"/>
      <w:suff w:val="nothing"/>
      <w:lvlText w:val="（%1）"/>
      <w:lvlJc w:val="left"/>
      <w:pPr>
        <w:ind w:left="0" w:firstLine="420"/>
      </w:pPr>
      <w:rPr>
        <w:rFonts w:hint="eastAsia"/>
      </w:rPr>
    </w:lvl>
  </w:abstractNum>
  <w:abstractNum w:abstractNumId="2">
    <w:nsid w:val="2908E6BA"/>
    <w:multiLevelType w:val="singleLevel"/>
    <w:tmpl w:val="2908E6BA"/>
    <w:lvl w:ilvl="0" w:tentative="0">
      <w:start w:val="1"/>
      <w:numFmt w:val="chineseCounting"/>
      <w:suff w:val="nothing"/>
      <w:lvlText w:val="（%1）"/>
      <w:lvlJc w:val="left"/>
      <w:rPr>
        <w:rFonts w:hint="eastAsia"/>
      </w:rPr>
    </w:lvl>
  </w:abstractNum>
  <w:abstractNum w:abstractNumId="3">
    <w:nsid w:val="2CAA4C45"/>
    <w:multiLevelType w:val="multilevel"/>
    <w:tmpl w:val="2CAA4C45"/>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章　"/>
      <w:lvlJc w:val="left"/>
      <w:pPr>
        <w:tabs>
          <w:tab w:val="left" w:pos="0"/>
        </w:tabs>
        <w:ind w:left="0" w:firstLine="402"/>
      </w:pPr>
      <w:rPr>
        <w:rFonts w:hint="eastAsia" w:ascii="黑体" w:hAnsi="黑体" w:eastAsia="黑体" w:cs="宋体"/>
        <w:sz w:val="32"/>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86EC2"/>
    <w:rsid w:val="025227D8"/>
    <w:rsid w:val="03EA0D4D"/>
    <w:rsid w:val="040428C6"/>
    <w:rsid w:val="073454F9"/>
    <w:rsid w:val="0B077F4C"/>
    <w:rsid w:val="15340729"/>
    <w:rsid w:val="1A580CB2"/>
    <w:rsid w:val="1BE54C43"/>
    <w:rsid w:val="1C077CC2"/>
    <w:rsid w:val="1C6A0784"/>
    <w:rsid w:val="1DCC59C0"/>
    <w:rsid w:val="1EEC64E7"/>
    <w:rsid w:val="21613F08"/>
    <w:rsid w:val="232D18A5"/>
    <w:rsid w:val="26427668"/>
    <w:rsid w:val="26E34A1F"/>
    <w:rsid w:val="29A133C0"/>
    <w:rsid w:val="2B31610C"/>
    <w:rsid w:val="316954FC"/>
    <w:rsid w:val="319F093F"/>
    <w:rsid w:val="32CF4C6F"/>
    <w:rsid w:val="33923A50"/>
    <w:rsid w:val="356977F3"/>
    <w:rsid w:val="363C0A3B"/>
    <w:rsid w:val="36C620DF"/>
    <w:rsid w:val="38CB3819"/>
    <w:rsid w:val="38FF7317"/>
    <w:rsid w:val="3A394C6B"/>
    <w:rsid w:val="3B9F558B"/>
    <w:rsid w:val="3F3995AD"/>
    <w:rsid w:val="3F603A2C"/>
    <w:rsid w:val="3F661A2D"/>
    <w:rsid w:val="3FEF6C98"/>
    <w:rsid w:val="42C35939"/>
    <w:rsid w:val="42EC3E30"/>
    <w:rsid w:val="44977876"/>
    <w:rsid w:val="45372ACD"/>
    <w:rsid w:val="454F14C1"/>
    <w:rsid w:val="45E322EC"/>
    <w:rsid w:val="47C44791"/>
    <w:rsid w:val="48793953"/>
    <w:rsid w:val="4AD84365"/>
    <w:rsid w:val="4C9E36B5"/>
    <w:rsid w:val="4F4D6712"/>
    <w:rsid w:val="4F8E60E1"/>
    <w:rsid w:val="501530E2"/>
    <w:rsid w:val="53633A92"/>
    <w:rsid w:val="53994C1F"/>
    <w:rsid w:val="54CA10AE"/>
    <w:rsid w:val="55C70E1D"/>
    <w:rsid w:val="5DA924E6"/>
    <w:rsid w:val="5E2206C5"/>
    <w:rsid w:val="5EAF5166"/>
    <w:rsid w:val="5EDF74CC"/>
    <w:rsid w:val="603F5158"/>
    <w:rsid w:val="60952541"/>
    <w:rsid w:val="63341DFD"/>
    <w:rsid w:val="650055A2"/>
    <w:rsid w:val="65480787"/>
    <w:rsid w:val="65BD1944"/>
    <w:rsid w:val="67AB0F87"/>
    <w:rsid w:val="68F57175"/>
    <w:rsid w:val="6A5F734F"/>
    <w:rsid w:val="6ACB6139"/>
    <w:rsid w:val="6B2703A6"/>
    <w:rsid w:val="6CB41FD2"/>
    <w:rsid w:val="6DFF0544"/>
    <w:rsid w:val="6DFF2284"/>
    <w:rsid w:val="6E6F76FC"/>
    <w:rsid w:val="6E8A4814"/>
    <w:rsid w:val="6EC89796"/>
    <w:rsid w:val="6F273D84"/>
    <w:rsid w:val="6F4A47F4"/>
    <w:rsid w:val="70015AB5"/>
    <w:rsid w:val="70087DE5"/>
    <w:rsid w:val="71332F9D"/>
    <w:rsid w:val="7164193E"/>
    <w:rsid w:val="71E23780"/>
    <w:rsid w:val="72402EB4"/>
    <w:rsid w:val="727A6327"/>
    <w:rsid w:val="727C5851"/>
    <w:rsid w:val="742D1C45"/>
    <w:rsid w:val="742E0009"/>
    <w:rsid w:val="76435019"/>
    <w:rsid w:val="797C0B79"/>
    <w:rsid w:val="7ABEEC59"/>
    <w:rsid w:val="7AEE1695"/>
    <w:rsid w:val="7F4D5EAD"/>
    <w:rsid w:val="7F521D7B"/>
    <w:rsid w:val="7FCF201E"/>
    <w:rsid w:val="B1FC3B75"/>
    <w:rsid w:val="BDFFB70A"/>
    <w:rsid w:val="BF2FFC3F"/>
    <w:rsid w:val="CF781849"/>
    <w:rsid w:val="DFBE7EA3"/>
    <w:rsid w:val="E77F74B7"/>
    <w:rsid w:val="EEFAE3BF"/>
    <w:rsid w:val="F7EF1611"/>
    <w:rsid w:val="FA9DB26C"/>
    <w:rsid w:val="FB9E3D40"/>
    <w:rsid w:val="FDDF4AC3"/>
    <w:rsid w:val="FE7EFE3E"/>
    <w:rsid w:val="FFEE37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jc w:val="center"/>
      <w:outlineLvl w:val="0"/>
    </w:pPr>
    <w:rPr>
      <w:rFonts w:ascii="仿宋" w:hAnsi="仿宋" w:eastAsia="仿宋"/>
      <w:b/>
      <w:kern w:val="44"/>
      <w:sz w:val="44"/>
    </w:rPr>
  </w:style>
  <w:style w:type="paragraph" w:styleId="3">
    <w:name w:val="heading 2"/>
    <w:next w:val="1"/>
    <w:unhideWhenUsed/>
    <w:qFormat/>
    <w:uiPriority w:val="0"/>
    <w:pPr>
      <w:keepNext/>
      <w:keepLines/>
      <w:widowControl w:val="0"/>
      <w:spacing w:after="160" w:line="360" w:lineRule="auto"/>
      <w:ind w:firstLine="0" w:firstLineChars="0"/>
      <w:jc w:val="center"/>
      <w:outlineLvl w:val="1"/>
    </w:pPr>
    <w:rPr>
      <w:rFonts w:ascii="黑体" w:hAnsi="黑体" w:eastAsia="黑体" w:cstheme="minorBidi"/>
      <w:b/>
      <w:kern w:val="2"/>
      <w:sz w:val="32"/>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semiHidden/>
    <w:qFormat/>
    <w:uiPriority w:val="0"/>
    <w:rPr>
      <w:rFonts w:ascii="仿宋_GB2312" w:hAnsi="仿宋_GB2312" w:eastAsia="仿宋_GB2312" w:cs="仿宋_GB2312"/>
      <w:sz w:val="32"/>
      <w:szCs w:val="32"/>
    </w:rPr>
  </w:style>
  <w:style w:type="paragraph" w:styleId="6">
    <w:name w:val="footer"/>
    <w:basedOn w:val="1"/>
    <w:qFormat/>
    <w:uiPriority w:val="0"/>
    <w:pPr>
      <w:widowControl w:val="0"/>
      <w:tabs>
        <w:tab w:val="center" w:pos="4153"/>
        <w:tab w:val="right" w:pos="8306"/>
      </w:tabs>
      <w:snapToGrid w:val="0"/>
      <w:spacing w:after="160" w:line="278" w:lineRule="auto"/>
      <w:ind w:firstLine="883" w:firstLineChars="200"/>
      <w:jc w:val="left"/>
    </w:pPr>
    <w:rPr>
      <w:rFonts w:ascii="仿宋_GB2312" w:hAnsi="仿宋_GB2312" w:eastAsia="仿宋_GB2312" w:cstheme="minorBidi"/>
      <w:kern w:val="2"/>
      <w:sz w:val="18"/>
      <w:szCs w:val="24"/>
      <w:lang w:val="en-US" w:eastAsia="zh-CN" w:bidi="ar-SA"/>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paragraph" w:styleId="10">
    <w:name w:val="Body Text First Indent"/>
    <w:basedOn w:val="5"/>
    <w:unhideWhenUsed/>
    <w:qFormat/>
    <w:uiPriority w:val="99"/>
    <w:pPr>
      <w:ind w:firstLine="420" w:firstLineChars="100"/>
    </w:p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5361</Words>
  <Characters>5431</Characters>
  <Lines>0</Lines>
  <Paragraphs>0</Paragraphs>
  <TotalTime>13</TotalTime>
  <ScaleCrop>false</ScaleCrop>
  <LinksUpToDate>false</LinksUpToDate>
  <CharactersWithSpaces>5444</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2026-08-27T09:00:00Z</dcterms:created>
  <dc:creator>Administrator</dc:creator>
  <cp:lastModifiedBy>邵杰</cp:lastModifiedBy>
  <cp:lastPrinted>2026-09-17T09:53:00Z</cp:lastPrinted>
  <dcterms:modified xsi:type="dcterms:W3CDTF">2026-09-30T08:21:18Z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8A8264DD4B7E5030E7F3A86A3A0E11C8_42</vt:lpwstr>
  </property>
</Properties>
</file>