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25ADC9">
      <w:pPr>
        <w:pStyle w:val="7"/>
        <w:widowControl/>
        <w:jc w:val="center"/>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z w:val="44"/>
          <w:szCs w:val="44"/>
          <w:lang w:val="en-US" w:eastAsia="zh-CN"/>
          <w14:textFill>
            <w14:solidFill>
              <w14:schemeClr w14:val="tx1"/>
            </w14:solidFill>
          </w14:textFill>
        </w:rPr>
        <w:t xml:space="preserve">  </w:t>
      </w:r>
      <w:r>
        <w:rPr>
          <w:rFonts w:hint="eastAsia" w:ascii="方正小标宋_GBK" w:hAnsi="方正小标宋_GBK" w:eastAsia="方正小标宋_GBK" w:cs="方正小标宋_GBK"/>
          <w:b/>
          <w:color w:val="000000" w:themeColor="text1"/>
          <w:sz w:val="44"/>
          <w:szCs w:val="44"/>
          <w:lang w:eastAsia="zh-CN"/>
          <w14:textFill>
            <w14:solidFill>
              <w14:schemeClr w14:val="tx1"/>
            </w14:solidFill>
          </w14:textFill>
        </w:rPr>
        <w:t>202</w:t>
      </w:r>
      <w:r>
        <w:rPr>
          <w:rFonts w:hint="eastAsia" w:ascii="方正小标宋_GBK" w:hAnsi="方正小标宋_GBK" w:eastAsia="方正小标宋_GBK" w:cs="方正小标宋_GBK"/>
          <w:b/>
          <w:color w:val="000000" w:themeColor="text1"/>
          <w:sz w:val="44"/>
          <w:szCs w:val="44"/>
          <w:lang w:val="en-US" w:eastAsia="zh-CN"/>
          <w14:textFill>
            <w14:solidFill>
              <w14:schemeClr w14:val="tx1"/>
            </w14:solidFill>
          </w14:textFill>
        </w:rPr>
        <w:t>4</w:t>
      </w:r>
      <w:r>
        <w:rPr>
          <w:rFonts w:hint="eastAsia" w:ascii="方正小标宋_GBK" w:hAnsi="方正小标宋_GBK" w:eastAsia="方正小标宋_GBK" w:cs="方正小标宋_GBK"/>
          <w:b/>
          <w:color w:val="000000" w:themeColor="text1"/>
          <w:sz w:val="44"/>
          <w:szCs w:val="44"/>
          <w:lang w:eastAsia="zh-CN"/>
          <w14:textFill>
            <w14:solidFill>
              <w14:schemeClr w14:val="tx1"/>
            </w14:solidFill>
          </w14:textFill>
        </w:rPr>
        <w:t>年</w:t>
      </w:r>
      <w:r>
        <w:rPr>
          <w:rFonts w:hint="eastAsia" w:ascii="方正小标宋_GBK" w:hAnsi="方正小标宋_GBK" w:eastAsia="方正小标宋_GBK" w:cs="方正小标宋_GBK"/>
          <w:b/>
          <w:color w:val="000000" w:themeColor="text1"/>
          <w:sz w:val="44"/>
          <w:szCs w:val="44"/>
          <w14:textFill>
            <w14:solidFill>
              <w14:schemeClr w14:val="tx1"/>
            </w14:solidFill>
          </w14:textFill>
        </w:rPr>
        <w:t>中站区国民经济和社会发展</w:t>
      </w:r>
    </w:p>
    <w:p w14:paraId="38F9624C">
      <w:pPr>
        <w:pStyle w:val="7"/>
        <w:widowControl/>
        <w:jc w:val="center"/>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color w:val="000000" w:themeColor="text1"/>
          <w:sz w:val="44"/>
          <w:szCs w:val="44"/>
          <w14:textFill>
            <w14:solidFill>
              <w14:schemeClr w14:val="tx1"/>
            </w14:solidFill>
          </w14:textFill>
        </w:rPr>
        <w:t>统计公报</w:t>
      </w:r>
    </w:p>
    <w:p w14:paraId="53138758">
      <w:pPr>
        <w:pStyle w:val="7"/>
        <w:widowControl/>
        <w:spacing w:line="480" w:lineRule="auto"/>
        <w:jc w:val="center"/>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中站区统计局</w:t>
      </w:r>
    </w:p>
    <w:p w14:paraId="27A64829">
      <w:pPr>
        <w:pStyle w:val="7"/>
        <w:widowControl/>
        <w:spacing w:line="480" w:lineRule="auto"/>
        <w:jc w:val="center"/>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lang w:eastAsia="zh-CN"/>
          <w14:textFill>
            <w14:solidFill>
              <w14:schemeClr w14:val="tx1"/>
            </w14:solidFill>
          </w14:textFill>
        </w:rPr>
        <w:t>202</w:t>
      </w:r>
      <w:r>
        <w:rPr>
          <w:rFonts w:hint="eastAsia" w:ascii="楷体" w:hAnsi="楷体" w:eastAsia="楷体" w:cs="楷体"/>
          <w:color w:val="000000" w:themeColor="text1"/>
          <w:sz w:val="32"/>
          <w:szCs w:val="32"/>
          <w:lang w:val="en-US" w:eastAsia="zh-CN"/>
          <w14:textFill>
            <w14:solidFill>
              <w14:schemeClr w14:val="tx1"/>
            </w14:solidFill>
          </w14:textFill>
        </w:rPr>
        <w:t>5</w:t>
      </w:r>
      <w:r>
        <w:rPr>
          <w:rFonts w:hint="eastAsia" w:ascii="楷体" w:hAnsi="楷体" w:eastAsia="楷体" w:cs="楷体"/>
          <w:color w:val="000000" w:themeColor="text1"/>
          <w:sz w:val="32"/>
          <w:szCs w:val="32"/>
          <w:lang w:eastAsia="zh-CN"/>
          <w14:textFill>
            <w14:solidFill>
              <w14:schemeClr w14:val="tx1"/>
            </w14:solidFill>
          </w14:textFill>
        </w:rPr>
        <w:t>年</w:t>
      </w:r>
      <w:r>
        <w:rPr>
          <w:rFonts w:hint="eastAsia" w:ascii="楷体" w:hAnsi="楷体" w:eastAsia="楷体" w:cs="楷体"/>
          <w:color w:val="000000" w:themeColor="text1"/>
          <w:sz w:val="32"/>
          <w:szCs w:val="32"/>
          <w:lang w:val="en-US" w:eastAsia="zh-CN"/>
          <w14:textFill>
            <w14:solidFill>
              <w14:schemeClr w14:val="tx1"/>
            </w14:solidFill>
          </w14:textFill>
        </w:rPr>
        <w:t>9</w:t>
      </w:r>
      <w:r>
        <w:rPr>
          <w:rFonts w:hint="eastAsia" w:ascii="楷体" w:hAnsi="楷体" w:eastAsia="楷体" w:cs="楷体"/>
          <w:color w:val="000000" w:themeColor="text1"/>
          <w:sz w:val="32"/>
          <w:szCs w:val="32"/>
          <w:lang w:eastAsia="zh-CN"/>
          <w14:textFill>
            <w14:solidFill>
              <w14:schemeClr w14:val="tx1"/>
            </w14:solidFill>
          </w14:textFill>
        </w:rPr>
        <w:t>月</w:t>
      </w:r>
      <w:r>
        <w:rPr>
          <w:rFonts w:hint="eastAsia" w:ascii="楷体" w:hAnsi="楷体" w:eastAsia="楷体" w:cs="楷体"/>
          <w:color w:val="000000" w:themeColor="text1"/>
          <w:sz w:val="32"/>
          <w:szCs w:val="32"/>
          <w:lang w:val="en-US" w:eastAsia="zh-CN"/>
          <w14:textFill>
            <w14:solidFill>
              <w14:schemeClr w14:val="tx1"/>
            </w14:solidFill>
          </w14:textFill>
        </w:rPr>
        <w:t>5</w:t>
      </w:r>
      <w:r>
        <w:rPr>
          <w:rFonts w:hint="eastAsia" w:ascii="楷体" w:hAnsi="楷体" w:eastAsia="楷体" w:cs="楷体"/>
          <w:color w:val="000000" w:themeColor="text1"/>
          <w:sz w:val="32"/>
          <w:szCs w:val="32"/>
          <w:lang w:eastAsia="zh-CN"/>
          <w14:textFill>
            <w14:solidFill>
              <w14:schemeClr w14:val="tx1"/>
            </w14:solidFill>
          </w14:textFill>
        </w:rPr>
        <w:t>日</w:t>
      </w:r>
      <w:bookmarkStart w:id="0" w:name="_GoBack"/>
      <w:bookmarkEnd w:id="0"/>
    </w:p>
    <w:p w14:paraId="030011BE">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FF0000"/>
          <w:kern w:val="2"/>
          <w:sz w:val="32"/>
          <w:szCs w:val="32"/>
          <w:lang w:val="en-US" w:eastAsia="zh-CN" w:bidi="ar-SA"/>
        </w:rPr>
      </w:pPr>
    </w:p>
    <w:p w14:paraId="43868AF2">
      <w:pPr>
        <w:keepNext w:val="0"/>
        <w:keepLines w:val="0"/>
        <w:widowControl/>
        <w:suppressLineNumbers w:val="0"/>
        <w:ind w:firstLine="640" w:firstLineChars="200"/>
        <w:jc w:val="left"/>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kern w:val="2"/>
          <w:sz w:val="32"/>
          <w:szCs w:val="32"/>
          <w:lang w:val="en-US" w:eastAsia="zh-CN" w:bidi="ar-SA"/>
          <w14:textFill>
            <w14:solidFill>
              <w14:schemeClr w14:val="tx1"/>
            </w14:solidFill>
          </w14:textFill>
        </w:rPr>
        <w:t>2024年，全区上下坚持以习近平新时代中国特色社会主义思想为指导，全面贯彻党的二十大和二十届二中、三中全会精神，深入践行习近平总书记视察河南重要讲话和重要指示精神，深入实施“1346”发展战略，顶住压力促发展，守正创新破难题，克服困难保民生，持之以恒抓安全，全区经济运行呈现稳中向好、稳中向新、稳中向优的发展态势，高质量发展扎实推进，现代化中站建设迈出新的坚实步伐。</w:t>
      </w:r>
    </w:p>
    <w:p w14:paraId="34010B8E">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一、综合</w:t>
      </w:r>
    </w:p>
    <w:p w14:paraId="2D62FF16">
      <w:pPr>
        <w:keepNext w:val="0"/>
        <w:keepLines w:val="0"/>
        <w:pageBreakBefore w:val="0"/>
        <w:kinsoku/>
        <w:wordWrap/>
        <w:overflowPunct/>
        <w:topLinePunct w:val="0"/>
        <w:autoSpaceDE/>
        <w:autoSpaceDN/>
        <w:bidi w:val="0"/>
        <w:adjustRightInd/>
        <w:snapToGrid/>
        <w:spacing w:line="560" w:lineRule="exact"/>
        <w:ind w:firstLine="640" w:firstLineChars="200"/>
        <w:jc w:val="both"/>
        <w:rPr>
          <w:rFonts w:hint="eastAsia"/>
          <w:lang w:val="en-US" w:eastAsia="zh-CN"/>
        </w:rPr>
      </w:pPr>
      <w:r>
        <w:rPr>
          <w:rFonts w:hint="eastAsia" w:ascii="仿宋" w:hAnsi="仿宋" w:eastAsia="仿宋" w:cs="仿宋"/>
          <w:color w:val="000000" w:themeColor="text1"/>
          <w:sz w:val="32"/>
          <w:szCs w:val="32"/>
          <w14:textFill>
            <w14:solidFill>
              <w14:schemeClr w14:val="tx1"/>
            </w14:solidFill>
          </w14:textFill>
        </w:rPr>
        <w:t>初步核算，全年全区地区生产总值</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165.8</w:t>
      </w:r>
      <w:r>
        <w:rPr>
          <w:rFonts w:hint="eastAsia" w:ascii="仿宋" w:hAnsi="仿宋" w:eastAsia="仿宋" w:cs="仿宋"/>
          <w:color w:val="000000" w:themeColor="text1"/>
          <w:sz w:val="32"/>
          <w:szCs w:val="32"/>
          <w14:textFill>
            <w14:solidFill>
              <w14:schemeClr w14:val="tx1"/>
            </w14:solidFill>
          </w14:textFill>
        </w:rPr>
        <w:t>亿元，比上年增长</w:t>
      </w:r>
      <w:r>
        <w:rPr>
          <w:rFonts w:hint="eastAsia" w:ascii="仿宋" w:hAnsi="仿宋" w:eastAsia="仿宋" w:cs="仿宋"/>
          <w:color w:val="000000" w:themeColor="text1"/>
          <w:sz w:val="32"/>
          <w:szCs w:val="32"/>
          <w:lang w:val="en-US" w:eastAsia="zh-CN"/>
          <w14:textFill>
            <w14:solidFill>
              <w14:schemeClr w14:val="tx1"/>
            </w14:solidFill>
          </w14:textFill>
        </w:rPr>
        <w:t>5.3</w:t>
      </w:r>
      <w:r>
        <w:rPr>
          <w:rFonts w:hint="eastAsia" w:ascii="仿宋" w:hAnsi="仿宋" w:eastAsia="仿宋" w:cs="仿宋"/>
          <w:color w:val="000000" w:themeColor="text1"/>
          <w:sz w:val="32"/>
          <w:szCs w:val="32"/>
          <w14:textFill>
            <w14:solidFill>
              <w14:schemeClr w14:val="tx1"/>
            </w14:solidFill>
          </w14:textFill>
        </w:rPr>
        <w:t>%。其中：第一产业增加值</w:t>
      </w:r>
      <w:r>
        <w:rPr>
          <w:rFonts w:hint="eastAsia" w:ascii="仿宋" w:hAnsi="仿宋" w:eastAsia="仿宋" w:cs="仿宋"/>
          <w:color w:val="000000" w:themeColor="text1"/>
          <w:sz w:val="32"/>
          <w:szCs w:val="32"/>
          <w:lang w:val="en-US" w:eastAsia="zh-CN"/>
          <w14:textFill>
            <w14:solidFill>
              <w14:schemeClr w14:val="tx1"/>
            </w14:solidFill>
          </w14:textFill>
        </w:rPr>
        <w:t>0.5</w:t>
      </w:r>
      <w:r>
        <w:rPr>
          <w:rFonts w:hint="eastAsia" w:ascii="仿宋" w:hAnsi="仿宋" w:eastAsia="仿宋" w:cs="仿宋"/>
          <w:color w:val="000000" w:themeColor="text1"/>
          <w:sz w:val="32"/>
          <w:szCs w:val="32"/>
          <w14:textFill>
            <w14:solidFill>
              <w14:schemeClr w14:val="tx1"/>
            </w14:solidFill>
          </w14:textFill>
        </w:rPr>
        <w:t>亿元，增长</w:t>
      </w:r>
      <w:r>
        <w:rPr>
          <w:rFonts w:hint="eastAsia" w:ascii="仿宋" w:hAnsi="仿宋" w:eastAsia="仿宋" w:cs="仿宋"/>
          <w:color w:val="000000" w:themeColor="text1"/>
          <w:sz w:val="32"/>
          <w:szCs w:val="32"/>
          <w:lang w:val="en-US" w:eastAsia="zh-CN"/>
          <w14:textFill>
            <w14:solidFill>
              <w14:schemeClr w14:val="tx1"/>
            </w14:solidFill>
          </w14:textFill>
        </w:rPr>
        <w:t>2.8</w:t>
      </w:r>
      <w:r>
        <w:rPr>
          <w:rFonts w:hint="eastAsia" w:ascii="仿宋" w:hAnsi="仿宋" w:eastAsia="仿宋" w:cs="仿宋"/>
          <w:color w:val="000000" w:themeColor="text1"/>
          <w:sz w:val="32"/>
          <w:szCs w:val="32"/>
          <w14:textFill>
            <w14:solidFill>
              <w14:schemeClr w14:val="tx1"/>
            </w14:solidFill>
          </w14:textFill>
        </w:rPr>
        <w:t>%；第二产业</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增加值</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107</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亿元，增长</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5.7</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%；第三产业增加值</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58.2</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亿元，增长</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4.7</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w:t>
      </w:r>
      <w:r>
        <w:rPr>
          <w:rFonts w:hint="eastAsia" w:ascii="仿宋_GB2312" w:hAnsi="宋体" w:eastAsia="仿宋_GB2312"/>
          <w:bCs/>
          <w:color w:val="000000" w:themeColor="text1"/>
          <w:kern w:val="0"/>
          <w:sz w:val="32"/>
          <w:szCs w:val="32"/>
          <w:shd w:val="clear" w:color="auto" w:fill="FFFFFF"/>
          <w:lang w:eastAsia="zh-CN"/>
          <w14:textFill>
            <w14:solidFill>
              <w14:schemeClr w14:val="tx1"/>
            </w14:solidFill>
          </w14:textFill>
        </w:rPr>
        <w:t>。</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三次产业结构为0.3:64.6:35.1。</w:t>
      </w:r>
      <w:r>
        <w:rPr>
          <w:rFonts w:hint="eastAsia" w:ascii="仿宋_GB2312" w:hAnsi="宋体" w:eastAsia="仿宋_GB2312"/>
          <w:bCs/>
          <w:color w:val="000000" w:themeColor="text1"/>
          <w:kern w:val="0"/>
          <w:sz w:val="32"/>
          <w:szCs w:val="32"/>
          <w:shd w:val="clear" w:color="auto" w:fill="FFFFFF"/>
          <w:lang w:eastAsia="zh-CN"/>
          <w14:textFill>
            <w14:solidFill>
              <w14:schemeClr w14:val="tx1"/>
            </w14:solidFill>
          </w14:textFill>
        </w:rPr>
        <w:t>按常住人口计算，全年</w:t>
      </w:r>
      <w:r>
        <w:rPr>
          <w:rFonts w:hint="eastAsia" w:ascii="仿宋" w:hAnsi="仿宋" w:eastAsia="仿宋" w:cs="仿宋"/>
          <w:color w:val="000000" w:themeColor="text1"/>
          <w:sz w:val="32"/>
          <w:szCs w:val="32"/>
          <w14:textFill>
            <w14:solidFill>
              <w14:schemeClr w14:val="tx1"/>
            </w14:solidFill>
          </w14:textFill>
        </w:rPr>
        <w:t>人均地区生产总值</w:t>
      </w:r>
      <w:r>
        <w:rPr>
          <w:rFonts w:hint="eastAsia" w:ascii="仿宋" w:hAnsi="仿宋" w:eastAsia="仿宋" w:cs="仿宋"/>
          <w:color w:val="000000" w:themeColor="text1"/>
          <w:sz w:val="32"/>
          <w:szCs w:val="32"/>
          <w:lang w:val="en-US" w:eastAsia="zh-CN"/>
          <w14:textFill>
            <w14:solidFill>
              <w14:schemeClr w14:val="tx1"/>
            </w14:solidFill>
          </w14:textFill>
        </w:rPr>
        <w:t>156095</w:t>
      </w:r>
      <w:r>
        <w:rPr>
          <w:rFonts w:hint="eastAsia" w:ascii="仿宋" w:hAnsi="仿宋" w:eastAsia="仿宋" w:cs="仿宋"/>
          <w:color w:val="000000" w:themeColor="text1"/>
          <w:sz w:val="32"/>
          <w:szCs w:val="32"/>
          <w14:textFill>
            <w14:solidFill>
              <w14:schemeClr w14:val="tx1"/>
            </w14:solidFill>
          </w14:textFill>
        </w:rPr>
        <w:t>元</w:t>
      </w:r>
      <w:r>
        <w:rPr>
          <w:rFonts w:hint="eastAsia" w:ascii="仿宋" w:hAnsi="仿宋" w:eastAsia="仿宋" w:cs="仿宋"/>
          <w:color w:val="000000" w:themeColor="text1"/>
          <w:sz w:val="32"/>
          <w:szCs w:val="32"/>
          <w:lang w:eastAsia="zh-CN"/>
          <w14:textFill>
            <w14:solidFill>
              <w14:schemeClr w14:val="tx1"/>
            </w14:solidFill>
          </w14:textFill>
        </w:rPr>
        <w:t>，增长</w:t>
      </w:r>
      <w:r>
        <w:rPr>
          <w:rFonts w:hint="eastAsia" w:ascii="仿宋" w:hAnsi="仿宋" w:eastAsia="仿宋" w:cs="仿宋"/>
          <w:color w:val="000000" w:themeColor="text1"/>
          <w:sz w:val="32"/>
          <w:szCs w:val="32"/>
          <w:lang w:val="en-US" w:eastAsia="zh-CN"/>
          <w14:textFill>
            <w14:solidFill>
              <w14:schemeClr w14:val="tx1"/>
            </w14:solidFill>
          </w14:textFill>
        </w:rPr>
        <w:t>6.3%</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w:t>
      </w:r>
    </w:p>
    <w:p w14:paraId="2E8E773C">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_GB2312" w:hAnsi="宋体" w:eastAsia="仿宋_GB2312" w:cstheme="minorBidi"/>
          <w:bCs/>
          <w:color w:val="FF0000"/>
          <w:kern w:val="0"/>
          <w:sz w:val="32"/>
          <w:szCs w:val="32"/>
          <w:shd w:val="clear" w:color="auto" w:fill="FFFFFF"/>
          <w:lang w:val="en-US" w:eastAsia="zh-CN" w:bidi="ar-SA"/>
        </w:rPr>
      </w:pPr>
      <w:r>
        <w:rPr>
          <w:rFonts w:hint="eastAsia" w:ascii="仿宋_GB2312" w:hAnsi="宋体" w:eastAsia="仿宋_GB2312" w:cstheme="minorBidi"/>
          <w:bCs/>
          <w:color w:val="000000" w:themeColor="text1"/>
          <w:kern w:val="0"/>
          <w:sz w:val="32"/>
          <w:szCs w:val="32"/>
          <w:shd w:val="clear" w:color="auto" w:fill="FFFFFF"/>
          <w:lang w:val="en-US" w:eastAsia="zh-CN" w:bidi="ar-SA"/>
          <w14:textFill>
            <w14:solidFill>
              <w14:schemeClr w14:val="tx1"/>
            </w14:solidFill>
          </w14:textFill>
        </w:rPr>
        <w:t>年末全区常住人口10.54万人，其中城镇常住人口8.46万人，乡村常住人口2.08万人；常住人口城镇化率为80.29%，比上年末提高0.62个百分点。全年出生人口0.06万人，人口出生率为5.65‰；死亡人口0.10万人，人口死亡率为9.42‰；人口自然增长率为-3.77‰。</w:t>
      </w:r>
    </w:p>
    <w:p w14:paraId="262C8641">
      <w:pPr>
        <w:keepNext w:val="0"/>
        <w:keepLines w:val="0"/>
        <w:pageBreakBefore w:val="0"/>
        <w:kinsoku/>
        <w:wordWrap/>
        <w:overflowPunct/>
        <w:topLinePunct w:val="0"/>
        <w:autoSpaceDE/>
        <w:autoSpaceDN/>
        <w:bidi w:val="0"/>
        <w:adjustRightInd/>
        <w:snapToGrid/>
        <w:spacing w:line="560" w:lineRule="exact"/>
        <w:ind w:firstLine="422" w:firstLineChars="150"/>
        <w:jc w:val="center"/>
        <w:rPr>
          <w:rFonts w:hint="default"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t>表1  2024年年末中站区常住人口数及其构成</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4"/>
        <w:gridCol w:w="1991"/>
        <w:gridCol w:w="2097"/>
      </w:tblGrid>
      <w:tr w14:paraId="39F6D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64921B5B">
            <w:pPr>
              <w:pStyle w:val="7"/>
              <w:keepNext w:val="0"/>
              <w:keepLines w:val="0"/>
              <w:pageBreakBefore w:val="0"/>
              <w:widowControl/>
              <w:kinsoku/>
              <w:wordWrap/>
              <w:overflowPunct/>
              <w:topLinePunct w:val="0"/>
              <w:autoSpaceDE/>
              <w:autoSpaceDN/>
              <w:bidi w:val="0"/>
              <w:adjustRightInd/>
              <w:snapToGrid/>
              <w:spacing w:line="560" w:lineRule="exact"/>
              <w:jc w:val="center"/>
              <w:rPr>
                <w:rFonts w:hint="eastAsia"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t>指标</w:t>
            </w:r>
          </w:p>
        </w:tc>
        <w:tc>
          <w:tcPr>
            <w:tcW w:w="1991" w:type="dxa"/>
            <w:tcBorders>
              <w:top w:val="single" w:color="auto" w:sz="4" w:space="0"/>
              <w:left w:val="single" w:color="auto" w:sz="4" w:space="0"/>
              <w:bottom w:val="single" w:color="auto" w:sz="4" w:space="0"/>
              <w:right w:val="single" w:color="auto" w:sz="4" w:space="0"/>
            </w:tcBorders>
          </w:tcPr>
          <w:p w14:paraId="1C4917F6">
            <w:pPr>
              <w:pStyle w:val="7"/>
              <w:keepNext w:val="0"/>
              <w:keepLines w:val="0"/>
              <w:pageBreakBefore w:val="0"/>
              <w:widowControl/>
              <w:kinsoku/>
              <w:wordWrap/>
              <w:overflowPunct/>
              <w:topLinePunct w:val="0"/>
              <w:autoSpaceDE/>
              <w:autoSpaceDN/>
              <w:bidi w:val="0"/>
              <w:adjustRightInd/>
              <w:snapToGrid/>
              <w:spacing w:line="560" w:lineRule="exact"/>
              <w:jc w:val="center"/>
              <w:rPr>
                <w:rFonts w:hint="eastAsia"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t>年末数（万人）</w:t>
            </w:r>
          </w:p>
        </w:tc>
        <w:tc>
          <w:tcPr>
            <w:tcW w:w="2097" w:type="dxa"/>
            <w:tcBorders>
              <w:top w:val="single" w:color="auto" w:sz="4" w:space="0"/>
              <w:left w:val="single" w:color="auto" w:sz="4" w:space="0"/>
              <w:bottom w:val="single" w:color="auto" w:sz="4" w:space="0"/>
              <w:right w:val="nil"/>
            </w:tcBorders>
          </w:tcPr>
          <w:p w14:paraId="308EF473">
            <w:pPr>
              <w:pStyle w:val="7"/>
              <w:keepNext w:val="0"/>
              <w:keepLines w:val="0"/>
              <w:pageBreakBefore w:val="0"/>
              <w:widowControl/>
              <w:kinsoku/>
              <w:wordWrap/>
              <w:overflowPunct/>
              <w:topLinePunct w:val="0"/>
              <w:autoSpaceDE/>
              <w:autoSpaceDN/>
              <w:bidi w:val="0"/>
              <w:adjustRightInd/>
              <w:snapToGrid/>
              <w:spacing w:line="560" w:lineRule="exact"/>
              <w:jc w:val="center"/>
              <w:rPr>
                <w:rFonts w:hint="default"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
                <w:bCs w:val="0"/>
                <w:color w:val="000000" w:themeColor="text1"/>
                <w:kern w:val="0"/>
                <w:sz w:val="28"/>
                <w:szCs w:val="28"/>
                <w:shd w:val="clear" w:color="auto" w:fill="FFFFFF"/>
                <w:vertAlign w:val="baseline"/>
                <w:lang w:val="en-US" w:eastAsia="zh-CN" w:bidi="ar-SA"/>
                <w14:textFill>
                  <w14:solidFill>
                    <w14:schemeClr w14:val="tx1"/>
                  </w14:solidFill>
                </w14:textFill>
              </w:rPr>
              <w:t>比重（%）</w:t>
            </w:r>
          </w:p>
        </w:tc>
      </w:tr>
      <w:tr w14:paraId="43F2C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194E3526">
            <w:pPr>
              <w:pStyle w:val="7"/>
              <w:keepNext w:val="0"/>
              <w:keepLines w:val="0"/>
              <w:pageBreakBefore w:val="0"/>
              <w:widowControl/>
              <w:kinsoku/>
              <w:wordWrap/>
              <w:overflowPunct/>
              <w:topLinePunct w:val="0"/>
              <w:autoSpaceDE/>
              <w:autoSpaceDN/>
              <w:bidi w:val="0"/>
              <w:adjustRightInd/>
              <w:snapToGrid/>
              <w:spacing w:line="560" w:lineRule="exact"/>
              <w:jc w:val="left"/>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全区常住人口</w:t>
            </w:r>
          </w:p>
        </w:tc>
        <w:tc>
          <w:tcPr>
            <w:tcW w:w="1991" w:type="dxa"/>
            <w:tcBorders>
              <w:top w:val="single" w:color="auto" w:sz="4" w:space="0"/>
              <w:left w:val="single" w:color="auto" w:sz="4" w:space="0"/>
              <w:bottom w:val="single" w:color="auto" w:sz="4" w:space="0"/>
              <w:right w:val="single" w:color="auto" w:sz="4" w:space="0"/>
            </w:tcBorders>
          </w:tcPr>
          <w:p w14:paraId="5CDC7BBD">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lang w:val="en-US" w:eastAsia="zh-CN" w:bidi="ar-SA"/>
                <w14:textFill>
                  <w14:solidFill>
                    <w14:schemeClr w14:val="tx1"/>
                  </w14:solidFill>
                </w14:textFill>
              </w:rPr>
              <w:t>10.54</w:t>
            </w:r>
          </w:p>
        </w:tc>
        <w:tc>
          <w:tcPr>
            <w:tcW w:w="2097" w:type="dxa"/>
            <w:tcBorders>
              <w:top w:val="single" w:color="auto" w:sz="4" w:space="0"/>
              <w:left w:val="single" w:color="auto" w:sz="4" w:space="0"/>
              <w:bottom w:val="single" w:color="auto" w:sz="4" w:space="0"/>
              <w:right w:val="nil"/>
            </w:tcBorders>
          </w:tcPr>
          <w:p w14:paraId="562ADFFD">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100.0</w:t>
            </w:r>
          </w:p>
        </w:tc>
      </w:tr>
      <w:tr w14:paraId="70526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09330231">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left"/>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其中：城镇</w:t>
            </w:r>
          </w:p>
        </w:tc>
        <w:tc>
          <w:tcPr>
            <w:tcW w:w="1991" w:type="dxa"/>
            <w:tcBorders>
              <w:top w:val="single" w:color="auto" w:sz="4" w:space="0"/>
              <w:left w:val="single" w:color="auto" w:sz="4" w:space="0"/>
              <w:bottom w:val="single" w:color="auto" w:sz="4" w:space="0"/>
              <w:right w:val="single" w:color="auto" w:sz="4" w:space="0"/>
            </w:tcBorders>
          </w:tcPr>
          <w:p w14:paraId="780AEC75">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8.46</w:t>
            </w:r>
          </w:p>
        </w:tc>
        <w:tc>
          <w:tcPr>
            <w:tcW w:w="2097" w:type="dxa"/>
            <w:tcBorders>
              <w:top w:val="single" w:color="auto" w:sz="4" w:space="0"/>
              <w:left w:val="single" w:color="auto" w:sz="4" w:space="0"/>
              <w:bottom w:val="single" w:color="auto" w:sz="4" w:space="0"/>
              <w:right w:val="nil"/>
            </w:tcBorders>
          </w:tcPr>
          <w:p w14:paraId="7CB3A167">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80.29</w:t>
            </w:r>
          </w:p>
        </w:tc>
      </w:tr>
      <w:tr w14:paraId="6FFA1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0060A0BD">
            <w:pPr>
              <w:pStyle w:val="7"/>
              <w:keepNext w:val="0"/>
              <w:keepLines w:val="0"/>
              <w:pageBreakBefore w:val="0"/>
              <w:widowControl/>
              <w:kinsoku/>
              <w:wordWrap/>
              <w:overflowPunct/>
              <w:topLinePunct w:val="0"/>
              <w:autoSpaceDE/>
              <w:autoSpaceDN/>
              <w:bidi w:val="0"/>
              <w:adjustRightInd/>
              <w:snapToGrid/>
              <w:spacing w:line="560" w:lineRule="exact"/>
              <w:ind w:firstLine="1200" w:firstLineChars="5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乡村</w:t>
            </w:r>
          </w:p>
        </w:tc>
        <w:tc>
          <w:tcPr>
            <w:tcW w:w="1991" w:type="dxa"/>
            <w:tcBorders>
              <w:top w:val="single" w:color="auto" w:sz="4" w:space="0"/>
              <w:left w:val="single" w:color="auto" w:sz="4" w:space="0"/>
              <w:bottom w:val="single" w:color="auto" w:sz="4" w:space="0"/>
              <w:right w:val="single" w:color="auto" w:sz="4" w:space="0"/>
            </w:tcBorders>
          </w:tcPr>
          <w:p w14:paraId="72E1CB25">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2.08</w:t>
            </w:r>
          </w:p>
        </w:tc>
        <w:tc>
          <w:tcPr>
            <w:tcW w:w="2097" w:type="dxa"/>
            <w:tcBorders>
              <w:top w:val="single" w:color="auto" w:sz="4" w:space="0"/>
              <w:left w:val="single" w:color="auto" w:sz="4" w:space="0"/>
              <w:bottom w:val="single" w:color="auto" w:sz="4" w:space="0"/>
              <w:right w:val="nil"/>
            </w:tcBorders>
          </w:tcPr>
          <w:p w14:paraId="5D955556">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19.71</w:t>
            </w:r>
          </w:p>
        </w:tc>
      </w:tr>
      <w:tr w14:paraId="19B11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shd w:val="clear" w:color="auto" w:fill="auto"/>
            <w:vAlign w:val="top"/>
          </w:tcPr>
          <w:p w14:paraId="7172870C">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其中：男性</w:t>
            </w:r>
          </w:p>
        </w:tc>
        <w:tc>
          <w:tcPr>
            <w:tcW w:w="1991" w:type="dxa"/>
            <w:tcBorders>
              <w:top w:val="single" w:color="auto" w:sz="4" w:space="0"/>
              <w:left w:val="single" w:color="auto" w:sz="4" w:space="0"/>
              <w:bottom w:val="single" w:color="auto" w:sz="4" w:space="0"/>
              <w:right w:val="single" w:color="auto" w:sz="4" w:space="0"/>
            </w:tcBorders>
          </w:tcPr>
          <w:p w14:paraId="5FE5F2F7">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5.32</w:t>
            </w:r>
          </w:p>
        </w:tc>
        <w:tc>
          <w:tcPr>
            <w:tcW w:w="2097" w:type="dxa"/>
            <w:tcBorders>
              <w:top w:val="single" w:color="auto" w:sz="4" w:space="0"/>
              <w:left w:val="single" w:color="auto" w:sz="4" w:space="0"/>
              <w:bottom w:val="single" w:color="auto" w:sz="4" w:space="0"/>
              <w:right w:val="nil"/>
            </w:tcBorders>
          </w:tcPr>
          <w:p w14:paraId="58C373B8">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50.47</w:t>
            </w:r>
          </w:p>
        </w:tc>
      </w:tr>
      <w:tr w14:paraId="22785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shd w:val="clear" w:color="auto" w:fill="auto"/>
            <w:vAlign w:val="top"/>
          </w:tcPr>
          <w:p w14:paraId="76D2BBD7">
            <w:pPr>
              <w:pStyle w:val="7"/>
              <w:keepNext w:val="0"/>
              <w:keepLines w:val="0"/>
              <w:pageBreakBefore w:val="0"/>
              <w:widowControl/>
              <w:kinsoku/>
              <w:wordWrap/>
              <w:overflowPunct/>
              <w:topLinePunct w:val="0"/>
              <w:autoSpaceDE/>
              <w:autoSpaceDN/>
              <w:bidi w:val="0"/>
              <w:adjustRightInd/>
              <w:snapToGrid/>
              <w:spacing w:line="560" w:lineRule="exact"/>
              <w:ind w:firstLine="1200" w:firstLineChars="500"/>
              <w:jc w:val="left"/>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女性</w:t>
            </w:r>
          </w:p>
        </w:tc>
        <w:tc>
          <w:tcPr>
            <w:tcW w:w="1991" w:type="dxa"/>
            <w:tcBorders>
              <w:top w:val="single" w:color="auto" w:sz="4" w:space="0"/>
              <w:left w:val="single" w:color="auto" w:sz="4" w:space="0"/>
              <w:bottom w:val="single" w:color="auto" w:sz="4" w:space="0"/>
              <w:right w:val="single" w:color="auto" w:sz="4" w:space="0"/>
            </w:tcBorders>
          </w:tcPr>
          <w:p w14:paraId="2DECD56C">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5.22</w:t>
            </w:r>
          </w:p>
        </w:tc>
        <w:tc>
          <w:tcPr>
            <w:tcW w:w="2097" w:type="dxa"/>
            <w:tcBorders>
              <w:top w:val="single" w:color="auto" w:sz="4" w:space="0"/>
              <w:left w:val="single" w:color="auto" w:sz="4" w:space="0"/>
              <w:bottom w:val="single" w:color="auto" w:sz="4" w:space="0"/>
              <w:right w:val="nil"/>
            </w:tcBorders>
          </w:tcPr>
          <w:p w14:paraId="2DF1C072">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49.53</w:t>
            </w:r>
          </w:p>
        </w:tc>
      </w:tr>
      <w:tr w14:paraId="413E5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shd w:val="clear" w:color="auto" w:fill="auto"/>
            <w:vAlign w:val="top"/>
          </w:tcPr>
          <w:p w14:paraId="27ECAED3">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其中：0-15岁（含不满16周岁）</w:t>
            </w:r>
          </w:p>
        </w:tc>
        <w:tc>
          <w:tcPr>
            <w:tcW w:w="1991" w:type="dxa"/>
            <w:tcBorders>
              <w:top w:val="single" w:color="auto" w:sz="4" w:space="0"/>
              <w:left w:val="single" w:color="auto" w:sz="4" w:space="0"/>
              <w:bottom w:val="single" w:color="auto" w:sz="4" w:space="0"/>
              <w:right w:val="single" w:color="auto" w:sz="4" w:space="0"/>
            </w:tcBorders>
          </w:tcPr>
          <w:p w14:paraId="1FB5823F">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1.73</w:t>
            </w:r>
          </w:p>
        </w:tc>
        <w:tc>
          <w:tcPr>
            <w:tcW w:w="2097" w:type="dxa"/>
            <w:tcBorders>
              <w:top w:val="single" w:color="auto" w:sz="4" w:space="0"/>
              <w:left w:val="single" w:color="auto" w:sz="4" w:space="0"/>
              <w:bottom w:val="single" w:color="auto" w:sz="4" w:space="0"/>
              <w:right w:val="nil"/>
            </w:tcBorders>
          </w:tcPr>
          <w:p w14:paraId="62375B6D">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16.41</w:t>
            </w:r>
          </w:p>
        </w:tc>
      </w:tr>
      <w:tr w14:paraId="600B6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shd w:val="clear" w:color="auto" w:fill="auto"/>
            <w:vAlign w:val="top"/>
          </w:tcPr>
          <w:p w14:paraId="1D809C26">
            <w:pPr>
              <w:pStyle w:val="7"/>
              <w:keepNext w:val="0"/>
              <w:keepLines w:val="0"/>
              <w:pageBreakBefore w:val="0"/>
              <w:widowControl/>
              <w:kinsoku/>
              <w:wordWrap/>
              <w:overflowPunct/>
              <w:topLinePunct w:val="0"/>
              <w:autoSpaceDE/>
              <w:autoSpaceDN/>
              <w:bidi w:val="0"/>
              <w:adjustRightInd/>
              <w:snapToGrid/>
              <w:spacing w:line="560" w:lineRule="exact"/>
              <w:ind w:firstLine="1200" w:firstLineChars="5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16-59岁（含不满60周岁）</w:t>
            </w:r>
          </w:p>
        </w:tc>
        <w:tc>
          <w:tcPr>
            <w:tcW w:w="1991" w:type="dxa"/>
            <w:tcBorders>
              <w:top w:val="single" w:color="auto" w:sz="4" w:space="0"/>
              <w:left w:val="single" w:color="auto" w:sz="4" w:space="0"/>
              <w:bottom w:val="single" w:color="auto" w:sz="4" w:space="0"/>
              <w:right w:val="single" w:color="auto" w:sz="4" w:space="0"/>
            </w:tcBorders>
          </w:tcPr>
          <w:p w14:paraId="18ABF967">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6.27</w:t>
            </w:r>
          </w:p>
        </w:tc>
        <w:tc>
          <w:tcPr>
            <w:tcW w:w="2097" w:type="dxa"/>
            <w:tcBorders>
              <w:top w:val="single" w:color="auto" w:sz="4" w:space="0"/>
              <w:left w:val="single" w:color="auto" w:sz="4" w:space="0"/>
              <w:bottom w:val="single" w:color="auto" w:sz="4" w:space="0"/>
              <w:right w:val="nil"/>
            </w:tcBorders>
          </w:tcPr>
          <w:p w14:paraId="7F63145B">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59.49</w:t>
            </w:r>
          </w:p>
        </w:tc>
      </w:tr>
      <w:tr w14:paraId="37142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32E72019">
            <w:pPr>
              <w:pStyle w:val="7"/>
              <w:keepNext w:val="0"/>
              <w:keepLines w:val="0"/>
              <w:pageBreakBefore w:val="0"/>
              <w:widowControl/>
              <w:kinsoku/>
              <w:wordWrap/>
              <w:overflowPunct/>
              <w:topLinePunct w:val="0"/>
              <w:autoSpaceDE/>
              <w:autoSpaceDN/>
              <w:bidi w:val="0"/>
              <w:adjustRightInd/>
              <w:snapToGrid/>
              <w:spacing w:line="560" w:lineRule="exact"/>
              <w:ind w:firstLine="720" w:firstLineChars="3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 xml:space="preserve">     60周岁及以上</w:t>
            </w:r>
          </w:p>
        </w:tc>
        <w:tc>
          <w:tcPr>
            <w:tcW w:w="1991" w:type="dxa"/>
            <w:tcBorders>
              <w:top w:val="single" w:color="auto" w:sz="4" w:space="0"/>
              <w:left w:val="single" w:color="auto" w:sz="4" w:space="0"/>
              <w:bottom w:val="single" w:color="auto" w:sz="4" w:space="0"/>
              <w:right w:val="single" w:color="auto" w:sz="4" w:space="0"/>
            </w:tcBorders>
          </w:tcPr>
          <w:p w14:paraId="72D74FBF">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2.54</w:t>
            </w:r>
          </w:p>
        </w:tc>
        <w:tc>
          <w:tcPr>
            <w:tcW w:w="2097" w:type="dxa"/>
            <w:tcBorders>
              <w:top w:val="single" w:color="auto" w:sz="4" w:space="0"/>
              <w:left w:val="single" w:color="auto" w:sz="4" w:space="0"/>
              <w:bottom w:val="single" w:color="auto" w:sz="4" w:space="0"/>
              <w:right w:val="nil"/>
            </w:tcBorders>
          </w:tcPr>
          <w:p w14:paraId="3DE50412">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24.10</w:t>
            </w:r>
          </w:p>
        </w:tc>
      </w:tr>
      <w:tr w14:paraId="4E37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4" w:type="dxa"/>
            <w:tcBorders>
              <w:top w:val="single" w:color="auto" w:sz="4" w:space="0"/>
              <w:left w:val="nil"/>
              <w:bottom w:val="single" w:color="auto" w:sz="4" w:space="0"/>
              <w:right w:val="single" w:color="auto" w:sz="4" w:space="0"/>
            </w:tcBorders>
          </w:tcPr>
          <w:p w14:paraId="2AB6A8EB">
            <w:pPr>
              <w:pStyle w:val="7"/>
              <w:keepNext w:val="0"/>
              <w:keepLines w:val="0"/>
              <w:pageBreakBefore w:val="0"/>
              <w:widowControl/>
              <w:kinsoku/>
              <w:wordWrap/>
              <w:overflowPunct/>
              <w:topLinePunct w:val="0"/>
              <w:autoSpaceDE/>
              <w:autoSpaceDN/>
              <w:bidi w:val="0"/>
              <w:adjustRightInd/>
              <w:snapToGrid/>
              <w:spacing w:line="560" w:lineRule="exact"/>
              <w:ind w:firstLine="720" w:firstLineChars="300"/>
              <w:jc w:val="lef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 xml:space="preserve">         其中：65周岁及以上</w:t>
            </w:r>
          </w:p>
        </w:tc>
        <w:tc>
          <w:tcPr>
            <w:tcW w:w="1991" w:type="dxa"/>
            <w:tcBorders>
              <w:top w:val="single" w:color="auto" w:sz="4" w:space="0"/>
              <w:left w:val="single" w:color="auto" w:sz="4" w:space="0"/>
              <w:bottom w:val="single" w:color="auto" w:sz="4" w:space="0"/>
              <w:right w:val="single" w:color="auto" w:sz="4" w:space="0"/>
            </w:tcBorders>
          </w:tcPr>
          <w:p w14:paraId="54181FCE">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1.83</w:t>
            </w:r>
          </w:p>
        </w:tc>
        <w:tc>
          <w:tcPr>
            <w:tcW w:w="2097" w:type="dxa"/>
            <w:tcBorders>
              <w:top w:val="single" w:color="auto" w:sz="4" w:space="0"/>
              <w:left w:val="single" w:color="auto" w:sz="4" w:space="0"/>
              <w:bottom w:val="single" w:color="auto" w:sz="4" w:space="0"/>
              <w:right w:val="nil"/>
            </w:tcBorders>
          </w:tcPr>
          <w:p w14:paraId="7C686D2E">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pPr>
            <w:r>
              <w:rPr>
                <w:rFonts w:hint="eastAsia" w:ascii="仿宋_GB2312" w:hAnsi="宋体" w:eastAsia="仿宋_GB2312" w:cstheme="minorBidi"/>
                <w:bCs/>
                <w:color w:val="000000" w:themeColor="text1"/>
                <w:kern w:val="0"/>
                <w:sz w:val="24"/>
                <w:szCs w:val="24"/>
                <w:shd w:val="clear" w:color="auto" w:fill="FFFFFF"/>
                <w:vertAlign w:val="baseline"/>
                <w:lang w:val="en-US" w:eastAsia="zh-CN" w:bidi="ar-SA"/>
                <w14:textFill>
                  <w14:solidFill>
                    <w14:schemeClr w14:val="tx1"/>
                  </w14:solidFill>
                </w14:textFill>
              </w:rPr>
              <w:t>17.36</w:t>
            </w:r>
          </w:p>
        </w:tc>
      </w:tr>
    </w:tbl>
    <w:p w14:paraId="6BC2BB79">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FF0000"/>
          <w:sz w:val="32"/>
          <w:szCs w:val="32"/>
          <w:lang w:eastAsia="zh-CN"/>
        </w:rPr>
      </w:pPr>
      <w:r>
        <w:rPr>
          <w:rFonts w:hint="eastAsia" w:ascii="仿宋_GB2312" w:hAnsi="宋体" w:eastAsia="仿宋_GB2312" w:cstheme="minorBidi"/>
          <w:bCs/>
          <w:color w:val="000000" w:themeColor="text1"/>
          <w:kern w:val="0"/>
          <w:sz w:val="32"/>
          <w:szCs w:val="32"/>
          <w:shd w:val="clear" w:color="auto" w:fill="FFFFFF"/>
          <w:lang w:val="en-US" w:eastAsia="zh-CN" w:bidi="ar-SA"/>
          <w14:textFill>
            <w14:solidFill>
              <w14:schemeClr w14:val="tx1"/>
            </w14:solidFill>
          </w14:textFill>
        </w:rPr>
        <w:t>全年全区城镇新增就业人员4208人，城镇失业人员再就业1232人，其中就业困难人员就业274人。新增农村劳动力转移就业531人,新增返乡入乡创业398人。农村劳动力转移就业总量531人，其中省内转移531人。</w:t>
      </w:r>
    </w:p>
    <w:p w14:paraId="518A249A">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二、农业</w:t>
      </w:r>
    </w:p>
    <w:p w14:paraId="540E1FA4">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全年全区农作物总播种面积1137.6公顷，比上年减少1.68公顷,其中粮食播种面积1073.8 公顷,比上年减少0.88公顷，小麦播种面积535公顷，比上年减少0.3公顷,玉米播种面积538.8公顷，比上年减少0.58公顷,蔬菜播种面积63.8公顷，比上年减少0.8公顷。</w:t>
      </w:r>
    </w:p>
    <w:p w14:paraId="5F659C1B">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全年全区粮食总产量534</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吨，比上年增长3.7 %；蔬菜总产量2721.1吨，比上年增长6.5 %；水果总产量358.8吨，比上年增长7.5%。</w:t>
      </w:r>
    </w:p>
    <w:p w14:paraId="55601A1C">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全年全区生猪存栏6715头，比上年下降15%,牛存栏725头，比上年下降 10.5%，羊存栏27007只,比上年下降5.7 %,家禽存栏81149只，比上年下降7.9 %。</w:t>
      </w:r>
    </w:p>
    <w:p w14:paraId="2E3FDF1D">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全年全区肉类总产量1191吨，比上年下降1.</w:t>
      </w:r>
      <w:r>
        <w:rPr>
          <w:rFonts w:hint="eastAsia" w:ascii="仿宋" w:hAnsi="仿宋" w:eastAsia="仿宋" w:cs="仿宋"/>
          <w:color w:val="000000" w:themeColor="text1"/>
          <w:sz w:val="32"/>
          <w:szCs w:val="32"/>
          <w:lang w:val="en-US" w:eastAsia="zh-CN"/>
          <w14:textFill>
            <w14:solidFill>
              <w14:schemeClr w14:val="tx1"/>
            </w14:solidFill>
          </w14:textFill>
        </w:rPr>
        <w:t>7</w:t>
      </w:r>
      <w:r>
        <w:rPr>
          <w:rFonts w:hint="eastAsia" w:ascii="仿宋" w:hAnsi="仿宋" w:eastAsia="仿宋" w:cs="仿宋"/>
          <w:color w:val="000000" w:themeColor="text1"/>
          <w:sz w:val="32"/>
          <w:szCs w:val="32"/>
          <w14:textFill>
            <w14:solidFill>
              <w14:schemeClr w14:val="tx1"/>
            </w14:solidFill>
          </w14:textFill>
        </w:rPr>
        <w:t>%；蛋类产量790吨，比上年下降5.6 %。</w:t>
      </w:r>
    </w:p>
    <w:p w14:paraId="0EF23201">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14:textFill>
            <w14:solidFill>
              <w14:schemeClr w14:val="tx1"/>
            </w14:solidFill>
          </w14:textFill>
        </w:rPr>
        <w:t>三、工业和建筑业</w:t>
      </w:r>
    </w:p>
    <w:p w14:paraId="5BEC6168">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i w:val="0"/>
          <w:iCs w:val="0"/>
          <w:caps w:val="0"/>
          <w:color w:val="000000" w:themeColor="text1"/>
          <w:spacing w:val="0"/>
          <w:sz w:val="32"/>
          <w:szCs w:val="32"/>
          <w14:textFill>
            <w14:solidFill>
              <w14:schemeClr w14:val="tx1"/>
            </w14:solidFill>
          </w14:textFill>
        </w:rPr>
        <w:t>全年</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全区</w:t>
      </w:r>
      <w:r>
        <w:rPr>
          <w:rFonts w:hint="eastAsia" w:ascii="仿宋" w:hAnsi="仿宋" w:eastAsia="仿宋" w:cs="仿宋"/>
          <w:color w:val="000000" w:themeColor="text1"/>
          <w:kern w:val="2"/>
          <w:sz w:val="32"/>
          <w:szCs w:val="32"/>
          <w:lang w:val="en-US" w:eastAsia="zh-CN" w:bidi="ar-SA"/>
          <w14:textFill>
            <w14:solidFill>
              <w14:schemeClr w14:val="tx1"/>
            </w14:solidFill>
          </w14:textFill>
        </w:rPr>
        <w:t>规模以上工业增加值增长7.5%。分经济类型看，国有控股企业增加值下降5.9%；股份制企业增长8.6%，外商及港澳台商投资企业下降10.8%。分门类看，采矿业增长5.1%，制造业增长7.8%，电力、热力、燃气及水生产和供应业下降0.5%。分重点产业看，五大主导产业增加值增长10.2%，占规模以上工业增加值的比重为86.83%；传统支柱产业增长6.3%，占规模以上工业的43.9%；工业战略性新兴产业增长8.7%，占规模以上工业的60.9%；高新技术产业增长7.3%，占规模以上工业的94.4%。</w:t>
      </w:r>
    </w:p>
    <w:p w14:paraId="5401A02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全年规模以上工业中，非金属矿采选业</w:t>
      </w:r>
      <w:r>
        <w:rPr>
          <w:rFonts w:hint="eastAsia" w:ascii="仿宋" w:hAnsi="仿宋" w:eastAsia="仿宋" w:cs="仿宋"/>
          <w:i w:val="0"/>
          <w:iCs w:val="0"/>
          <w:caps w:val="0"/>
          <w:color w:val="000000"/>
          <w:spacing w:val="0"/>
          <w:sz w:val="32"/>
          <w:szCs w:val="32"/>
          <w:lang w:val="en-US" w:eastAsia="zh-CN"/>
        </w:rPr>
        <w:t>比上年增长5.3%，酒、饮料和精制茶制造业</w:t>
      </w:r>
      <w:r>
        <w:rPr>
          <w:rFonts w:hint="eastAsia" w:ascii="仿宋" w:hAnsi="仿宋" w:eastAsia="仿宋" w:cs="仿宋"/>
          <w:i w:val="0"/>
          <w:iCs w:val="0"/>
          <w:caps w:val="0"/>
          <w:color w:val="000000"/>
          <w:spacing w:val="0"/>
          <w:sz w:val="32"/>
          <w:szCs w:val="32"/>
        </w:rPr>
        <w:t>增长</w:t>
      </w:r>
      <w:r>
        <w:rPr>
          <w:rFonts w:hint="eastAsia" w:ascii="仿宋" w:hAnsi="仿宋" w:eastAsia="仿宋" w:cs="仿宋"/>
          <w:i w:val="0"/>
          <w:iCs w:val="0"/>
          <w:caps w:val="0"/>
          <w:color w:val="000000"/>
          <w:spacing w:val="0"/>
          <w:sz w:val="32"/>
          <w:szCs w:val="32"/>
          <w:lang w:val="en-US" w:eastAsia="zh-CN"/>
        </w:rPr>
        <w:t>18.5</w:t>
      </w:r>
      <w:r>
        <w:rPr>
          <w:rFonts w:hint="eastAsia" w:ascii="仿宋" w:hAnsi="仿宋" w:eastAsia="仿宋" w:cs="仿宋"/>
          <w:i w:val="0"/>
          <w:iCs w:val="0"/>
          <w:caps w:val="0"/>
          <w:color w:val="000000"/>
          <w:spacing w:val="0"/>
          <w:sz w:val="32"/>
          <w:szCs w:val="32"/>
        </w:rPr>
        <w:t>%，纺织业增长</w:t>
      </w:r>
      <w:r>
        <w:rPr>
          <w:rFonts w:hint="eastAsia" w:ascii="仿宋" w:hAnsi="仿宋" w:eastAsia="仿宋" w:cs="仿宋"/>
          <w:i w:val="0"/>
          <w:iCs w:val="0"/>
          <w:caps w:val="0"/>
          <w:color w:val="000000"/>
          <w:spacing w:val="0"/>
          <w:sz w:val="32"/>
          <w:szCs w:val="32"/>
          <w:lang w:val="en-US" w:eastAsia="zh-CN"/>
        </w:rPr>
        <w:t>1.0</w:t>
      </w:r>
      <w:r>
        <w:rPr>
          <w:rFonts w:hint="eastAsia" w:ascii="仿宋" w:hAnsi="仿宋" w:eastAsia="仿宋" w:cs="仿宋"/>
          <w:i w:val="0"/>
          <w:iCs w:val="0"/>
          <w:caps w:val="0"/>
          <w:color w:val="000000"/>
          <w:spacing w:val="0"/>
          <w:sz w:val="32"/>
          <w:szCs w:val="32"/>
        </w:rPr>
        <w:t>%</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rPr>
        <w:t>化学原料和化学制品制造业增长</w:t>
      </w:r>
      <w:r>
        <w:rPr>
          <w:rFonts w:hint="eastAsia" w:ascii="仿宋" w:hAnsi="仿宋" w:eastAsia="仿宋" w:cs="仿宋"/>
          <w:i w:val="0"/>
          <w:iCs w:val="0"/>
          <w:caps w:val="0"/>
          <w:color w:val="000000"/>
          <w:spacing w:val="0"/>
          <w:sz w:val="32"/>
          <w:szCs w:val="32"/>
          <w:lang w:val="en-US" w:eastAsia="zh-CN"/>
        </w:rPr>
        <w:t>14.5</w:t>
      </w:r>
      <w:r>
        <w:rPr>
          <w:rFonts w:hint="eastAsia" w:ascii="仿宋" w:hAnsi="仿宋" w:eastAsia="仿宋" w:cs="仿宋"/>
          <w:i w:val="0"/>
          <w:iCs w:val="0"/>
          <w:caps w:val="0"/>
          <w:color w:val="000000"/>
          <w:spacing w:val="0"/>
          <w:sz w:val="32"/>
          <w:szCs w:val="32"/>
        </w:rPr>
        <w:t>%，橡胶和塑料制品业增长</w:t>
      </w:r>
      <w:r>
        <w:rPr>
          <w:rFonts w:hint="eastAsia" w:ascii="仿宋" w:hAnsi="仿宋" w:eastAsia="仿宋" w:cs="仿宋"/>
          <w:i w:val="0"/>
          <w:iCs w:val="0"/>
          <w:caps w:val="0"/>
          <w:color w:val="000000"/>
          <w:spacing w:val="0"/>
          <w:sz w:val="32"/>
          <w:szCs w:val="32"/>
          <w:lang w:val="en-US" w:eastAsia="zh-CN"/>
        </w:rPr>
        <w:t>2.0</w:t>
      </w:r>
      <w:r>
        <w:rPr>
          <w:rFonts w:hint="eastAsia" w:ascii="仿宋" w:hAnsi="仿宋" w:eastAsia="仿宋" w:cs="仿宋"/>
          <w:i w:val="0"/>
          <w:iCs w:val="0"/>
          <w:caps w:val="0"/>
          <w:color w:val="000000"/>
          <w:spacing w:val="0"/>
          <w:sz w:val="32"/>
          <w:szCs w:val="32"/>
        </w:rPr>
        <w:t>%，黑色金属冶炼和压延加工业增长</w:t>
      </w:r>
      <w:r>
        <w:rPr>
          <w:rFonts w:hint="eastAsia" w:ascii="仿宋" w:hAnsi="仿宋" w:eastAsia="仿宋" w:cs="仿宋"/>
          <w:i w:val="0"/>
          <w:iCs w:val="0"/>
          <w:caps w:val="0"/>
          <w:color w:val="000000"/>
          <w:spacing w:val="0"/>
          <w:sz w:val="32"/>
          <w:szCs w:val="32"/>
          <w:lang w:val="en-US" w:eastAsia="zh-CN"/>
        </w:rPr>
        <w:t>134.1</w:t>
      </w:r>
      <w:r>
        <w:rPr>
          <w:rFonts w:hint="eastAsia" w:ascii="仿宋" w:hAnsi="仿宋" w:eastAsia="仿宋" w:cs="仿宋"/>
          <w:i w:val="0"/>
          <w:iCs w:val="0"/>
          <w:caps w:val="0"/>
          <w:color w:val="000000"/>
          <w:spacing w:val="0"/>
          <w:sz w:val="32"/>
          <w:szCs w:val="32"/>
        </w:rPr>
        <w:t>%，金属制品业增长</w:t>
      </w:r>
      <w:r>
        <w:rPr>
          <w:rFonts w:hint="eastAsia" w:ascii="仿宋" w:hAnsi="仿宋" w:eastAsia="仿宋" w:cs="仿宋"/>
          <w:i w:val="0"/>
          <w:iCs w:val="0"/>
          <w:caps w:val="0"/>
          <w:color w:val="000000"/>
          <w:spacing w:val="0"/>
          <w:sz w:val="32"/>
          <w:szCs w:val="32"/>
          <w:lang w:val="en-US" w:eastAsia="zh-CN"/>
        </w:rPr>
        <w:t>11.7</w:t>
      </w:r>
      <w:r>
        <w:rPr>
          <w:rFonts w:hint="eastAsia" w:ascii="仿宋" w:hAnsi="仿宋" w:eastAsia="仿宋" w:cs="仿宋"/>
          <w:i w:val="0"/>
          <w:iCs w:val="0"/>
          <w:caps w:val="0"/>
          <w:color w:val="000000"/>
          <w:spacing w:val="0"/>
          <w:sz w:val="32"/>
          <w:szCs w:val="32"/>
        </w:rPr>
        <w:t>%，汽车制造业增长</w:t>
      </w:r>
      <w:r>
        <w:rPr>
          <w:rFonts w:hint="eastAsia" w:ascii="仿宋" w:hAnsi="仿宋" w:eastAsia="仿宋" w:cs="仿宋"/>
          <w:i w:val="0"/>
          <w:iCs w:val="0"/>
          <w:caps w:val="0"/>
          <w:color w:val="000000"/>
          <w:spacing w:val="0"/>
          <w:sz w:val="32"/>
          <w:szCs w:val="32"/>
          <w:lang w:val="en-US" w:eastAsia="zh-CN"/>
        </w:rPr>
        <w:t>18.5</w:t>
      </w:r>
      <w:r>
        <w:rPr>
          <w:rFonts w:hint="eastAsia" w:ascii="仿宋" w:hAnsi="仿宋" w:eastAsia="仿宋" w:cs="仿宋"/>
          <w:i w:val="0"/>
          <w:iCs w:val="0"/>
          <w:caps w:val="0"/>
          <w:color w:val="000000"/>
          <w:spacing w:val="0"/>
          <w:sz w:val="32"/>
          <w:szCs w:val="32"/>
        </w:rPr>
        <w:t>%，计算机、通信和其他电子设备制造业增长</w:t>
      </w:r>
      <w:r>
        <w:rPr>
          <w:rFonts w:hint="eastAsia" w:ascii="仿宋" w:hAnsi="仿宋" w:eastAsia="仿宋" w:cs="仿宋"/>
          <w:i w:val="0"/>
          <w:iCs w:val="0"/>
          <w:caps w:val="0"/>
          <w:color w:val="000000"/>
          <w:spacing w:val="0"/>
          <w:sz w:val="32"/>
          <w:szCs w:val="32"/>
          <w:lang w:val="en-US" w:eastAsia="zh-CN"/>
        </w:rPr>
        <w:t>10.6</w:t>
      </w:r>
      <w:r>
        <w:rPr>
          <w:rFonts w:hint="eastAsia" w:ascii="仿宋" w:hAnsi="仿宋" w:eastAsia="仿宋" w:cs="仿宋"/>
          <w:i w:val="0"/>
          <w:iCs w:val="0"/>
          <w:caps w:val="0"/>
          <w:color w:val="000000"/>
          <w:spacing w:val="0"/>
          <w:sz w:val="32"/>
          <w:szCs w:val="32"/>
        </w:rPr>
        <w:t>%，电力、热力生产和供应业增长</w:t>
      </w:r>
      <w:r>
        <w:rPr>
          <w:rFonts w:hint="eastAsia" w:ascii="仿宋" w:hAnsi="仿宋" w:eastAsia="仿宋" w:cs="仿宋"/>
          <w:i w:val="0"/>
          <w:iCs w:val="0"/>
          <w:caps w:val="0"/>
          <w:color w:val="000000"/>
          <w:spacing w:val="0"/>
          <w:sz w:val="32"/>
          <w:szCs w:val="32"/>
          <w:lang w:val="en-US" w:eastAsia="zh-CN"/>
        </w:rPr>
        <w:t>1.8</w:t>
      </w:r>
      <w:r>
        <w:rPr>
          <w:rFonts w:hint="eastAsia" w:ascii="仿宋" w:hAnsi="仿宋" w:eastAsia="仿宋" w:cs="仿宋"/>
          <w:i w:val="0"/>
          <w:iCs w:val="0"/>
          <w:caps w:val="0"/>
          <w:color w:val="000000"/>
          <w:spacing w:val="0"/>
          <w:sz w:val="32"/>
          <w:szCs w:val="32"/>
        </w:rPr>
        <w:t>%</w:t>
      </w:r>
      <w:r>
        <w:rPr>
          <w:rFonts w:hint="eastAsia" w:ascii="仿宋" w:hAnsi="仿宋" w:eastAsia="仿宋" w:cs="仿宋"/>
          <w:i w:val="0"/>
          <w:iCs w:val="0"/>
          <w:caps w:val="0"/>
          <w:color w:val="000000"/>
          <w:spacing w:val="0"/>
          <w:sz w:val="32"/>
          <w:szCs w:val="32"/>
          <w:lang w:val="en-US" w:eastAsia="zh-CN"/>
        </w:rPr>
        <w:t>。</w:t>
      </w:r>
    </w:p>
    <w:p w14:paraId="3270C065">
      <w:pPr>
        <w:keepNext w:val="0"/>
        <w:keepLines w:val="0"/>
        <w:pageBreakBefore w:val="0"/>
        <w:kinsoku/>
        <w:wordWrap/>
        <w:overflowPunct/>
        <w:topLinePunct w:val="0"/>
        <w:autoSpaceDE/>
        <w:autoSpaceDN/>
        <w:bidi w:val="0"/>
        <w:adjustRightInd/>
        <w:snapToGrid/>
        <w:spacing w:line="560" w:lineRule="exact"/>
        <w:jc w:val="center"/>
        <w:rPr>
          <w:rFonts w:hint="eastAsia"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t>表2：2024年中站区规模以上工业主要产品产量及其增长速度</w:t>
      </w:r>
    </w:p>
    <w:tbl>
      <w:tblPr>
        <w:tblStyle w:val="8"/>
        <w:tblW w:w="8333"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786"/>
        <w:gridCol w:w="1228"/>
        <w:gridCol w:w="1704"/>
        <w:gridCol w:w="1615"/>
      </w:tblGrid>
      <w:tr w14:paraId="24DD276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5" w:hRule="atLeast"/>
        </w:trPr>
        <w:tc>
          <w:tcPr>
            <w:tcW w:w="3786" w:type="dxa"/>
            <w:tcBorders>
              <w:top w:val="single" w:color="auto" w:sz="4" w:space="0"/>
            </w:tcBorders>
            <w:tcMar>
              <w:top w:w="15" w:type="dxa"/>
              <w:left w:w="15" w:type="dxa"/>
              <w:right w:w="15" w:type="dxa"/>
            </w:tcMar>
            <w:vAlign w:val="bottom"/>
          </w:tcPr>
          <w:p w14:paraId="48B2EFC9">
            <w:pPr>
              <w:keepNext w:val="0"/>
              <w:keepLines w:val="0"/>
              <w:widowControl/>
              <w:suppressLineNumbers w:val="0"/>
              <w:jc w:val="center"/>
              <w:textAlignment w:val="bottom"/>
              <w:rPr>
                <w:rFonts w:hint="eastAsia" w:ascii="仿宋" w:hAnsi="仿宋" w:eastAsia="仿宋" w:cs="仿宋"/>
                <w:b/>
                <w:bCs/>
                <w:i w:val="0"/>
                <w:color w:val="000000" w:themeColor="text1"/>
                <w:sz w:val="28"/>
                <w:szCs w:val="28"/>
                <w:u w:val="none"/>
                <w14:textFill>
                  <w14:solidFill>
                    <w14:schemeClr w14:val="tx1"/>
                  </w14:solidFill>
                </w14:textFill>
              </w:rPr>
            </w:pPr>
            <w:r>
              <w:rPr>
                <w:rFonts w:hint="eastAsia" w:ascii="仿宋" w:hAnsi="仿宋" w:eastAsia="仿宋" w:cs="仿宋"/>
                <w:b/>
                <w:bCs/>
                <w:i w:val="0"/>
                <w:color w:val="000000" w:themeColor="text1"/>
                <w:kern w:val="0"/>
                <w:sz w:val="28"/>
                <w:szCs w:val="28"/>
                <w:u w:val="none"/>
                <w:lang w:val="en-US" w:eastAsia="zh-CN" w:bidi="ar"/>
                <w14:textFill>
                  <w14:solidFill>
                    <w14:schemeClr w14:val="tx1"/>
                  </w14:solidFill>
                </w14:textFill>
              </w:rPr>
              <w:t>产品名称</w:t>
            </w:r>
          </w:p>
        </w:tc>
        <w:tc>
          <w:tcPr>
            <w:tcW w:w="1228" w:type="dxa"/>
            <w:tcBorders>
              <w:top w:val="single" w:color="auto" w:sz="4" w:space="0"/>
            </w:tcBorders>
            <w:tcMar>
              <w:top w:w="15" w:type="dxa"/>
              <w:left w:w="15" w:type="dxa"/>
              <w:right w:w="15" w:type="dxa"/>
            </w:tcMar>
            <w:vAlign w:val="bottom"/>
          </w:tcPr>
          <w:p w14:paraId="15BF3370">
            <w:pPr>
              <w:keepNext w:val="0"/>
              <w:keepLines w:val="0"/>
              <w:widowControl/>
              <w:suppressLineNumbers w:val="0"/>
              <w:jc w:val="center"/>
              <w:textAlignment w:val="bottom"/>
              <w:rPr>
                <w:rFonts w:hint="eastAsia" w:ascii="仿宋" w:hAnsi="仿宋" w:eastAsia="仿宋" w:cs="仿宋"/>
                <w:b/>
                <w:bCs/>
                <w:i w:val="0"/>
                <w:color w:val="000000" w:themeColor="text1"/>
                <w:sz w:val="28"/>
                <w:szCs w:val="28"/>
                <w:u w:val="none"/>
                <w14:textFill>
                  <w14:solidFill>
                    <w14:schemeClr w14:val="tx1"/>
                  </w14:solidFill>
                </w14:textFill>
              </w:rPr>
            </w:pPr>
            <w:r>
              <w:rPr>
                <w:rFonts w:hint="eastAsia" w:ascii="仿宋" w:hAnsi="仿宋" w:eastAsia="仿宋" w:cs="仿宋"/>
                <w:b/>
                <w:bCs/>
                <w:i w:val="0"/>
                <w:color w:val="000000" w:themeColor="text1"/>
                <w:kern w:val="0"/>
                <w:sz w:val="28"/>
                <w:szCs w:val="28"/>
                <w:u w:val="none"/>
                <w:lang w:val="en-US" w:eastAsia="zh-CN" w:bidi="ar"/>
                <w14:textFill>
                  <w14:solidFill>
                    <w14:schemeClr w14:val="tx1"/>
                  </w14:solidFill>
                </w14:textFill>
              </w:rPr>
              <w:t>单  位</w:t>
            </w:r>
          </w:p>
        </w:tc>
        <w:tc>
          <w:tcPr>
            <w:tcW w:w="1704" w:type="dxa"/>
            <w:tcBorders>
              <w:top w:val="single" w:color="auto" w:sz="4" w:space="0"/>
            </w:tcBorders>
            <w:tcMar>
              <w:top w:w="15" w:type="dxa"/>
              <w:left w:w="15" w:type="dxa"/>
              <w:right w:w="15" w:type="dxa"/>
            </w:tcMar>
            <w:vAlign w:val="bottom"/>
          </w:tcPr>
          <w:p w14:paraId="1F2AC14A">
            <w:pPr>
              <w:keepNext w:val="0"/>
              <w:keepLines w:val="0"/>
              <w:widowControl/>
              <w:suppressLineNumbers w:val="0"/>
              <w:jc w:val="center"/>
              <w:textAlignment w:val="bottom"/>
              <w:rPr>
                <w:rFonts w:hint="eastAsia" w:ascii="仿宋" w:hAnsi="仿宋" w:eastAsia="仿宋" w:cs="仿宋"/>
                <w:b/>
                <w:bCs/>
                <w:i w:val="0"/>
                <w:color w:val="000000" w:themeColor="text1"/>
                <w:sz w:val="28"/>
                <w:szCs w:val="28"/>
                <w:u w:val="none"/>
                <w14:textFill>
                  <w14:solidFill>
                    <w14:schemeClr w14:val="tx1"/>
                  </w14:solidFill>
                </w14:textFill>
              </w:rPr>
            </w:pPr>
            <w:r>
              <w:rPr>
                <w:rFonts w:hint="eastAsia" w:ascii="仿宋" w:hAnsi="仿宋" w:eastAsia="仿宋" w:cs="仿宋"/>
                <w:b/>
                <w:bCs/>
                <w:i w:val="0"/>
                <w:color w:val="000000" w:themeColor="text1"/>
                <w:kern w:val="0"/>
                <w:sz w:val="28"/>
                <w:szCs w:val="28"/>
                <w:u w:val="none"/>
                <w:lang w:val="en-US" w:eastAsia="zh-CN" w:bidi="ar"/>
                <w14:textFill>
                  <w14:solidFill>
                    <w14:schemeClr w14:val="tx1"/>
                  </w14:solidFill>
                </w14:textFill>
              </w:rPr>
              <w:t>产 量</w:t>
            </w:r>
          </w:p>
        </w:tc>
        <w:tc>
          <w:tcPr>
            <w:tcW w:w="1615" w:type="dxa"/>
            <w:tcBorders>
              <w:top w:val="single" w:color="auto" w:sz="4" w:space="0"/>
            </w:tcBorders>
            <w:tcMar>
              <w:top w:w="15" w:type="dxa"/>
              <w:left w:w="15" w:type="dxa"/>
              <w:right w:w="15" w:type="dxa"/>
            </w:tcMar>
            <w:vAlign w:val="bottom"/>
          </w:tcPr>
          <w:p w14:paraId="2F323EE8">
            <w:pPr>
              <w:keepNext w:val="0"/>
              <w:keepLines w:val="0"/>
              <w:widowControl/>
              <w:suppressLineNumbers w:val="0"/>
              <w:jc w:val="center"/>
              <w:textAlignment w:val="bottom"/>
              <w:rPr>
                <w:rFonts w:hint="eastAsia" w:ascii="仿宋" w:hAnsi="仿宋" w:eastAsia="仿宋" w:cs="仿宋"/>
                <w:b/>
                <w:bCs/>
                <w:i w:val="0"/>
                <w:color w:val="000000" w:themeColor="text1"/>
                <w:sz w:val="28"/>
                <w:szCs w:val="28"/>
                <w:u w:val="none"/>
                <w14:textFill>
                  <w14:solidFill>
                    <w14:schemeClr w14:val="tx1"/>
                  </w14:solidFill>
                </w14:textFill>
              </w:rPr>
            </w:pPr>
            <w:r>
              <w:rPr>
                <w:rFonts w:hint="eastAsia" w:ascii="仿宋" w:hAnsi="仿宋" w:eastAsia="仿宋" w:cs="仿宋"/>
                <w:b/>
                <w:bCs/>
                <w:i w:val="0"/>
                <w:color w:val="000000" w:themeColor="text1"/>
                <w:kern w:val="0"/>
                <w:sz w:val="28"/>
                <w:szCs w:val="28"/>
                <w:u w:val="none"/>
                <w:lang w:val="en-US" w:eastAsia="zh-CN" w:bidi="ar"/>
                <w14:textFill>
                  <w14:solidFill>
                    <w14:schemeClr w14:val="tx1"/>
                  </w14:solidFill>
                </w14:textFill>
              </w:rPr>
              <w:t>比上年增长%</w:t>
            </w:r>
          </w:p>
        </w:tc>
      </w:tr>
      <w:tr w14:paraId="1C98C95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4B7673BB">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高岭土（瓷土）</w:t>
            </w:r>
          </w:p>
        </w:tc>
        <w:tc>
          <w:tcPr>
            <w:tcW w:w="1228" w:type="dxa"/>
            <w:tcMar>
              <w:top w:w="15" w:type="dxa"/>
              <w:left w:w="15" w:type="dxa"/>
              <w:right w:w="15" w:type="dxa"/>
            </w:tcMar>
            <w:vAlign w:val="bottom"/>
          </w:tcPr>
          <w:p w14:paraId="48C38A7B">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4B81CAE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1.6 </w:t>
            </w:r>
          </w:p>
        </w:tc>
        <w:tc>
          <w:tcPr>
            <w:tcW w:w="1615" w:type="dxa"/>
            <w:tcMar>
              <w:top w:w="15" w:type="dxa"/>
              <w:left w:w="15" w:type="dxa"/>
              <w:right w:w="15" w:type="dxa"/>
            </w:tcMar>
            <w:vAlign w:val="center"/>
          </w:tcPr>
          <w:p w14:paraId="46040DC2">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8.5 </w:t>
            </w:r>
          </w:p>
        </w:tc>
      </w:tr>
      <w:tr w14:paraId="38E2174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160C8ABE">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饮料</w:t>
            </w:r>
          </w:p>
        </w:tc>
        <w:tc>
          <w:tcPr>
            <w:tcW w:w="1228" w:type="dxa"/>
            <w:tcMar>
              <w:top w:w="15" w:type="dxa"/>
              <w:left w:w="15" w:type="dxa"/>
              <w:right w:w="15" w:type="dxa"/>
            </w:tcMar>
            <w:vAlign w:val="bottom"/>
          </w:tcPr>
          <w:p w14:paraId="6E12EF45">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3776D6D3">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1.8 </w:t>
            </w:r>
          </w:p>
        </w:tc>
        <w:tc>
          <w:tcPr>
            <w:tcW w:w="1615" w:type="dxa"/>
            <w:tcMar>
              <w:top w:w="15" w:type="dxa"/>
              <w:left w:w="15" w:type="dxa"/>
              <w:right w:w="15" w:type="dxa"/>
            </w:tcMar>
            <w:vAlign w:val="center"/>
          </w:tcPr>
          <w:p w14:paraId="2F329B86">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26.5 </w:t>
            </w:r>
          </w:p>
        </w:tc>
      </w:tr>
      <w:tr w14:paraId="6048337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06AD6C52">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印染布</w:t>
            </w:r>
          </w:p>
        </w:tc>
        <w:tc>
          <w:tcPr>
            <w:tcW w:w="1228" w:type="dxa"/>
            <w:tcMar>
              <w:top w:w="15" w:type="dxa"/>
              <w:left w:w="15" w:type="dxa"/>
              <w:right w:w="15" w:type="dxa"/>
            </w:tcMar>
            <w:vAlign w:val="bottom"/>
          </w:tcPr>
          <w:p w14:paraId="601D1598">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万米</w:t>
            </w:r>
          </w:p>
        </w:tc>
        <w:tc>
          <w:tcPr>
            <w:tcW w:w="1704" w:type="dxa"/>
            <w:tcMar>
              <w:top w:w="15" w:type="dxa"/>
              <w:left w:w="15" w:type="dxa"/>
              <w:right w:w="15" w:type="dxa"/>
            </w:tcMar>
            <w:vAlign w:val="center"/>
          </w:tcPr>
          <w:p w14:paraId="56F28CAB">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0.2 </w:t>
            </w:r>
          </w:p>
        </w:tc>
        <w:tc>
          <w:tcPr>
            <w:tcW w:w="1615" w:type="dxa"/>
            <w:tcMar>
              <w:top w:w="15" w:type="dxa"/>
              <w:left w:w="15" w:type="dxa"/>
              <w:right w:w="15" w:type="dxa"/>
            </w:tcMar>
            <w:vAlign w:val="center"/>
          </w:tcPr>
          <w:p w14:paraId="582FF950">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12.3 </w:t>
            </w:r>
          </w:p>
        </w:tc>
      </w:tr>
      <w:tr w14:paraId="65AAF99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65323C8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硫酸（折100％）</w:t>
            </w:r>
          </w:p>
        </w:tc>
        <w:tc>
          <w:tcPr>
            <w:tcW w:w="1228" w:type="dxa"/>
            <w:tcMar>
              <w:top w:w="15" w:type="dxa"/>
              <w:left w:w="15" w:type="dxa"/>
              <w:right w:w="15" w:type="dxa"/>
            </w:tcMar>
            <w:vAlign w:val="bottom"/>
          </w:tcPr>
          <w:p w14:paraId="130B8A48">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43112430">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46.1 </w:t>
            </w:r>
          </w:p>
        </w:tc>
        <w:tc>
          <w:tcPr>
            <w:tcW w:w="1615" w:type="dxa"/>
            <w:tcMar>
              <w:top w:w="15" w:type="dxa"/>
              <w:left w:w="15" w:type="dxa"/>
              <w:right w:w="15" w:type="dxa"/>
            </w:tcMar>
            <w:vAlign w:val="center"/>
          </w:tcPr>
          <w:p w14:paraId="04D496F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8.0 </w:t>
            </w:r>
          </w:p>
        </w:tc>
      </w:tr>
      <w:tr w14:paraId="4648AC9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2B31ABA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盐酸（氯化氢，含量31％）</w:t>
            </w:r>
          </w:p>
        </w:tc>
        <w:tc>
          <w:tcPr>
            <w:tcW w:w="1228" w:type="dxa"/>
            <w:tcMar>
              <w:top w:w="15" w:type="dxa"/>
              <w:left w:w="15" w:type="dxa"/>
              <w:right w:w="15" w:type="dxa"/>
            </w:tcMar>
            <w:vAlign w:val="bottom"/>
          </w:tcPr>
          <w:p w14:paraId="41BB538B">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6A794F31">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9.2 </w:t>
            </w:r>
          </w:p>
        </w:tc>
        <w:tc>
          <w:tcPr>
            <w:tcW w:w="1615" w:type="dxa"/>
            <w:tcMar>
              <w:top w:w="15" w:type="dxa"/>
              <w:left w:w="15" w:type="dxa"/>
              <w:right w:w="15" w:type="dxa"/>
            </w:tcMar>
            <w:vAlign w:val="center"/>
          </w:tcPr>
          <w:p w14:paraId="0FF6EDEB">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21.8 </w:t>
            </w:r>
          </w:p>
        </w:tc>
      </w:tr>
      <w:tr w14:paraId="52285A7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7342BEF7">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烧碱（折100％）</w:t>
            </w:r>
          </w:p>
        </w:tc>
        <w:tc>
          <w:tcPr>
            <w:tcW w:w="1228" w:type="dxa"/>
            <w:tcMar>
              <w:top w:w="15" w:type="dxa"/>
              <w:left w:w="15" w:type="dxa"/>
              <w:right w:w="15" w:type="dxa"/>
            </w:tcMar>
            <w:vAlign w:val="bottom"/>
          </w:tcPr>
          <w:p w14:paraId="1C664B24">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563382C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19.7 </w:t>
            </w:r>
          </w:p>
        </w:tc>
        <w:tc>
          <w:tcPr>
            <w:tcW w:w="1615" w:type="dxa"/>
            <w:tcMar>
              <w:top w:w="15" w:type="dxa"/>
              <w:left w:w="15" w:type="dxa"/>
              <w:right w:w="15" w:type="dxa"/>
            </w:tcMar>
            <w:vAlign w:val="center"/>
          </w:tcPr>
          <w:p w14:paraId="1750BF22">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-0.4 </w:t>
            </w:r>
          </w:p>
        </w:tc>
      </w:tr>
      <w:tr w14:paraId="45C7F57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5E0D9DB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稀土化合物</w:t>
            </w:r>
          </w:p>
        </w:tc>
        <w:tc>
          <w:tcPr>
            <w:tcW w:w="1228" w:type="dxa"/>
            <w:tcMar>
              <w:top w:w="15" w:type="dxa"/>
              <w:left w:w="15" w:type="dxa"/>
              <w:right w:w="15" w:type="dxa"/>
            </w:tcMar>
            <w:vAlign w:val="bottom"/>
          </w:tcPr>
          <w:p w14:paraId="75D32C49">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千克</w:t>
            </w:r>
          </w:p>
        </w:tc>
        <w:tc>
          <w:tcPr>
            <w:tcW w:w="1704" w:type="dxa"/>
            <w:tcMar>
              <w:top w:w="15" w:type="dxa"/>
              <w:left w:w="15" w:type="dxa"/>
              <w:right w:w="15" w:type="dxa"/>
            </w:tcMar>
            <w:vAlign w:val="center"/>
          </w:tcPr>
          <w:p w14:paraId="631A09C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834887 </w:t>
            </w:r>
          </w:p>
        </w:tc>
        <w:tc>
          <w:tcPr>
            <w:tcW w:w="1615" w:type="dxa"/>
            <w:tcMar>
              <w:top w:w="15" w:type="dxa"/>
              <w:left w:w="15" w:type="dxa"/>
              <w:right w:w="15" w:type="dxa"/>
            </w:tcMar>
            <w:vAlign w:val="center"/>
          </w:tcPr>
          <w:p w14:paraId="4E7984C5">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-3.7 </w:t>
            </w:r>
          </w:p>
        </w:tc>
      </w:tr>
      <w:tr w14:paraId="499F303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5C932571">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涂料</w:t>
            </w:r>
          </w:p>
        </w:tc>
        <w:tc>
          <w:tcPr>
            <w:tcW w:w="1228" w:type="dxa"/>
            <w:tcMar>
              <w:top w:w="15" w:type="dxa"/>
              <w:left w:w="15" w:type="dxa"/>
              <w:right w:w="15" w:type="dxa"/>
            </w:tcMar>
            <w:vAlign w:val="bottom"/>
          </w:tcPr>
          <w:p w14:paraId="1C4C4D81">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6F319DA1">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4.5 </w:t>
            </w:r>
          </w:p>
        </w:tc>
        <w:tc>
          <w:tcPr>
            <w:tcW w:w="1615" w:type="dxa"/>
            <w:tcMar>
              <w:top w:w="15" w:type="dxa"/>
              <w:left w:w="15" w:type="dxa"/>
              <w:right w:w="15" w:type="dxa"/>
            </w:tcMar>
            <w:vAlign w:val="center"/>
          </w:tcPr>
          <w:p w14:paraId="49B1976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-8.3 </w:t>
            </w:r>
          </w:p>
        </w:tc>
      </w:tr>
      <w:tr w14:paraId="19619FF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102B3388">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化学试剂</w:t>
            </w:r>
          </w:p>
        </w:tc>
        <w:tc>
          <w:tcPr>
            <w:tcW w:w="1228" w:type="dxa"/>
            <w:tcMar>
              <w:top w:w="15" w:type="dxa"/>
              <w:left w:w="15" w:type="dxa"/>
              <w:right w:w="15" w:type="dxa"/>
            </w:tcMar>
            <w:vAlign w:val="bottom"/>
          </w:tcPr>
          <w:p w14:paraId="3D42FC7B">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29D1970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15.5 </w:t>
            </w:r>
          </w:p>
        </w:tc>
        <w:tc>
          <w:tcPr>
            <w:tcW w:w="1615" w:type="dxa"/>
            <w:tcMar>
              <w:top w:w="15" w:type="dxa"/>
              <w:left w:w="15" w:type="dxa"/>
              <w:right w:w="15" w:type="dxa"/>
            </w:tcMar>
            <w:vAlign w:val="center"/>
          </w:tcPr>
          <w:p w14:paraId="183F103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-6.6 </w:t>
            </w:r>
          </w:p>
        </w:tc>
      </w:tr>
      <w:tr w14:paraId="5AA6BFB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2159082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橡胶轮胎外胎</w:t>
            </w:r>
          </w:p>
        </w:tc>
        <w:tc>
          <w:tcPr>
            <w:tcW w:w="1228" w:type="dxa"/>
            <w:tcMar>
              <w:top w:w="15" w:type="dxa"/>
              <w:left w:w="15" w:type="dxa"/>
              <w:right w:w="15" w:type="dxa"/>
            </w:tcMar>
            <w:vAlign w:val="bottom"/>
          </w:tcPr>
          <w:p w14:paraId="7444C25C">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万条</w:t>
            </w:r>
          </w:p>
        </w:tc>
        <w:tc>
          <w:tcPr>
            <w:tcW w:w="1704" w:type="dxa"/>
            <w:tcMar>
              <w:top w:w="15" w:type="dxa"/>
              <w:left w:w="15" w:type="dxa"/>
              <w:right w:w="15" w:type="dxa"/>
            </w:tcMar>
            <w:vAlign w:val="center"/>
          </w:tcPr>
          <w:p w14:paraId="792C727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212.9 </w:t>
            </w:r>
          </w:p>
        </w:tc>
        <w:tc>
          <w:tcPr>
            <w:tcW w:w="1615" w:type="dxa"/>
            <w:tcMar>
              <w:top w:w="15" w:type="dxa"/>
              <w:left w:w="15" w:type="dxa"/>
              <w:right w:w="15" w:type="dxa"/>
            </w:tcMar>
            <w:vAlign w:val="center"/>
          </w:tcPr>
          <w:p w14:paraId="2787798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-1.5 </w:t>
            </w:r>
          </w:p>
        </w:tc>
      </w:tr>
      <w:tr w14:paraId="1406446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4AA213A9">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塑料制品</w:t>
            </w:r>
          </w:p>
        </w:tc>
        <w:tc>
          <w:tcPr>
            <w:tcW w:w="1228" w:type="dxa"/>
            <w:tcMar>
              <w:top w:w="15" w:type="dxa"/>
              <w:left w:w="15" w:type="dxa"/>
              <w:right w:w="15" w:type="dxa"/>
            </w:tcMar>
            <w:vAlign w:val="bottom"/>
          </w:tcPr>
          <w:p w14:paraId="06A7C855">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35186899">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0.5 </w:t>
            </w:r>
          </w:p>
        </w:tc>
        <w:tc>
          <w:tcPr>
            <w:tcW w:w="1615" w:type="dxa"/>
            <w:tcMar>
              <w:top w:w="15" w:type="dxa"/>
              <w:left w:w="15" w:type="dxa"/>
              <w:right w:w="15" w:type="dxa"/>
            </w:tcMar>
            <w:vAlign w:val="center"/>
          </w:tcPr>
          <w:p w14:paraId="0DB2FD2F">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-24.7 </w:t>
            </w:r>
          </w:p>
        </w:tc>
      </w:tr>
      <w:tr w14:paraId="6638838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0E4831A3">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商品混凝土</w:t>
            </w:r>
          </w:p>
        </w:tc>
        <w:tc>
          <w:tcPr>
            <w:tcW w:w="1228" w:type="dxa"/>
            <w:tcMar>
              <w:top w:w="15" w:type="dxa"/>
              <w:left w:w="15" w:type="dxa"/>
              <w:right w:w="15" w:type="dxa"/>
            </w:tcMar>
            <w:vAlign w:val="bottom"/>
          </w:tcPr>
          <w:p w14:paraId="0056423C">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万立方米</w:t>
            </w:r>
          </w:p>
        </w:tc>
        <w:tc>
          <w:tcPr>
            <w:tcW w:w="1704" w:type="dxa"/>
            <w:tcMar>
              <w:top w:w="15" w:type="dxa"/>
              <w:left w:w="15" w:type="dxa"/>
              <w:right w:w="15" w:type="dxa"/>
            </w:tcMar>
            <w:vAlign w:val="center"/>
          </w:tcPr>
          <w:p w14:paraId="13CFF658">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28.4 </w:t>
            </w:r>
          </w:p>
        </w:tc>
        <w:tc>
          <w:tcPr>
            <w:tcW w:w="1615" w:type="dxa"/>
            <w:tcMar>
              <w:top w:w="15" w:type="dxa"/>
              <w:left w:w="15" w:type="dxa"/>
              <w:right w:w="15" w:type="dxa"/>
            </w:tcMar>
            <w:vAlign w:val="center"/>
          </w:tcPr>
          <w:p w14:paraId="2A8217A5">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3.8 </w:t>
            </w:r>
          </w:p>
        </w:tc>
      </w:tr>
      <w:tr w14:paraId="1C7CEE2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1232BC3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砖</w:t>
            </w:r>
          </w:p>
        </w:tc>
        <w:tc>
          <w:tcPr>
            <w:tcW w:w="1228" w:type="dxa"/>
            <w:tcMar>
              <w:top w:w="15" w:type="dxa"/>
              <w:left w:w="15" w:type="dxa"/>
              <w:right w:w="15" w:type="dxa"/>
            </w:tcMar>
            <w:vAlign w:val="bottom"/>
          </w:tcPr>
          <w:p w14:paraId="61C7BCF3">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万块</w:t>
            </w:r>
          </w:p>
        </w:tc>
        <w:tc>
          <w:tcPr>
            <w:tcW w:w="1704" w:type="dxa"/>
            <w:tcMar>
              <w:top w:w="15" w:type="dxa"/>
              <w:left w:w="15" w:type="dxa"/>
              <w:right w:w="15" w:type="dxa"/>
            </w:tcMar>
            <w:vAlign w:val="center"/>
          </w:tcPr>
          <w:p w14:paraId="773FF06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150 </w:t>
            </w:r>
          </w:p>
        </w:tc>
        <w:tc>
          <w:tcPr>
            <w:tcW w:w="1615" w:type="dxa"/>
            <w:tcMar>
              <w:top w:w="15" w:type="dxa"/>
              <w:left w:w="15" w:type="dxa"/>
              <w:right w:w="15" w:type="dxa"/>
            </w:tcMar>
            <w:vAlign w:val="center"/>
          </w:tcPr>
          <w:p w14:paraId="72B601D0">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54.6 </w:t>
            </w:r>
          </w:p>
        </w:tc>
      </w:tr>
      <w:tr w14:paraId="7546C77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6A11EC7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耐火材料制品</w:t>
            </w:r>
          </w:p>
        </w:tc>
        <w:tc>
          <w:tcPr>
            <w:tcW w:w="1228" w:type="dxa"/>
            <w:tcMar>
              <w:top w:w="15" w:type="dxa"/>
              <w:left w:w="15" w:type="dxa"/>
              <w:right w:w="15" w:type="dxa"/>
            </w:tcMar>
            <w:vAlign w:val="bottom"/>
          </w:tcPr>
          <w:p w14:paraId="5293BE7F">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1C37B712">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40.6 </w:t>
            </w:r>
          </w:p>
        </w:tc>
        <w:tc>
          <w:tcPr>
            <w:tcW w:w="1615" w:type="dxa"/>
            <w:tcMar>
              <w:top w:w="15" w:type="dxa"/>
              <w:left w:w="15" w:type="dxa"/>
              <w:right w:w="15" w:type="dxa"/>
            </w:tcMar>
            <w:vAlign w:val="center"/>
          </w:tcPr>
          <w:p w14:paraId="12510B7B">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1.1 </w:t>
            </w:r>
          </w:p>
        </w:tc>
      </w:tr>
      <w:tr w14:paraId="41BFE11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560F154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石墨及碳素制品</w:t>
            </w:r>
          </w:p>
        </w:tc>
        <w:tc>
          <w:tcPr>
            <w:tcW w:w="1228" w:type="dxa"/>
            <w:tcMar>
              <w:top w:w="15" w:type="dxa"/>
              <w:left w:w="15" w:type="dxa"/>
              <w:right w:w="15" w:type="dxa"/>
            </w:tcMar>
            <w:vAlign w:val="bottom"/>
          </w:tcPr>
          <w:p w14:paraId="40FDCBDE">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6BF0C5DD">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3.9 </w:t>
            </w:r>
          </w:p>
        </w:tc>
        <w:tc>
          <w:tcPr>
            <w:tcW w:w="1615" w:type="dxa"/>
            <w:tcMar>
              <w:top w:w="15" w:type="dxa"/>
              <w:left w:w="15" w:type="dxa"/>
              <w:right w:w="15" w:type="dxa"/>
            </w:tcMar>
            <w:vAlign w:val="center"/>
          </w:tcPr>
          <w:p w14:paraId="643BD3A9">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7.8 </w:t>
            </w:r>
          </w:p>
        </w:tc>
      </w:tr>
      <w:tr w14:paraId="2E9DFBB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19ADF1D2">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铝合金</w:t>
            </w:r>
          </w:p>
        </w:tc>
        <w:tc>
          <w:tcPr>
            <w:tcW w:w="1228" w:type="dxa"/>
            <w:tcMar>
              <w:top w:w="15" w:type="dxa"/>
              <w:left w:w="15" w:type="dxa"/>
              <w:right w:w="15" w:type="dxa"/>
            </w:tcMar>
            <w:vAlign w:val="bottom"/>
          </w:tcPr>
          <w:p w14:paraId="42267DD9">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万吨</w:t>
            </w:r>
          </w:p>
        </w:tc>
        <w:tc>
          <w:tcPr>
            <w:tcW w:w="1704" w:type="dxa"/>
            <w:tcMar>
              <w:top w:w="15" w:type="dxa"/>
              <w:left w:w="15" w:type="dxa"/>
              <w:right w:w="15" w:type="dxa"/>
            </w:tcMar>
            <w:vAlign w:val="center"/>
          </w:tcPr>
          <w:p w14:paraId="06283EBF">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5.4 </w:t>
            </w:r>
          </w:p>
        </w:tc>
        <w:tc>
          <w:tcPr>
            <w:tcW w:w="1615" w:type="dxa"/>
            <w:tcMar>
              <w:top w:w="15" w:type="dxa"/>
              <w:left w:w="15" w:type="dxa"/>
              <w:right w:w="15" w:type="dxa"/>
            </w:tcMar>
            <w:vAlign w:val="center"/>
          </w:tcPr>
          <w:p w14:paraId="279B2BF7">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-7.0 </w:t>
            </w:r>
          </w:p>
        </w:tc>
      </w:tr>
      <w:tr w14:paraId="59E31F0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0CA5A904">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改装汽车</w:t>
            </w:r>
          </w:p>
        </w:tc>
        <w:tc>
          <w:tcPr>
            <w:tcW w:w="1228" w:type="dxa"/>
            <w:tcMar>
              <w:top w:w="15" w:type="dxa"/>
              <w:left w:w="15" w:type="dxa"/>
              <w:right w:w="15" w:type="dxa"/>
            </w:tcMar>
            <w:vAlign w:val="bottom"/>
          </w:tcPr>
          <w:p w14:paraId="2377F908">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辆</w:t>
            </w:r>
          </w:p>
        </w:tc>
        <w:tc>
          <w:tcPr>
            <w:tcW w:w="1704" w:type="dxa"/>
            <w:tcMar>
              <w:top w:w="15" w:type="dxa"/>
              <w:left w:w="15" w:type="dxa"/>
              <w:right w:w="15" w:type="dxa"/>
            </w:tcMar>
            <w:vAlign w:val="center"/>
          </w:tcPr>
          <w:p w14:paraId="6C58ED9C">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313 </w:t>
            </w:r>
          </w:p>
        </w:tc>
        <w:tc>
          <w:tcPr>
            <w:tcW w:w="1615" w:type="dxa"/>
            <w:tcMar>
              <w:top w:w="15" w:type="dxa"/>
              <w:left w:w="15" w:type="dxa"/>
              <w:right w:w="15" w:type="dxa"/>
            </w:tcMar>
            <w:vAlign w:val="center"/>
          </w:tcPr>
          <w:p w14:paraId="515FF189">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-3.4 </w:t>
            </w:r>
          </w:p>
        </w:tc>
      </w:tr>
      <w:tr w14:paraId="33F7F79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Mar>
              <w:top w:w="15" w:type="dxa"/>
              <w:left w:w="15" w:type="dxa"/>
              <w:right w:w="15" w:type="dxa"/>
            </w:tcMar>
            <w:vAlign w:val="center"/>
          </w:tcPr>
          <w:p w14:paraId="25AE900E">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低压开关板</w:t>
            </w:r>
          </w:p>
        </w:tc>
        <w:tc>
          <w:tcPr>
            <w:tcW w:w="1228" w:type="dxa"/>
            <w:tcMar>
              <w:top w:w="15" w:type="dxa"/>
              <w:left w:w="15" w:type="dxa"/>
              <w:right w:w="15" w:type="dxa"/>
            </w:tcMar>
            <w:vAlign w:val="bottom"/>
          </w:tcPr>
          <w:p w14:paraId="4F197F8F">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t>面</w:t>
            </w:r>
          </w:p>
        </w:tc>
        <w:tc>
          <w:tcPr>
            <w:tcW w:w="1704" w:type="dxa"/>
            <w:tcMar>
              <w:top w:w="15" w:type="dxa"/>
              <w:left w:w="15" w:type="dxa"/>
              <w:right w:w="15" w:type="dxa"/>
            </w:tcMar>
            <w:vAlign w:val="center"/>
          </w:tcPr>
          <w:p w14:paraId="24111C93">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60 </w:t>
            </w:r>
          </w:p>
        </w:tc>
        <w:tc>
          <w:tcPr>
            <w:tcW w:w="1615" w:type="dxa"/>
            <w:tcMar>
              <w:top w:w="15" w:type="dxa"/>
              <w:left w:w="15" w:type="dxa"/>
              <w:right w:w="15" w:type="dxa"/>
            </w:tcMar>
            <w:vAlign w:val="center"/>
          </w:tcPr>
          <w:p w14:paraId="107E285F">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w:t>
            </w:r>
          </w:p>
        </w:tc>
      </w:tr>
      <w:tr w14:paraId="09F0951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trPr>
        <w:tc>
          <w:tcPr>
            <w:tcW w:w="3786" w:type="dxa"/>
            <w:tcBorders>
              <w:bottom w:val="single" w:color="auto" w:sz="4" w:space="0"/>
            </w:tcBorders>
            <w:tcMar>
              <w:top w:w="15" w:type="dxa"/>
              <w:left w:w="15" w:type="dxa"/>
              <w:right w:w="15" w:type="dxa"/>
            </w:tcMar>
            <w:vAlign w:val="center"/>
          </w:tcPr>
          <w:p w14:paraId="2FE26C6B">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汽车用锂离子动力电池</w:t>
            </w:r>
          </w:p>
        </w:tc>
        <w:tc>
          <w:tcPr>
            <w:tcW w:w="1228" w:type="dxa"/>
            <w:tcBorders>
              <w:bottom w:val="single" w:color="auto" w:sz="4" w:space="0"/>
            </w:tcBorders>
            <w:tcMar>
              <w:top w:w="15" w:type="dxa"/>
              <w:left w:w="15" w:type="dxa"/>
              <w:right w:w="15" w:type="dxa"/>
            </w:tcMar>
            <w:vAlign w:val="bottom"/>
          </w:tcPr>
          <w:p w14:paraId="045A5C2F">
            <w:pPr>
              <w:keepNext w:val="0"/>
              <w:keepLines w:val="0"/>
              <w:widowControl/>
              <w:suppressLineNumbers w:val="0"/>
              <w:jc w:val="center"/>
              <w:textAlignment w:val="bottom"/>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万千瓦时</w:t>
            </w:r>
          </w:p>
        </w:tc>
        <w:tc>
          <w:tcPr>
            <w:tcW w:w="1704" w:type="dxa"/>
            <w:tcBorders>
              <w:bottom w:val="single" w:color="auto" w:sz="4" w:space="0"/>
            </w:tcBorders>
            <w:tcMar>
              <w:top w:w="15" w:type="dxa"/>
              <w:left w:w="15" w:type="dxa"/>
              <w:right w:w="15" w:type="dxa"/>
            </w:tcMar>
            <w:vAlign w:val="center"/>
          </w:tcPr>
          <w:p w14:paraId="7BC52F35">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7.0 </w:t>
            </w:r>
          </w:p>
        </w:tc>
        <w:tc>
          <w:tcPr>
            <w:tcW w:w="1615" w:type="dxa"/>
            <w:tcBorders>
              <w:bottom w:val="single" w:color="auto" w:sz="4" w:space="0"/>
            </w:tcBorders>
            <w:tcMar>
              <w:top w:w="15" w:type="dxa"/>
              <w:left w:w="15" w:type="dxa"/>
              <w:right w:w="15" w:type="dxa"/>
            </w:tcMar>
            <w:vAlign w:val="center"/>
          </w:tcPr>
          <w:p w14:paraId="75A0A747">
            <w:pPr>
              <w:keepNext w:val="0"/>
              <w:keepLines w:val="0"/>
              <w:widowControl/>
              <w:suppressLineNumbers w:val="0"/>
              <w:jc w:val="center"/>
              <w:textAlignment w:val="center"/>
              <w:rPr>
                <w:rFonts w:hint="eastAsia" w:ascii="仿宋" w:hAnsi="仿宋" w:eastAsia="仿宋" w:cs="仿宋"/>
                <w:b w:val="0"/>
                <w:bCs w:val="0"/>
                <w:i w:val="0"/>
                <w:color w:val="000000" w:themeColor="text1"/>
                <w:kern w:val="0"/>
                <w:sz w:val="24"/>
                <w:szCs w:val="24"/>
                <w:u w:val="none"/>
                <w:lang w:val="en-US" w:eastAsia="zh-CN" w:bidi="ar"/>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 xml:space="preserve">-57.6 </w:t>
            </w:r>
          </w:p>
        </w:tc>
      </w:tr>
    </w:tbl>
    <w:p w14:paraId="39C2CEF7">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全年全区规模以上工业企业实现营业收入313.3亿元，实现利润总额22.2亿元。规模以上工业企业年末营业收入超亿元企业31家，超50亿元企业2家。</w:t>
      </w:r>
    </w:p>
    <w:p w14:paraId="2F53D99D">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i w:val="0"/>
          <w:iCs w:val="0"/>
          <w:caps w:val="0"/>
          <w:color w:val="000000" w:themeColor="text1"/>
          <w:spacing w:val="0"/>
          <w:sz w:val="32"/>
          <w:szCs w:val="32"/>
          <w14:textFill>
            <w14:solidFill>
              <w14:schemeClr w14:val="tx1"/>
            </w14:solidFill>
          </w14:textFill>
        </w:rPr>
        <w:t>全年</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全区</w:t>
      </w:r>
      <w:r>
        <w:rPr>
          <w:rFonts w:hint="eastAsia" w:ascii="仿宋" w:hAnsi="仿宋" w:eastAsia="仿宋" w:cs="仿宋"/>
          <w:i w:val="0"/>
          <w:iCs w:val="0"/>
          <w:caps w:val="0"/>
          <w:color w:val="000000" w:themeColor="text1"/>
          <w:spacing w:val="0"/>
          <w:sz w:val="32"/>
          <w:szCs w:val="32"/>
          <w14:textFill>
            <w14:solidFill>
              <w14:schemeClr w14:val="tx1"/>
            </w14:solidFill>
          </w14:textFill>
        </w:rPr>
        <w:t>建筑业增加值</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11.3</w:t>
      </w:r>
      <w:r>
        <w:rPr>
          <w:rFonts w:hint="eastAsia" w:ascii="仿宋" w:hAnsi="仿宋" w:eastAsia="仿宋" w:cs="仿宋"/>
          <w:i w:val="0"/>
          <w:iCs w:val="0"/>
          <w:caps w:val="0"/>
          <w:color w:val="000000" w:themeColor="text1"/>
          <w:spacing w:val="0"/>
          <w:sz w:val="32"/>
          <w:szCs w:val="32"/>
          <w14:textFill>
            <w14:solidFill>
              <w14:schemeClr w14:val="tx1"/>
            </w14:solidFill>
          </w14:textFill>
        </w:rPr>
        <w:t>亿元，比上年增长</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6.3</w:t>
      </w:r>
      <w:r>
        <w:rPr>
          <w:rFonts w:hint="eastAsia" w:ascii="仿宋" w:hAnsi="仿宋" w:eastAsia="仿宋" w:cs="仿宋"/>
          <w:i w:val="0"/>
          <w:iCs w:val="0"/>
          <w:caps w:val="0"/>
          <w:color w:val="000000" w:themeColor="text1"/>
          <w:spacing w:val="0"/>
          <w:sz w:val="32"/>
          <w:szCs w:val="32"/>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总承包和专业承包资质建筑业企业完成建筑业总产值</w:t>
      </w:r>
      <w:r>
        <w:rPr>
          <w:rFonts w:hint="eastAsia" w:ascii="仿宋" w:hAnsi="仿宋" w:eastAsia="仿宋" w:cs="仿宋"/>
          <w:color w:val="000000" w:themeColor="text1"/>
          <w:sz w:val="32"/>
          <w:szCs w:val="32"/>
          <w:lang w:val="en-US" w:eastAsia="zh-CN"/>
          <w14:textFill>
            <w14:solidFill>
              <w14:schemeClr w14:val="tx1"/>
            </w14:solidFill>
          </w14:textFill>
        </w:rPr>
        <w:t>14.5亿元，</w:t>
      </w:r>
      <w:r>
        <w:rPr>
          <w:rFonts w:hint="eastAsia" w:ascii="仿宋" w:hAnsi="仿宋" w:eastAsia="仿宋" w:cs="仿宋"/>
          <w:color w:val="000000" w:themeColor="text1"/>
          <w:sz w:val="32"/>
          <w:szCs w:val="32"/>
          <w14:textFill>
            <w14:solidFill>
              <w14:schemeClr w14:val="tx1"/>
            </w14:solidFill>
          </w14:textFill>
        </w:rPr>
        <w:t>比上年增长</w:t>
      </w:r>
      <w:r>
        <w:rPr>
          <w:rFonts w:hint="eastAsia" w:ascii="仿宋" w:hAnsi="仿宋" w:eastAsia="仿宋" w:cs="仿宋"/>
          <w:color w:val="000000" w:themeColor="text1"/>
          <w:sz w:val="32"/>
          <w:szCs w:val="32"/>
          <w:lang w:val="en-US" w:eastAsia="zh-CN"/>
          <w14:textFill>
            <w14:solidFill>
              <w14:schemeClr w14:val="tx1"/>
            </w14:solidFill>
          </w14:textFill>
        </w:rPr>
        <w:t>9.6</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p>
    <w:p w14:paraId="29CD0D54">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四</w:t>
      </w:r>
      <w:r>
        <w:rPr>
          <w:rFonts w:hint="eastAsia" w:ascii="黑体" w:hAnsi="黑体" w:eastAsia="黑体" w:cs="黑体"/>
          <w:b/>
          <w:color w:val="000000" w:themeColor="text1"/>
          <w:sz w:val="32"/>
          <w:szCs w:val="32"/>
          <w14:textFill>
            <w14:solidFill>
              <w14:schemeClr w14:val="tx1"/>
            </w14:solidFill>
          </w14:textFill>
        </w:rPr>
        <w:t>、固定资产投资</w:t>
      </w:r>
    </w:p>
    <w:p w14:paraId="6C6EC23B">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全年</w:t>
      </w:r>
      <w:r>
        <w:rPr>
          <w:rFonts w:hint="eastAsia" w:ascii="仿宋" w:hAnsi="仿宋" w:eastAsia="仿宋" w:cs="仿宋"/>
          <w:color w:val="000000" w:themeColor="text1"/>
          <w:sz w:val="32"/>
          <w:szCs w:val="32"/>
          <w:lang w:eastAsia="zh-CN"/>
          <w14:textFill>
            <w14:solidFill>
              <w14:schemeClr w14:val="tx1"/>
            </w14:solidFill>
          </w14:textFill>
        </w:rPr>
        <w:t>全区</w:t>
      </w:r>
      <w:r>
        <w:rPr>
          <w:rFonts w:hint="eastAsia" w:ascii="仿宋" w:hAnsi="仿宋" w:eastAsia="仿宋" w:cs="仿宋"/>
          <w:color w:val="000000" w:themeColor="text1"/>
          <w:sz w:val="32"/>
          <w:szCs w:val="32"/>
          <w14:textFill>
            <w14:solidFill>
              <w14:schemeClr w14:val="tx1"/>
            </w14:solidFill>
          </w14:textFill>
        </w:rPr>
        <w:t>固定资产投资（不含农户</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下同</w:t>
      </w:r>
      <w:r>
        <w:rPr>
          <w:rFonts w:hint="eastAsia" w:ascii="仿宋" w:hAnsi="仿宋" w:eastAsia="仿宋" w:cs="仿宋"/>
          <w:color w:val="000000" w:themeColor="text1"/>
          <w:sz w:val="32"/>
          <w:szCs w:val="32"/>
          <w14:textFill>
            <w14:solidFill>
              <w14:schemeClr w14:val="tx1"/>
            </w14:solidFill>
          </w14:textFill>
        </w:rPr>
        <w:t>）比上年增长</w:t>
      </w:r>
      <w:r>
        <w:rPr>
          <w:rFonts w:hint="eastAsia" w:ascii="仿宋" w:hAnsi="仿宋" w:eastAsia="仿宋" w:cs="仿宋"/>
          <w:color w:val="000000" w:themeColor="text1"/>
          <w:sz w:val="32"/>
          <w:szCs w:val="32"/>
          <w:lang w:val="en-US" w:eastAsia="zh-CN"/>
          <w14:textFill>
            <w14:solidFill>
              <w14:schemeClr w14:val="tx1"/>
            </w14:solidFill>
          </w14:textFill>
        </w:rPr>
        <w:t>12.9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其中，第一产业投资下降100%，第二产业投资增长3.1%，第三产业投资增长87.7%。基础设施投资增长97.0%，民间投资增长18.4%，工业投资增长3.1%，房地产开发投资下降19.4%。</w:t>
      </w:r>
    </w:p>
    <w:p w14:paraId="46E12602">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五、国内贸易</w:t>
      </w:r>
    </w:p>
    <w:p w14:paraId="2EB5676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全年全区社会消费品零售总额比上年增长7.0%。批发业销售额增长1.4%；零售业销售额增长5.4%；</w:t>
      </w:r>
      <w:r>
        <w:rPr>
          <w:rFonts w:hint="eastAsia" w:ascii="仿宋" w:hAnsi="仿宋" w:eastAsia="仿宋" w:cs="仿宋"/>
          <w:color w:val="auto"/>
          <w:sz w:val="32"/>
          <w:szCs w:val="32"/>
          <w:lang w:val="en-US" w:eastAsia="zh-CN"/>
        </w:rPr>
        <w:t>住宿业营业额下降2.2%；餐饮业营业额增长1.5%。</w:t>
      </w:r>
    </w:p>
    <w:p w14:paraId="6384D80C">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宋体"/>
          <w:color w:val="auto"/>
          <w:kern w:val="0"/>
          <w:sz w:val="32"/>
          <w:szCs w:val="32"/>
          <w:lang w:val="en-US" w:eastAsia="zh-CN" w:bidi="ar-SA"/>
        </w:rPr>
      </w:pPr>
      <w:r>
        <w:rPr>
          <w:rFonts w:hint="eastAsia" w:ascii="仿宋" w:hAnsi="仿宋" w:eastAsia="仿宋" w:cs="宋体"/>
          <w:color w:val="auto"/>
          <w:kern w:val="0"/>
          <w:sz w:val="32"/>
          <w:szCs w:val="32"/>
          <w:lang w:val="en-US" w:eastAsia="zh-CN" w:bidi="ar-SA"/>
        </w:rPr>
        <w:t>全年全区限额以上单位消费品零售额中，粮油、食品类零售额比上年增长203.1%，饮料类增长18.3%，烟酒类增长19.2%，服装、鞋帽、针纺织品类增长2.9%，日用品类增长31.8%，石油及制品类增长33.8%，汽车类增长18%。</w:t>
      </w:r>
    </w:p>
    <w:p w14:paraId="6D296361">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六、对外经济</w:t>
      </w:r>
    </w:p>
    <w:p w14:paraId="1D4E0F2C">
      <w:pPr>
        <w:keepNext w:val="0"/>
        <w:keepLines w:val="0"/>
        <w:pageBreakBefore w:val="0"/>
        <w:kinsoku/>
        <w:wordWrap/>
        <w:overflowPunct/>
        <w:topLinePunct w:val="0"/>
        <w:autoSpaceDE/>
        <w:autoSpaceDN/>
        <w:bidi w:val="0"/>
        <w:adjustRightInd/>
        <w:snapToGrid/>
        <w:spacing w:line="560" w:lineRule="exact"/>
        <w:ind w:firstLine="633" w:firstLineChars="198"/>
        <w:jc w:val="both"/>
        <w:rPr>
          <w:rFonts w:hint="eastAsia" w:ascii="仿宋" w:hAnsi="仿宋" w:eastAsia="仿宋" w:cs="仿宋"/>
          <w:color w:val="000000" w:themeColor="text1"/>
          <w:kern w:val="0"/>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lang w:eastAsia="zh-CN"/>
          <w14:textFill>
            <w14:solidFill>
              <w14:schemeClr w14:val="tx1"/>
            </w14:solidFill>
          </w14:textFill>
        </w:rPr>
        <w:t>全年全区货物贸易进出口总额76.75亿元，同比</w:t>
      </w:r>
      <w:r>
        <w:rPr>
          <w:rFonts w:hint="eastAsia" w:ascii="仿宋" w:hAnsi="仿宋" w:eastAsia="仿宋" w:cs="仿宋"/>
          <w:color w:val="000000" w:themeColor="text1"/>
          <w:kern w:val="0"/>
          <w:sz w:val="32"/>
          <w:szCs w:val="32"/>
          <w:lang w:val="en-US" w:eastAsia="zh-CN"/>
          <w14:textFill>
            <w14:solidFill>
              <w14:schemeClr w14:val="tx1"/>
            </w14:solidFill>
          </w14:textFill>
        </w:rPr>
        <w:t>下降</w:t>
      </w:r>
      <w:r>
        <w:rPr>
          <w:rFonts w:hint="eastAsia" w:ascii="仿宋" w:hAnsi="仿宋" w:eastAsia="仿宋" w:cs="仿宋"/>
          <w:color w:val="000000" w:themeColor="text1"/>
          <w:kern w:val="0"/>
          <w:sz w:val="32"/>
          <w:szCs w:val="32"/>
          <w:lang w:eastAsia="zh-CN"/>
          <w14:textFill>
            <w14:solidFill>
              <w14:schemeClr w14:val="tx1"/>
            </w14:solidFill>
          </w14:textFill>
        </w:rPr>
        <w:t>5.</w:t>
      </w:r>
      <w:r>
        <w:rPr>
          <w:rFonts w:hint="eastAsia" w:ascii="仿宋" w:hAnsi="仿宋" w:eastAsia="仿宋" w:cs="仿宋"/>
          <w:color w:val="000000" w:themeColor="text1"/>
          <w:kern w:val="0"/>
          <w:sz w:val="32"/>
          <w:szCs w:val="32"/>
          <w:lang w:val="en-US" w:eastAsia="zh-CN"/>
          <w14:textFill>
            <w14:solidFill>
              <w14:schemeClr w14:val="tx1"/>
            </w14:solidFill>
          </w14:textFill>
        </w:rPr>
        <w:t>8</w:t>
      </w:r>
      <w:r>
        <w:rPr>
          <w:rFonts w:hint="eastAsia" w:ascii="仿宋" w:hAnsi="仿宋" w:eastAsia="仿宋" w:cs="仿宋"/>
          <w:color w:val="000000" w:themeColor="text1"/>
          <w:kern w:val="0"/>
          <w:sz w:val="32"/>
          <w:szCs w:val="32"/>
          <w:lang w:eastAsia="zh-CN"/>
          <w14:textFill>
            <w14:solidFill>
              <w14:schemeClr w14:val="tx1"/>
            </w14:solidFill>
          </w14:textFill>
        </w:rPr>
        <w:t>%。其中出口额67.06亿元，同比</w:t>
      </w:r>
      <w:r>
        <w:rPr>
          <w:rFonts w:hint="eastAsia" w:ascii="仿宋" w:hAnsi="仿宋" w:eastAsia="仿宋" w:cs="仿宋"/>
          <w:color w:val="000000" w:themeColor="text1"/>
          <w:kern w:val="0"/>
          <w:sz w:val="32"/>
          <w:szCs w:val="32"/>
          <w:lang w:val="en-US" w:eastAsia="zh-CN"/>
          <w14:textFill>
            <w14:solidFill>
              <w14:schemeClr w14:val="tx1"/>
            </w14:solidFill>
          </w14:textFill>
        </w:rPr>
        <w:t>下降</w:t>
      </w:r>
      <w:r>
        <w:rPr>
          <w:rFonts w:hint="eastAsia" w:ascii="仿宋" w:hAnsi="仿宋" w:eastAsia="仿宋" w:cs="仿宋"/>
          <w:color w:val="000000" w:themeColor="text1"/>
          <w:kern w:val="0"/>
          <w:sz w:val="32"/>
          <w:szCs w:val="32"/>
          <w:lang w:eastAsia="zh-CN"/>
          <w14:textFill>
            <w14:solidFill>
              <w14:schemeClr w14:val="tx1"/>
            </w14:solidFill>
          </w14:textFill>
        </w:rPr>
        <w:t>4.</w:t>
      </w:r>
      <w:r>
        <w:rPr>
          <w:rFonts w:hint="eastAsia" w:ascii="仿宋" w:hAnsi="仿宋" w:eastAsia="仿宋" w:cs="仿宋"/>
          <w:color w:val="000000" w:themeColor="text1"/>
          <w:kern w:val="0"/>
          <w:sz w:val="32"/>
          <w:szCs w:val="32"/>
          <w:lang w:val="en-US" w:eastAsia="zh-CN"/>
          <w14:textFill>
            <w14:solidFill>
              <w14:schemeClr w14:val="tx1"/>
            </w14:solidFill>
          </w14:textFill>
        </w:rPr>
        <w:t>5</w:t>
      </w:r>
      <w:r>
        <w:rPr>
          <w:rFonts w:hint="eastAsia" w:ascii="仿宋" w:hAnsi="仿宋" w:eastAsia="仿宋" w:cs="仿宋"/>
          <w:color w:val="000000" w:themeColor="text1"/>
          <w:kern w:val="0"/>
          <w:sz w:val="32"/>
          <w:szCs w:val="32"/>
          <w:lang w:eastAsia="zh-CN"/>
          <w14:textFill>
            <w14:solidFill>
              <w14:schemeClr w14:val="tx1"/>
            </w14:solidFill>
          </w14:textFill>
        </w:rPr>
        <w:t>%，进口额9.69亿元，同比</w:t>
      </w:r>
      <w:r>
        <w:rPr>
          <w:rFonts w:hint="eastAsia" w:ascii="仿宋" w:hAnsi="仿宋" w:eastAsia="仿宋" w:cs="仿宋"/>
          <w:color w:val="000000" w:themeColor="text1"/>
          <w:kern w:val="0"/>
          <w:sz w:val="32"/>
          <w:szCs w:val="32"/>
          <w:lang w:val="en-US" w:eastAsia="zh-CN"/>
          <w14:textFill>
            <w14:solidFill>
              <w14:schemeClr w14:val="tx1"/>
            </w14:solidFill>
          </w14:textFill>
        </w:rPr>
        <w:t>下降</w:t>
      </w:r>
      <w:r>
        <w:rPr>
          <w:rFonts w:hint="eastAsia" w:ascii="仿宋" w:hAnsi="仿宋" w:eastAsia="仿宋" w:cs="仿宋"/>
          <w:color w:val="000000" w:themeColor="text1"/>
          <w:kern w:val="0"/>
          <w:sz w:val="32"/>
          <w:szCs w:val="32"/>
          <w:lang w:eastAsia="zh-CN"/>
          <w14:textFill>
            <w14:solidFill>
              <w14:schemeClr w14:val="tx1"/>
            </w14:solidFill>
          </w14:textFill>
        </w:rPr>
        <w:t>14.0%。</w:t>
      </w:r>
    </w:p>
    <w:p w14:paraId="07E891A7">
      <w:pPr>
        <w:keepNext w:val="0"/>
        <w:keepLines w:val="0"/>
        <w:pageBreakBefore w:val="0"/>
        <w:kinsoku/>
        <w:wordWrap/>
        <w:overflowPunct/>
        <w:topLinePunct w:val="0"/>
        <w:autoSpaceDE/>
        <w:autoSpaceDN/>
        <w:bidi w:val="0"/>
        <w:adjustRightInd/>
        <w:snapToGrid/>
        <w:spacing w:line="560" w:lineRule="exact"/>
        <w:ind w:firstLine="633" w:firstLineChars="198"/>
        <w:jc w:val="both"/>
        <w:rPr>
          <w:rFonts w:hint="eastAsia" w:ascii="仿宋" w:hAnsi="仿宋" w:eastAsia="仿宋" w:cs="仿宋"/>
          <w:color w:val="000000" w:themeColor="text1"/>
          <w:kern w:val="0"/>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lang w:eastAsia="zh-CN"/>
          <w14:textFill>
            <w14:solidFill>
              <w14:schemeClr w14:val="tx1"/>
            </w14:solidFill>
          </w14:textFill>
        </w:rPr>
        <w:t>全年全区实际</w:t>
      </w:r>
      <w:r>
        <w:rPr>
          <w:rFonts w:hint="eastAsia" w:ascii="仿宋" w:hAnsi="仿宋" w:eastAsia="仿宋" w:cs="仿宋"/>
          <w:color w:val="000000" w:themeColor="text1"/>
          <w:kern w:val="0"/>
          <w:sz w:val="32"/>
          <w:szCs w:val="32"/>
          <w:lang w:val="en-US" w:eastAsia="zh-CN"/>
          <w14:textFill>
            <w14:solidFill>
              <w14:schemeClr w14:val="tx1"/>
            </w14:solidFill>
          </w14:textFill>
        </w:rPr>
        <w:t>利用外商直接投资</w:t>
      </w:r>
      <w:r>
        <w:rPr>
          <w:rFonts w:hint="eastAsia" w:ascii="仿宋" w:hAnsi="仿宋" w:eastAsia="仿宋" w:cs="仿宋"/>
          <w:color w:val="000000" w:themeColor="text1"/>
          <w:kern w:val="0"/>
          <w:sz w:val="32"/>
          <w:szCs w:val="32"/>
          <w:lang w:eastAsia="zh-CN"/>
          <w14:textFill>
            <w14:solidFill>
              <w14:schemeClr w14:val="tx1"/>
            </w14:solidFill>
          </w14:textFill>
        </w:rPr>
        <w:t>1000万美元。</w:t>
      </w:r>
    </w:p>
    <w:p w14:paraId="23DDA6FE">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七、财政金融</w:t>
      </w:r>
    </w:p>
    <w:p w14:paraId="1C4445C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FF0000"/>
          <w:kern w:val="0"/>
          <w:sz w:val="32"/>
          <w:szCs w:val="32"/>
        </w:rPr>
      </w:pPr>
      <w:r>
        <w:rPr>
          <w:rFonts w:hint="eastAsia" w:ascii="仿宋" w:hAnsi="仿宋" w:eastAsia="仿宋" w:cs="仿宋"/>
          <w:color w:val="000000" w:themeColor="text1"/>
          <w:kern w:val="0"/>
          <w:sz w:val="32"/>
          <w:szCs w:val="32"/>
          <w14:textFill>
            <w14:solidFill>
              <w14:schemeClr w14:val="tx1"/>
            </w14:solidFill>
          </w14:textFill>
        </w:rPr>
        <w:t>全年</w:t>
      </w:r>
      <w:r>
        <w:rPr>
          <w:rFonts w:hint="eastAsia" w:ascii="仿宋" w:hAnsi="仿宋" w:eastAsia="仿宋" w:cs="仿宋"/>
          <w:color w:val="000000" w:themeColor="text1"/>
          <w:kern w:val="0"/>
          <w:sz w:val="32"/>
          <w:szCs w:val="32"/>
          <w:lang w:eastAsia="zh-CN"/>
          <w14:textFill>
            <w14:solidFill>
              <w14:schemeClr w14:val="tx1"/>
            </w14:solidFill>
          </w14:textFill>
        </w:rPr>
        <w:t>全区</w:t>
      </w:r>
      <w:r>
        <w:rPr>
          <w:rFonts w:hint="eastAsia" w:ascii="仿宋" w:hAnsi="仿宋" w:eastAsia="仿宋" w:cs="仿宋"/>
          <w:color w:val="000000" w:themeColor="text1"/>
          <w:kern w:val="0"/>
          <w:sz w:val="32"/>
          <w:szCs w:val="32"/>
          <w:lang w:val="en-US" w:eastAsia="zh-CN"/>
          <w14:textFill>
            <w14:solidFill>
              <w14:schemeClr w14:val="tx1"/>
            </w14:solidFill>
          </w14:textFill>
        </w:rPr>
        <w:t>一般</w:t>
      </w:r>
      <w:r>
        <w:rPr>
          <w:rFonts w:hint="eastAsia" w:ascii="仿宋" w:hAnsi="仿宋" w:eastAsia="仿宋" w:cs="仿宋"/>
          <w:color w:val="000000" w:themeColor="text1"/>
          <w:kern w:val="0"/>
          <w:sz w:val="32"/>
          <w:szCs w:val="32"/>
          <w14:textFill>
            <w14:solidFill>
              <w14:schemeClr w14:val="tx1"/>
            </w14:solidFill>
          </w14:textFill>
        </w:rPr>
        <w:t>公共预算收入</w:t>
      </w:r>
      <w:r>
        <w:rPr>
          <w:rFonts w:hint="eastAsia" w:ascii="仿宋" w:hAnsi="仿宋" w:eastAsia="仿宋" w:cs="仿宋"/>
          <w:color w:val="000000" w:themeColor="text1"/>
          <w:kern w:val="0"/>
          <w:sz w:val="32"/>
          <w:szCs w:val="32"/>
          <w:lang w:val="en-US" w:eastAsia="zh-CN"/>
          <w14:textFill>
            <w14:solidFill>
              <w14:schemeClr w14:val="tx1"/>
            </w14:solidFill>
          </w14:textFill>
        </w:rPr>
        <w:t>11.2亿</w:t>
      </w:r>
      <w:r>
        <w:rPr>
          <w:rFonts w:hint="eastAsia" w:ascii="仿宋" w:hAnsi="仿宋" w:eastAsia="仿宋" w:cs="仿宋"/>
          <w:color w:val="000000" w:themeColor="text1"/>
          <w:kern w:val="0"/>
          <w:sz w:val="32"/>
          <w:szCs w:val="32"/>
          <w14:textFill>
            <w14:solidFill>
              <w14:schemeClr w14:val="tx1"/>
            </w14:solidFill>
          </w14:textFill>
        </w:rPr>
        <w:t>元，</w:t>
      </w:r>
      <w:r>
        <w:rPr>
          <w:rFonts w:hint="eastAsia" w:ascii="仿宋" w:hAnsi="仿宋" w:eastAsia="仿宋" w:cs="仿宋"/>
          <w:color w:val="000000" w:themeColor="text1"/>
          <w:sz w:val="32"/>
          <w:szCs w:val="32"/>
          <w14:textFill>
            <w14:solidFill>
              <w14:schemeClr w14:val="tx1"/>
            </w14:solidFill>
          </w14:textFill>
        </w:rPr>
        <w:t>比上年下降</w:t>
      </w:r>
      <w:r>
        <w:rPr>
          <w:rFonts w:hint="eastAsia" w:ascii="仿宋" w:hAnsi="仿宋" w:eastAsia="仿宋" w:cs="仿宋"/>
          <w:color w:val="000000" w:themeColor="text1"/>
          <w:kern w:val="0"/>
          <w:sz w:val="32"/>
          <w:szCs w:val="32"/>
          <w:lang w:val="en-US" w:eastAsia="zh-CN"/>
          <w14:textFill>
            <w14:solidFill>
              <w14:schemeClr w14:val="tx1"/>
            </w14:solidFill>
          </w14:textFill>
        </w:rPr>
        <w:t>11.2</w:t>
      </w:r>
      <w:r>
        <w:rPr>
          <w:rFonts w:hint="eastAsia" w:ascii="仿宋" w:hAnsi="仿宋" w:eastAsia="仿宋" w:cs="仿宋"/>
          <w:color w:val="000000" w:themeColor="text1"/>
          <w:kern w:val="0"/>
          <w:sz w:val="32"/>
          <w:szCs w:val="32"/>
          <w14:textFill>
            <w14:solidFill>
              <w14:schemeClr w14:val="tx1"/>
            </w14:solidFill>
          </w14:textFill>
        </w:rPr>
        <w:t>%，其中：税收收入</w:t>
      </w:r>
      <w:r>
        <w:rPr>
          <w:rFonts w:hint="eastAsia" w:ascii="仿宋" w:hAnsi="仿宋" w:eastAsia="仿宋" w:cs="仿宋"/>
          <w:color w:val="000000" w:themeColor="text1"/>
          <w:kern w:val="0"/>
          <w:sz w:val="32"/>
          <w:szCs w:val="32"/>
          <w:lang w:val="en-US" w:eastAsia="zh-CN"/>
          <w14:textFill>
            <w14:solidFill>
              <w14:schemeClr w14:val="tx1"/>
            </w14:solidFill>
          </w14:textFill>
        </w:rPr>
        <w:t>8.2亿</w:t>
      </w:r>
      <w:r>
        <w:rPr>
          <w:rFonts w:hint="eastAsia" w:ascii="仿宋" w:hAnsi="仿宋" w:eastAsia="仿宋" w:cs="仿宋"/>
          <w:color w:val="000000" w:themeColor="text1"/>
          <w:kern w:val="0"/>
          <w:sz w:val="32"/>
          <w:szCs w:val="32"/>
          <w14:textFill>
            <w14:solidFill>
              <w14:schemeClr w14:val="tx1"/>
            </w14:solidFill>
          </w14:textFill>
        </w:rPr>
        <w:t>元，</w:t>
      </w:r>
      <w:r>
        <w:rPr>
          <w:rFonts w:hint="eastAsia" w:ascii="仿宋" w:hAnsi="仿宋" w:eastAsia="仿宋" w:cs="仿宋"/>
          <w:color w:val="000000" w:themeColor="text1"/>
          <w:kern w:val="0"/>
          <w:sz w:val="32"/>
          <w:szCs w:val="32"/>
          <w:lang w:eastAsia="zh-CN"/>
          <w14:textFill>
            <w14:solidFill>
              <w14:schemeClr w14:val="tx1"/>
            </w14:solidFill>
          </w14:textFill>
        </w:rPr>
        <w:t>下降</w:t>
      </w:r>
      <w:r>
        <w:rPr>
          <w:rFonts w:hint="eastAsia" w:ascii="仿宋" w:hAnsi="仿宋" w:eastAsia="仿宋" w:cs="仿宋"/>
          <w:color w:val="000000" w:themeColor="text1"/>
          <w:kern w:val="0"/>
          <w:sz w:val="32"/>
          <w:szCs w:val="32"/>
          <w:lang w:val="en-US" w:eastAsia="zh-CN"/>
          <w14:textFill>
            <w14:solidFill>
              <w14:schemeClr w14:val="tx1"/>
            </w14:solidFill>
          </w14:textFill>
        </w:rPr>
        <w:t>21.0</w:t>
      </w:r>
      <w:r>
        <w:rPr>
          <w:rFonts w:hint="eastAsia" w:ascii="仿宋" w:hAnsi="仿宋" w:eastAsia="仿宋" w:cs="仿宋"/>
          <w:color w:val="000000" w:themeColor="text1"/>
          <w:kern w:val="0"/>
          <w:sz w:val="32"/>
          <w:szCs w:val="32"/>
          <w14:textFill>
            <w14:solidFill>
              <w14:schemeClr w14:val="tx1"/>
            </w14:solidFill>
          </w14:textFill>
        </w:rPr>
        <w:t>%，占</w:t>
      </w:r>
      <w:r>
        <w:rPr>
          <w:rFonts w:hint="eastAsia" w:ascii="仿宋" w:hAnsi="仿宋" w:eastAsia="仿宋" w:cs="仿宋"/>
          <w:color w:val="000000" w:themeColor="text1"/>
          <w:kern w:val="0"/>
          <w:sz w:val="32"/>
          <w:szCs w:val="32"/>
          <w:lang w:val="en-US" w:eastAsia="zh-CN"/>
          <w14:textFill>
            <w14:solidFill>
              <w14:schemeClr w14:val="tx1"/>
            </w14:solidFill>
          </w14:textFill>
        </w:rPr>
        <w:t>一般</w:t>
      </w:r>
      <w:r>
        <w:rPr>
          <w:rFonts w:hint="eastAsia" w:ascii="仿宋" w:hAnsi="仿宋" w:eastAsia="仿宋" w:cs="仿宋"/>
          <w:color w:val="000000" w:themeColor="text1"/>
          <w:kern w:val="0"/>
          <w:sz w:val="32"/>
          <w:szCs w:val="32"/>
          <w14:textFill>
            <w14:solidFill>
              <w14:schemeClr w14:val="tx1"/>
            </w14:solidFill>
          </w14:textFill>
        </w:rPr>
        <w:t>公共预算收入的比重为</w:t>
      </w:r>
      <w:r>
        <w:rPr>
          <w:rFonts w:hint="eastAsia" w:ascii="仿宋" w:hAnsi="仿宋" w:eastAsia="仿宋" w:cs="仿宋"/>
          <w:color w:val="000000" w:themeColor="text1"/>
          <w:kern w:val="0"/>
          <w:sz w:val="32"/>
          <w:szCs w:val="32"/>
          <w:lang w:val="en-US" w:eastAsia="zh-CN"/>
          <w14:textFill>
            <w14:solidFill>
              <w14:schemeClr w14:val="tx1"/>
            </w14:solidFill>
          </w14:textFill>
        </w:rPr>
        <w:t>73.8</w:t>
      </w:r>
      <w:r>
        <w:rPr>
          <w:rFonts w:hint="eastAsia" w:ascii="仿宋" w:hAnsi="仿宋" w:eastAsia="仿宋" w:cs="仿宋"/>
          <w:color w:val="000000" w:themeColor="text1"/>
          <w:kern w:val="0"/>
          <w:sz w:val="32"/>
          <w:szCs w:val="32"/>
          <w14:textFill>
            <w14:solidFill>
              <w14:schemeClr w14:val="tx1"/>
            </w14:solidFill>
          </w14:textFill>
        </w:rPr>
        <w:t>%。</w:t>
      </w:r>
      <w:r>
        <w:rPr>
          <w:rFonts w:hint="eastAsia" w:ascii="仿宋" w:hAnsi="仿宋" w:eastAsia="仿宋" w:cs="仿宋"/>
          <w:color w:val="000000" w:themeColor="text1"/>
          <w:kern w:val="0"/>
          <w:sz w:val="32"/>
          <w:szCs w:val="32"/>
          <w:lang w:val="en-US" w:eastAsia="zh-CN"/>
          <w14:textFill>
            <w14:solidFill>
              <w14:schemeClr w14:val="tx1"/>
            </w14:solidFill>
          </w14:textFill>
        </w:rPr>
        <w:t>一般</w:t>
      </w:r>
      <w:r>
        <w:rPr>
          <w:rFonts w:hint="eastAsia" w:ascii="仿宋" w:hAnsi="仿宋" w:eastAsia="仿宋" w:cs="仿宋"/>
          <w:color w:val="000000" w:themeColor="text1"/>
          <w:kern w:val="0"/>
          <w:sz w:val="32"/>
          <w:szCs w:val="32"/>
          <w14:textFill>
            <w14:solidFill>
              <w14:schemeClr w14:val="tx1"/>
            </w14:solidFill>
          </w14:textFill>
        </w:rPr>
        <w:t>公共预算支出</w:t>
      </w:r>
      <w:r>
        <w:rPr>
          <w:rFonts w:hint="eastAsia" w:ascii="仿宋" w:hAnsi="仿宋" w:eastAsia="仿宋" w:cs="仿宋"/>
          <w:color w:val="000000" w:themeColor="text1"/>
          <w:kern w:val="0"/>
          <w:sz w:val="32"/>
          <w:szCs w:val="32"/>
          <w:lang w:val="en-US" w:eastAsia="zh-CN"/>
          <w14:textFill>
            <w14:solidFill>
              <w14:schemeClr w14:val="tx1"/>
            </w14:solidFill>
          </w14:textFill>
        </w:rPr>
        <w:t>12.6亿</w:t>
      </w:r>
      <w:r>
        <w:rPr>
          <w:rFonts w:hint="eastAsia" w:ascii="仿宋" w:hAnsi="仿宋" w:eastAsia="仿宋" w:cs="仿宋"/>
          <w:color w:val="000000" w:themeColor="text1"/>
          <w:kern w:val="0"/>
          <w:sz w:val="32"/>
          <w:szCs w:val="32"/>
          <w14:textFill>
            <w14:solidFill>
              <w14:schemeClr w14:val="tx1"/>
            </w14:solidFill>
          </w14:textFill>
        </w:rPr>
        <w:t>元，</w:t>
      </w:r>
      <w:r>
        <w:rPr>
          <w:rFonts w:hint="eastAsia" w:ascii="仿宋" w:hAnsi="仿宋" w:eastAsia="仿宋" w:cs="仿宋"/>
          <w:color w:val="000000" w:themeColor="text1"/>
          <w:kern w:val="0"/>
          <w:sz w:val="32"/>
          <w:szCs w:val="32"/>
          <w:lang w:val="en-US" w:eastAsia="zh-CN"/>
          <w14:textFill>
            <w14:solidFill>
              <w14:schemeClr w14:val="tx1"/>
            </w14:solidFill>
          </w14:textFill>
        </w:rPr>
        <w:t>下降5.1</w:t>
      </w:r>
      <w:r>
        <w:rPr>
          <w:rFonts w:hint="eastAsia" w:ascii="仿宋" w:hAnsi="仿宋" w:eastAsia="仿宋" w:cs="仿宋"/>
          <w:color w:val="000000" w:themeColor="text1"/>
          <w:kern w:val="0"/>
          <w:sz w:val="32"/>
          <w:szCs w:val="32"/>
          <w14:textFill>
            <w14:solidFill>
              <w14:schemeClr w14:val="tx1"/>
            </w14:solidFill>
          </w14:textFill>
        </w:rPr>
        <w:t>%，其中：</w:t>
      </w:r>
      <w:r>
        <w:rPr>
          <w:rFonts w:hint="eastAsia" w:ascii="仿宋" w:hAnsi="仿宋" w:eastAsia="仿宋" w:cs="宋体"/>
          <w:color w:val="000000" w:themeColor="text1"/>
          <w:kern w:val="0"/>
          <w:sz w:val="32"/>
          <w:szCs w:val="32"/>
          <w14:textFill>
            <w14:solidFill>
              <w14:schemeClr w14:val="tx1"/>
            </w14:solidFill>
          </w14:textFill>
        </w:rPr>
        <w:t>一般公共服务支出</w:t>
      </w:r>
      <w:r>
        <w:rPr>
          <w:rFonts w:hint="eastAsia" w:ascii="仿宋" w:hAnsi="仿宋" w:eastAsia="仿宋" w:cs="宋体"/>
          <w:color w:val="000000" w:themeColor="text1"/>
          <w:kern w:val="0"/>
          <w:sz w:val="32"/>
          <w:szCs w:val="32"/>
          <w:lang w:val="en-US" w:eastAsia="zh-CN"/>
          <w14:textFill>
            <w14:solidFill>
              <w14:schemeClr w14:val="tx1"/>
            </w14:solidFill>
          </w14:textFill>
        </w:rPr>
        <w:t>1.6亿</w:t>
      </w:r>
      <w:r>
        <w:rPr>
          <w:rFonts w:hint="eastAsia" w:ascii="仿宋" w:hAnsi="仿宋" w:eastAsia="仿宋" w:cs="宋体"/>
          <w:color w:val="000000" w:themeColor="text1"/>
          <w:kern w:val="0"/>
          <w:sz w:val="32"/>
          <w:szCs w:val="32"/>
          <w14:textFill>
            <w14:solidFill>
              <w14:schemeClr w14:val="tx1"/>
            </w14:solidFill>
          </w14:textFill>
        </w:rPr>
        <w:t>元，</w:t>
      </w:r>
      <w:r>
        <w:rPr>
          <w:rFonts w:hint="eastAsia" w:ascii="仿宋" w:hAnsi="仿宋" w:eastAsia="仿宋" w:cs="宋体"/>
          <w:color w:val="000000" w:themeColor="text1"/>
          <w:kern w:val="0"/>
          <w:sz w:val="32"/>
          <w:szCs w:val="32"/>
          <w:lang w:val="en-US" w:eastAsia="zh-CN"/>
          <w14:textFill>
            <w14:solidFill>
              <w14:schemeClr w14:val="tx1"/>
            </w14:solidFill>
          </w14:textFill>
        </w:rPr>
        <w:t>下降11.8</w:t>
      </w:r>
      <w:r>
        <w:rPr>
          <w:rFonts w:hint="eastAsia" w:ascii="仿宋" w:hAnsi="仿宋" w:eastAsia="仿宋" w:cs="宋体"/>
          <w:color w:val="000000" w:themeColor="text1"/>
          <w:kern w:val="0"/>
          <w:sz w:val="32"/>
          <w:szCs w:val="32"/>
          <w14:textFill>
            <w14:solidFill>
              <w14:schemeClr w14:val="tx1"/>
            </w14:solidFill>
          </w14:textFill>
        </w:rPr>
        <w:t>%；医疗卫生支出</w:t>
      </w:r>
      <w:r>
        <w:rPr>
          <w:rFonts w:hint="eastAsia" w:ascii="仿宋" w:hAnsi="仿宋" w:eastAsia="仿宋" w:cs="宋体"/>
          <w:color w:val="000000" w:themeColor="text1"/>
          <w:kern w:val="0"/>
          <w:sz w:val="32"/>
          <w:szCs w:val="32"/>
          <w:lang w:val="en-US" w:eastAsia="zh-CN"/>
          <w14:textFill>
            <w14:solidFill>
              <w14:schemeClr w14:val="tx1"/>
            </w14:solidFill>
          </w14:textFill>
        </w:rPr>
        <w:t>0.8亿</w:t>
      </w:r>
      <w:r>
        <w:rPr>
          <w:rFonts w:hint="eastAsia" w:ascii="仿宋" w:hAnsi="仿宋" w:eastAsia="仿宋" w:cs="宋体"/>
          <w:color w:val="000000" w:themeColor="text1"/>
          <w:kern w:val="0"/>
          <w:sz w:val="32"/>
          <w:szCs w:val="32"/>
          <w14:textFill>
            <w14:solidFill>
              <w14:schemeClr w14:val="tx1"/>
            </w14:solidFill>
          </w14:textFill>
        </w:rPr>
        <w:t>元，</w:t>
      </w:r>
      <w:r>
        <w:rPr>
          <w:rFonts w:hint="eastAsia" w:ascii="仿宋" w:hAnsi="仿宋" w:eastAsia="仿宋" w:cs="宋体"/>
          <w:color w:val="000000" w:themeColor="text1"/>
          <w:kern w:val="0"/>
          <w:sz w:val="32"/>
          <w:szCs w:val="32"/>
          <w:lang w:val="en-US" w:eastAsia="zh-CN"/>
          <w14:textFill>
            <w14:solidFill>
              <w14:schemeClr w14:val="tx1"/>
            </w14:solidFill>
          </w14:textFill>
        </w:rPr>
        <w:t>下降8.3</w:t>
      </w:r>
      <w:r>
        <w:rPr>
          <w:rFonts w:hint="eastAsia" w:ascii="仿宋" w:hAnsi="仿宋" w:eastAsia="仿宋" w:cs="宋体"/>
          <w:color w:val="000000" w:themeColor="text1"/>
          <w:kern w:val="0"/>
          <w:sz w:val="32"/>
          <w:szCs w:val="32"/>
          <w14:textFill>
            <w14:solidFill>
              <w14:schemeClr w14:val="tx1"/>
            </w14:solidFill>
          </w14:textFill>
        </w:rPr>
        <w:t>%；教育支出</w:t>
      </w:r>
      <w:r>
        <w:rPr>
          <w:rFonts w:hint="eastAsia" w:ascii="仿宋" w:hAnsi="仿宋" w:eastAsia="仿宋" w:cs="宋体"/>
          <w:color w:val="000000" w:themeColor="text1"/>
          <w:kern w:val="0"/>
          <w:sz w:val="32"/>
          <w:szCs w:val="32"/>
          <w:lang w:val="en-US" w:eastAsia="zh-CN"/>
          <w14:textFill>
            <w14:solidFill>
              <w14:schemeClr w14:val="tx1"/>
            </w14:solidFill>
          </w14:textFill>
        </w:rPr>
        <w:t>1.9亿</w:t>
      </w:r>
      <w:r>
        <w:rPr>
          <w:rFonts w:hint="eastAsia" w:ascii="仿宋" w:hAnsi="仿宋" w:eastAsia="仿宋" w:cs="宋体"/>
          <w:color w:val="000000" w:themeColor="text1"/>
          <w:kern w:val="0"/>
          <w:sz w:val="32"/>
          <w:szCs w:val="32"/>
          <w14:textFill>
            <w14:solidFill>
              <w14:schemeClr w14:val="tx1"/>
            </w14:solidFill>
          </w14:textFill>
        </w:rPr>
        <w:t>元，增长</w:t>
      </w:r>
      <w:r>
        <w:rPr>
          <w:rFonts w:hint="eastAsia" w:ascii="仿宋" w:hAnsi="仿宋" w:eastAsia="仿宋" w:cs="宋体"/>
          <w:color w:val="000000" w:themeColor="text1"/>
          <w:kern w:val="0"/>
          <w:sz w:val="32"/>
          <w:szCs w:val="32"/>
          <w:lang w:val="en-US" w:eastAsia="zh-CN"/>
          <w14:textFill>
            <w14:solidFill>
              <w14:schemeClr w14:val="tx1"/>
            </w14:solidFill>
          </w14:textFill>
        </w:rPr>
        <w:t>5.4</w:t>
      </w:r>
      <w:r>
        <w:rPr>
          <w:rFonts w:hint="eastAsia" w:ascii="仿宋" w:hAnsi="仿宋" w:eastAsia="仿宋" w:cs="宋体"/>
          <w:color w:val="000000" w:themeColor="text1"/>
          <w:kern w:val="0"/>
          <w:sz w:val="32"/>
          <w:szCs w:val="32"/>
          <w14:textFill>
            <w14:solidFill>
              <w14:schemeClr w14:val="tx1"/>
            </w14:solidFill>
          </w14:textFill>
        </w:rPr>
        <w:t>%；农林水事务支出</w:t>
      </w:r>
      <w:r>
        <w:rPr>
          <w:rFonts w:hint="eastAsia" w:ascii="仿宋" w:hAnsi="仿宋" w:eastAsia="仿宋" w:cs="宋体"/>
          <w:color w:val="000000" w:themeColor="text1"/>
          <w:kern w:val="0"/>
          <w:sz w:val="32"/>
          <w:szCs w:val="32"/>
          <w:lang w:val="en-US" w:eastAsia="zh-CN"/>
          <w14:textFill>
            <w14:solidFill>
              <w14:schemeClr w14:val="tx1"/>
            </w14:solidFill>
          </w14:textFill>
        </w:rPr>
        <w:t>0.6亿元</w:t>
      </w:r>
      <w:r>
        <w:rPr>
          <w:rFonts w:hint="eastAsia" w:ascii="仿宋" w:hAnsi="仿宋" w:eastAsia="仿宋" w:cs="宋体"/>
          <w:color w:val="000000" w:themeColor="text1"/>
          <w:kern w:val="0"/>
          <w:sz w:val="32"/>
          <w:szCs w:val="32"/>
          <w14:textFill>
            <w14:solidFill>
              <w14:schemeClr w14:val="tx1"/>
            </w14:solidFill>
          </w14:textFill>
        </w:rPr>
        <w:t>，</w:t>
      </w:r>
      <w:r>
        <w:rPr>
          <w:rFonts w:hint="eastAsia" w:ascii="仿宋" w:hAnsi="仿宋" w:eastAsia="仿宋" w:cs="宋体"/>
          <w:color w:val="000000" w:themeColor="text1"/>
          <w:kern w:val="0"/>
          <w:sz w:val="32"/>
          <w:szCs w:val="32"/>
          <w:lang w:val="en-US" w:eastAsia="zh-CN"/>
          <w14:textFill>
            <w14:solidFill>
              <w14:schemeClr w14:val="tx1"/>
            </w14:solidFill>
          </w14:textFill>
        </w:rPr>
        <w:t>下降10.4</w:t>
      </w:r>
      <w:r>
        <w:rPr>
          <w:rFonts w:hint="eastAsia" w:ascii="仿宋" w:hAnsi="仿宋" w:eastAsia="仿宋" w:cs="宋体"/>
          <w:color w:val="000000" w:themeColor="text1"/>
          <w:kern w:val="0"/>
          <w:sz w:val="32"/>
          <w:szCs w:val="32"/>
          <w14:textFill>
            <w14:solidFill>
              <w14:schemeClr w14:val="tx1"/>
            </w14:solidFill>
          </w14:textFill>
        </w:rPr>
        <w:t>%</w:t>
      </w:r>
      <w:r>
        <w:rPr>
          <w:rFonts w:hint="eastAsia" w:ascii="仿宋" w:hAnsi="仿宋" w:eastAsia="仿宋" w:cs="宋体"/>
          <w:color w:val="000000" w:themeColor="text1"/>
          <w:kern w:val="0"/>
          <w:sz w:val="32"/>
          <w:szCs w:val="32"/>
          <w:lang w:eastAsia="zh-CN"/>
          <w14:textFill>
            <w14:solidFill>
              <w14:schemeClr w14:val="tx1"/>
            </w14:solidFill>
          </w14:textFill>
        </w:rPr>
        <w:t>。</w:t>
      </w:r>
    </w:p>
    <w:p w14:paraId="1C561320">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年末全区金融机构各项人民币存款余额</w:t>
      </w:r>
      <w:r>
        <w:rPr>
          <w:rFonts w:hint="eastAsia" w:ascii="仿宋_GB2312" w:hAnsi="仿宋_GB2312" w:eastAsia="仿宋_GB2312" w:cs="仿宋_GB2312"/>
          <w:i w:val="0"/>
          <w:caps w:val="0"/>
          <w:color w:val="auto"/>
          <w:spacing w:val="0"/>
          <w:sz w:val="32"/>
          <w:szCs w:val="32"/>
          <w:lang w:val="en-US" w:eastAsia="zh-CN"/>
        </w:rPr>
        <w:t>98.65</w:t>
      </w:r>
      <w:r>
        <w:rPr>
          <w:rFonts w:hint="eastAsia" w:ascii="仿宋_GB2312" w:hAnsi="仿宋_GB2312" w:eastAsia="仿宋_GB2312" w:cs="仿宋_GB2312"/>
          <w:i w:val="0"/>
          <w:caps w:val="0"/>
          <w:color w:val="auto"/>
          <w:spacing w:val="0"/>
          <w:sz w:val="32"/>
          <w:szCs w:val="32"/>
        </w:rPr>
        <w:t>亿元，比上年末增长</w:t>
      </w:r>
      <w:r>
        <w:rPr>
          <w:rFonts w:hint="eastAsia" w:ascii="仿宋_GB2312" w:hAnsi="仿宋_GB2312" w:eastAsia="仿宋_GB2312" w:cs="仿宋_GB2312"/>
          <w:i w:val="0"/>
          <w:caps w:val="0"/>
          <w:color w:val="auto"/>
          <w:spacing w:val="0"/>
          <w:sz w:val="32"/>
          <w:szCs w:val="32"/>
          <w:lang w:val="en-US" w:eastAsia="zh-CN"/>
        </w:rPr>
        <w:t>19.58</w:t>
      </w:r>
      <w:r>
        <w:rPr>
          <w:rFonts w:hint="eastAsia" w:ascii="仿宋_GB2312" w:hAnsi="仿宋_GB2312" w:eastAsia="仿宋_GB2312" w:cs="仿宋_GB2312"/>
          <w:i w:val="0"/>
          <w:caps w:val="0"/>
          <w:color w:val="auto"/>
          <w:spacing w:val="0"/>
          <w:sz w:val="32"/>
          <w:szCs w:val="32"/>
        </w:rPr>
        <w:t>%。各项人民币贷款余额</w:t>
      </w:r>
      <w:r>
        <w:rPr>
          <w:rFonts w:hint="eastAsia" w:ascii="仿宋_GB2312" w:hAnsi="仿宋_GB2312" w:eastAsia="仿宋_GB2312" w:cs="仿宋_GB2312"/>
          <w:i w:val="0"/>
          <w:caps w:val="0"/>
          <w:color w:val="auto"/>
          <w:spacing w:val="0"/>
          <w:sz w:val="32"/>
          <w:szCs w:val="32"/>
          <w:lang w:val="en-US" w:eastAsia="zh-CN"/>
        </w:rPr>
        <w:t>78.32</w:t>
      </w:r>
      <w:r>
        <w:rPr>
          <w:rFonts w:hint="eastAsia" w:ascii="仿宋_GB2312" w:hAnsi="仿宋_GB2312" w:eastAsia="仿宋_GB2312" w:cs="仿宋_GB2312"/>
          <w:i w:val="0"/>
          <w:caps w:val="0"/>
          <w:color w:val="auto"/>
          <w:spacing w:val="0"/>
          <w:sz w:val="32"/>
          <w:szCs w:val="32"/>
        </w:rPr>
        <w:t>亿元，增长</w:t>
      </w:r>
      <w:r>
        <w:rPr>
          <w:rFonts w:hint="eastAsia" w:ascii="仿宋_GB2312" w:hAnsi="仿宋_GB2312" w:eastAsia="仿宋_GB2312" w:cs="仿宋_GB2312"/>
          <w:i w:val="0"/>
          <w:caps w:val="0"/>
          <w:color w:val="auto"/>
          <w:spacing w:val="0"/>
          <w:sz w:val="32"/>
          <w:szCs w:val="32"/>
          <w:lang w:val="en-US" w:eastAsia="zh-CN"/>
        </w:rPr>
        <w:t>11.14</w:t>
      </w:r>
      <w:r>
        <w:rPr>
          <w:rFonts w:hint="eastAsia" w:ascii="仿宋_GB2312" w:hAnsi="仿宋_GB2312" w:eastAsia="仿宋_GB2312" w:cs="仿宋_GB2312"/>
          <w:i w:val="0"/>
          <w:caps w:val="0"/>
          <w:color w:val="auto"/>
          <w:spacing w:val="0"/>
          <w:sz w:val="32"/>
          <w:szCs w:val="32"/>
        </w:rPr>
        <w:t>%。</w:t>
      </w:r>
    </w:p>
    <w:p w14:paraId="6AF8F970">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rPr>
        <w:t>年末全区已培育上市企业2家（多氟多、佰利联），引进上市企业</w:t>
      </w:r>
      <w:r>
        <w:rPr>
          <w:rFonts w:hint="eastAsia" w:ascii="仿宋_GB2312" w:hAnsi="仿宋_GB2312" w:eastAsia="仿宋_GB2312" w:cs="仿宋_GB2312"/>
          <w:i w:val="0"/>
          <w:caps w:val="0"/>
          <w:color w:val="auto"/>
          <w:spacing w:val="0"/>
          <w:sz w:val="32"/>
          <w:szCs w:val="32"/>
          <w:lang w:val="en-US" w:eastAsia="zh-CN"/>
        </w:rPr>
        <w:t>3</w:t>
      </w:r>
      <w:r>
        <w:rPr>
          <w:rFonts w:hint="eastAsia" w:ascii="仿宋_GB2312" w:hAnsi="仿宋_GB2312" w:eastAsia="仿宋_GB2312" w:cs="仿宋_GB2312"/>
          <w:i w:val="0"/>
          <w:caps w:val="0"/>
          <w:color w:val="auto"/>
          <w:spacing w:val="0"/>
          <w:sz w:val="32"/>
          <w:szCs w:val="32"/>
        </w:rPr>
        <w:t>家（风神轮胎、龙星化工</w:t>
      </w:r>
      <w:r>
        <w:rPr>
          <w:rFonts w:hint="eastAsia" w:ascii="仿宋_GB2312" w:hAnsi="仿宋_GB2312" w:eastAsia="仿宋_GB2312" w:cs="仿宋_GB2312"/>
          <w:i w:val="0"/>
          <w:caps w:val="0"/>
          <w:color w:val="auto"/>
          <w:spacing w:val="0"/>
          <w:sz w:val="32"/>
          <w:szCs w:val="32"/>
          <w:lang w:eastAsia="zh-CN"/>
        </w:rPr>
        <w:t>、新开源</w:t>
      </w:r>
      <w:r>
        <w:rPr>
          <w:rFonts w:hint="eastAsia" w:ascii="仿宋_GB2312" w:hAnsi="仿宋_GB2312" w:eastAsia="仿宋_GB2312" w:cs="仿宋_GB2312"/>
          <w:i w:val="0"/>
          <w:caps w:val="0"/>
          <w:color w:val="auto"/>
          <w:spacing w:val="0"/>
          <w:sz w:val="32"/>
          <w:szCs w:val="32"/>
        </w:rPr>
        <w:t>）</w:t>
      </w: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eastAsia="仿宋_GB2312" w:cs="仿宋_GB2312"/>
          <w:i w:val="0"/>
          <w:caps w:val="0"/>
          <w:color w:val="auto"/>
          <w:spacing w:val="0"/>
          <w:sz w:val="32"/>
          <w:szCs w:val="32"/>
        </w:rPr>
        <w:t>新三板挂牌企业1家（鸽德新材料）</w:t>
      </w:r>
      <w:r>
        <w:rPr>
          <w:rFonts w:hint="eastAsia" w:ascii="仿宋_GB2312" w:hAnsi="仿宋_GB2312" w:eastAsia="仿宋_GB2312" w:cs="仿宋_GB2312"/>
          <w:i w:val="0"/>
          <w:caps w:val="0"/>
          <w:color w:val="auto"/>
          <w:spacing w:val="0"/>
          <w:sz w:val="32"/>
          <w:szCs w:val="32"/>
          <w:lang w:eastAsia="zh-CN"/>
        </w:rPr>
        <w:t>，</w:t>
      </w:r>
      <w:r>
        <w:rPr>
          <w:rFonts w:hint="eastAsia" w:ascii="仿宋_GB2312" w:hAnsi="仿宋_GB2312" w:eastAsia="仿宋_GB2312" w:cs="仿宋_GB2312"/>
          <w:i w:val="0"/>
          <w:caps w:val="0"/>
          <w:color w:val="auto"/>
          <w:spacing w:val="0"/>
          <w:sz w:val="32"/>
          <w:szCs w:val="32"/>
        </w:rPr>
        <w:t>省定重点上市后备企业</w:t>
      </w:r>
      <w:r>
        <w:rPr>
          <w:rFonts w:hint="eastAsia" w:ascii="仿宋_GB2312" w:hAnsi="仿宋_GB2312" w:eastAsia="仿宋_GB2312" w:cs="仿宋_GB2312"/>
          <w:i w:val="0"/>
          <w:caps w:val="0"/>
          <w:color w:val="auto"/>
          <w:spacing w:val="0"/>
          <w:sz w:val="32"/>
          <w:szCs w:val="32"/>
          <w:lang w:val="en-US" w:eastAsia="zh-CN"/>
        </w:rPr>
        <w:t>3</w:t>
      </w:r>
      <w:r>
        <w:rPr>
          <w:rFonts w:hint="eastAsia" w:ascii="仿宋_GB2312" w:hAnsi="仿宋_GB2312" w:eastAsia="仿宋_GB2312" w:cs="仿宋_GB2312"/>
          <w:i w:val="0"/>
          <w:caps w:val="0"/>
          <w:color w:val="auto"/>
          <w:spacing w:val="0"/>
          <w:sz w:val="32"/>
          <w:szCs w:val="32"/>
        </w:rPr>
        <w:t>家（鑫诚耐火、爱尔福克</w:t>
      </w:r>
      <w:r>
        <w:rPr>
          <w:rFonts w:hint="eastAsia" w:ascii="仿宋_GB2312" w:hAnsi="仿宋_GB2312" w:eastAsia="仿宋_GB2312" w:cs="仿宋_GB2312"/>
          <w:i w:val="0"/>
          <w:caps w:val="0"/>
          <w:color w:val="auto"/>
          <w:spacing w:val="0"/>
          <w:sz w:val="32"/>
          <w:szCs w:val="32"/>
          <w:lang w:eastAsia="zh-CN"/>
        </w:rPr>
        <w:t>、和兴化工</w:t>
      </w:r>
      <w:r>
        <w:rPr>
          <w:rFonts w:hint="eastAsia" w:ascii="仿宋_GB2312" w:hAnsi="仿宋_GB2312" w:eastAsia="仿宋_GB2312" w:cs="仿宋_GB2312"/>
          <w:i w:val="0"/>
          <w:caps w:val="0"/>
          <w:color w:val="auto"/>
          <w:spacing w:val="0"/>
          <w:sz w:val="32"/>
          <w:szCs w:val="32"/>
        </w:rPr>
        <w:t>）。</w:t>
      </w:r>
    </w:p>
    <w:p w14:paraId="579FB9A7">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i w:val="0"/>
          <w:caps w:val="0"/>
          <w:color w:val="FF0000"/>
          <w:spacing w:val="0"/>
          <w:sz w:val="32"/>
          <w:szCs w:val="32"/>
        </w:rPr>
      </w:pPr>
      <w:r>
        <w:rPr>
          <w:rFonts w:hint="eastAsia" w:ascii="仿宋_GB2312" w:hAnsi="仿宋_GB2312" w:eastAsia="仿宋_GB2312" w:cs="仿宋_GB2312"/>
          <w:i w:val="0"/>
          <w:caps w:val="0"/>
          <w:color w:val="auto"/>
          <w:spacing w:val="0"/>
          <w:sz w:val="32"/>
          <w:szCs w:val="32"/>
        </w:rPr>
        <w:t>全年保险公司保费收入</w:t>
      </w:r>
      <w:r>
        <w:rPr>
          <w:rFonts w:hint="eastAsia" w:ascii="仿宋_GB2312" w:hAnsi="仿宋_GB2312" w:eastAsia="仿宋_GB2312" w:cs="仿宋_GB2312"/>
          <w:i w:val="0"/>
          <w:caps w:val="0"/>
          <w:color w:val="auto"/>
          <w:spacing w:val="0"/>
          <w:sz w:val="32"/>
          <w:szCs w:val="32"/>
          <w:lang w:val="en-US" w:eastAsia="zh-CN"/>
        </w:rPr>
        <w:t>12685.63</w:t>
      </w:r>
      <w:r>
        <w:rPr>
          <w:rFonts w:hint="eastAsia" w:ascii="仿宋_GB2312" w:hAnsi="仿宋_GB2312" w:eastAsia="仿宋_GB2312" w:cs="仿宋_GB2312"/>
          <w:i w:val="0"/>
          <w:caps w:val="0"/>
          <w:color w:val="auto"/>
          <w:spacing w:val="0"/>
          <w:sz w:val="32"/>
          <w:szCs w:val="32"/>
        </w:rPr>
        <w:t>万元;</w:t>
      </w:r>
      <w:r>
        <w:rPr>
          <w:rFonts w:hint="eastAsia" w:ascii="仿宋_GB2312" w:hAnsi="仿宋_GB2312" w:eastAsia="仿宋_GB2312" w:cs="仿宋_GB2312"/>
          <w:i w:val="0"/>
          <w:caps w:val="0"/>
          <w:color w:val="auto"/>
          <w:spacing w:val="0"/>
          <w:sz w:val="32"/>
          <w:szCs w:val="32"/>
          <w:lang w:eastAsia="zh-CN"/>
        </w:rPr>
        <w:t>其中，财产险</w:t>
      </w:r>
      <w:r>
        <w:rPr>
          <w:rFonts w:hint="eastAsia" w:ascii="仿宋_GB2312" w:hAnsi="仿宋_GB2312" w:eastAsia="仿宋_GB2312" w:cs="仿宋_GB2312"/>
          <w:i w:val="0"/>
          <w:caps w:val="0"/>
          <w:color w:val="auto"/>
          <w:spacing w:val="0"/>
          <w:sz w:val="32"/>
          <w:szCs w:val="32"/>
          <w:lang w:val="en-US" w:eastAsia="zh-CN"/>
        </w:rPr>
        <w:t>3772.16万元，人身险159.61万元。</w:t>
      </w:r>
      <w:r>
        <w:rPr>
          <w:rFonts w:hint="eastAsia" w:ascii="仿宋_GB2312" w:hAnsi="仿宋_GB2312" w:eastAsia="仿宋_GB2312" w:cs="仿宋_GB2312"/>
          <w:i w:val="0"/>
          <w:caps w:val="0"/>
          <w:color w:val="auto"/>
          <w:spacing w:val="0"/>
          <w:sz w:val="32"/>
          <w:szCs w:val="32"/>
        </w:rPr>
        <w:t>全年赔款支出</w:t>
      </w:r>
      <w:r>
        <w:rPr>
          <w:rFonts w:hint="eastAsia" w:ascii="仿宋_GB2312" w:hAnsi="仿宋_GB2312" w:eastAsia="仿宋_GB2312" w:cs="仿宋_GB2312"/>
          <w:i w:val="0"/>
          <w:caps w:val="0"/>
          <w:color w:val="auto"/>
          <w:spacing w:val="0"/>
          <w:sz w:val="32"/>
          <w:szCs w:val="32"/>
          <w:lang w:eastAsia="zh-CN"/>
        </w:rPr>
        <w:t>与给付</w:t>
      </w:r>
      <w:r>
        <w:rPr>
          <w:rFonts w:hint="eastAsia" w:ascii="仿宋_GB2312" w:hAnsi="仿宋_GB2312" w:eastAsia="仿宋_GB2312" w:cs="仿宋_GB2312"/>
          <w:i w:val="0"/>
          <w:caps w:val="0"/>
          <w:color w:val="auto"/>
          <w:spacing w:val="0"/>
          <w:sz w:val="32"/>
          <w:szCs w:val="32"/>
          <w:lang w:val="en-US" w:eastAsia="zh-CN"/>
        </w:rPr>
        <w:t>6652.18</w:t>
      </w:r>
      <w:r>
        <w:rPr>
          <w:rFonts w:hint="eastAsia" w:ascii="仿宋_GB2312" w:hAnsi="仿宋_GB2312" w:eastAsia="仿宋_GB2312" w:cs="仿宋_GB2312"/>
          <w:i w:val="0"/>
          <w:caps w:val="0"/>
          <w:color w:val="auto"/>
          <w:spacing w:val="0"/>
          <w:sz w:val="32"/>
          <w:szCs w:val="32"/>
        </w:rPr>
        <w:t>万元</w:t>
      </w:r>
      <w:r>
        <w:rPr>
          <w:rFonts w:hint="eastAsia" w:ascii="仿宋_GB2312" w:hAnsi="仿宋_GB2312" w:eastAsia="仿宋_GB2312" w:cs="仿宋_GB2312"/>
          <w:i w:val="0"/>
          <w:caps w:val="0"/>
          <w:color w:val="auto"/>
          <w:spacing w:val="0"/>
          <w:sz w:val="32"/>
          <w:szCs w:val="32"/>
          <w:lang w:eastAsia="zh-CN"/>
        </w:rPr>
        <w:t>。其中，财产险</w:t>
      </w:r>
      <w:r>
        <w:rPr>
          <w:rFonts w:hint="eastAsia" w:ascii="仿宋_GB2312" w:hAnsi="仿宋_GB2312" w:eastAsia="仿宋_GB2312" w:cs="仿宋_GB2312"/>
          <w:i w:val="0"/>
          <w:caps w:val="0"/>
          <w:color w:val="auto"/>
          <w:spacing w:val="0"/>
          <w:sz w:val="32"/>
          <w:szCs w:val="32"/>
          <w:lang w:val="en-US" w:eastAsia="zh-CN"/>
        </w:rPr>
        <w:t>2784.67万元，人身险31.34万元。</w:t>
      </w:r>
    </w:p>
    <w:p w14:paraId="6C3D8281">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八、居民收入消费和社会保障</w:t>
      </w:r>
    </w:p>
    <w:p w14:paraId="23A671FD">
      <w:pPr>
        <w:keepNext w:val="0"/>
        <w:keepLines w:val="0"/>
        <w:pageBreakBefore w:val="0"/>
        <w:kinsoku/>
        <w:wordWrap/>
        <w:overflowPunct/>
        <w:topLinePunct w:val="0"/>
        <w:autoSpaceDE/>
        <w:bidi w:val="0"/>
        <w:snapToGrid/>
        <w:spacing w:line="560" w:lineRule="exact"/>
        <w:ind w:left="0" w:firstLine="640" w:firstLineChars="200"/>
        <w:jc w:val="both"/>
        <w:textAlignment w:val="bottom"/>
        <w:rPr>
          <w:rFonts w:hint="eastAsia" w:ascii="仿宋" w:hAnsi="仿宋" w:eastAsia="仿宋"/>
          <w:color w:val="000000" w:themeColor="text1"/>
          <w:kern w:val="0"/>
          <w:sz w:val="32"/>
          <w:szCs w:val="32"/>
          <w:lang w:eastAsia="zh-CN"/>
          <w14:textFill>
            <w14:solidFill>
              <w14:schemeClr w14:val="tx1"/>
            </w14:solidFill>
          </w14:textFill>
        </w:rPr>
      </w:pPr>
      <w:r>
        <w:rPr>
          <w:rFonts w:hint="eastAsia" w:ascii="仿宋" w:hAnsi="仿宋" w:eastAsia="仿宋"/>
          <w:color w:val="000000" w:themeColor="text1"/>
          <w:kern w:val="0"/>
          <w:sz w:val="32"/>
          <w:szCs w:val="32"/>
          <w:lang w:val="en-US" w:eastAsia="zh-CN"/>
          <w14:textFill>
            <w14:solidFill>
              <w14:schemeClr w14:val="tx1"/>
            </w14:solidFill>
          </w14:textFill>
        </w:rPr>
        <w:t>全年全区居民</w:t>
      </w:r>
      <w:r>
        <w:rPr>
          <w:rFonts w:hint="eastAsia" w:ascii="仿宋" w:hAnsi="仿宋" w:eastAsia="仿宋"/>
          <w:color w:val="000000" w:themeColor="text1"/>
          <w:kern w:val="0"/>
          <w:sz w:val="32"/>
          <w:szCs w:val="32"/>
          <w14:textFill>
            <w14:solidFill>
              <w14:schemeClr w14:val="tx1"/>
            </w14:solidFill>
          </w14:textFill>
        </w:rPr>
        <w:t>人均可支配收入</w:t>
      </w:r>
      <w:r>
        <w:rPr>
          <w:rFonts w:hint="eastAsia" w:ascii="仿宋" w:hAnsi="仿宋" w:eastAsia="仿宋"/>
          <w:color w:val="000000" w:themeColor="text1"/>
          <w:kern w:val="0"/>
          <w:sz w:val="32"/>
          <w:szCs w:val="32"/>
          <w:lang w:eastAsia="zh-CN"/>
          <w14:textFill>
            <w14:solidFill>
              <w14:schemeClr w14:val="tx1"/>
            </w14:solidFill>
          </w14:textFill>
        </w:rPr>
        <w:t>（</w:t>
      </w:r>
      <w:r>
        <w:rPr>
          <w:rFonts w:hint="eastAsia" w:ascii="仿宋" w:hAnsi="仿宋" w:eastAsia="仿宋"/>
          <w:color w:val="000000" w:themeColor="text1"/>
          <w:kern w:val="0"/>
          <w:sz w:val="32"/>
          <w:szCs w:val="32"/>
          <w:lang w:val="en-US" w:eastAsia="zh-CN"/>
          <w14:textFill>
            <w14:solidFill>
              <w14:schemeClr w14:val="tx1"/>
            </w14:solidFill>
          </w14:textFill>
        </w:rPr>
        <w:t>五城区）38303</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比上年增长</w:t>
      </w:r>
      <w:r>
        <w:rPr>
          <w:rFonts w:hint="eastAsia" w:ascii="仿宋" w:hAnsi="仿宋" w:eastAsia="仿宋"/>
          <w:color w:val="000000" w:themeColor="text1"/>
          <w:kern w:val="0"/>
          <w:sz w:val="32"/>
          <w:szCs w:val="32"/>
          <w:lang w:val="en-US" w:eastAsia="zh-CN"/>
          <w14:textFill>
            <w14:solidFill>
              <w14:schemeClr w14:val="tx1"/>
            </w14:solidFill>
          </w14:textFill>
        </w:rPr>
        <w:t>4.7</w:t>
      </w:r>
      <w:r>
        <w:rPr>
          <w:rFonts w:hint="eastAsia" w:ascii="仿宋" w:hAnsi="仿宋" w:eastAsia="仿宋"/>
          <w:color w:val="000000" w:themeColor="text1"/>
          <w:kern w:val="0"/>
          <w:sz w:val="32"/>
          <w:szCs w:val="32"/>
          <w14:textFill>
            <w14:solidFill>
              <w14:schemeClr w14:val="tx1"/>
            </w14:solidFill>
          </w14:textFill>
        </w:rPr>
        <w:t>%</w:t>
      </w:r>
      <w:r>
        <w:rPr>
          <w:rFonts w:hint="eastAsia" w:ascii="仿宋" w:hAnsi="仿宋" w:eastAsia="仿宋"/>
          <w:color w:val="000000" w:themeColor="text1"/>
          <w:kern w:val="0"/>
          <w:sz w:val="32"/>
          <w:szCs w:val="32"/>
          <w:lang w:eastAsia="zh-CN"/>
          <w14:textFill>
            <w14:solidFill>
              <w14:schemeClr w14:val="tx1"/>
            </w14:solidFill>
          </w14:textFill>
        </w:rPr>
        <w:t>。按常住地分，</w:t>
      </w:r>
      <w:r>
        <w:rPr>
          <w:rFonts w:hint="eastAsia" w:ascii="仿宋" w:hAnsi="仿宋" w:eastAsia="仿宋"/>
          <w:color w:val="000000" w:themeColor="text1"/>
          <w:kern w:val="0"/>
          <w:sz w:val="32"/>
          <w:szCs w:val="32"/>
          <w14:textFill>
            <w14:solidFill>
              <w14:schemeClr w14:val="tx1"/>
            </w14:solidFill>
          </w14:textFill>
        </w:rPr>
        <w:t>城镇居民人均可支配收入</w:t>
      </w:r>
      <w:r>
        <w:rPr>
          <w:rFonts w:hint="eastAsia" w:ascii="仿宋" w:hAnsi="仿宋" w:eastAsia="仿宋"/>
          <w:color w:val="000000" w:themeColor="text1"/>
          <w:kern w:val="0"/>
          <w:sz w:val="32"/>
          <w:szCs w:val="32"/>
          <w:lang w:val="en-US" w:eastAsia="zh-CN"/>
          <w14:textFill>
            <w14:solidFill>
              <w14:schemeClr w14:val="tx1"/>
            </w14:solidFill>
          </w14:textFill>
        </w:rPr>
        <w:t>36939</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比上年增长</w:t>
      </w:r>
      <w:r>
        <w:rPr>
          <w:rFonts w:hint="eastAsia" w:ascii="仿宋" w:hAnsi="仿宋" w:eastAsia="仿宋"/>
          <w:color w:val="000000" w:themeColor="text1"/>
          <w:kern w:val="0"/>
          <w:sz w:val="32"/>
          <w:szCs w:val="32"/>
          <w:lang w:val="en-US" w:eastAsia="zh-CN"/>
          <w14:textFill>
            <w14:solidFill>
              <w14:schemeClr w14:val="tx1"/>
            </w14:solidFill>
          </w14:textFill>
        </w:rPr>
        <w:t>3.7</w:t>
      </w:r>
      <w:r>
        <w:rPr>
          <w:rFonts w:hint="eastAsia" w:ascii="仿宋" w:hAnsi="仿宋" w:eastAsia="仿宋"/>
          <w:color w:val="000000" w:themeColor="text1"/>
          <w:kern w:val="0"/>
          <w:sz w:val="32"/>
          <w:szCs w:val="32"/>
          <w14:textFill>
            <w14:solidFill>
              <w14:schemeClr w14:val="tx1"/>
            </w14:solidFill>
          </w14:textFill>
        </w:rPr>
        <w:t>%；农民</w:t>
      </w:r>
      <w:r>
        <w:rPr>
          <w:rFonts w:hint="eastAsia" w:ascii="仿宋" w:hAnsi="仿宋" w:eastAsia="仿宋"/>
          <w:color w:val="000000" w:themeColor="text1"/>
          <w:kern w:val="0"/>
          <w:sz w:val="32"/>
          <w:szCs w:val="32"/>
          <w:lang w:val="en-US" w:eastAsia="zh-CN"/>
          <w14:textFill>
            <w14:solidFill>
              <w14:schemeClr w14:val="tx1"/>
            </w14:solidFill>
          </w14:textFill>
        </w:rPr>
        <w:t>居民</w:t>
      </w:r>
      <w:r>
        <w:rPr>
          <w:rFonts w:hint="eastAsia" w:ascii="仿宋" w:hAnsi="仿宋" w:eastAsia="仿宋"/>
          <w:color w:val="000000" w:themeColor="text1"/>
          <w:kern w:val="0"/>
          <w:sz w:val="32"/>
          <w:szCs w:val="32"/>
          <w14:textFill>
            <w14:solidFill>
              <w14:schemeClr w14:val="tx1"/>
            </w14:solidFill>
          </w14:textFill>
        </w:rPr>
        <w:t>人均可支配收入</w:t>
      </w:r>
      <w:r>
        <w:rPr>
          <w:rFonts w:hint="eastAsia" w:ascii="仿宋" w:hAnsi="仿宋" w:eastAsia="仿宋"/>
          <w:color w:val="000000" w:themeColor="text1"/>
          <w:kern w:val="0"/>
          <w:sz w:val="32"/>
          <w:szCs w:val="32"/>
          <w:lang w:eastAsia="zh-CN"/>
          <w14:textFill>
            <w14:solidFill>
              <w14:schemeClr w14:val="tx1"/>
            </w14:solidFill>
          </w14:textFill>
        </w:rPr>
        <w:t>（</w:t>
      </w:r>
      <w:r>
        <w:rPr>
          <w:rFonts w:hint="eastAsia" w:ascii="仿宋" w:hAnsi="仿宋" w:eastAsia="仿宋"/>
          <w:color w:val="000000" w:themeColor="text1"/>
          <w:kern w:val="0"/>
          <w:sz w:val="32"/>
          <w:szCs w:val="32"/>
          <w:lang w:val="en-US" w:eastAsia="zh-CN"/>
          <w14:textFill>
            <w14:solidFill>
              <w14:schemeClr w14:val="tx1"/>
            </w14:solidFill>
          </w14:textFill>
        </w:rPr>
        <w:t>五城区）26278</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比上年增长</w:t>
      </w:r>
      <w:r>
        <w:rPr>
          <w:rFonts w:hint="eastAsia" w:ascii="仿宋" w:hAnsi="仿宋" w:eastAsia="仿宋"/>
          <w:color w:val="000000" w:themeColor="text1"/>
          <w:kern w:val="0"/>
          <w:sz w:val="32"/>
          <w:szCs w:val="32"/>
          <w:lang w:val="en-US" w:eastAsia="zh-CN"/>
          <w14:textFill>
            <w14:solidFill>
              <w14:schemeClr w14:val="tx1"/>
            </w14:solidFill>
          </w14:textFill>
        </w:rPr>
        <w:t>5.9</w:t>
      </w:r>
      <w:r>
        <w:rPr>
          <w:rFonts w:hint="eastAsia" w:ascii="仿宋" w:hAnsi="仿宋" w:eastAsia="仿宋"/>
          <w:color w:val="000000" w:themeColor="text1"/>
          <w:kern w:val="0"/>
          <w:sz w:val="32"/>
          <w:szCs w:val="32"/>
          <w14:textFill>
            <w14:solidFill>
              <w14:schemeClr w14:val="tx1"/>
            </w14:solidFill>
          </w14:textFill>
        </w:rPr>
        <w:t>%。</w:t>
      </w:r>
    </w:p>
    <w:p w14:paraId="379F8414">
      <w:pPr>
        <w:pStyle w:val="3"/>
        <w:ind w:left="0" w:leftChars="0" w:firstLine="640" w:firstLineChars="200"/>
        <w:rPr>
          <w:rFonts w:hint="eastAsia" w:ascii="仿宋" w:hAnsi="仿宋" w:eastAsia="仿宋"/>
          <w:color w:val="000000" w:themeColor="text1"/>
          <w:kern w:val="0"/>
          <w:sz w:val="32"/>
          <w:szCs w:val="32"/>
          <w14:textFill>
            <w14:solidFill>
              <w14:schemeClr w14:val="tx1"/>
            </w14:solidFill>
          </w14:textFill>
        </w:rPr>
      </w:pPr>
      <w:r>
        <w:rPr>
          <w:rFonts w:hint="eastAsia" w:ascii="仿宋" w:hAnsi="仿宋" w:eastAsia="仿宋"/>
          <w:color w:val="000000" w:themeColor="text1"/>
          <w:kern w:val="0"/>
          <w:sz w:val="32"/>
          <w:szCs w:val="32"/>
          <w:lang w:eastAsia="zh-CN"/>
          <w14:textFill>
            <w14:solidFill>
              <w14:schemeClr w14:val="tx1"/>
            </w14:solidFill>
          </w14:textFill>
        </w:rPr>
        <w:t>全年全区</w:t>
      </w:r>
      <w:r>
        <w:rPr>
          <w:rFonts w:hint="eastAsia" w:ascii="仿宋" w:hAnsi="仿宋" w:eastAsia="仿宋"/>
          <w:color w:val="000000" w:themeColor="text1"/>
          <w:kern w:val="0"/>
          <w:sz w:val="32"/>
          <w:szCs w:val="32"/>
          <w14:textFill>
            <w14:solidFill>
              <w14:schemeClr w14:val="tx1"/>
            </w14:solidFill>
          </w14:textFill>
        </w:rPr>
        <w:t>居民人均消费支出</w:t>
      </w:r>
      <w:r>
        <w:rPr>
          <w:rFonts w:hint="eastAsia" w:ascii="仿宋" w:hAnsi="仿宋" w:eastAsia="仿宋"/>
          <w:color w:val="000000" w:themeColor="text1"/>
          <w:kern w:val="0"/>
          <w:sz w:val="32"/>
          <w:szCs w:val="32"/>
          <w:lang w:eastAsia="zh-CN"/>
          <w14:textFill>
            <w14:solidFill>
              <w14:schemeClr w14:val="tx1"/>
            </w14:solidFill>
          </w14:textFill>
        </w:rPr>
        <w:t>（</w:t>
      </w:r>
      <w:r>
        <w:rPr>
          <w:rFonts w:hint="eastAsia" w:ascii="仿宋" w:hAnsi="仿宋" w:eastAsia="仿宋"/>
          <w:color w:val="000000" w:themeColor="text1"/>
          <w:kern w:val="0"/>
          <w:sz w:val="32"/>
          <w:szCs w:val="32"/>
          <w:lang w:val="en-US" w:eastAsia="zh-CN"/>
          <w14:textFill>
            <w14:solidFill>
              <w14:schemeClr w14:val="tx1"/>
            </w14:solidFill>
          </w14:textFill>
        </w:rPr>
        <w:t>五城区）25729</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比上年增长</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4.1</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w:t>
      </w:r>
      <w:r>
        <w:rPr>
          <w:rFonts w:hint="eastAsia" w:ascii="仿宋" w:hAnsi="仿宋" w:eastAsia="仿宋"/>
          <w:color w:val="000000" w:themeColor="text1"/>
          <w:kern w:val="0"/>
          <w:sz w:val="32"/>
          <w:szCs w:val="32"/>
          <w:lang w:eastAsia="zh-CN"/>
          <w14:textFill>
            <w14:solidFill>
              <w14:schemeClr w14:val="tx1"/>
            </w14:solidFill>
          </w14:textFill>
        </w:rPr>
        <w:t>按常住地分，</w:t>
      </w:r>
      <w:r>
        <w:rPr>
          <w:rFonts w:hint="eastAsia" w:ascii="仿宋" w:hAnsi="仿宋" w:eastAsia="仿宋"/>
          <w:color w:val="000000" w:themeColor="text1"/>
          <w:kern w:val="0"/>
          <w:sz w:val="32"/>
          <w:szCs w:val="32"/>
          <w14:textFill>
            <w14:solidFill>
              <w14:schemeClr w14:val="tx1"/>
            </w14:solidFill>
          </w14:textFill>
        </w:rPr>
        <w:t>城镇居民人均消费支出</w:t>
      </w:r>
      <w:r>
        <w:rPr>
          <w:rFonts w:hint="eastAsia" w:ascii="仿宋" w:hAnsi="仿宋" w:eastAsia="仿宋"/>
          <w:color w:val="000000" w:themeColor="text1"/>
          <w:kern w:val="0"/>
          <w:sz w:val="32"/>
          <w:szCs w:val="32"/>
          <w:lang w:val="en-US" w:eastAsia="zh-CN"/>
          <w14:textFill>
            <w14:solidFill>
              <w14:schemeClr w14:val="tx1"/>
            </w14:solidFill>
          </w14:textFill>
        </w:rPr>
        <w:t>24931</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增长4.5</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w:t>
      </w:r>
      <w:r>
        <w:rPr>
          <w:rFonts w:hint="eastAsia" w:ascii="仿宋" w:hAnsi="仿宋" w:eastAsia="仿宋"/>
          <w:color w:val="000000" w:themeColor="text1"/>
          <w:kern w:val="0"/>
          <w:sz w:val="32"/>
          <w:szCs w:val="32"/>
          <w14:textFill>
            <w14:solidFill>
              <w14:schemeClr w14:val="tx1"/>
            </w14:solidFill>
          </w14:textFill>
        </w:rPr>
        <w:t>农村居民人均消费支出</w:t>
      </w:r>
      <w:r>
        <w:rPr>
          <w:rFonts w:hint="eastAsia" w:ascii="仿宋" w:hAnsi="仿宋" w:eastAsia="仿宋"/>
          <w:color w:val="000000" w:themeColor="text1"/>
          <w:kern w:val="0"/>
          <w:sz w:val="32"/>
          <w:szCs w:val="32"/>
          <w:lang w:eastAsia="zh-CN"/>
          <w14:textFill>
            <w14:solidFill>
              <w14:schemeClr w14:val="tx1"/>
            </w14:solidFill>
          </w14:textFill>
        </w:rPr>
        <w:t>（</w:t>
      </w:r>
      <w:r>
        <w:rPr>
          <w:rFonts w:hint="eastAsia" w:ascii="仿宋" w:hAnsi="仿宋" w:eastAsia="仿宋"/>
          <w:color w:val="000000" w:themeColor="text1"/>
          <w:kern w:val="0"/>
          <w:sz w:val="32"/>
          <w:szCs w:val="32"/>
          <w:lang w:val="en-US" w:eastAsia="zh-CN"/>
          <w14:textFill>
            <w14:solidFill>
              <w14:schemeClr w14:val="tx1"/>
            </w14:solidFill>
          </w14:textFill>
        </w:rPr>
        <w:t>五城区）19212</w:t>
      </w:r>
      <w:r>
        <w:rPr>
          <w:rFonts w:hint="eastAsia" w:ascii="仿宋" w:hAnsi="仿宋" w:eastAsia="仿宋"/>
          <w:color w:val="000000" w:themeColor="text1"/>
          <w:kern w:val="0"/>
          <w:sz w:val="32"/>
          <w:szCs w:val="32"/>
          <w14:textFill>
            <w14:solidFill>
              <w14:schemeClr w14:val="tx1"/>
            </w14:solidFill>
          </w14:textFill>
        </w:rPr>
        <w:t>元，</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比上年增长</w:t>
      </w:r>
      <w:r>
        <w:rPr>
          <w:rFonts w:hint="eastAsia" w:ascii="仿宋_GB2312" w:hAnsi="宋体" w:eastAsia="仿宋_GB2312"/>
          <w:bCs/>
          <w:color w:val="000000" w:themeColor="text1"/>
          <w:kern w:val="0"/>
          <w:sz w:val="32"/>
          <w:szCs w:val="32"/>
          <w:shd w:val="clear" w:color="auto" w:fill="FFFFFF"/>
          <w:lang w:val="en-US" w:eastAsia="zh-CN"/>
          <w14:textFill>
            <w14:solidFill>
              <w14:schemeClr w14:val="tx1"/>
            </w14:solidFill>
          </w14:textFill>
        </w:rPr>
        <w:t>3.6</w:t>
      </w:r>
      <w:r>
        <w:rPr>
          <w:rFonts w:hint="eastAsia" w:ascii="仿宋_GB2312" w:hAnsi="宋体" w:eastAsia="仿宋_GB2312"/>
          <w:bCs/>
          <w:color w:val="000000" w:themeColor="text1"/>
          <w:kern w:val="0"/>
          <w:sz w:val="32"/>
          <w:szCs w:val="32"/>
          <w:shd w:val="clear" w:color="auto" w:fill="FFFFFF"/>
          <w14:textFill>
            <w14:solidFill>
              <w14:schemeClr w14:val="tx1"/>
            </w14:solidFill>
          </w14:textFill>
        </w:rPr>
        <w:t>%</w:t>
      </w:r>
      <w:r>
        <w:rPr>
          <w:rFonts w:hint="eastAsia" w:ascii="仿宋_GB2312" w:hAnsi="宋体" w:eastAsia="仿宋_GB2312"/>
          <w:bCs/>
          <w:color w:val="000000" w:themeColor="text1"/>
          <w:kern w:val="0"/>
          <w:sz w:val="32"/>
          <w:szCs w:val="32"/>
          <w:shd w:val="clear" w:color="auto" w:fill="FFFFFF"/>
          <w:lang w:eastAsia="zh-CN"/>
          <w14:textFill>
            <w14:solidFill>
              <w14:schemeClr w14:val="tx1"/>
            </w14:solidFill>
          </w14:textFill>
        </w:rPr>
        <w:t>。</w:t>
      </w:r>
    </w:p>
    <w:p w14:paraId="7DC5EEB0">
      <w:pPr>
        <w:ind w:firstLine="640" w:firstLineChars="200"/>
        <w:rPr>
          <w:rFonts w:hint="eastAsia" w:ascii="仿宋" w:hAnsi="仿宋" w:eastAsia="仿宋" w:cstheme="minorBidi"/>
          <w:color w:val="FF0000"/>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全年全区参加基本医疗保险人数83079人，其中居民医疗保险65544人，职工医疗保险参保人数17535人（在职职工参加职工医疗保险14853人，退休人员参加职工医疗保险2682人）。</w:t>
      </w:r>
      <w:r>
        <w:rPr>
          <w:rFonts w:hint="eastAsia" w:ascii="仿宋" w:hAnsi="仿宋" w:eastAsia="仿宋" w:cstheme="minorBidi"/>
          <w:color w:val="auto"/>
          <w:kern w:val="0"/>
          <w:sz w:val="32"/>
          <w:szCs w:val="32"/>
          <w:lang w:val="en-US" w:eastAsia="zh-CN" w:bidi="ar-SA"/>
        </w:rPr>
        <w:t>参加基本养老保险62750人，其中：企业养老保险25050人，城乡居民养老保险参保33233人。在企业养老保险中，在职职工参保 22339人，比上年增加 1562人，增长7.5%；离退休人员2711人，比上年增加136人，增长5.3%。参加失业保险人数15106人。参加工伤保险人数19105人。</w:t>
      </w:r>
    </w:p>
    <w:p w14:paraId="6F84245A">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全年城市最低生活保障月标准667元，农村最低生活保障年标准550元。全年共救助城市最低生活保障对象25975人次，发放城市最低生活保障金873.3525万元。全年共救助农村最低生活保障对象11494人次，发放农村最低生活保障金280.07万元。全年共救助特困人员1029人次，发放特困救助供养金97.3378万元，全年共临时救助困难群众75人次，发放临时救助金9.84万元，人均救助1312元。</w:t>
      </w:r>
    </w:p>
    <w:p w14:paraId="2C723C1E">
      <w:pPr>
        <w:keepNext w:val="0"/>
        <w:keepLines w:val="0"/>
        <w:widowControl/>
        <w:suppressLineNumbers w:val="0"/>
        <w:ind w:firstLine="640" w:firstLineChars="200"/>
        <w:jc w:val="left"/>
        <w:rPr>
          <w:rFonts w:hint="eastAsia" w:ascii="CESI仿宋-GB18030" w:hAnsi="CESI仿宋-GB18030" w:eastAsia="CESI仿宋-GB18030" w:cs="CESI仿宋-GB18030"/>
          <w:i w:val="0"/>
          <w:iCs w:val="0"/>
          <w:caps w:val="0"/>
          <w:color w:val="000000"/>
          <w:spacing w:val="0"/>
          <w:kern w:val="0"/>
          <w:sz w:val="32"/>
          <w:szCs w:val="32"/>
          <w:lang w:val="en-US" w:eastAsia="zh-CN" w:bidi="ar"/>
        </w:rPr>
      </w:pPr>
      <w:r>
        <w:rPr>
          <w:rFonts w:hint="eastAsia" w:ascii="仿宋" w:hAnsi="仿宋" w:eastAsia="仿宋" w:cs="仿宋"/>
          <w:color w:val="auto"/>
          <w:sz w:val="32"/>
          <w:szCs w:val="32"/>
          <w:lang w:val="en-US" w:eastAsia="zh-CN"/>
        </w:rPr>
        <w:t>全年共办理结婚登记360对，离婚登记208对，补领结婚登记证257对，补领离婚登记证35对</w:t>
      </w:r>
      <w:r>
        <w:rPr>
          <w:rFonts w:hint="eastAsia" w:ascii="CESI仿宋-GB18030" w:hAnsi="CESI仿宋-GB18030" w:eastAsia="CESI仿宋-GB18030" w:cs="CESI仿宋-GB18030"/>
          <w:i w:val="0"/>
          <w:iCs w:val="0"/>
          <w:caps w:val="0"/>
          <w:color w:val="000000"/>
          <w:spacing w:val="0"/>
          <w:kern w:val="0"/>
          <w:sz w:val="32"/>
          <w:szCs w:val="32"/>
          <w:lang w:val="en-US" w:eastAsia="zh-CN" w:bidi="ar"/>
        </w:rPr>
        <w:t>。</w:t>
      </w:r>
    </w:p>
    <w:p w14:paraId="64FB7A8F">
      <w:pPr>
        <w:keepNext w:val="0"/>
        <w:keepLines w:val="0"/>
        <w:widowControl/>
        <w:suppressLineNumbers w:val="0"/>
        <w:ind w:firstLine="643" w:firstLineChars="200"/>
        <w:jc w:val="left"/>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九、科学技术和教育</w:t>
      </w:r>
    </w:p>
    <w:p w14:paraId="7CF1B0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kern w:val="0"/>
          <w:sz w:val="32"/>
          <w:szCs w:val="32"/>
          <w:lang w:val="en-US" w:eastAsia="zh-CN" w:bidi="ar-SA"/>
          <w14:textFill>
            <w14:solidFill>
              <w14:schemeClr w14:val="tx1"/>
            </w14:solidFill>
          </w14:textFill>
        </w:rPr>
      </w:pPr>
      <w:r>
        <w:rPr>
          <w:rFonts w:hint="eastAsia" w:ascii="仿宋" w:hAnsi="仿宋" w:eastAsia="仿宋" w:cs="仿宋"/>
          <w:b w:val="0"/>
          <w:bCs/>
          <w:color w:val="auto"/>
          <w:kern w:val="0"/>
          <w:sz w:val="32"/>
          <w:szCs w:val="32"/>
          <w:shd w:val="clear" w:color="auto" w:fill="FFFFFF"/>
          <w:lang w:val="en-US" w:eastAsia="zh-CN"/>
        </w:rPr>
        <w:t>全年全区首次认定国家高新技术企业2家，总数达到36家；备案入库国家科技型中小企业42家。2024年新认定河南省工程技术研究中心3家。全年共取得河南省科学技术进步奖二等奖1项。完成技术合同登记额8.9亿元，全年争取各类科技政策性资金4148万元。</w:t>
      </w:r>
    </w:p>
    <w:p w14:paraId="03A49C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宋体"/>
          <w:color w:val="FF0000"/>
          <w:kern w:val="0"/>
          <w:sz w:val="32"/>
          <w:szCs w:val="32"/>
        </w:rPr>
      </w:pPr>
      <w:r>
        <w:rPr>
          <w:rFonts w:hint="eastAsia" w:ascii="仿宋" w:hAnsi="仿宋" w:eastAsia="仿宋" w:cs="仿宋"/>
          <w:color w:val="000000" w:themeColor="text1"/>
          <w:kern w:val="0"/>
          <w:sz w:val="32"/>
          <w:szCs w:val="32"/>
          <w:lang w:val="en-US" w:eastAsia="zh-CN" w:bidi="ar-SA"/>
          <w14:textFill>
            <w14:solidFill>
              <w14:schemeClr w14:val="tx1"/>
            </w14:solidFill>
          </w14:textFill>
        </w:rPr>
        <w:t>全年全区普通高中1</w:t>
      </w:r>
      <w:r>
        <w:rPr>
          <w:rFonts w:hint="eastAsia" w:ascii="仿宋" w:hAnsi="仿宋" w:eastAsia="仿宋" w:cs="仿宋"/>
          <w:color w:val="auto"/>
          <w:kern w:val="0"/>
          <w:sz w:val="32"/>
          <w:szCs w:val="32"/>
          <w:lang w:val="en-US" w:eastAsia="zh-CN" w:bidi="ar-SA"/>
        </w:rPr>
        <w:t>所，招生875人，在校生2627人，毕业生979人。初中学校7所，招生1846人，在校生5774人，毕业生1777人。普通小学13所，招生1180人，在校生7865人，毕业生1341人。全区幼儿园在园幼儿2744人，其中公办幼儿园在园幼儿1457人，民办幼儿园在园幼儿1287人。</w:t>
      </w:r>
      <w:r>
        <w:rPr>
          <w:rFonts w:hint="eastAsia" w:ascii="仿宋" w:hAnsi="仿宋" w:eastAsia="仿宋" w:cs="仿宋"/>
          <w:color w:val="auto"/>
          <w:kern w:val="0"/>
          <w:sz w:val="32"/>
          <w:szCs w:val="32"/>
        </w:rPr>
        <w:t>资助困难学生1597人次，共计发放各项资助金116.23万元。</w:t>
      </w:r>
    </w:p>
    <w:p w14:paraId="7062E9C9">
      <w:pPr>
        <w:keepNext w:val="0"/>
        <w:keepLines w:val="0"/>
        <w:pageBreakBefore w:val="0"/>
        <w:kinsoku/>
        <w:wordWrap/>
        <w:overflowPunct/>
        <w:topLinePunct w:val="0"/>
        <w:autoSpaceDE/>
        <w:autoSpaceDN/>
        <w:bidi w:val="0"/>
        <w:adjustRightInd/>
        <w:snapToGrid/>
        <w:spacing w:line="560" w:lineRule="exact"/>
        <w:jc w:val="center"/>
        <w:rPr>
          <w:rFonts w:hint="eastAsia"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pPr>
      <w:r>
        <w:rPr>
          <w:rFonts w:hint="eastAsia" w:ascii="仿宋" w:hAnsi="仿宋" w:eastAsia="仿宋" w:cs="仿宋"/>
          <w:b/>
          <w:bCs w:val="0"/>
          <w:color w:val="000000" w:themeColor="text1"/>
          <w:kern w:val="0"/>
          <w:sz w:val="28"/>
          <w:szCs w:val="28"/>
          <w:shd w:val="clear" w:color="auto" w:fill="FFFFFF"/>
          <w:lang w:val="en-US" w:eastAsia="zh-CN"/>
          <w14:textFill>
            <w14:solidFill>
              <w14:schemeClr w14:val="tx1"/>
            </w14:solidFill>
          </w14:textFill>
        </w:rPr>
        <w:t>表3：2024年全区各类学校招生和在校生情况</w:t>
      </w:r>
    </w:p>
    <w:p w14:paraId="7EE23E42">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单位：人</w:t>
      </w:r>
    </w:p>
    <w:tbl>
      <w:tblPr>
        <w:tblStyle w:val="8"/>
        <w:tblW w:w="8386" w:type="dxa"/>
        <w:tblInd w:w="136" w:type="dxa"/>
        <w:tblLayout w:type="fixed"/>
        <w:tblCellMar>
          <w:top w:w="0" w:type="dxa"/>
          <w:left w:w="108" w:type="dxa"/>
          <w:bottom w:w="0" w:type="dxa"/>
          <w:right w:w="108" w:type="dxa"/>
        </w:tblCellMar>
      </w:tblPr>
      <w:tblGrid>
        <w:gridCol w:w="2312"/>
        <w:gridCol w:w="1812"/>
        <w:gridCol w:w="2131"/>
        <w:gridCol w:w="2131"/>
      </w:tblGrid>
      <w:tr w14:paraId="69A22C70">
        <w:tblPrEx>
          <w:tblCellMar>
            <w:top w:w="0" w:type="dxa"/>
            <w:left w:w="108" w:type="dxa"/>
            <w:bottom w:w="0" w:type="dxa"/>
            <w:right w:w="108" w:type="dxa"/>
          </w:tblCellMar>
        </w:tblPrEx>
        <w:tc>
          <w:tcPr>
            <w:tcW w:w="2312" w:type="dxa"/>
            <w:tcBorders>
              <w:top w:val="single" w:color="000000" w:sz="4" w:space="0"/>
              <w:left w:val="single" w:color="000000" w:sz="4" w:space="0"/>
              <w:bottom w:val="single" w:color="000000" w:sz="4" w:space="0"/>
              <w:right w:val="single" w:color="000000" w:sz="4" w:space="0"/>
            </w:tcBorders>
            <w:vAlign w:val="center"/>
          </w:tcPr>
          <w:p w14:paraId="51D22FF1">
            <w:pPr>
              <w:keepNext w:val="0"/>
              <w:keepLines w:val="0"/>
              <w:pageBreakBefore w:val="0"/>
              <w:widowControl/>
              <w:kinsoku/>
              <w:wordWrap/>
              <w:overflowPunct/>
              <w:topLinePunct w:val="0"/>
              <w:autoSpaceDE/>
              <w:autoSpaceDN/>
              <w:bidi w:val="0"/>
              <w:adjustRightInd/>
              <w:snapToGrid/>
              <w:spacing w:line="560" w:lineRule="exact"/>
              <w:ind w:firstLine="562" w:firstLineChars="200"/>
              <w:jc w:val="both"/>
              <w:rPr>
                <w:rFonts w:ascii="仿宋" w:hAnsi="仿宋" w:eastAsia="仿宋" w:cs="宋体"/>
                <w:b/>
                <w:bCs/>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14:textFill>
                  <w14:solidFill>
                    <w14:schemeClr w14:val="tx1"/>
                  </w14:solidFill>
                </w14:textFill>
              </w:rPr>
              <w:t>指  标</w:t>
            </w:r>
          </w:p>
        </w:tc>
        <w:tc>
          <w:tcPr>
            <w:tcW w:w="1812" w:type="dxa"/>
            <w:tcBorders>
              <w:top w:val="single" w:color="000000" w:sz="4" w:space="0"/>
              <w:left w:val="nil"/>
              <w:bottom w:val="single" w:color="000000" w:sz="4" w:space="0"/>
              <w:right w:val="single" w:color="000000" w:sz="4" w:space="0"/>
            </w:tcBorders>
            <w:vAlign w:val="center"/>
          </w:tcPr>
          <w:p w14:paraId="34D1E448">
            <w:pPr>
              <w:keepNext w:val="0"/>
              <w:keepLines w:val="0"/>
              <w:pageBreakBefore w:val="0"/>
              <w:widowControl/>
              <w:kinsoku/>
              <w:wordWrap/>
              <w:overflowPunct/>
              <w:topLinePunct w:val="0"/>
              <w:autoSpaceDE/>
              <w:autoSpaceDN/>
              <w:bidi w:val="0"/>
              <w:adjustRightInd/>
              <w:snapToGrid/>
              <w:spacing w:line="560" w:lineRule="exact"/>
              <w:ind w:firstLine="281" w:firstLineChars="100"/>
              <w:jc w:val="center"/>
              <w:rPr>
                <w:rFonts w:ascii="仿宋" w:hAnsi="仿宋" w:eastAsia="仿宋" w:cs="宋体"/>
                <w:b/>
                <w:bCs/>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14:textFill>
                  <w14:solidFill>
                    <w14:schemeClr w14:val="tx1"/>
                  </w14:solidFill>
                </w14:textFill>
              </w:rPr>
              <w:t>招生数</w:t>
            </w:r>
          </w:p>
        </w:tc>
        <w:tc>
          <w:tcPr>
            <w:tcW w:w="2131" w:type="dxa"/>
            <w:tcBorders>
              <w:top w:val="single" w:color="000000" w:sz="4" w:space="0"/>
              <w:left w:val="nil"/>
              <w:bottom w:val="single" w:color="000000" w:sz="4" w:space="0"/>
              <w:right w:val="single" w:color="000000" w:sz="4" w:space="0"/>
            </w:tcBorders>
            <w:vAlign w:val="center"/>
          </w:tcPr>
          <w:p w14:paraId="52604671">
            <w:pPr>
              <w:keepNext w:val="0"/>
              <w:keepLines w:val="0"/>
              <w:pageBreakBefore w:val="0"/>
              <w:widowControl/>
              <w:kinsoku/>
              <w:wordWrap/>
              <w:overflowPunct/>
              <w:topLinePunct w:val="0"/>
              <w:autoSpaceDE/>
              <w:autoSpaceDN/>
              <w:bidi w:val="0"/>
              <w:adjustRightInd/>
              <w:snapToGrid/>
              <w:spacing w:line="560" w:lineRule="exact"/>
              <w:ind w:firstLine="141" w:firstLineChars="50"/>
              <w:jc w:val="center"/>
              <w:rPr>
                <w:rFonts w:ascii="仿宋" w:hAnsi="仿宋" w:eastAsia="仿宋" w:cs="宋体"/>
                <w:b/>
                <w:bCs/>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14:textFill>
                  <w14:solidFill>
                    <w14:schemeClr w14:val="tx1"/>
                  </w14:solidFill>
                </w14:textFill>
              </w:rPr>
              <w:t>在校生数</w:t>
            </w:r>
          </w:p>
        </w:tc>
        <w:tc>
          <w:tcPr>
            <w:tcW w:w="2131" w:type="dxa"/>
            <w:tcBorders>
              <w:top w:val="single" w:color="000000" w:sz="4" w:space="0"/>
              <w:left w:val="nil"/>
              <w:bottom w:val="single" w:color="000000" w:sz="4" w:space="0"/>
              <w:right w:val="single" w:color="000000" w:sz="4" w:space="0"/>
            </w:tcBorders>
            <w:vAlign w:val="center"/>
          </w:tcPr>
          <w:p w14:paraId="5F7A3FF5">
            <w:pPr>
              <w:keepNext w:val="0"/>
              <w:keepLines w:val="0"/>
              <w:pageBreakBefore w:val="0"/>
              <w:widowControl/>
              <w:kinsoku/>
              <w:wordWrap/>
              <w:overflowPunct/>
              <w:topLinePunct w:val="0"/>
              <w:autoSpaceDE/>
              <w:autoSpaceDN/>
              <w:bidi w:val="0"/>
              <w:adjustRightInd/>
              <w:snapToGrid/>
              <w:spacing w:line="560" w:lineRule="exact"/>
              <w:ind w:firstLine="281" w:firstLineChars="100"/>
              <w:jc w:val="center"/>
              <w:rPr>
                <w:rFonts w:ascii="仿宋" w:hAnsi="仿宋" w:eastAsia="仿宋" w:cs="宋体"/>
                <w:b/>
                <w:bCs/>
                <w:color w:val="000000" w:themeColor="text1"/>
                <w:kern w:val="0"/>
                <w:sz w:val="28"/>
                <w:szCs w:val="28"/>
                <w14:textFill>
                  <w14:solidFill>
                    <w14:schemeClr w14:val="tx1"/>
                  </w14:solidFill>
                </w14:textFill>
              </w:rPr>
            </w:pPr>
            <w:r>
              <w:rPr>
                <w:rFonts w:hint="eastAsia" w:ascii="仿宋" w:hAnsi="仿宋" w:eastAsia="仿宋" w:cs="宋体"/>
                <w:b/>
                <w:bCs/>
                <w:color w:val="000000" w:themeColor="text1"/>
                <w:kern w:val="0"/>
                <w:sz w:val="28"/>
                <w:szCs w:val="28"/>
                <w14:textFill>
                  <w14:solidFill>
                    <w14:schemeClr w14:val="tx1"/>
                  </w14:solidFill>
                </w14:textFill>
              </w:rPr>
              <w:t>毕业生数</w:t>
            </w:r>
          </w:p>
        </w:tc>
      </w:tr>
      <w:tr w14:paraId="110093EA">
        <w:tblPrEx>
          <w:tblCellMar>
            <w:top w:w="0" w:type="dxa"/>
            <w:left w:w="108" w:type="dxa"/>
            <w:bottom w:w="0" w:type="dxa"/>
            <w:right w:w="108" w:type="dxa"/>
          </w:tblCellMar>
        </w:tblPrEx>
        <w:tc>
          <w:tcPr>
            <w:tcW w:w="2312" w:type="dxa"/>
            <w:tcBorders>
              <w:top w:val="single" w:color="000000" w:sz="4" w:space="0"/>
              <w:left w:val="single" w:color="000000" w:sz="4" w:space="0"/>
              <w:bottom w:val="single" w:color="000000" w:sz="4" w:space="0"/>
              <w:right w:val="single" w:color="000000" w:sz="4" w:space="0"/>
            </w:tcBorders>
            <w:vAlign w:val="center"/>
          </w:tcPr>
          <w:p w14:paraId="646A2315">
            <w:pPr>
              <w:keepNext w:val="0"/>
              <w:keepLines w:val="0"/>
              <w:pageBreakBefore w:val="0"/>
              <w:widowControl/>
              <w:kinsoku/>
              <w:wordWrap/>
              <w:overflowPunct/>
              <w:topLinePunct w:val="0"/>
              <w:autoSpaceDE/>
              <w:autoSpaceDN/>
              <w:bidi w:val="0"/>
              <w:adjustRightInd/>
              <w:snapToGrid/>
              <w:spacing w:line="560" w:lineRule="exact"/>
              <w:ind w:firstLine="50" w:firstLineChars="18"/>
              <w:jc w:val="center"/>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普通高中</w:t>
            </w:r>
          </w:p>
        </w:tc>
        <w:tc>
          <w:tcPr>
            <w:tcW w:w="1812" w:type="dxa"/>
            <w:tcBorders>
              <w:top w:val="single" w:color="000000" w:sz="4" w:space="0"/>
              <w:left w:val="nil"/>
              <w:bottom w:val="single" w:color="000000" w:sz="4" w:space="0"/>
              <w:right w:val="single" w:color="000000" w:sz="4" w:space="0"/>
            </w:tcBorders>
            <w:vAlign w:val="center"/>
          </w:tcPr>
          <w:p w14:paraId="72F759C9">
            <w:pPr>
              <w:widowControl/>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875</w:t>
            </w:r>
          </w:p>
        </w:tc>
        <w:tc>
          <w:tcPr>
            <w:tcW w:w="2131" w:type="dxa"/>
            <w:tcBorders>
              <w:top w:val="single" w:color="000000" w:sz="4" w:space="0"/>
              <w:left w:val="nil"/>
              <w:bottom w:val="single" w:color="000000" w:sz="4" w:space="0"/>
              <w:right w:val="single" w:color="000000" w:sz="4" w:space="0"/>
            </w:tcBorders>
            <w:vAlign w:val="center"/>
          </w:tcPr>
          <w:p w14:paraId="4EC09A65">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2627</w:t>
            </w:r>
          </w:p>
        </w:tc>
        <w:tc>
          <w:tcPr>
            <w:tcW w:w="2131" w:type="dxa"/>
            <w:tcBorders>
              <w:top w:val="single" w:color="000000" w:sz="4" w:space="0"/>
              <w:left w:val="nil"/>
              <w:bottom w:val="single" w:color="000000" w:sz="4" w:space="0"/>
              <w:right w:val="single" w:color="000000" w:sz="4" w:space="0"/>
            </w:tcBorders>
            <w:vAlign w:val="center"/>
          </w:tcPr>
          <w:p w14:paraId="2A83C6B7">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979</w:t>
            </w:r>
          </w:p>
        </w:tc>
      </w:tr>
      <w:tr w14:paraId="51ACEDCF">
        <w:tblPrEx>
          <w:tblCellMar>
            <w:top w:w="0" w:type="dxa"/>
            <w:left w:w="108" w:type="dxa"/>
            <w:bottom w:w="0" w:type="dxa"/>
            <w:right w:w="108" w:type="dxa"/>
          </w:tblCellMar>
        </w:tblPrEx>
        <w:tc>
          <w:tcPr>
            <w:tcW w:w="2312" w:type="dxa"/>
            <w:tcBorders>
              <w:top w:val="single" w:color="000000" w:sz="4" w:space="0"/>
              <w:left w:val="single" w:color="000000" w:sz="4" w:space="0"/>
              <w:bottom w:val="single" w:color="000000" w:sz="4" w:space="0"/>
              <w:right w:val="single" w:color="000000" w:sz="4" w:space="0"/>
            </w:tcBorders>
            <w:vAlign w:val="center"/>
          </w:tcPr>
          <w:p w14:paraId="084F0CB6">
            <w:pPr>
              <w:keepNext w:val="0"/>
              <w:keepLines w:val="0"/>
              <w:pageBreakBefore w:val="0"/>
              <w:widowControl/>
              <w:kinsoku/>
              <w:wordWrap/>
              <w:overflowPunct/>
              <w:topLinePunct w:val="0"/>
              <w:autoSpaceDE/>
              <w:autoSpaceDN/>
              <w:bidi w:val="0"/>
              <w:adjustRightInd/>
              <w:snapToGrid/>
              <w:spacing w:line="560" w:lineRule="exact"/>
              <w:ind w:firstLine="50" w:firstLineChars="18"/>
              <w:jc w:val="center"/>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初中学校</w:t>
            </w:r>
          </w:p>
        </w:tc>
        <w:tc>
          <w:tcPr>
            <w:tcW w:w="1812" w:type="dxa"/>
            <w:tcBorders>
              <w:top w:val="single" w:color="000000" w:sz="4" w:space="0"/>
              <w:left w:val="nil"/>
              <w:bottom w:val="single" w:color="000000" w:sz="4" w:space="0"/>
              <w:right w:val="single" w:color="000000" w:sz="4" w:space="0"/>
            </w:tcBorders>
            <w:vAlign w:val="center"/>
          </w:tcPr>
          <w:p w14:paraId="4C47ECC7">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1846</w:t>
            </w:r>
          </w:p>
        </w:tc>
        <w:tc>
          <w:tcPr>
            <w:tcW w:w="2131" w:type="dxa"/>
            <w:tcBorders>
              <w:top w:val="single" w:color="000000" w:sz="4" w:space="0"/>
              <w:left w:val="nil"/>
              <w:bottom w:val="single" w:color="000000" w:sz="4" w:space="0"/>
              <w:right w:val="single" w:color="000000" w:sz="4" w:space="0"/>
            </w:tcBorders>
            <w:vAlign w:val="center"/>
          </w:tcPr>
          <w:p w14:paraId="50BC6B5C">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5774</w:t>
            </w:r>
          </w:p>
        </w:tc>
        <w:tc>
          <w:tcPr>
            <w:tcW w:w="2131" w:type="dxa"/>
            <w:tcBorders>
              <w:top w:val="single" w:color="000000" w:sz="4" w:space="0"/>
              <w:left w:val="nil"/>
              <w:bottom w:val="single" w:color="000000" w:sz="4" w:space="0"/>
              <w:right w:val="single" w:color="000000" w:sz="4" w:space="0"/>
            </w:tcBorders>
            <w:vAlign w:val="center"/>
          </w:tcPr>
          <w:p w14:paraId="281BFE56">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1777</w:t>
            </w:r>
          </w:p>
        </w:tc>
      </w:tr>
      <w:tr w14:paraId="7F9DF53B">
        <w:tblPrEx>
          <w:tblCellMar>
            <w:top w:w="0" w:type="dxa"/>
            <w:left w:w="108" w:type="dxa"/>
            <w:bottom w:w="0" w:type="dxa"/>
            <w:right w:w="108" w:type="dxa"/>
          </w:tblCellMar>
        </w:tblPrEx>
        <w:tc>
          <w:tcPr>
            <w:tcW w:w="2312" w:type="dxa"/>
            <w:tcBorders>
              <w:top w:val="single" w:color="000000" w:sz="4" w:space="0"/>
              <w:left w:val="single" w:color="000000" w:sz="4" w:space="0"/>
              <w:bottom w:val="single" w:color="000000" w:sz="4" w:space="0"/>
              <w:right w:val="single" w:color="000000" w:sz="4" w:space="0"/>
            </w:tcBorders>
            <w:vAlign w:val="center"/>
          </w:tcPr>
          <w:p w14:paraId="0BE9B844">
            <w:pPr>
              <w:keepNext w:val="0"/>
              <w:keepLines w:val="0"/>
              <w:pageBreakBefore w:val="0"/>
              <w:widowControl/>
              <w:kinsoku/>
              <w:wordWrap/>
              <w:overflowPunct/>
              <w:topLinePunct w:val="0"/>
              <w:autoSpaceDE/>
              <w:autoSpaceDN/>
              <w:bidi w:val="0"/>
              <w:adjustRightInd/>
              <w:snapToGrid/>
              <w:spacing w:line="560" w:lineRule="exact"/>
              <w:ind w:firstLine="50" w:firstLineChars="18"/>
              <w:jc w:val="center"/>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普通小学</w:t>
            </w:r>
          </w:p>
        </w:tc>
        <w:tc>
          <w:tcPr>
            <w:tcW w:w="1812" w:type="dxa"/>
            <w:tcBorders>
              <w:top w:val="single" w:color="000000" w:sz="4" w:space="0"/>
              <w:left w:val="nil"/>
              <w:bottom w:val="single" w:color="000000" w:sz="4" w:space="0"/>
              <w:right w:val="single" w:color="000000" w:sz="4" w:space="0"/>
            </w:tcBorders>
            <w:vAlign w:val="center"/>
          </w:tcPr>
          <w:p w14:paraId="45C2A00B">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1180</w:t>
            </w:r>
          </w:p>
        </w:tc>
        <w:tc>
          <w:tcPr>
            <w:tcW w:w="2131" w:type="dxa"/>
            <w:tcBorders>
              <w:top w:val="single" w:color="000000" w:sz="4" w:space="0"/>
              <w:left w:val="nil"/>
              <w:bottom w:val="single" w:color="000000" w:sz="4" w:space="0"/>
              <w:right w:val="single" w:color="000000" w:sz="4" w:space="0"/>
            </w:tcBorders>
            <w:vAlign w:val="center"/>
          </w:tcPr>
          <w:p w14:paraId="4DC7EFEB">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7865</w:t>
            </w:r>
          </w:p>
        </w:tc>
        <w:tc>
          <w:tcPr>
            <w:tcW w:w="2131" w:type="dxa"/>
            <w:tcBorders>
              <w:top w:val="single" w:color="000000" w:sz="4" w:space="0"/>
              <w:left w:val="nil"/>
              <w:bottom w:val="single" w:color="000000" w:sz="4" w:space="0"/>
              <w:right w:val="single" w:color="000000" w:sz="4" w:space="0"/>
            </w:tcBorders>
            <w:vAlign w:val="center"/>
          </w:tcPr>
          <w:p w14:paraId="5AB86DAD">
            <w:pPr>
              <w:widowControl/>
              <w:spacing w:line="480" w:lineRule="auto"/>
              <w:ind w:firstLine="560" w:firstLineChars="200"/>
              <w:jc w:val="left"/>
              <w:rPr>
                <w:rFonts w:hint="default" w:ascii="仿宋" w:hAnsi="仿宋" w:eastAsia="仿宋" w:cs="宋体"/>
                <w:color w:val="000000" w:themeColor="text1"/>
                <w:kern w:val="0"/>
                <w:sz w:val="28"/>
                <w:szCs w:val="28"/>
                <w:lang w:val="en-US" w:eastAsia="zh-CN"/>
                <w14:textFill>
                  <w14:solidFill>
                    <w14:schemeClr w14:val="tx1"/>
                  </w14:solidFill>
                </w14:textFill>
              </w:rPr>
            </w:pPr>
            <w:r>
              <w:rPr>
                <w:rFonts w:hint="eastAsia" w:ascii="仿宋" w:hAnsi="仿宋" w:eastAsia="仿宋" w:cs="宋体"/>
                <w:color w:val="000000" w:themeColor="text1"/>
                <w:kern w:val="0"/>
                <w:sz w:val="28"/>
                <w:szCs w:val="28"/>
                <w:lang w:val="en-US" w:eastAsia="zh-CN"/>
                <w14:textFill>
                  <w14:solidFill>
                    <w14:schemeClr w14:val="tx1"/>
                  </w14:solidFill>
                </w14:textFill>
              </w:rPr>
              <w:t>1341</w:t>
            </w:r>
          </w:p>
        </w:tc>
      </w:tr>
    </w:tbl>
    <w:p w14:paraId="2097D255">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eastAsia"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十、文化旅游、卫生健康和体育</w:t>
      </w:r>
    </w:p>
    <w:p w14:paraId="1954A939">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pPr>
      <w:r>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t>全年全区共有各类艺术表演团体53个，文化馆1个，图书馆1个，各街道办事处文化站9个、村（社区）文化中心48个，常家武虎、小尚虎舞国家级非物质文化遗产项目2项，白猿通背拳、东冯封文武高跷、李封天目瓷烧制技艺、造店查拳、小尚炮捶省级非物质文化遗产保护项目5项，市级非物质文化遗产保护项目10项；府城遗址、许衡墓全国重点文物保护单位2处，靳德茂墓、张昺墓、北朱村民居含张昺祠、太行区第四专区及党政军机关旧址、府城王家祠堂省级文物保护单位5处，英福公司李封矿矿师办公室旧址、王封矿发电机房省保附属建筑2处，市级文物保护单位38处。</w:t>
      </w:r>
    </w:p>
    <w:p w14:paraId="7153669E">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pPr>
      <w:r>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t>全年全区共有卫生机构82个，其中：医院、卫生院12个（二级医疗机构1家、一级医疗机构4家，社区卫生服务中心7家）。医院、卫生院病床748张。疾病预防控制中心（防疫站）1个，妇幼保健站1个,卫生监督机构（监督所）1个。</w:t>
      </w:r>
    </w:p>
    <w:p w14:paraId="61858369">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pPr>
      <w:r>
        <w:rPr>
          <w:rFonts w:hint="eastAsia" w:ascii="CESI仿宋-GB18030" w:hAnsi="CESI仿宋-GB18030" w:eastAsia="CESI仿宋-GB18030" w:cs="CESI仿宋-GB18030"/>
          <w:b w:val="0"/>
          <w:bCs/>
          <w:color w:val="000000" w:themeColor="text1"/>
          <w:sz w:val="32"/>
          <w:szCs w:val="32"/>
          <w:lang w:val="en-US" w:eastAsia="zh-CN"/>
          <w14:textFill>
            <w14:solidFill>
              <w14:schemeClr w14:val="tx1"/>
            </w14:solidFill>
          </w14:textFill>
        </w:rPr>
        <w:t>全年全区共开展经常性群众文体活动308余次，举办全区性体育健身活动5余次。全区所有的行政村、社区已实现了体育健身工程的全覆盖，为村（社区）更换健身路径4套，新型农民体育健身工程5套。</w:t>
      </w:r>
    </w:p>
    <w:p w14:paraId="330B6982">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hint="default" w:ascii="黑体" w:hAnsi="黑体" w:eastAsia="黑体" w:cs="黑体"/>
          <w:b/>
          <w:color w:val="000000" w:themeColor="text1"/>
          <w:sz w:val="32"/>
          <w:szCs w:val="32"/>
          <w:lang w:val="en-US" w:eastAsia="zh-CN"/>
          <w14:textFill>
            <w14:solidFill>
              <w14:schemeClr w14:val="tx1"/>
            </w14:solidFill>
          </w14:textFill>
        </w:rPr>
      </w:pPr>
      <w:r>
        <w:rPr>
          <w:rFonts w:hint="eastAsia" w:ascii="黑体" w:hAnsi="黑体" w:eastAsia="黑体" w:cs="黑体"/>
          <w:b/>
          <w:color w:val="000000" w:themeColor="text1"/>
          <w:sz w:val="32"/>
          <w:szCs w:val="32"/>
          <w:lang w:val="en-US" w:eastAsia="zh-CN"/>
          <w14:textFill>
            <w14:solidFill>
              <w14:schemeClr w14:val="tx1"/>
            </w14:solidFill>
          </w14:textFill>
        </w:rPr>
        <w:t>十一、交通、资源和环境</w:t>
      </w:r>
    </w:p>
    <w:p w14:paraId="51D72FE8">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 w:hAnsi="仿宋" w:eastAsia="仿宋" w:cs="仿宋"/>
          <w:color w:val="000000" w:themeColor="text1"/>
          <w:kern w:val="0"/>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全年末全区公路通车总里程203.542公里，</w:t>
      </w:r>
      <w:r>
        <w:rPr>
          <w:rFonts w:hint="eastAsia" w:ascii="仿宋" w:hAnsi="仿宋" w:eastAsia="仿宋" w:cs="仿宋"/>
          <w:color w:val="000000" w:themeColor="text1"/>
          <w:kern w:val="0"/>
          <w:sz w:val="32"/>
          <w:szCs w:val="32"/>
          <w14:textFill>
            <w14:solidFill>
              <w14:schemeClr w14:val="tx1"/>
            </w14:solidFill>
          </w14:textFill>
        </w:rPr>
        <w:t>其中干线公路总里程</w:t>
      </w:r>
      <w:r>
        <w:rPr>
          <w:rFonts w:hint="eastAsia" w:ascii="仿宋" w:hAnsi="仿宋" w:eastAsia="仿宋" w:cs="仿宋"/>
          <w:color w:val="000000" w:themeColor="text1"/>
          <w:kern w:val="0"/>
          <w:sz w:val="32"/>
          <w:szCs w:val="32"/>
          <w:lang w:val="en-US" w:eastAsia="zh-CN"/>
          <w14:textFill>
            <w14:solidFill>
              <w14:schemeClr w14:val="tx1"/>
            </w14:solidFill>
          </w14:textFill>
        </w:rPr>
        <w:t>72.622</w:t>
      </w:r>
      <w:r>
        <w:rPr>
          <w:rFonts w:hint="eastAsia" w:ascii="仿宋" w:hAnsi="仿宋" w:eastAsia="仿宋" w:cs="仿宋"/>
          <w:color w:val="000000" w:themeColor="text1"/>
          <w:kern w:val="0"/>
          <w:sz w:val="32"/>
          <w:szCs w:val="32"/>
          <w14:textFill>
            <w14:solidFill>
              <w14:schemeClr w14:val="tx1"/>
            </w14:solidFill>
          </w14:textFill>
        </w:rPr>
        <w:t>公里，农村公路总里程</w:t>
      </w:r>
      <w:r>
        <w:rPr>
          <w:rFonts w:hint="eastAsia" w:ascii="仿宋" w:hAnsi="仿宋" w:eastAsia="仿宋" w:cs="仿宋"/>
          <w:color w:val="000000" w:themeColor="text1"/>
          <w:kern w:val="0"/>
          <w:sz w:val="32"/>
          <w:szCs w:val="32"/>
          <w:lang w:val="en-US" w:eastAsia="zh-CN"/>
          <w14:textFill>
            <w14:solidFill>
              <w14:schemeClr w14:val="tx1"/>
            </w14:solidFill>
          </w14:textFill>
        </w:rPr>
        <w:t>130.92</w:t>
      </w:r>
      <w:r>
        <w:rPr>
          <w:rFonts w:hint="eastAsia" w:ascii="仿宋" w:hAnsi="仿宋" w:eastAsia="仿宋" w:cs="仿宋"/>
          <w:color w:val="000000" w:themeColor="text1"/>
          <w:kern w:val="0"/>
          <w:sz w:val="32"/>
          <w:szCs w:val="32"/>
          <w14:textFill>
            <w14:solidFill>
              <w14:schemeClr w14:val="tx1"/>
            </w14:solidFill>
          </w14:textFill>
        </w:rPr>
        <w:t>公里。全区行政村村村通油路或水泥路</w:t>
      </w:r>
      <w:r>
        <w:rPr>
          <w:rFonts w:hint="eastAsia" w:ascii="仿宋" w:hAnsi="仿宋" w:eastAsia="仿宋" w:cs="仿宋"/>
          <w:color w:val="000000" w:themeColor="text1"/>
          <w:kern w:val="0"/>
          <w:sz w:val="32"/>
          <w:szCs w:val="32"/>
          <w:lang w:val="en-US" w:eastAsia="zh-CN"/>
          <w14:textFill>
            <w14:solidFill>
              <w14:schemeClr w14:val="tx1"/>
            </w14:solidFill>
          </w14:textFill>
        </w:rPr>
        <w:t>122.146</w:t>
      </w:r>
      <w:r>
        <w:rPr>
          <w:rFonts w:hint="eastAsia" w:ascii="仿宋" w:hAnsi="仿宋" w:eastAsia="仿宋" w:cs="仿宋"/>
          <w:color w:val="000000" w:themeColor="text1"/>
          <w:kern w:val="0"/>
          <w:sz w:val="32"/>
          <w:szCs w:val="32"/>
          <w14:textFill>
            <w14:solidFill>
              <w14:schemeClr w14:val="tx1"/>
            </w14:solidFill>
          </w14:textFill>
        </w:rPr>
        <w:t>公里</w:t>
      </w:r>
      <w:r>
        <w:rPr>
          <w:rFonts w:hint="eastAsia" w:ascii="仿宋" w:hAnsi="仿宋" w:eastAsia="仿宋" w:cs="仿宋"/>
          <w:color w:val="000000" w:themeColor="text1"/>
          <w:kern w:val="0"/>
          <w:sz w:val="32"/>
          <w:szCs w:val="32"/>
          <w:lang w:eastAsia="zh-CN"/>
          <w14:textFill>
            <w14:solidFill>
              <w14:schemeClr w14:val="tx1"/>
            </w14:solidFill>
          </w14:textFill>
        </w:rPr>
        <w:t>。</w:t>
      </w:r>
    </w:p>
    <w:p w14:paraId="3843CDFC">
      <w:pPr>
        <w:pStyle w:val="3"/>
        <w:ind w:left="0" w:leftChars="0" w:firstLine="640" w:firstLineChars="200"/>
        <w:rPr>
          <w:rFonts w:hint="default" w:ascii="仿宋" w:hAnsi="仿宋" w:eastAsia="仿宋" w:cs="仿宋"/>
          <w:color w:val="000000" w:themeColor="text1"/>
          <w:kern w:val="0"/>
          <w:sz w:val="32"/>
          <w:szCs w:val="32"/>
          <w:lang w:val="en-US" w:eastAsia="zh-CN" w:bidi="ar-SA"/>
          <w14:textFill>
            <w14:solidFill>
              <w14:schemeClr w14:val="tx1"/>
            </w14:solidFill>
          </w14:textFill>
        </w:rPr>
      </w:pPr>
      <w:r>
        <w:rPr>
          <w:rFonts w:hint="eastAsia" w:ascii="仿宋" w:hAnsi="仿宋" w:eastAsia="仿宋" w:cs="仿宋"/>
          <w:color w:val="000000" w:themeColor="text1"/>
          <w:kern w:val="0"/>
          <w:sz w:val="32"/>
          <w:szCs w:val="32"/>
          <w:lang w:val="en-US" w:eastAsia="zh-CN" w:bidi="ar-SA"/>
          <w14:textFill>
            <w14:solidFill>
              <w14:schemeClr w14:val="tx1"/>
            </w14:solidFill>
          </w14:textFill>
        </w:rPr>
        <w:t>全年全区全社会能耗总量211.6万吨标准煤，比上年增长0.5%，万元GDP能耗降低率为-4.5%。全年全区规模以上工业综合能源消费量比上年增长0.7%，规模以上工业单位增加值能耗下降6.3%。</w:t>
      </w:r>
    </w:p>
    <w:p w14:paraId="785D4FF7">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color w:val="000000" w:themeColor="text1"/>
          <w:kern w:val="0"/>
          <w:sz w:val="32"/>
          <w:szCs w:val="32"/>
          <w:lang w:val="en-US" w:eastAsia="zh-CN" w:bidi="ar-SA"/>
          <w14:textFill>
            <w14:solidFill>
              <w14:schemeClr w14:val="tx1"/>
            </w14:solidFill>
          </w14:textFill>
        </w:rPr>
      </w:pPr>
      <w:r>
        <w:rPr>
          <w:rFonts w:hint="eastAsia" w:ascii="仿宋" w:hAnsi="仿宋" w:eastAsia="仿宋" w:cs="仿宋"/>
          <w:color w:val="000000" w:themeColor="text1"/>
          <w:kern w:val="0"/>
          <w:sz w:val="32"/>
          <w:szCs w:val="32"/>
          <w:lang w:val="en-US" w:eastAsia="zh-CN" w:bidi="ar-SA"/>
          <w14:textFill>
            <w14:solidFill>
              <w14:schemeClr w14:val="tx1"/>
            </w14:solidFill>
          </w14:textFill>
        </w:rPr>
        <w:t>全年全区PM10年均浓度为71微克/立方米，低于目标值6微克/立方米(2024年PM10市定目标值77微克/立方米);PM2.5年均浓度为46微克/立方米;优良天数为245天，</w:t>
      </w:r>
      <w:r>
        <w:rPr>
          <w:rFonts w:hint="default" w:ascii="仿宋_GB2312" w:eastAsia="仿宋_GB2312" w:cs="仿宋_GB2312"/>
          <w:color w:val="000000" w:themeColor="text1"/>
          <w:sz w:val="32"/>
          <w:szCs w:val="32"/>
          <w14:textFill>
            <w14:solidFill>
              <w14:schemeClr w14:val="tx1"/>
            </w14:solidFill>
          </w14:textFill>
        </w:rPr>
        <w:t>同比去年增加</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12</w:t>
      </w:r>
      <w:r>
        <w:rPr>
          <w:rFonts w:hint="default" w:ascii="仿宋_GB2312" w:eastAsia="仿宋_GB2312" w:cs="仿宋_GB2312"/>
          <w:color w:val="000000" w:themeColor="text1"/>
          <w:sz w:val="32"/>
          <w:szCs w:val="32"/>
          <w14:textFill>
            <w14:solidFill>
              <w14:schemeClr w14:val="tx1"/>
            </w14:solidFill>
          </w14:textFill>
        </w:rPr>
        <w:t>天，</w:t>
      </w:r>
      <w:r>
        <w:rPr>
          <w:rFonts w:hint="eastAsia" w:ascii="仿宋" w:hAnsi="仿宋" w:eastAsia="仿宋" w:cs="仿宋"/>
          <w:color w:val="000000" w:themeColor="text1"/>
          <w:kern w:val="0"/>
          <w:sz w:val="32"/>
          <w:szCs w:val="32"/>
          <w:lang w:val="en-US" w:eastAsia="zh-CN" w:bidi="ar-SA"/>
          <w14:textFill>
            <w14:solidFill>
              <w14:schemeClr w14:val="tx1"/>
            </w14:solidFill>
          </w14:textFill>
        </w:rPr>
        <w:t>超出目标值9天(2024年优良天市定目标值236天)。</w:t>
      </w:r>
    </w:p>
    <w:p w14:paraId="1DE06682">
      <w:pPr>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全年全区完成造林面积</w:t>
      </w:r>
      <w:r>
        <w:rPr>
          <w:rFonts w:hint="eastAsia" w:ascii="仿宋" w:hAnsi="仿宋" w:eastAsia="仿宋" w:cs="仿宋"/>
          <w:color w:val="auto"/>
          <w:kern w:val="0"/>
          <w:sz w:val="32"/>
          <w:szCs w:val="32"/>
          <w:lang w:val="en-US" w:eastAsia="zh-CN"/>
        </w:rPr>
        <w:t>46</w:t>
      </w:r>
      <w:r>
        <w:rPr>
          <w:rFonts w:hint="eastAsia" w:ascii="仿宋" w:hAnsi="仿宋" w:eastAsia="仿宋" w:cs="仿宋"/>
          <w:color w:val="auto"/>
          <w:kern w:val="0"/>
          <w:sz w:val="32"/>
          <w:szCs w:val="32"/>
        </w:rPr>
        <w:t>公顷，其中人工造林面积</w:t>
      </w:r>
      <w:r>
        <w:rPr>
          <w:rFonts w:hint="eastAsia" w:ascii="仿宋" w:hAnsi="仿宋" w:eastAsia="仿宋" w:cs="仿宋"/>
          <w:color w:val="auto"/>
          <w:kern w:val="0"/>
          <w:sz w:val="32"/>
          <w:szCs w:val="32"/>
          <w:lang w:val="en-US" w:eastAsia="zh-CN"/>
        </w:rPr>
        <w:t>46</w:t>
      </w:r>
      <w:r>
        <w:rPr>
          <w:rFonts w:hint="eastAsia" w:ascii="仿宋" w:hAnsi="仿宋" w:eastAsia="仿宋" w:cs="仿宋"/>
          <w:color w:val="auto"/>
          <w:kern w:val="0"/>
          <w:sz w:val="32"/>
          <w:szCs w:val="32"/>
        </w:rPr>
        <w:t>公顷。全区参加义务植树</w:t>
      </w:r>
      <w:r>
        <w:rPr>
          <w:rFonts w:hint="eastAsia" w:ascii="仿宋" w:hAnsi="仿宋" w:eastAsia="仿宋" w:cs="仿宋"/>
          <w:color w:val="auto"/>
          <w:kern w:val="0"/>
          <w:sz w:val="32"/>
          <w:szCs w:val="32"/>
          <w:lang w:val="en-US" w:eastAsia="zh-CN"/>
        </w:rPr>
        <w:t>500</w:t>
      </w:r>
      <w:r>
        <w:rPr>
          <w:rFonts w:hint="eastAsia" w:ascii="仿宋" w:hAnsi="仿宋" w:eastAsia="仿宋" w:cs="仿宋"/>
          <w:color w:val="auto"/>
          <w:kern w:val="0"/>
          <w:sz w:val="32"/>
          <w:szCs w:val="32"/>
        </w:rPr>
        <w:t>余人次，完成义务植树</w:t>
      </w:r>
      <w:r>
        <w:rPr>
          <w:rFonts w:hint="eastAsia" w:ascii="仿宋" w:hAnsi="仿宋" w:eastAsia="仿宋" w:cs="仿宋"/>
          <w:color w:val="auto"/>
          <w:kern w:val="0"/>
          <w:sz w:val="32"/>
          <w:szCs w:val="32"/>
          <w:lang w:val="en-US" w:eastAsia="zh-CN"/>
        </w:rPr>
        <w:t>2000</w:t>
      </w:r>
      <w:r>
        <w:rPr>
          <w:rFonts w:hint="eastAsia" w:ascii="仿宋" w:hAnsi="仿宋" w:eastAsia="仿宋" w:cs="仿宋"/>
          <w:color w:val="auto"/>
          <w:kern w:val="0"/>
          <w:sz w:val="32"/>
          <w:szCs w:val="32"/>
        </w:rPr>
        <w:t>余株。年末共有国家级自然保护区</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个，省级森林公园</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个。</w:t>
      </w:r>
    </w:p>
    <w:p w14:paraId="052FBE88">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注：</w:t>
      </w:r>
    </w:p>
    <w:p w14:paraId="2BEF8B4D">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1.本公报2024年数据为初步统计结果。部分数据因四舍五入的原因，存在总计与分项合计不等的情况。</w:t>
      </w:r>
    </w:p>
    <w:p w14:paraId="17D93BB4">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生产总值、各产业增加值绝对数按现价计算，增长速度按不变价格计算。根据我国国民经济核算制度和第五次全国经济普查结果，2023年全区地区生产总值修订为158.2亿元，三次产业结构为0.4:65.1:34.6，并对历史数据进行了修订。</w:t>
      </w:r>
    </w:p>
    <w:p w14:paraId="657E8058">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三次产业分类依据国家统计局2018年修订的《三次产业划分规定》，第一产业是指农、林、牧、渔业（不含农、林、牧、渔专业及辅助性活动）；第二产业是指采矿业（不含开采专业及辅助性活动），制造业（不含金属制品、机械和设备修理业），电力、热力、燃气及水生产和供应业，建筑业；第三产业即服务业，是指除第一产业、第二产业以外的其他行业（剔除国际组织）。</w:t>
      </w:r>
    </w:p>
    <w:p w14:paraId="6CF01B98">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.工业战略性新兴产业根据国家统计局制定的《战略性新兴产业分类（2017）》确定。</w:t>
      </w:r>
    </w:p>
    <w:p w14:paraId="54198177">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default"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5、根据“当城镇（农村）样本量不足50户时，不得公开发布城镇（农村）居民收支数据当全年全区居民”的制度规定，2024年，全区居民人均可支配收入、农村居民人均可支配收入、居民人均消费支出、农村居民人均消费支出数据为城区统一数据。</w:t>
      </w:r>
    </w:p>
    <w:p w14:paraId="0D4486B5">
      <w:pPr>
        <w:pStyle w:val="7"/>
        <w:keepNext w:val="0"/>
        <w:keepLines w:val="0"/>
        <w:widowControl/>
        <w:suppressLineNumbers w:val="0"/>
        <w:wordWrap/>
        <w:spacing w:before="0" w:beforeAutospacing="0" w:after="0" w:afterAutospacing="0" w:line="540" w:lineRule="atLeast"/>
        <w:ind w:left="0" w:right="0" w:firstLine="480" w:firstLineChars="200"/>
        <w:rPr>
          <w:rFonts w:hint="default" w:ascii="仿宋" w:hAnsi="仿宋" w:eastAsia="仿宋" w:cs="仿宋"/>
          <w:color w:val="FF0000"/>
          <w:sz w:val="24"/>
          <w:szCs w:val="24"/>
          <w:lang w:val="en-US" w:eastAsia="zh-CN"/>
        </w:rPr>
      </w:pPr>
      <w:r>
        <w:rPr>
          <w:rFonts w:hint="eastAsia" w:ascii="仿宋" w:hAnsi="仿宋" w:eastAsia="仿宋" w:cs="仿宋"/>
          <w:color w:val="auto"/>
          <w:kern w:val="0"/>
          <w:sz w:val="24"/>
          <w:szCs w:val="24"/>
          <w:lang w:val="en-US" w:eastAsia="zh-CN" w:bidi="ar-SA"/>
        </w:rPr>
        <w:t>6、资料来源：本公报中城乡最低生活保障标准、救助城乡低保障人员、发放城乡最低生活保障金额、救助城乡特困人员、发放特困救助供养金额、临时救助困难群众人员，发放救助金额、办理结婚登记和离婚登记情况等数据来自区民政局；一般公共预算收入金额，一般公共预算支出金额等数据来自区财政局；金融机构各项人民币存贷款余额、上市公司、新三板挂牌公司、保险保费收入和赔款支出等数据来自区金融工作局；造林面积、参加义务植树人次、义务植树株数、自然保护区、森林公园等数据来自区农业农村局；艺术表演团体、文化设施、文物保护单位、非物质文化遗产项目、群众文体活动场次、体育健身活动次数、体育健身工程覆盖实施情况等数据来自区文化广电和旅游局；各类学校招生、在校、毕业人数、资助学生人数和金额等数据来自区教育局；高新技术企业、国家科技型中小企业、工程技术研究中心数量、省科学技术奖1项、技术合同登记额、各类科技政策性资金等数据来</w:t>
      </w:r>
      <w:r>
        <w:rPr>
          <w:rFonts w:hint="eastAsia" w:ascii="仿宋" w:hAnsi="仿宋" w:eastAsia="仿宋" w:cs="仿宋"/>
          <w:color w:val="FF0000"/>
          <w:kern w:val="0"/>
          <w:sz w:val="24"/>
          <w:szCs w:val="24"/>
          <w:lang w:val="en-US" w:eastAsia="zh-CN" w:bidi="ar-SA"/>
        </w:rPr>
        <w:t>自区科技和工业信息化局</w:t>
      </w:r>
      <w:r>
        <w:rPr>
          <w:rFonts w:hint="eastAsia" w:ascii="仿宋" w:hAnsi="仿宋" w:eastAsia="仿宋" w:cs="仿宋"/>
          <w:color w:val="auto"/>
          <w:kern w:val="0"/>
          <w:sz w:val="24"/>
          <w:szCs w:val="24"/>
          <w:lang w:val="en-US" w:eastAsia="zh-CN" w:bidi="ar-SA"/>
        </w:rPr>
        <w:t>；城乡居民基本养老保险人数和参加失业保险人数等数据来自区人力资源和社会保障局；货物贸易进出口、实际使用外资等数据来自区商务局；参加基本医疗保险人数等数据来自区医疗保障局；公路通车里程、村村通油路或水泥路里程等数据来自区交通运输局；卫生机构、床位数等数据来自卫健委；PM10年均浓度、PM2.5年均浓度、优良天数等数据来自中站生态环境分局；其他数据来自区统计局。</w:t>
      </w:r>
    </w:p>
    <w:p w14:paraId="59D54243">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部分数据合计数或相对数由于单位取舍不同而产生的计算误差均未作机械调整。</w:t>
      </w:r>
    </w:p>
    <w:p w14:paraId="1B486A05">
      <w:pPr>
        <w:rPr>
          <w:rFonts w:ascii="仿宋" w:hAnsi="仿宋" w:eastAsia="仿宋" w:cs="仿宋"/>
          <w:color w:val="FF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ESI仿宋-GB18030">
    <w:altName w:val="仿宋"/>
    <w:panose1 w:val="020005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3E7A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896FFE">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14:paraId="1A896FF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5ZTRhNjViZThkODMyNjFmNDQzNjZiZTVmYWI3NWYifQ=="/>
  </w:docVars>
  <w:rsids>
    <w:rsidRoot w:val="75D32B1E"/>
    <w:rsid w:val="00041EA3"/>
    <w:rsid w:val="000428E6"/>
    <w:rsid w:val="00082B3C"/>
    <w:rsid w:val="000859DA"/>
    <w:rsid w:val="000969AD"/>
    <w:rsid w:val="001A1DAE"/>
    <w:rsid w:val="001F7F7E"/>
    <w:rsid w:val="00201C1E"/>
    <w:rsid w:val="0024464A"/>
    <w:rsid w:val="00272F20"/>
    <w:rsid w:val="002E6413"/>
    <w:rsid w:val="003549D6"/>
    <w:rsid w:val="00385B80"/>
    <w:rsid w:val="003C43BB"/>
    <w:rsid w:val="00430C0A"/>
    <w:rsid w:val="0048298A"/>
    <w:rsid w:val="004C35CC"/>
    <w:rsid w:val="005213A2"/>
    <w:rsid w:val="005730FC"/>
    <w:rsid w:val="005F6255"/>
    <w:rsid w:val="006115C0"/>
    <w:rsid w:val="006123B1"/>
    <w:rsid w:val="006814B1"/>
    <w:rsid w:val="006D2A98"/>
    <w:rsid w:val="006D6F3B"/>
    <w:rsid w:val="00744BB3"/>
    <w:rsid w:val="007A159C"/>
    <w:rsid w:val="007A43C3"/>
    <w:rsid w:val="00831310"/>
    <w:rsid w:val="00902C2A"/>
    <w:rsid w:val="00933498"/>
    <w:rsid w:val="00973FB8"/>
    <w:rsid w:val="00995516"/>
    <w:rsid w:val="00A4512C"/>
    <w:rsid w:val="00B1089E"/>
    <w:rsid w:val="00B767A9"/>
    <w:rsid w:val="00C91165"/>
    <w:rsid w:val="00D01EFC"/>
    <w:rsid w:val="00D20B4D"/>
    <w:rsid w:val="00D9012D"/>
    <w:rsid w:val="00E53D07"/>
    <w:rsid w:val="00E56C41"/>
    <w:rsid w:val="00E7694E"/>
    <w:rsid w:val="00EA2817"/>
    <w:rsid w:val="00F76805"/>
    <w:rsid w:val="00FB72F2"/>
    <w:rsid w:val="00FC3E1B"/>
    <w:rsid w:val="01017684"/>
    <w:rsid w:val="012A6BDB"/>
    <w:rsid w:val="01347A59"/>
    <w:rsid w:val="01453A14"/>
    <w:rsid w:val="01527EDF"/>
    <w:rsid w:val="01634AAB"/>
    <w:rsid w:val="01943F18"/>
    <w:rsid w:val="01A65484"/>
    <w:rsid w:val="01A73D87"/>
    <w:rsid w:val="01B6046E"/>
    <w:rsid w:val="01B74978"/>
    <w:rsid w:val="01BF5575"/>
    <w:rsid w:val="01C04E49"/>
    <w:rsid w:val="01C70348"/>
    <w:rsid w:val="01CA0D85"/>
    <w:rsid w:val="01D152A8"/>
    <w:rsid w:val="01E4091A"/>
    <w:rsid w:val="02025461"/>
    <w:rsid w:val="020B4C98"/>
    <w:rsid w:val="02225B04"/>
    <w:rsid w:val="02247086"/>
    <w:rsid w:val="02483192"/>
    <w:rsid w:val="02510197"/>
    <w:rsid w:val="02555ED9"/>
    <w:rsid w:val="026C1FFB"/>
    <w:rsid w:val="026E6F9B"/>
    <w:rsid w:val="02A76009"/>
    <w:rsid w:val="02B32C00"/>
    <w:rsid w:val="02B726F0"/>
    <w:rsid w:val="02D45050"/>
    <w:rsid w:val="02DA1F3A"/>
    <w:rsid w:val="02E1151B"/>
    <w:rsid w:val="02EB05EB"/>
    <w:rsid w:val="031F12CE"/>
    <w:rsid w:val="03237D85"/>
    <w:rsid w:val="034D4E02"/>
    <w:rsid w:val="035717DD"/>
    <w:rsid w:val="036D1000"/>
    <w:rsid w:val="03773C2D"/>
    <w:rsid w:val="037802C6"/>
    <w:rsid w:val="03942A31"/>
    <w:rsid w:val="03A36084"/>
    <w:rsid w:val="03B60BF9"/>
    <w:rsid w:val="03BB45AA"/>
    <w:rsid w:val="03BF6142"/>
    <w:rsid w:val="03CA406C"/>
    <w:rsid w:val="03CF0ABD"/>
    <w:rsid w:val="03D177E1"/>
    <w:rsid w:val="03DC540D"/>
    <w:rsid w:val="040A2CF3"/>
    <w:rsid w:val="043B2EAD"/>
    <w:rsid w:val="0442423B"/>
    <w:rsid w:val="045126D0"/>
    <w:rsid w:val="04601D53"/>
    <w:rsid w:val="04644730"/>
    <w:rsid w:val="048D195A"/>
    <w:rsid w:val="04936845"/>
    <w:rsid w:val="04A743F8"/>
    <w:rsid w:val="04C679B5"/>
    <w:rsid w:val="04D07A99"/>
    <w:rsid w:val="04EC7060"/>
    <w:rsid w:val="04ED064B"/>
    <w:rsid w:val="04FC6AE0"/>
    <w:rsid w:val="05025778"/>
    <w:rsid w:val="05145BD8"/>
    <w:rsid w:val="05153056"/>
    <w:rsid w:val="051C2CDE"/>
    <w:rsid w:val="05216546"/>
    <w:rsid w:val="052A52EE"/>
    <w:rsid w:val="0539362A"/>
    <w:rsid w:val="05773A30"/>
    <w:rsid w:val="05C70E9C"/>
    <w:rsid w:val="05D53406"/>
    <w:rsid w:val="05D76C05"/>
    <w:rsid w:val="05E82BC0"/>
    <w:rsid w:val="05F81055"/>
    <w:rsid w:val="0638308C"/>
    <w:rsid w:val="06420522"/>
    <w:rsid w:val="06514C09"/>
    <w:rsid w:val="066A57CB"/>
    <w:rsid w:val="068C79F0"/>
    <w:rsid w:val="06A44D39"/>
    <w:rsid w:val="06BA27AF"/>
    <w:rsid w:val="06C8767B"/>
    <w:rsid w:val="06DB44D3"/>
    <w:rsid w:val="06EB47E3"/>
    <w:rsid w:val="06ED1A3A"/>
    <w:rsid w:val="06EE06AA"/>
    <w:rsid w:val="06F061D0"/>
    <w:rsid w:val="06F537E7"/>
    <w:rsid w:val="06FA27D5"/>
    <w:rsid w:val="070B051F"/>
    <w:rsid w:val="070B6B66"/>
    <w:rsid w:val="071579E5"/>
    <w:rsid w:val="072145DC"/>
    <w:rsid w:val="073E53BF"/>
    <w:rsid w:val="07462294"/>
    <w:rsid w:val="075524D7"/>
    <w:rsid w:val="075F2594"/>
    <w:rsid w:val="07691ADF"/>
    <w:rsid w:val="077C1812"/>
    <w:rsid w:val="07833724"/>
    <w:rsid w:val="078A174F"/>
    <w:rsid w:val="079175D5"/>
    <w:rsid w:val="079F3753"/>
    <w:rsid w:val="07B436A2"/>
    <w:rsid w:val="07B976C5"/>
    <w:rsid w:val="080F15E4"/>
    <w:rsid w:val="08144141"/>
    <w:rsid w:val="08234384"/>
    <w:rsid w:val="0837011C"/>
    <w:rsid w:val="083D5445"/>
    <w:rsid w:val="084F33CB"/>
    <w:rsid w:val="084F478B"/>
    <w:rsid w:val="08612A73"/>
    <w:rsid w:val="08714021"/>
    <w:rsid w:val="088766C0"/>
    <w:rsid w:val="08892439"/>
    <w:rsid w:val="089A1325"/>
    <w:rsid w:val="08B5322E"/>
    <w:rsid w:val="08BA4CE8"/>
    <w:rsid w:val="08C94F2B"/>
    <w:rsid w:val="08CE42EF"/>
    <w:rsid w:val="08ED37A6"/>
    <w:rsid w:val="08F301FA"/>
    <w:rsid w:val="09075A53"/>
    <w:rsid w:val="093305F6"/>
    <w:rsid w:val="0946032A"/>
    <w:rsid w:val="096B378F"/>
    <w:rsid w:val="097053A7"/>
    <w:rsid w:val="09756E61"/>
    <w:rsid w:val="098A47B6"/>
    <w:rsid w:val="099B1542"/>
    <w:rsid w:val="09B2776D"/>
    <w:rsid w:val="09B87FCE"/>
    <w:rsid w:val="09D43B87"/>
    <w:rsid w:val="09DB4F16"/>
    <w:rsid w:val="09E76BEE"/>
    <w:rsid w:val="0A1E3055"/>
    <w:rsid w:val="0A356BC7"/>
    <w:rsid w:val="0A36019B"/>
    <w:rsid w:val="0A4505E1"/>
    <w:rsid w:val="0A5627EE"/>
    <w:rsid w:val="0A5D3B7D"/>
    <w:rsid w:val="0A670558"/>
    <w:rsid w:val="0A713900"/>
    <w:rsid w:val="0A79472F"/>
    <w:rsid w:val="0A80786B"/>
    <w:rsid w:val="0A984BB5"/>
    <w:rsid w:val="0A9F4195"/>
    <w:rsid w:val="0AC31DC9"/>
    <w:rsid w:val="0AD83203"/>
    <w:rsid w:val="0ADD2F10"/>
    <w:rsid w:val="0AE61DC4"/>
    <w:rsid w:val="0AEC7FD0"/>
    <w:rsid w:val="0AFE12F5"/>
    <w:rsid w:val="0B297647"/>
    <w:rsid w:val="0B3F3C64"/>
    <w:rsid w:val="0B472137"/>
    <w:rsid w:val="0B5C3E34"/>
    <w:rsid w:val="0B5F6506"/>
    <w:rsid w:val="0B6131F9"/>
    <w:rsid w:val="0B6D6042"/>
    <w:rsid w:val="0B9244AD"/>
    <w:rsid w:val="0BA65D7A"/>
    <w:rsid w:val="0BC0456A"/>
    <w:rsid w:val="0BC814CA"/>
    <w:rsid w:val="0BDB2B67"/>
    <w:rsid w:val="0C0369A6"/>
    <w:rsid w:val="0C061FF2"/>
    <w:rsid w:val="0C2C3B88"/>
    <w:rsid w:val="0C380D85"/>
    <w:rsid w:val="0C452B1A"/>
    <w:rsid w:val="0C57284E"/>
    <w:rsid w:val="0C5E1E2E"/>
    <w:rsid w:val="0C871385"/>
    <w:rsid w:val="0C9475FE"/>
    <w:rsid w:val="0CA535B9"/>
    <w:rsid w:val="0CC57ACD"/>
    <w:rsid w:val="0CC954FA"/>
    <w:rsid w:val="0CCE0D62"/>
    <w:rsid w:val="0CD81FE0"/>
    <w:rsid w:val="0CE93A79"/>
    <w:rsid w:val="0CEA36C2"/>
    <w:rsid w:val="0CEE6D0E"/>
    <w:rsid w:val="0CF54541"/>
    <w:rsid w:val="0D002EE5"/>
    <w:rsid w:val="0D054058"/>
    <w:rsid w:val="0D140704"/>
    <w:rsid w:val="0D197B03"/>
    <w:rsid w:val="0D1B236A"/>
    <w:rsid w:val="0D244E26"/>
    <w:rsid w:val="0D417786"/>
    <w:rsid w:val="0D4C612B"/>
    <w:rsid w:val="0D542E96"/>
    <w:rsid w:val="0D5A276F"/>
    <w:rsid w:val="0D7D3ED3"/>
    <w:rsid w:val="0D821B4C"/>
    <w:rsid w:val="0D9D24E2"/>
    <w:rsid w:val="0DA73B82"/>
    <w:rsid w:val="0DA87805"/>
    <w:rsid w:val="0DAC1C3E"/>
    <w:rsid w:val="0DB00467"/>
    <w:rsid w:val="0DF540CC"/>
    <w:rsid w:val="0DFA7935"/>
    <w:rsid w:val="0E013747"/>
    <w:rsid w:val="0E16593F"/>
    <w:rsid w:val="0E1B7FD7"/>
    <w:rsid w:val="0E5708C4"/>
    <w:rsid w:val="0E5928AD"/>
    <w:rsid w:val="0E5A03D3"/>
    <w:rsid w:val="0E6574A4"/>
    <w:rsid w:val="0E894D27"/>
    <w:rsid w:val="0E8C446E"/>
    <w:rsid w:val="0E9909B8"/>
    <w:rsid w:val="0E99670C"/>
    <w:rsid w:val="0ECF491D"/>
    <w:rsid w:val="0EE505E5"/>
    <w:rsid w:val="0F0A1DF9"/>
    <w:rsid w:val="0F346E76"/>
    <w:rsid w:val="0F362BEE"/>
    <w:rsid w:val="0F3B0205"/>
    <w:rsid w:val="0F4A3E67"/>
    <w:rsid w:val="0F515C7A"/>
    <w:rsid w:val="0F5337A0"/>
    <w:rsid w:val="0F747687"/>
    <w:rsid w:val="0F781459"/>
    <w:rsid w:val="0F7A6F7F"/>
    <w:rsid w:val="0FA2064B"/>
    <w:rsid w:val="0FA32AAF"/>
    <w:rsid w:val="0FA61B22"/>
    <w:rsid w:val="0FB40474"/>
    <w:rsid w:val="0FD04DF1"/>
    <w:rsid w:val="0FFD4225"/>
    <w:rsid w:val="0FFEF0C5"/>
    <w:rsid w:val="0FFF56D6"/>
    <w:rsid w:val="10086339"/>
    <w:rsid w:val="100E3C08"/>
    <w:rsid w:val="10134CDE"/>
    <w:rsid w:val="10191164"/>
    <w:rsid w:val="102173FB"/>
    <w:rsid w:val="102B0279"/>
    <w:rsid w:val="103C51F6"/>
    <w:rsid w:val="104E0165"/>
    <w:rsid w:val="10750EEC"/>
    <w:rsid w:val="107C0AD5"/>
    <w:rsid w:val="10863702"/>
    <w:rsid w:val="108F0808"/>
    <w:rsid w:val="108F6A5A"/>
    <w:rsid w:val="10925A7C"/>
    <w:rsid w:val="109852EC"/>
    <w:rsid w:val="109C2F25"/>
    <w:rsid w:val="10C06C14"/>
    <w:rsid w:val="10C27336"/>
    <w:rsid w:val="10C61D50"/>
    <w:rsid w:val="10D64689"/>
    <w:rsid w:val="10D6635B"/>
    <w:rsid w:val="11234432"/>
    <w:rsid w:val="11351FC9"/>
    <w:rsid w:val="11390774"/>
    <w:rsid w:val="11405FA6"/>
    <w:rsid w:val="116E041E"/>
    <w:rsid w:val="118916FB"/>
    <w:rsid w:val="119D229A"/>
    <w:rsid w:val="11B2284A"/>
    <w:rsid w:val="11C5740C"/>
    <w:rsid w:val="11C97D4A"/>
    <w:rsid w:val="11E15093"/>
    <w:rsid w:val="11EE6BF4"/>
    <w:rsid w:val="120300D1"/>
    <w:rsid w:val="12086AC4"/>
    <w:rsid w:val="121D69D6"/>
    <w:rsid w:val="122B4943"/>
    <w:rsid w:val="124444F2"/>
    <w:rsid w:val="124F0883"/>
    <w:rsid w:val="12521AED"/>
    <w:rsid w:val="12A32349"/>
    <w:rsid w:val="12EC77C1"/>
    <w:rsid w:val="12FB2185"/>
    <w:rsid w:val="12FE7EC7"/>
    <w:rsid w:val="1303728B"/>
    <w:rsid w:val="13190E51"/>
    <w:rsid w:val="13225964"/>
    <w:rsid w:val="13265C2F"/>
    <w:rsid w:val="1347361C"/>
    <w:rsid w:val="134A0A16"/>
    <w:rsid w:val="135D5BA6"/>
    <w:rsid w:val="136057B9"/>
    <w:rsid w:val="13655850"/>
    <w:rsid w:val="13741F37"/>
    <w:rsid w:val="13750189"/>
    <w:rsid w:val="13783CEF"/>
    <w:rsid w:val="137B5074"/>
    <w:rsid w:val="137D4E72"/>
    <w:rsid w:val="13DE2CBE"/>
    <w:rsid w:val="13EB3FA7"/>
    <w:rsid w:val="13EE5846"/>
    <w:rsid w:val="140B4AED"/>
    <w:rsid w:val="14180502"/>
    <w:rsid w:val="141F1528"/>
    <w:rsid w:val="14396398"/>
    <w:rsid w:val="1445127B"/>
    <w:rsid w:val="14667AD2"/>
    <w:rsid w:val="147A17CF"/>
    <w:rsid w:val="14847F58"/>
    <w:rsid w:val="148A3535"/>
    <w:rsid w:val="14A376BB"/>
    <w:rsid w:val="14A437A0"/>
    <w:rsid w:val="14A800EA"/>
    <w:rsid w:val="14A91E64"/>
    <w:rsid w:val="14AB4219"/>
    <w:rsid w:val="14AE2DAD"/>
    <w:rsid w:val="14B06F9F"/>
    <w:rsid w:val="14D7452C"/>
    <w:rsid w:val="14DB226E"/>
    <w:rsid w:val="14E1184E"/>
    <w:rsid w:val="150F1F18"/>
    <w:rsid w:val="151920E1"/>
    <w:rsid w:val="152E4A94"/>
    <w:rsid w:val="1537146E"/>
    <w:rsid w:val="155E2E9F"/>
    <w:rsid w:val="15681628"/>
    <w:rsid w:val="15710277"/>
    <w:rsid w:val="157B57FF"/>
    <w:rsid w:val="15995E7A"/>
    <w:rsid w:val="15A71EC1"/>
    <w:rsid w:val="15B4486D"/>
    <w:rsid w:val="15BE6DAB"/>
    <w:rsid w:val="15C2342E"/>
    <w:rsid w:val="15F15AC1"/>
    <w:rsid w:val="15FF3D3A"/>
    <w:rsid w:val="160A42F0"/>
    <w:rsid w:val="16210154"/>
    <w:rsid w:val="16457A62"/>
    <w:rsid w:val="16473A81"/>
    <w:rsid w:val="165E3157"/>
    <w:rsid w:val="166A6559"/>
    <w:rsid w:val="16800372"/>
    <w:rsid w:val="16826719"/>
    <w:rsid w:val="168B3A44"/>
    <w:rsid w:val="169A1213"/>
    <w:rsid w:val="169C3C7F"/>
    <w:rsid w:val="16A3500D"/>
    <w:rsid w:val="16CA1510"/>
    <w:rsid w:val="16CC5ACB"/>
    <w:rsid w:val="16CF0EC8"/>
    <w:rsid w:val="16D46E2A"/>
    <w:rsid w:val="16D630A4"/>
    <w:rsid w:val="16DB0BA3"/>
    <w:rsid w:val="16DC051F"/>
    <w:rsid w:val="16EC657B"/>
    <w:rsid w:val="16FA39D0"/>
    <w:rsid w:val="17101F77"/>
    <w:rsid w:val="1723076A"/>
    <w:rsid w:val="173739A8"/>
    <w:rsid w:val="176A7232"/>
    <w:rsid w:val="17780248"/>
    <w:rsid w:val="178A3AD7"/>
    <w:rsid w:val="17AF79E2"/>
    <w:rsid w:val="17B945C0"/>
    <w:rsid w:val="17CF3BE0"/>
    <w:rsid w:val="17D17958"/>
    <w:rsid w:val="17F04282"/>
    <w:rsid w:val="17F673BF"/>
    <w:rsid w:val="17FB6783"/>
    <w:rsid w:val="18041ADC"/>
    <w:rsid w:val="183C604C"/>
    <w:rsid w:val="184C3483"/>
    <w:rsid w:val="18550589"/>
    <w:rsid w:val="18567E5D"/>
    <w:rsid w:val="185F4F64"/>
    <w:rsid w:val="188239F0"/>
    <w:rsid w:val="18910E95"/>
    <w:rsid w:val="18A312F5"/>
    <w:rsid w:val="18A4506D"/>
    <w:rsid w:val="18AB63FB"/>
    <w:rsid w:val="18B352B0"/>
    <w:rsid w:val="18CF3CB8"/>
    <w:rsid w:val="18DB7FA7"/>
    <w:rsid w:val="18EB2629"/>
    <w:rsid w:val="1903609F"/>
    <w:rsid w:val="190D2F64"/>
    <w:rsid w:val="190D7898"/>
    <w:rsid w:val="19227658"/>
    <w:rsid w:val="19235F91"/>
    <w:rsid w:val="19365251"/>
    <w:rsid w:val="193B52E8"/>
    <w:rsid w:val="193E726F"/>
    <w:rsid w:val="193F7204"/>
    <w:rsid w:val="195C14A3"/>
    <w:rsid w:val="19665E27"/>
    <w:rsid w:val="197176DE"/>
    <w:rsid w:val="19762565"/>
    <w:rsid w:val="19A54D92"/>
    <w:rsid w:val="19BB5403"/>
    <w:rsid w:val="19BE3F0C"/>
    <w:rsid w:val="19C77265"/>
    <w:rsid w:val="19D92AF4"/>
    <w:rsid w:val="19DB4ABE"/>
    <w:rsid w:val="19F05074"/>
    <w:rsid w:val="19F31730"/>
    <w:rsid w:val="1A0C3F20"/>
    <w:rsid w:val="1A11228E"/>
    <w:rsid w:val="1A15545B"/>
    <w:rsid w:val="1A1661CA"/>
    <w:rsid w:val="1A191140"/>
    <w:rsid w:val="1A271AB1"/>
    <w:rsid w:val="1A4268EB"/>
    <w:rsid w:val="1A676352"/>
    <w:rsid w:val="1A6B4094"/>
    <w:rsid w:val="1A7E0C69"/>
    <w:rsid w:val="1A9E4AB4"/>
    <w:rsid w:val="1AB11222"/>
    <w:rsid w:val="1AC333F8"/>
    <w:rsid w:val="1AD41E4A"/>
    <w:rsid w:val="1AE300CE"/>
    <w:rsid w:val="1AF000F5"/>
    <w:rsid w:val="1AF57E02"/>
    <w:rsid w:val="1AF75928"/>
    <w:rsid w:val="1B1C713C"/>
    <w:rsid w:val="1B1D597D"/>
    <w:rsid w:val="1B214920"/>
    <w:rsid w:val="1B281F85"/>
    <w:rsid w:val="1B2D759B"/>
    <w:rsid w:val="1B4169AB"/>
    <w:rsid w:val="1B5C5FCB"/>
    <w:rsid w:val="1B8D1DE8"/>
    <w:rsid w:val="1B993335"/>
    <w:rsid w:val="1B9F38C9"/>
    <w:rsid w:val="1BB472B8"/>
    <w:rsid w:val="1BCA0B6E"/>
    <w:rsid w:val="1BE340FE"/>
    <w:rsid w:val="1BEC2FB3"/>
    <w:rsid w:val="1BEF2AA3"/>
    <w:rsid w:val="1BF73705"/>
    <w:rsid w:val="1C023003"/>
    <w:rsid w:val="1C025840"/>
    <w:rsid w:val="1C2E646B"/>
    <w:rsid w:val="1C3B1844"/>
    <w:rsid w:val="1C450915"/>
    <w:rsid w:val="1C8256C5"/>
    <w:rsid w:val="1C876AA4"/>
    <w:rsid w:val="1C9660A5"/>
    <w:rsid w:val="1C9F1DD3"/>
    <w:rsid w:val="1CBB5A90"/>
    <w:rsid w:val="1CE974F2"/>
    <w:rsid w:val="1CFF6D16"/>
    <w:rsid w:val="1D1C78C7"/>
    <w:rsid w:val="1D326E93"/>
    <w:rsid w:val="1D44260C"/>
    <w:rsid w:val="1D6B6159"/>
    <w:rsid w:val="1D7274E7"/>
    <w:rsid w:val="1D8334A3"/>
    <w:rsid w:val="1D972DAB"/>
    <w:rsid w:val="1DA17DCD"/>
    <w:rsid w:val="1DAF05B3"/>
    <w:rsid w:val="1DB23D88"/>
    <w:rsid w:val="1DEA1774"/>
    <w:rsid w:val="1DEC706D"/>
    <w:rsid w:val="1DF919B7"/>
    <w:rsid w:val="1E0C793C"/>
    <w:rsid w:val="1E1265D5"/>
    <w:rsid w:val="1E220F0E"/>
    <w:rsid w:val="1E2C3B3A"/>
    <w:rsid w:val="1E311151"/>
    <w:rsid w:val="1E34479D"/>
    <w:rsid w:val="1E445058"/>
    <w:rsid w:val="1E553C4C"/>
    <w:rsid w:val="1E5C77AF"/>
    <w:rsid w:val="1E6F77DF"/>
    <w:rsid w:val="1E731769"/>
    <w:rsid w:val="1E7B16F8"/>
    <w:rsid w:val="1E96080A"/>
    <w:rsid w:val="1EA7598F"/>
    <w:rsid w:val="1EB57765"/>
    <w:rsid w:val="1ECB5101"/>
    <w:rsid w:val="1F0143D2"/>
    <w:rsid w:val="1F296668"/>
    <w:rsid w:val="1F39249A"/>
    <w:rsid w:val="1F664E2A"/>
    <w:rsid w:val="1F6EE0A4"/>
    <w:rsid w:val="1F7237CF"/>
    <w:rsid w:val="1F784B5D"/>
    <w:rsid w:val="1F7C464D"/>
    <w:rsid w:val="1FCB1131"/>
    <w:rsid w:val="1FD71884"/>
    <w:rsid w:val="1FD81001"/>
    <w:rsid w:val="1FDB75C6"/>
    <w:rsid w:val="1FDF25FF"/>
    <w:rsid w:val="1FF651C6"/>
    <w:rsid w:val="1FF730FD"/>
    <w:rsid w:val="20111287"/>
    <w:rsid w:val="20140D2A"/>
    <w:rsid w:val="201E1F01"/>
    <w:rsid w:val="201F53B1"/>
    <w:rsid w:val="2020322B"/>
    <w:rsid w:val="202D5948"/>
    <w:rsid w:val="203211B0"/>
    <w:rsid w:val="204825AF"/>
    <w:rsid w:val="20484530"/>
    <w:rsid w:val="205A494F"/>
    <w:rsid w:val="205B24B5"/>
    <w:rsid w:val="2072468A"/>
    <w:rsid w:val="20724974"/>
    <w:rsid w:val="207E493E"/>
    <w:rsid w:val="208732AA"/>
    <w:rsid w:val="20A0436C"/>
    <w:rsid w:val="20AC2D10"/>
    <w:rsid w:val="20C77B4A"/>
    <w:rsid w:val="20F47953"/>
    <w:rsid w:val="21051CA7"/>
    <w:rsid w:val="21192919"/>
    <w:rsid w:val="212339B6"/>
    <w:rsid w:val="2127683B"/>
    <w:rsid w:val="212D5E52"/>
    <w:rsid w:val="21317A7A"/>
    <w:rsid w:val="21354AB4"/>
    <w:rsid w:val="214058BF"/>
    <w:rsid w:val="21410CD7"/>
    <w:rsid w:val="214271D1"/>
    <w:rsid w:val="217A4BBD"/>
    <w:rsid w:val="217E5C39"/>
    <w:rsid w:val="217F21D3"/>
    <w:rsid w:val="21A659B2"/>
    <w:rsid w:val="21C42C5D"/>
    <w:rsid w:val="21DA1AFF"/>
    <w:rsid w:val="21DE0C2D"/>
    <w:rsid w:val="21FE759C"/>
    <w:rsid w:val="2208041A"/>
    <w:rsid w:val="2217240B"/>
    <w:rsid w:val="221E19EC"/>
    <w:rsid w:val="22350AE4"/>
    <w:rsid w:val="2237485C"/>
    <w:rsid w:val="2241051D"/>
    <w:rsid w:val="225418B2"/>
    <w:rsid w:val="22547CC7"/>
    <w:rsid w:val="22645955"/>
    <w:rsid w:val="226514F4"/>
    <w:rsid w:val="229D440A"/>
    <w:rsid w:val="22BF3AAD"/>
    <w:rsid w:val="22CA3922"/>
    <w:rsid w:val="22D4654E"/>
    <w:rsid w:val="22D87DED"/>
    <w:rsid w:val="22E744D4"/>
    <w:rsid w:val="22FF31BA"/>
    <w:rsid w:val="230F7587"/>
    <w:rsid w:val="23337719"/>
    <w:rsid w:val="234B76E0"/>
    <w:rsid w:val="234C07DB"/>
    <w:rsid w:val="23502079"/>
    <w:rsid w:val="23694EE9"/>
    <w:rsid w:val="236B120B"/>
    <w:rsid w:val="238D507B"/>
    <w:rsid w:val="23A06262"/>
    <w:rsid w:val="23C16AD3"/>
    <w:rsid w:val="23DD461A"/>
    <w:rsid w:val="23FD2ABC"/>
    <w:rsid w:val="24062738"/>
    <w:rsid w:val="242641B0"/>
    <w:rsid w:val="242673A6"/>
    <w:rsid w:val="242F7EE0"/>
    <w:rsid w:val="244A2F6C"/>
    <w:rsid w:val="244A6AC8"/>
    <w:rsid w:val="24546C5A"/>
    <w:rsid w:val="245A1973"/>
    <w:rsid w:val="246833F2"/>
    <w:rsid w:val="24885842"/>
    <w:rsid w:val="24B228BF"/>
    <w:rsid w:val="24B65F0C"/>
    <w:rsid w:val="24CD14A7"/>
    <w:rsid w:val="24D25C14"/>
    <w:rsid w:val="24D97E4C"/>
    <w:rsid w:val="24E01EA8"/>
    <w:rsid w:val="24E16D01"/>
    <w:rsid w:val="24EF7670"/>
    <w:rsid w:val="24FB35A7"/>
    <w:rsid w:val="25096670"/>
    <w:rsid w:val="253B7E2A"/>
    <w:rsid w:val="254974E0"/>
    <w:rsid w:val="255174C7"/>
    <w:rsid w:val="256718FC"/>
    <w:rsid w:val="256938F4"/>
    <w:rsid w:val="257527D8"/>
    <w:rsid w:val="259124D5"/>
    <w:rsid w:val="25A77F4A"/>
    <w:rsid w:val="25B032A3"/>
    <w:rsid w:val="25C46078"/>
    <w:rsid w:val="25D115E1"/>
    <w:rsid w:val="25DA0320"/>
    <w:rsid w:val="25E42F4C"/>
    <w:rsid w:val="26094761"/>
    <w:rsid w:val="260B2287"/>
    <w:rsid w:val="260E53C8"/>
    <w:rsid w:val="262B2929"/>
    <w:rsid w:val="26457D7B"/>
    <w:rsid w:val="26527EB6"/>
    <w:rsid w:val="26541E80"/>
    <w:rsid w:val="26606A77"/>
    <w:rsid w:val="266B0F78"/>
    <w:rsid w:val="26780E08"/>
    <w:rsid w:val="267E186D"/>
    <w:rsid w:val="26A30712"/>
    <w:rsid w:val="26BB304D"/>
    <w:rsid w:val="26BC7A25"/>
    <w:rsid w:val="26C50688"/>
    <w:rsid w:val="26CF7AEC"/>
    <w:rsid w:val="26D66D39"/>
    <w:rsid w:val="26E054C2"/>
    <w:rsid w:val="26E5094A"/>
    <w:rsid w:val="26F412B7"/>
    <w:rsid w:val="270D202F"/>
    <w:rsid w:val="271D04C4"/>
    <w:rsid w:val="2727357C"/>
    <w:rsid w:val="27277595"/>
    <w:rsid w:val="273146AC"/>
    <w:rsid w:val="27475541"/>
    <w:rsid w:val="275D1833"/>
    <w:rsid w:val="275D2FB6"/>
    <w:rsid w:val="27651E6B"/>
    <w:rsid w:val="27843EBD"/>
    <w:rsid w:val="278818BE"/>
    <w:rsid w:val="27916CFA"/>
    <w:rsid w:val="27950FB5"/>
    <w:rsid w:val="27960276"/>
    <w:rsid w:val="279664C8"/>
    <w:rsid w:val="279F4C64"/>
    <w:rsid w:val="27A20FE9"/>
    <w:rsid w:val="27A4153B"/>
    <w:rsid w:val="27A54E4E"/>
    <w:rsid w:val="27A75FE0"/>
    <w:rsid w:val="27A91D58"/>
    <w:rsid w:val="27B64475"/>
    <w:rsid w:val="27C70430"/>
    <w:rsid w:val="27C9064C"/>
    <w:rsid w:val="27D86AE1"/>
    <w:rsid w:val="27DC212D"/>
    <w:rsid w:val="27DF5779"/>
    <w:rsid w:val="27EB2370"/>
    <w:rsid w:val="27F45061"/>
    <w:rsid w:val="27F751B9"/>
    <w:rsid w:val="28017DE6"/>
    <w:rsid w:val="2810627B"/>
    <w:rsid w:val="282E04AF"/>
    <w:rsid w:val="28302479"/>
    <w:rsid w:val="285A5748"/>
    <w:rsid w:val="286D0FD7"/>
    <w:rsid w:val="28750910"/>
    <w:rsid w:val="287E7613"/>
    <w:rsid w:val="28A43E8F"/>
    <w:rsid w:val="28AB7D51"/>
    <w:rsid w:val="28BA1D43"/>
    <w:rsid w:val="28CA01D8"/>
    <w:rsid w:val="28E60D8A"/>
    <w:rsid w:val="2916166F"/>
    <w:rsid w:val="296879F1"/>
    <w:rsid w:val="298C3AA9"/>
    <w:rsid w:val="299E3412"/>
    <w:rsid w:val="29A72C75"/>
    <w:rsid w:val="29C63095"/>
    <w:rsid w:val="29CD4916"/>
    <w:rsid w:val="29E00EFE"/>
    <w:rsid w:val="29E928DF"/>
    <w:rsid w:val="29F12D2D"/>
    <w:rsid w:val="29F46316"/>
    <w:rsid w:val="29FA6CC9"/>
    <w:rsid w:val="2A060B46"/>
    <w:rsid w:val="2A514B25"/>
    <w:rsid w:val="2A9E191C"/>
    <w:rsid w:val="2AA2056F"/>
    <w:rsid w:val="2AB729DE"/>
    <w:rsid w:val="2AD13CA0"/>
    <w:rsid w:val="2AD4533E"/>
    <w:rsid w:val="2AF1427A"/>
    <w:rsid w:val="2AFC2AE6"/>
    <w:rsid w:val="2AFD1EAA"/>
    <w:rsid w:val="2B1E2A5D"/>
    <w:rsid w:val="2B2142FB"/>
    <w:rsid w:val="2B342280"/>
    <w:rsid w:val="2B381FB0"/>
    <w:rsid w:val="2B612949"/>
    <w:rsid w:val="2B7C5330"/>
    <w:rsid w:val="2BA32F62"/>
    <w:rsid w:val="2BAF1907"/>
    <w:rsid w:val="2BB05DAB"/>
    <w:rsid w:val="2BB86A0D"/>
    <w:rsid w:val="2BD80E5D"/>
    <w:rsid w:val="2BD96290"/>
    <w:rsid w:val="2BE315B0"/>
    <w:rsid w:val="2BE45A54"/>
    <w:rsid w:val="2BE5357A"/>
    <w:rsid w:val="2BE772F2"/>
    <w:rsid w:val="2BEB0CFB"/>
    <w:rsid w:val="2C0C6D59"/>
    <w:rsid w:val="2C484235"/>
    <w:rsid w:val="2C49281B"/>
    <w:rsid w:val="2C695F59"/>
    <w:rsid w:val="2C820DC9"/>
    <w:rsid w:val="2C956D4E"/>
    <w:rsid w:val="2C9B2631"/>
    <w:rsid w:val="2CB2345D"/>
    <w:rsid w:val="2CB43679"/>
    <w:rsid w:val="2CBB7F9F"/>
    <w:rsid w:val="2CC55886"/>
    <w:rsid w:val="2CD0422B"/>
    <w:rsid w:val="2CF41CC7"/>
    <w:rsid w:val="2CF47F19"/>
    <w:rsid w:val="2CF577ED"/>
    <w:rsid w:val="2CFB3D8A"/>
    <w:rsid w:val="2D3A16A4"/>
    <w:rsid w:val="2D5224BE"/>
    <w:rsid w:val="2D613ABF"/>
    <w:rsid w:val="2D6706EB"/>
    <w:rsid w:val="2D6F23DE"/>
    <w:rsid w:val="2D7746A6"/>
    <w:rsid w:val="2D9E60D7"/>
    <w:rsid w:val="2DA0091A"/>
    <w:rsid w:val="2DAF2092"/>
    <w:rsid w:val="2DC378EB"/>
    <w:rsid w:val="2DCC49F2"/>
    <w:rsid w:val="2DFA7533"/>
    <w:rsid w:val="2E083AB4"/>
    <w:rsid w:val="2E0979F4"/>
    <w:rsid w:val="2E187C37"/>
    <w:rsid w:val="2E3B3926"/>
    <w:rsid w:val="2E3D144C"/>
    <w:rsid w:val="2E3E76ED"/>
    <w:rsid w:val="2E432A80"/>
    <w:rsid w:val="2E68261C"/>
    <w:rsid w:val="2E6D51E7"/>
    <w:rsid w:val="2E7E58A8"/>
    <w:rsid w:val="2E8C4181"/>
    <w:rsid w:val="2E950E26"/>
    <w:rsid w:val="2E9A25D8"/>
    <w:rsid w:val="2EB6049D"/>
    <w:rsid w:val="2EBB3DDD"/>
    <w:rsid w:val="2EBE07DF"/>
    <w:rsid w:val="2EC52F9A"/>
    <w:rsid w:val="2EE82402"/>
    <w:rsid w:val="2EEE67F3"/>
    <w:rsid w:val="2EFE0BDB"/>
    <w:rsid w:val="2F0F2DE8"/>
    <w:rsid w:val="2F1403FE"/>
    <w:rsid w:val="2F3565C7"/>
    <w:rsid w:val="2F427627"/>
    <w:rsid w:val="2F477220"/>
    <w:rsid w:val="2F776BDF"/>
    <w:rsid w:val="2FA35866"/>
    <w:rsid w:val="2FBE65BC"/>
    <w:rsid w:val="2FD858D0"/>
    <w:rsid w:val="2FEE6EA1"/>
    <w:rsid w:val="2FF63FA8"/>
    <w:rsid w:val="300422BD"/>
    <w:rsid w:val="300F506A"/>
    <w:rsid w:val="301601A6"/>
    <w:rsid w:val="30201025"/>
    <w:rsid w:val="3029612C"/>
    <w:rsid w:val="302B2FD8"/>
    <w:rsid w:val="302E5A2A"/>
    <w:rsid w:val="30322AC0"/>
    <w:rsid w:val="304545E8"/>
    <w:rsid w:val="30727EDD"/>
    <w:rsid w:val="30742770"/>
    <w:rsid w:val="309C0A74"/>
    <w:rsid w:val="30A21A3A"/>
    <w:rsid w:val="30AB6B41"/>
    <w:rsid w:val="30AC4667"/>
    <w:rsid w:val="30B654E5"/>
    <w:rsid w:val="30CF71A4"/>
    <w:rsid w:val="30F46739"/>
    <w:rsid w:val="310E0E7D"/>
    <w:rsid w:val="31126BC0"/>
    <w:rsid w:val="31321010"/>
    <w:rsid w:val="313A65C2"/>
    <w:rsid w:val="313E7F05"/>
    <w:rsid w:val="313F3781"/>
    <w:rsid w:val="314B20D2"/>
    <w:rsid w:val="316F7D26"/>
    <w:rsid w:val="31753528"/>
    <w:rsid w:val="31953880"/>
    <w:rsid w:val="31A812D2"/>
    <w:rsid w:val="31D17310"/>
    <w:rsid w:val="31D9592F"/>
    <w:rsid w:val="31EC5663"/>
    <w:rsid w:val="31ED3E23"/>
    <w:rsid w:val="321101F9"/>
    <w:rsid w:val="32127EA5"/>
    <w:rsid w:val="32326DEE"/>
    <w:rsid w:val="32456B21"/>
    <w:rsid w:val="32597690"/>
    <w:rsid w:val="32676A97"/>
    <w:rsid w:val="327411B4"/>
    <w:rsid w:val="32794452"/>
    <w:rsid w:val="327B0795"/>
    <w:rsid w:val="32887FC7"/>
    <w:rsid w:val="329905F0"/>
    <w:rsid w:val="32D10501"/>
    <w:rsid w:val="32D70700"/>
    <w:rsid w:val="32D83E39"/>
    <w:rsid w:val="32ED1692"/>
    <w:rsid w:val="331F3816"/>
    <w:rsid w:val="33201F23"/>
    <w:rsid w:val="333358E4"/>
    <w:rsid w:val="33705E1F"/>
    <w:rsid w:val="33781E43"/>
    <w:rsid w:val="338A5133"/>
    <w:rsid w:val="33A7763E"/>
    <w:rsid w:val="33B2468A"/>
    <w:rsid w:val="33B45D0C"/>
    <w:rsid w:val="33E505BB"/>
    <w:rsid w:val="33E5680D"/>
    <w:rsid w:val="33F627C9"/>
    <w:rsid w:val="33FE167D"/>
    <w:rsid w:val="34034EE6"/>
    <w:rsid w:val="340C3D9A"/>
    <w:rsid w:val="342C4EC8"/>
    <w:rsid w:val="342C7F98"/>
    <w:rsid w:val="34311A53"/>
    <w:rsid w:val="34374DF8"/>
    <w:rsid w:val="3464452F"/>
    <w:rsid w:val="346F0CAD"/>
    <w:rsid w:val="347C1AB2"/>
    <w:rsid w:val="34CE214D"/>
    <w:rsid w:val="34F211E2"/>
    <w:rsid w:val="34F715C7"/>
    <w:rsid w:val="35004F81"/>
    <w:rsid w:val="3518051D"/>
    <w:rsid w:val="35571045"/>
    <w:rsid w:val="355768CE"/>
    <w:rsid w:val="35647C06"/>
    <w:rsid w:val="35977693"/>
    <w:rsid w:val="35C607AA"/>
    <w:rsid w:val="35DE41F4"/>
    <w:rsid w:val="35E30B2B"/>
    <w:rsid w:val="35FE3BB6"/>
    <w:rsid w:val="36236F7B"/>
    <w:rsid w:val="36343134"/>
    <w:rsid w:val="36421A71"/>
    <w:rsid w:val="36483084"/>
    <w:rsid w:val="364D4390"/>
    <w:rsid w:val="364E58BC"/>
    <w:rsid w:val="367F38FD"/>
    <w:rsid w:val="36AD2EE7"/>
    <w:rsid w:val="36BC7A7B"/>
    <w:rsid w:val="36C4095C"/>
    <w:rsid w:val="36DD220B"/>
    <w:rsid w:val="36DD37CC"/>
    <w:rsid w:val="36DD557A"/>
    <w:rsid w:val="36EA5A89"/>
    <w:rsid w:val="36EB5FB2"/>
    <w:rsid w:val="36ED4944"/>
    <w:rsid w:val="3700570C"/>
    <w:rsid w:val="370276D6"/>
    <w:rsid w:val="37076A9B"/>
    <w:rsid w:val="370D4395"/>
    <w:rsid w:val="37410209"/>
    <w:rsid w:val="3748158D"/>
    <w:rsid w:val="376379C1"/>
    <w:rsid w:val="3772660A"/>
    <w:rsid w:val="37737C8C"/>
    <w:rsid w:val="37772A4E"/>
    <w:rsid w:val="377D0B0B"/>
    <w:rsid w:val="37806E25"/>
    <w:rsid w:val="37895702"/>
    <w:rsid w:val="379C71E3"/>
    <w:rsid w:val="379F4F25"/>
    <w:rsid w:val="37A12A4B"/>
    <w:rsid w:val="37AB37BE"/>
    <w:rsid w:val="37AD1DE2"/>
    <w:rsid w:val="37BC7885"/>
    <w:rsid w:val="37E53F53"/>
    <w:rsid w:val="38064D7C"/>
    <w:rsid w:val="380F0FA0"/>
    <w:rsid w:val="38196A86"/>
    <w:rsid w:val="38451629"/>
    <w:rsid w:val="385B17DF"/>
    <w:rsid w:val="38644B89"/>
    <w:rsid w:val="38795776"/>
    <w:rsid w:val="388859B9"/>
    <w:rsid w:val="388A117B"/>
    <w:rsid w:val="388C36FB"/>
    <w:rsid w:val="3893203C"/>
    <w:rsid w:val="38A073B4"/>
    <w:rsid w:val="38AD7F63"/>
    <w:rsid w:val="38B769E8"/>
    <w:rsid w:val="38C86055"/>
    <w:rsid w:val="38DF26A8"/>
    <w:rsid w:val="38F60B75"/>
    <w:rsid w:val="391515EB"/>
    <w:rsid w:val="3929719C"/>
    <w:rsid w:val="392E6561"/>
    <w:rsid w:val="39386DAA"/>
    <w:rsid w:val="394D6D52"/>
    <w:rsid w:val="394E09B1"/>
    <w:rsid w:val="39697599"/>
    <w:rsid w:val="396C0E37"/>
    <w:rsid w:val="397228F1"/>
    <w:rsid w:val="397F6DBC"/>
    <w:rsid w:val="39900FC9"/>
    <w:rsid w:val="39923CC5"/>
    <w:rsid w:val="39930ABA"/>
    <w:rsid w:val="39A13AF4"/>
    <w:rsid w:val="39A46823"/>
    <w:rsid w:val="39BE5B37"/>
    <w:rsid w:val="39C944DB"/>
    <w:rsid w:val="39C96289"/>
    <w:rsid w:val="39CC3033"/>
    <w:rsid w:val="39CE1115"/>
    <w:rsid w:val="39FA4695"/>
    <w:rsid w:val="39FF1CAB"/>
    <w:rsid w:val="3A00614F"/>
    <w:rsid w:val="3A020880"/>
    <w:rsid w:val="3A18053F"/>
    <w:rsid w:val="3A30455A"/>
    <w:rsid w:val="3A361B71"/>
    <w:rsid w:val="3A4D6EBA"/>
    <w:rsid w:val="3A5E4C24"/>
    <w:rsid w:val="3A661D2A"/>
    <w:rsid w:val="3A6F6E31"/>
    <w:rsid w:val="3A704957"/>
    <w:rsid w:val="3A72247D"/>
    <w:rsid w:val="3A7E52C6"/>
    <w:rsid w:val="3A8723CC"/>
    <w:rsid w:val="3A887B03"/>
    <w:rsid w:val="3A8C2EB9"/>
    <w:rsid w:val="3AAD729F"/>
    <w:rsid w:val="3AB54DA3"/>
    <w:rsid w:val="3ADB611B"/>
    <w:rsid w:val="3AE315CD"/>
    <w:rsid w:val="3AE656FD"/>
    <w:rsid w:val="3B0532F1"/>
    <w:rsid w:val="3B0A4DAB"/>
    <w:rsid w:val="3B2216F2"/>
    <w:rsid w:val="3B2458B0"/>
    <w:rsid w:val="3B2E6F98"/>
    <w:rsid w:val="3B3346AA"/>
    <w:rsid w:val="3B351E28"/>
    <w:rsid w:val="3B697D24"/>
    <w:rsid w:val="3BAD2C5D"/>
    <w:rsid w:val="3BBF5B96"/>
    <w:rsid w:val="3BC11D04"/>
    <w:rsid w:val="3BD656B9"/>
    <w:rsid w:val="3BE519B4"/>
    <w:rsid w:val="3BE70C49"/>
    <w:rsid w:val="3BF05F44"/>
    <w:rsid w:val="3C0E61D6"/>
    <w:rsid w:val="3C3F2833"/>
    <w:rsid w:val="3C7050E2"/>
    <w:rsid w:val="3CD72A6B"/>
    <w:rsid w:val="3CF0295C"/>
    <w:rsid w:val="3D163594"/>
    <w:rsid w:val="3D17730C"/>
    <w:rsid w:val="3D204F2B"/>
    <w:rsid w:val="3D29776B"/>
    <w:rsid w:val="3D2A703F"/>
    <w:rsid w:val="3D32482E"/>
    <w:rsid w:val="3D3D3216"/>
    <w:rsid w:val="3D4E0F7F"/>
    <w:rsid w:val="3D581DFE"/>
    <w:rsid w:val="3D6267D9"/>
    <w:rsid w:val="3D670293"/>
    <w:rsid w:val="3D6A38DF"/>
    <w:rsid w:val="3D6C3B53"/>
    <w:rsid w:val="3DB57251"/>
    <w:rsid w:val="3DB86D41"/>
    <w:rsid w:val="3DBA4867"/>
    <w:rsid w:val="3DBB413B"/>
    <w:rsid w:val="3DBFC313"/>
    <w:rsid w:val="3DC95DE0"/>
    <w:rsid w:val="3DE12C05"/>
    <w:rsid w:val="3DE92F1E"/>
    <w:rsid w:val="3DF21B38"/>
    <w:rsid w:val="3DFF671E"/>
    <w:rsid w:val="3E17702D"/>
    <w:rsid w:val="3E1A3557"/>
    <w:rsid w:val="3E360BF9"/>
    <w:rsid w:val="3E4F46AE"/>
    <w:rsid w:val="3E760D57"/>
    <w:rsid w:val="3E9230EE"/>
    <w:rsid w:val="3EA572C5"/>
    <w:rsid w:val="3EF91446"/>
    <w:rsid w:val="3F035D9A"/>
    <w:rsid w:val="3F1151BB"/>
    <w:rsid w:val="3F2D72BA"/>
    <w:rsid w:val="3F3D6B1F"/>
    <w:rsid w:val="3F491F68"/>
    <w:rsid w:val="3F536D21"/>
    <w:rsid w:val="3F76656C"/>
    <w:rsid w:val="3F880418"/>
    <w:rsid w:val="3F9520B5"/>
    <w:rsid w:val="3F9D7F9C"/>
    <w:rsid w:val="3FA0183A"/>
    <w:rsid w:val="3FA96941"/>
    <w:rsid w:val="3FB7255B"/>
    <w:rsid w:val="3FC45529"/>
    <w:rsid w:val="3FCF2120"/>
    <w:rsid w:val="3FE536F1"/>
    <w:rsid w:val="400718BA"/>
    <w:rsid w:val="401C5365"/>
    <w:rsid w:val="40271F5C"/>
    <w:rsid w:val="40295CD4"/>
    <w:rsid w:val="402D5DC0"/>
    <w:rsid w:val="4033454D"/>
    <w:rsid w:val="403B0F7D"/>
    <w:rsid w:val="403F2E01"/>
    <w:rsid w:val="40632F94"/>
    <w:rsid w:val="40953369"/>
    <w:rsid w:val="409E1AEE"/>
    <w:rsid w:val="40BF2194"/>
    <w:rsid w:val="40CC37CF"/>
    <w:rsid w:val="40EA0ABF"/>
    <w:rsid w:val="40EA0BB5"/>
    <w:rsid w:val="40FB05FF"/>
    <w:rsid w:val="4105229D"/>
    <w:rsid w:val="41086370"/>
    <w:rsid w:val="4110365E"/>
    <w:rsid w:val="411B0AD9"/>
    <w:rsid w:val="41272213"/>
    <w:rsid w:val="41390199"/>
    <w:rsid w:val="41474664"/>
    <w:rsid w:val="415D7B9F"/>
    <w:rsid w:val="41742F7F"/>
    <w:rsid w:val="4175618E"/>
    <w:rsid w:val="41B95CFE"/>
    <w:rsid w:val="41C37A62"/>
    <w:rsid w:val="41D659E7"/>
    <w:rsid w:val="41E579D9"/>
    <w:rsid w:val="42042555"/>
    <w:rsid w:val="42054087"/>
    <w:rsid w:val="420543DE"/>
    <w:rsid w:val="42072045"/>
    <w:rsid w:val="421309EA"/>
    <w:rsid w:val="422B7AE1"/>
    <w:rsid w:val="424C018D"/>
    <w:rsid w:val="42B2779B"/>
    <w:rsid w:val="42D737C5"/>
    <w:rsid w:val="42DA32B5"/>
    <w:rsid w:val="42E14644"/>
    <w:rsid w:val="430A17B4"/>
    <w:rsid w:val="430D5439"/>
    <w:rsid w:val="432B2CDF"/>
    <w:rsid w:val="433504EC"/>
    <w:rsid w:val="4346094B"/>
    <w:rsid w:val="43575CAD"/>
    <w:rsid w:val="43610C51"/>
    <w:rsid w:val="436808C1"/>
    <w:rsid w:val="43747266"/>
    <w:rsid w:val="43866F99"/>
    <w:rsid w:val="43893B63"/>
    <w:rsid w:val="43921FC5"/>
    <w:rsid w:val="43A062AD"/>
    <w:rsid w:val="43A318F9"/>
    <w:rsid w:val="43AF029E"/>
    <w:rsid w:val="43B835F7"/>
    <w:rsid w:val="43BD6E5F"/>
    <w:rsid w:val="43CA50D8"/>
    <w:rsid w:val="43CC52F4"/>
    <w:rsid w:val="43D40C92"/>
    <w:rsid w:val="43DE3B85"/>
    <w:rsid w:val="43E77A38"/>
    <w:rsid w:val="43FD725B"/>
    <w:rsid w:val="44066B1E"/>
    <w:rsid w:val="440D650B"/>
    <w:rsid w:val="442764C7"/>
    <w:rsid w:val="44437501"/>
    <w:rsid w:val="44461C1B"/>
    <w:rsid w:val="44564BBE"/>
    <w:rsid w:val="445B0426"/>
    <w:rsid w:val="44623A35"/>
    <w:rsid w:val="449000D0"/>
    <w:rsid w:val="44A91191"/>
    <w:rsid w:val="45120AE5"/>
    <w:rsid w:val="45283316"/>
    <w:rsid w:val="4528655A"/>
    <w:rsid w:val="452B604A"/>
    <w:rsid w:val="4530540F"/>
    <w:rsid w:val="45435142"/>
    <w:rsid w:val="454F3AE7"/>
    <w:rsid w:val="45532502"/>
    <w:rsid w:val="45576E3F"/>
    <w:rsid w:val="455E3D2A"/>
    <w:rsid w:val="45603F46"/>
    <w:rsid w:val="4571562C"/>
    <w:rsid w:val="45763769"/>
    <w:rsid w:val="45921465"/>
    <w:rsid w:val="459C6AFE"/>
    <w:rsid w:val="45C142B9"/>
    <w:rsid w:val="45CD4679"/>
    <w:rsid w:val="45CF2E79"/>
    <w:rsid w:val="45D67359"/>
    <w:rsid w:val="45DC6186"/>
    <w:rsid w:val="45F26AAE"/>
    <w:rsid w:val="45F60406"/>
    <w:rsid w:val="4617355E"/>
    <w:rsid w:val="464C6278"/>
    <w:rsid w:val="46560EA5"/>
    <w:rsid w:val="466C691A"/>
    <w:rsid w:val="466C6B3F"/>
    <w:rsid w:val="46717A8D"/>
    <w:rsid w:val="467B3D94"/>
    <w:rsid w:val="46B34549"/>
    <w:rsid w:val="46BF6A4A"/>
    <w:rsid w:val="46D71FE6"/>
    <w:rsid w:val="46F2539B"/>
    <w:rsid w:val="47482EE3"/>
    <w:rsid w:val="4773693A"/>
    <w:rsid w:val="47835CCA"/>
    <w:rsid w:val="47B16CDB"/>
    <w:rsid w:val="47B40579"/>
    <w:rsid w:val="47B97FF9"/>
    <w:rsid w:val="47D97FDF"/>
    <w:rsid w:val="47DA1545"/>
    <w:rsid w:val="47DC4CA1"/>
    <w:rsid w:val="47EB386F"/>
    <w:rsid w:val="47F44E19"/>
    <w:rsid w:val="4820176A"/>
    <w:rsid w:val="482202D7"/>
    <w:rsid w:val="4823125B"/>
    <w:rsid w:val="48403BBB"/>
    <w:rsid w:val="48847F4B"/>
    <w:rsid w:val="488A3088"/>
    <w:rsid w:val="488A510E"/>
    <w:rsid w:val="48A47D51"/>
    <w:rsid w:val="48AE6D76"/>
    <w:rsid w:val="48ED5C35"/>
    <w:rsid w:val="48EE7ABB"/>
    <w:rsid w:val="48F36E7F"/>
    <w:rsid w:val="48FA020D"/>
    <w:rsid w:val="490C58FB"/>
    <w:rsid w:val="49107A31"/>
    <w:rsid w:val="49294ADE"/>
    <w:rsid w:val="49392E7D"/>
    <w:rsid w:val="495D254A"/>
    <w:rsid w:val="4968786D"/>
    <w:rsid w:val="49715BC5"/>
    <w:rsid w:val="49804BB7"/>
    <w:rsid w:val="498B70B7"/>
    <w:rsid w:val="498E0956"/>
    <w:rsid w:val="499522CC"/>
    <w:rsid w:val="49995E63"/>
    <w:rsid w:val="49A563CB"/>
    <w:rsid w:val="49B91E77"/>
    <w:rsid w:val="49C5081B"/>
    <w:rsid w:val="49CC7DFC"/>
    <w:rsid w:val="49E8450A"/>
    <w:rsid w:val="49F64E79"/>
    <w:rsid w:val="4A070E34"/>
    <w:rsid w:val="4A0A4480"/>
    <w:rsid w:val="4A0F5F3A"/>
    <w:rsid w:val="4A1433DA"/>
    <w:rsid w:val="4A203CA4"/>
    <w:rsid w:val="4A45370A"/>
    <w:rsid w:val="4A4A2ACF"/>
    <w:rsid w:val="4A6F2535"/>
    <w:rsid w:val="4A954692"/>
    <w:rsid w:val="4A9F72BE"/>
    <w:rsid w:val="4AA2290B"/>
    <w:rsid w:val="4AA5064D"/>
    <w:rsid w:val="4AC705C3"/>
    <w:rsid w:val="4AD131F0"/>
    <w:rsid w:val="4AD66A58"/>
    <w:rsid w:val="4AF52ED4"/>
    <w:rsid w:val="4B1411AE"/>
    <w:rsid w:val="4B315A3D"/>
    <w:rsid w:val="4B3A1389"/>
    <w:rsid w:val="4B3F63AB"/>
    <w:rsid w:val="4B4340EE"/>
    <w:rsid w:val="4B526D79"/>
    <w:rsid w:val="4B55195F"/>
    <w:rsid w:val="4B871B00"/>
    <w:rsid w:val="4B9366F7"/>
    <w:rsid w:val="4BA206E8"/>
    <w:rsid w:val="4BB24DCF"/>
    <w:rsid w:val="4BC30D8B"/>
    <w:rsid w:val="4BC66ACD"/>
    <w:rsid w:val="4BCD7E5B"/>
    <w:rsid w:val="4BD016F9"/>
    <w:rsid w:val="4BD905AE"/>
    <w:rsid w:val="4BDF36EB"/>
    <w:rsid w:val="4BE62CCB"/>
    <w:rsid w:val="4BEA7622"/>
    <w:rsid w:val="4C052C36"/>
    <w:rsid w:val="4C3161CC"/>
    <w:rsid w:val="4C523EBC"/>
    <w:rsid w:val="4C7622A1"/>
    <w:rsid w:val="4C806C7C"/>
    <w:rsid w:val="4CA7245A"/>
    <w:rsid w:val="4CB9218D"/>
    <w:rsid w:val="4CD174D7"/>
    <w:rsid w:val="4CE511D4"/>
    <w:rsid w:val="4CE5247E"/>
    <w:rsid w:val="4CEE1E37"/>
    <w:rsid w:val="4CFE5DF2"/>
    <w:rsid w:val="4D043409"/>
    <w:rsid w:val="4D0E072B"/>
    <w:rsid w:val="4D123D77"/>
    <w:rsid w:val="4D1A2C2C"/>
    <w:rsid w:val="4D1B69A4"/>
    <w:rsid w:val="4D3239D4"/>
    <w:rsid w:val="4D330192"/>
    <w:rsid w:val="4D4203D5"/>
    <w:rsid w:val="4D4654B8"/>
    <w:rsid w:val="4D471547"/>
    <w:rsid w:val="4D583754"/>
    <w:rsid w:val="4D64034B"/>
    <w:rsid w:val="4D677E3B"/>
    <w:rsid w:val="4D810EFD"/>
    <w:rsid w:val="4D92310A"/>
    <w:rsid w:val="4DAE3242"/>
    <w:rsid w:val="4DBF1A26"/>
    <w:rsid w:val="4DC25072"/>
    <w:rsid w:val="4DEA1C1D"/>
    <w:rsid w:val="4DEF770C"/>
    <w:rsid w:val="4DF669E6"/>
    <w:rsid w:val="4E317FF7"/>
    <w:rsid w:val="4E402B66"/>
    <w:rsid w:val="4E55757B"/>
    <w:rsid w:val="4E5B34FC"/>
    <w:rsid w:val="4E7520E4"/>
    <w:rsid w:val="4E9B7D9D"/>
    <w:rsid w:val="4EB55ABE"/>
    <w:rsid w:val="4ED11A10"/>
    <w:rsid w:val="4EFA3B41"/>
    <w:rsid w:val="4F02606E"/>
    <w:rsid w:val="4F0A0A7E"/>
    <w:rsid w:val="4F0C2A48"/>
    <w:rsid w:val="4F0E2C85"/>
    <w:rsid w:val="4F103D94"/>
    <w:rsid w:val="4F267062"/>
    <w:rsid w:val="4F2F6737"/>
    <w:rsid w:val="4F302BDB"/>
    <w:rsid w:val="4F3376A8"/>
    <w:rsid w:val="4F3D5063"/>
    <w:rsid w:val="4F4026F2"/>
    <w:rsid w:val="4F731F21"/>
    <w:rsid w:val="4F90367A"/>
    <w:rsid w:val="4FA26F09"/>
    <w:rsid w:val="4FBA6948"/>
    <w:rsid w:val="4FE87012"/>
    <w:rsid w:val="4FEB08B0"/>
    <w:rsid w:val="4FF43C08"/>
    <w:rsid w:val="50074618"/>
    <w:rsid w:val="500876B4"/>
    <w:rsid w:val="50285660"/>
    <w:rsid w:val="502B6EFE"/>
    <w:rsid w:val="50377F99"/>
    <w:rsid w:val="50566671"/>
    <w:rsid w:val="50593A6B"/>
    <w:rsid w:val="5086682B"/>
    <w:rsid w:val="50964CC0"/>
    <w:rsid w:val="509C7DFC"/>
    <w:rsid w:val="50BC78F1"/>
    <w:rsid w:val="50F30247"/>
    <w:rsid w:val="511172D9"/>
    <w:rsid w:val="51143E36"/>
    <w:rsid w:val="512A5408"/>
    <w:rsid w:val="512A7C48"/>
    <w:rsid w:val="51360251"/>
    <w:rsid w:val="51385D77"/>
    <w:rsid w:val="514A5AAA"/>
    <w:rsid w:val="515C701B"/>
    <w:rsid w:val="51672BF3"/>
    <w:rsid w:val="5175220F"/>
    <w:rsid w:val="51962A9D"/>
    <w:rsid w:val="51A010D6"/>
    <w:rsid w:val="51A72C5B"/>
    <w:rsid w:val="51B11685"/>
    <w:rsid w:val="51E23F34"/>
    <w:rsid w:val="51EB103B"/>
    <w:rsid w:val="51FC4FF6"/>
    <w:rsid w:val="5201085F"/>
    <w:rsid w:val="52025275"/>
    <w:rsid w:val="521340EE"/>
    <w:rsid w:val="52240FED"/>
    <w:rsid w:val="524F15CA"/>
    <w:rsid w:val="527934C5"/>
    <w:rsid w:val="527F3531"/>
    <w:rsid w:val="528C45CC"/>
    <w:rsid w:val="52905D6C"/>
    <w:rsid w:val="52A82A88"/>
    <w:rsid w:val="52AD4542"/>
    <w:rsid w:val="52B94C95"/>
    <w:rsid w:val="52CB49C9"/>
    <w:rsid w:val="52CB6777"/>
    <w:rsid w:val="52EC6E19"/>
    <w:rsid w:val="52F03646"/>
    <w:rsid w:val="52FC2C8D"/>
    <w:rsid w:val="53511372"/>
    <w:rsid w:val="535C34CA"/>
    <w:rsid w:val="536444B8"/>
    <w:rsid w:val="536966BB"/>
    <w:rsid w:val="536A2433"/>
    <w:rsid w:val="53760DD8"/>
    <w:rsid w:val="538A73DF"/>
    <w:rsid w:val="538D3872"/>
    <w:rsid w:val="539B6326"/>
    <w:rsid w:val="53B37937"/>
    <w:rsid w:val="53C1052D"/>
    <w:rsid w:val="53D967E6"/>
    <w:rsid w:val="53DA4EC3"/>
    <w:rsid w:val="53E47AF0"/>
    <w:rsid w:val="53E90DAD"/>
    <w:rsid w:val="53EA0E7E"/>
    <w:rsid w:val="540B51FB"/>
    <w:rsid w:val="54181E8F"/>
    <w:rsid w:val="542608A9"/>
    <w:rsid w:val="542A77B8"/>
    <w:rsid w:val="543D5452"/>
    <w:rsid w:val="546450D5"/>
    <w:rsid w:val="548B2661"/>
    <w:rsid w:val="548F2152"/>
    <w:rsid w:val="549E4143"/>
    <w:rsid w:val="54A0435F"/>
    <w:rsid w:val="54C31DFB"/>
    <w:rsid w:val="54C87412"/>
    <w:rsid w:val="54EF499E"/>
    <w:rsid w:val="54F33592"/>
    <w:rsid w:val="55093012"/>
    <w:rsid w:val="552A00CC"/>
    <w:rsid w:val="55386FB1"/>
    <w:rsid w:val="55432F3C"/>
    <w:rsid w:val="55434CEA"/>
    <w:rsid w:val="55546EF7"/>
    <w:rsid w:val="555B0586"/>
    <w:rsid w:val="555C6BD0"/>
    <w:rsid w:val="55630EE8"/>
    <w:rsid w:val="558A46C7"/>
    <w:rsid w:val="559E76D2"/>
    <w:rsid w:val="55A81A65"/>
    <w:rsid w:val="55AC0AE1"/>
    <w:rsid w:val="55AF05D2"/>
    <w:rsid w:val="55BF23EE"/>
    <w:rsid w:val="55CF409A"/>
    <w:rsid w:val="5621502B"/>
    <w:rsid w:val="562C1C22"/>
    <w:rsid w:val="5632548A"/>
    <w:rsid w:val="56332FB1"/>
    <w:rsid w:val="56365414"/>
    <w:rsid w:val="56680EAC"/>
    <w:rsid w:val="56703856"/>
    <w:rsid w:val="567315FF"/>
    <w:rsid w:val="56955A19"/>
    <w:rsid w:val="56A66920"/>
    <w:rsid w:val="56BF4844"/>
    <w:rsid w:val="56C500AD"/>
    <w:rsid w:val="56D976B4"/>
    <w:rsid w:val="56F00EA2"/>
    <w:rsid w:val="56F8250A"/>
    <w:rsid w:val="56FC15F5"/>
    <w:rsid w:val="56FD7CD0"/>
    <w:rsid w:val="57027519"/>
    <w:rsid w:val="57064A98"/>
    <w:rsid w:val="57266671"/>
    <w:rsid w:val="57323268"/>
    <w:rsid w:val="573963A5"/>
    <w:rsid w:val="574D0D59"/>
    <w:rsid w:val="57511940"/>
    <w:rsid w:val="5762118D"/>
    <w:rsid w:val="57743881"/>
    <w:rsid w:val="577D0987"/>
    <w:rsid w:val="5789732C"/>
    <w:rsid w:val="578B2EF1"/>
    <w:rsid w:val="57945CD1"/>
    <w:rsid w:val="57A8352A"/>
    <w:rsid w:val="57BF2D4E"/>
    <w:rsid w:val="57D96C56"/>
    <w:rsid w:val="57EE3633"/>
    <w:rsid w:val="57FA323B"/>
    <w:rsid w:val="57FF75EE"/>
    <w:rsid w:val="58247055"/>
    <w:rsid w:val="5842572D"/>
    <w:rsid w:val="586631C9"/>
    <w:rsid w:val="58711B6E"/>
    <w:rsid w:val="58783637"/>
    <w:rsid w:val="587C0C3F"/>
    <w:rsid w:val="588E4582"/>
    <w:rsid w:val="5898359F"/>
    <w:rsid w:val="589F0489"/>
    <w:rsid w:val="58A601B5"/>
    <w:rsid w:val="58F5454D"/>
    <w:rsid w:val="590B5737"/>
    <w:rsid w:val="591250FF"/>
    <w:rsid w:val="591A6D21"/>
    <w:rsid w:val="59253085"/>
    <w:rsid w:val="592B4413"/>
    <w:rsid w:val="59434531"/>
    <w:rsid w:val="594554D5"/>
    <w:rsid w:val="59505C28"/>
    <w:rsid w:val="5958639F"/>
    <w:rsid w:val="595B0854"/>
    <w:rsid w:val="596C0CB3"/>
    <w:rsid w:val="598041CB"/>
    <w:rsid w:val="598D3023"/>
    <w:rsid w:val="599A79A6"/>
    <w:rsid w:val="59A10231"/>
    <w:rsid w:val="59AC24F7"/>
    <w:rsid w:val="59AD4E28"/>
    <w:rsid w:val="59C669A8"/>
    <w:rsid w:val="59DA7910"/>
    <w:rsid w:val="59EC38E1"/>
    <w:rsid w:val="59EF219F"/>
    <w:rsid w:val="5A0A227A"/>
    <w:rsid w:val="5A2E41BB"/>
    <w:rsid w:val="5A4C63EF"/>
    <w:rsid w:val="5A597744"/>
    <w:rsid w:val="5A5C0D28"/>
    <w:rsid w:val="5A693A4F"/>
    <w:rsid w:val="5A736BAA"/>
    <w:rsid w:val="5A9009D2"/>
    <w:rsid w:val="5AB3021C"/>
    <w:rsid w:val="5AF32D0E"/>
    <w:rsid w:val="5AFF16B3"/>
    <w:rsid w:val="5B0B5C18"/>
    <w:rsid w:val="5B184523"/>
    <w:rsid w:val="5B1F49A4"/>
    <w:rsid w:val="5B370E4D"/>
    <w:rsid w:val="5B445318"/>
    <w:rsid w:val="5B477393"/>
    <w:rsid w:val="5B5437AD"/>
    <w:rsid w:val="5B63298B"/>
    <w:rsid w:val="5B85605C"/>
    <w:rsid w:val="5B977B3E"/>
    <w:rsid w:val="5B9C6F02"/>
    <w:rsid w:val="5BA31F6D"/>
    <w:rsid w:val="5BD13050"/>
    <w:rsid w:val="5BD26DC8"/>
    <w:rsid w:val="5BD655A2"/>
    <w:rsid w:val="5BDB5C7C"/>
    <w:rsid w:val="5BE07737"/>
    <w:rsid w:val="5BF94355"/>
    <w:rsid w:val="5C2A0E90"/>
    <w:rsid w:val="5C2B7692"/>
    <w:rsid w:val="5C390BF5"/>
    <w:rsid w:val="5C3929A3"/>
    <w:rsid w:val="5C401F83"/>
    <w:rsid w:val="5C40476C"/>
    <w:rsid w:val="5C425CFC"/>
    <w:rsid w:val="5C4952DC"/>
    <w:rsid w:val="5C5123E2"/>
    <w:rsid w:val="5C735EB5"/>
    <w:rsid w:val="5CAE5E6B"/>
    <w:rsid w:val="5CBD5382"/>
    <w:rsid w:val="5CD01FBE"/>
    <w:rsid w:val="5CD03307"/>
    <w:rsid w:val="5CD1707F"/>
    <w:rsid w:val="5CEB0141"/>
    <w:rsid w:val="5CED3EB9"/>
    <w:rsid w:val="5CED6664"/>
    <w:rsid w:val="5D0E3E30"/>
    <w:rsid w:val="5D221689"/>
    <w:rsid w:val="5D3560D4"/>
    <w:rsid w:val="5D6A375C"/>
    <w:rsid w:val="5D8202BE"/>
    <w:rsid w:val="5D891708"/>
    <w:rsid w:val="5DB22A0D"/>
    <w:rsid w:val="5DD07337"/>
    <w:rsid w:val="5DD56FF0"/>
    <w:rsid w:val="5DD92690"/>
    <w:rsid w:val="5DDD17E1"/>
    <w:rsid w:val="5DE3706A"/>
    <w:rsid w:val="5DF11787"/>
    <w:rsid w:val="5DF9063C"/>
    <w:rsid w:val="5DFC726C"/>
    <w:rsid w:val="5E1D5B3E"/>
    <w:rsid w:val="5E225DE5"/>
    <w:rsid w:val="5E2A6A47"/>
    <w:rsid w:val="5E5001EE"/>
    <w:rsid w:val="5E652ADE"/>
    <w:rsid w:val="5E710FBC"/>
    <w:rsid w:val="5E7F176F"/>
    <w:rsid w:val="5E8545C5"/>
    <w:rsid w:val="5E936558"/>
    <w:rsid w:val="5E9D7480"/>
    <w:rsid w:val="5EAE7678"/>
    <w:rsid w:val="5EC96260"/>
    <w:rsid w:val="5EDD1D0C"/>
    <w:rsid w:val="5EE217F9"/>
    <w:rsid w:val="5EE27322"/>
    <w:rsid w:val="5EE75B17"/>
    <w:rsid w:val="5EEF6B9A"/>
    <w:rsid w:val="5F27742B"/>
    <w:rsid w:val="5F28567D"/>
    <w:rsid w:val="5F4B3119"/>
    <w:rsid w:val="5F5415CE"/>
    <w:rsid w:val="5F585836"/>
    <w:rsid w:val="5F64545E"/>
    <w:rsid w:val="5F6E0BB6"/>
    <w:rsid w:val="5F797C86"/>
    <w:rsid w:val="5F993D1B"/>
    <w:rsid w:val="5F9D0CBA"/>
    <w:rsid w:val="5FA958A9"/>
    <w:rsid w:val="5FCF78A6"/>
    <w:rsid w:val="5FD27AAD"/>
    <w:rsid w:val="5FD41360"/>
    <w:rsid w:val="5FD72BFF"/>
    <w:rsid w:val="5FEB66AA"/>
    <w:rsid w:val="5FED41D0"/>
    <w:rsid w:val="60036C0D"/>
    <w:rsid w:val="60145C01"/>
    <w:rsid w:val="6017124D"/>
    <w:rsid w:val="602A2D2E"/>
    <w:rsid w:val="60622ED8"/>
    <w:rsid w:val="60792793"/>
    <w:rsid w:val="60795A64"/>
    <w:rsid w:val="607A2F67"/>
    <w:rsid w:val="608C39E9"/>
    <w:rsid w:val="609D5BF6"/>
    <w:rsid w:val="60A01243"/>
    <w:rsid w:val="60AE6449"/>
    <w:rsid w:val="60CF1B28"/>
    <w:rsid w:val="60D1360B"/>
    <w:rsid w:val="60D4713E"/>
    <w:rsid w:val="60DA29A7"/>
    <w:rsid w:val="60DC0870"/>
    <w:rsid w:val="60E86BFD"/>
    <w:rsid w:val="60EA20B9"/>
    <w:rsid w:val="610923E5"/>
    <w:rsid w:val="61161505"/>
    <w:rsid w:val="611D0E9C"/>
    <w:rsid w:val="612F7FCE"/>
    <w:rsid w:val="613D4CE3"/>
    <w:rsid w:val="61453B98"/>
    <w:rsid w:val="61734BA9"/>
    <w:rsid w:val="618034E5"/>
    <w:rsid w:val="61826B9A"/>
    <w:rsid w:val="618F19E3"/>
    <w:rsid w:val="619568CD"/>
    <w:rsid w:val="61AD66ED"/>
    <w:rsid w:val="61B050E7"/>
    <w:rsid w:val="61B551C2"/>
    <w:rsid w:val="61BE4076"/>
    <w:rsid w:val="61C80A51"/>
    <w:rsid w:val="61D70C94"/>
    <w:rsid w:val="61E11B13"/>
    <w:rsid w:val="61E360BE"/>
    <w:rsid w:val="61FB0E26"/>
    <w:rsid w:val="62055A75"/>
    <w:rsid w:val="62065A1D"/>
    <w:rsid w:val="621912AD"/>
    <w:rsid w:val="621F43E9"/>
    <w:rsid w:val="622F1669"/>
    <w:rsid w:val="623460E6"/>
    <w:rsid w:val="624D53FA"/>
    <w:rsid w:val="62562501"/>
    <w:rsid w:val="625B7B17"/>
    <w:rsid w:val="625D388F"/>
    <w:rsid w:val="62650996"/>
    <w:rsid w:val="62683FE2"/>
    <w:rsid w:val="626B793D"/>
    <w:rsid w:val="62764FAB"/>
    <w:rsid w:val="627666FF"/>
    <w:rsid w:val="629B008E"/>
    <w:rsid w:val="629C3C79"/>
    <w:rsid w:val="629D0130"/>
    <w:rsid w:val="62AD11D0"/>
    <w:rsid w:val="62B22401"/>
    <w:rsid w:val="62E80C7F"/>
    <w:rsid w:val="62FA736F"/>
    <w:rsid w:val="63003949"/>
    <w:rsid w:val="63027F93"/>
    <w:rsid w:val="63046130"/>
    <w:rsid w:val="631A1780"/>
    <w:rsid w:val="631A7E30"/>
    <w:rsid w:val="632443AD"/>
    <w:rsid w:val="63350160"/>
    <w:rsid w:val="633B39FC"/>
    <w:rsid w:val="63506F50"/>
    <w:rsid w:val="63575791"/>
    <w:rsid w:val="63696264"/>
    <w:rsid w:val="63750C42"/>
    <w:rsid w:val="63960D2D"/>
    <w:rsid w:val="63A70B3A"/>
    <w:rsid w:val="63B17E96"/>
    <w:rsid w:val="63C416EC"/>
    <w:rsid w:val="63C74D38"/>
    <w:rsid w:val="63E0176B"/>
    <w:rsid w:val="63E453A9"/>
    <w:rsid w:val="63F7386F"/>
    <w:rsid w:val="64033FC2"/>
    <w:rsid w:val="640922D0"/>
    <w:rsid w:val="641A2EBD"/>
    <w:rsid w:val="641C6E32"/>
    <w:rsid w:val="64295840"/>
    <w:rsid w:val="64395E7C"/>
    <w:rsid w:val="643C74D4"/>
    <w:rsid w:val="64412DBA"/>
    <w:rsid w:val="64476F4B"/>
    <w:rsid w:val="64540CC2"/>
    <w:rsid w:val="64616F3B"/>
    <w:rsid w:val="646802C9"/>
    <w:rsid w:val="646A2293"/>
    <w:rsid w:val="646D768E"/>
    <w:rsid w:val="6477675E"/>
    <w:rsid w:val="64852C29"/>
    <w:rsid w:val="64992B79"/>
    <w:rsid w:val="64CE4D88"/>
    <w:rsid w:val="64DE058B"/>
    <w:rsid w:val="64E02CF2"/>
    <w:rsid w:val="64EC2CA8"/>
    <w:rsid w:val="64FF2A33"/>
    <w:rsid w:val="65077AE2"/>
    <w:rsid w:val="652A028A"/>
    <w:rsid w:val="6535464F"/>
    <w:rsid w:val="653F6B42"/>
    <w:rsid w:val="65407C11"/>
    <w:rsid w:val="65495368"/>
    <w:rsid w:val="655B3896"/>
    <w:rsid w:val="655E3A77"/>
    <w:rsid w:val="65644F35"/>
    <w:rsid w:val="65674A25"/>
    <w:rsid w:val="657809E0"/>
    <w:rsid w:val="658B24C1"/>
    <w:rsid w:val="658B4268"/>
    <w:rsid w:val="658C7000"/>
    <w:rsid w:val="65A74E21"/>
    <w:rsid w:val="65AC068A"/>
    <w:rsid w:val="65E816C2"/>
    <w:rsid w:val="65E9543A"/>
    <w:rsid w:val="66012783"/>
    <w:rsid w:val="66094DB9"/>
    <w:rsid w:val="661078D0"/>
    <w:rsid w:val="66171FA7"/>
    <w:rsid w:val="661C136B"/>
    <w:rsid w:val="661E3757"/>
    <w:rsid w:val="664D59C9"/>
    <w:rsid w:val="665C474C"/>
    <w:rsid w:val="665F17E4"/>
    <w:rsid w:val="666176C6"/>
    <w:rsid w:val="666D606B"/>
    <w:rsid w:val="66723681"/>
    <w:rsid w:val="66907D40"/>
    <w:rsid w:val="66BE125A"/>
    <w:rsid w:val="66E7147B"/>
    <w:rsid w:val="66EA76BB"/>
    <w:rsid w:val="66F402EA"/>
    <w:rsid w:val="66F9345B"/>
    <w:rsid w:val="67036A86"/>
    <w:rsid w:val="670C7632"/>
    <w:rsid w:val="671B5AC7"/>
    <w:rsid w:val="671F6C47"/>
    <w:rsid w:val="67283D40"/>
    <w:rsid w:val="672A5D0A"/>
    <w:rsid w:val="672A7AB8"/>
    <w:rsid w:val="672F727C"/>
    <w:rsid w:val="67423054"/>
    <w:rsid w:val="6747692C"/>
    <w:rsid w:val="67656D42"/>
    <w:rsid w:val="67717495"/>
    <w:rsid w:val="677F7E04"/>
    <w:rsid w:val="6780592A"/>
    <w:rsid w:val="67B0620F"/>
    <w:rsid w:val="67BA708E"/>
    <w:rsid w:val="67C07E4A"/>
    <w:rsid w:val="67DA7730"/>
    <w:rsid w:val="67FB2A48"/>
    <w:rsid w:val="67FC76A6"/>
    <w:rsid w:val="67FD2B83"/>
    <w:rsid w:val="67FF2F55"/>
    <w:rsid w:val="68057723"/>
    <w:rsid w:val="680D18B3"/>
    <w:rsid w:val="681F5143"/>
    <w:rsid w:val="68203D1B"/>
    <w:rsid w:val="68472B6D"/>
    <w:rsid w:val="685272C6"/>
    <w:rsid w:val="68531CDD"/>
    <w:rsid w:val="68680898"/>
    <w:rsid w:val="687E2F9C"/>
    <w:rsid w:val="68945B31"/>
    <w:rsid w:val="689C707B"/>
    <w:rsid w:val="68A67612"/>
    <w:rsid w:val="68CD1043"/>
    <w:rsid w:val="68E1064A"/>
    <w:rsid w:val="68E37F9C"/>
    <w:rsid w:val="68E51EE8"/>
    <w:rsid w:val="68FA40F3"/>
    <w:rsid w:val="68FE11FC"/>
    <w:rsid w:val="690031C6"/>
    <w:rsid w:val="69042303"/>
    <w:rsid w:val="690C3919"/>
    <w:rsid w:val="691D5B26"/>
    <w:rsid w:val="69201173"/>
    <w:rsid w:val="69272501"/>
    <w:rsid w:val="69322309"/>
    <w:rsid w:val="694035C3"/>
    <w:rsid w:val="694626F8"/>
    <w:rsid w:val="69594031"/>
    <w:rsid w:val="69696D75"/>
    <w:rsid w:val="698431D7"/>
    <w:rsid w:val="698A2A90"/>
    <w:rsid w:val="69947FE8"/>
    <w:rsid w:val="699A71FC"/>
    <w:rsid w:val="69A8763A"/>
    <w:rsid w:val="69B67D29"/>
    <w:rsid w:val="69C20DE4"/>
    <w:rsid w:val="69C50ADB"/>
    <w:rsid w:val="69C74CBB"/>
    <w:rsid w:val="69DF2DDC"/>
    <w:rsid w:val="6A0C210D"/>
    <w:rsid w:val="6A0D7DED"/>
    <w:rsid w:val="6A1D56B2"/>
    <w:rsid w:val="6A211646"/>
    <w:rsid w:val="6A2151A2"/>
    <w:rsid w:val="6A462E5B"/>
    <w:rsid w:val="6A7019A4"/>
    <w:rsid w:val="6A786D8C"/>
    <w:rsid w:val="6A8B4D12"/>
    <w:rsid w:val="6A972E4E"/>
    <w:rsid w:val="6ACD70D8"/>
    <w:rsid w:val="6AD119EC"/>
    <w:rsid w:val="6AD9782B"/>
    <w:rsid w:val="6AE508C6"/>
    <w:rsid w:val="6B1940CB"/>
    <w:rsid w:val="6B361121"/>
    <w:rsid w:val="6B421874"/>
    <w:rsid w:val="6B604762"/>
    <w:rsid w:val="6B6A6C83"/>
    <w:rsid w:val="6B944D8F"/>
    <w:rsid w:val="6BB72D7E"/>
    <w:rsid w:val="6BBD539F"/>
    <w:rsid w:val="6BC9782A"/>
    <w:rsid w:val="6BCE220C"/>
    <w:rsid w:val="6BCF6E80"/>
    <w:rsid w:val="6BD12BF8"/>
    <w:rsid w:val="6BE24E05"/>
    <w:rsid w:val="6BE75F78"/>
    <w:rsid w:val="6BEC358E"/>
    <w:rsid w:val="6BF608B1"/>
    <w:rsid w:val="6BF84629"/>
    <w:rsid w:val="6C2B67AC"/>
    <w:rsid w:val="6C514054"/>
    <w:rsid w:val="6C5D26DE"/>
    <w:rsid w:val="6C5F0204"/>
    <w:rsid w:val="6C702411"/>
    <w:rsid w:val="6C755C79"/>
    <w:rsid w:val="6C770BB5"/>
    <w:rsid w:val="6C845EBC"/>
    <w:rsid w:val="6C86741D"/>
    <w:rsid w:val="6C8E6D3B"/>
    <w:rsid w:val="6C9A748E"/>
    <w:rsid w:val="6C9E6F7E"/>
    <w:rsid w:val="6CA83959"/>
    <w:rsid w:val="6CB70040"/>
    <w:rsid w:val="6CB93DB8"/>
    <w:rsid w:val="6CCB3AEB"/>
    <w:rsid w:val="6CD96208"/>
    <w:rsid w:val="6CFA4F3B"/>
    <w:rsid w:val="6CFD2D81"/>
    <w:rsid w:val="6D0E651B"/>
    <w:rsid w:val="6D0F1C2A"/>
    <w:rsid w:val="6D125276"/>
    <w:rsid w:val="6D192AA9"/>
    <w:rsid w:val="6D1D3BF9"/>
    <w:rsid w:val="6D1F744D"/>
    <w:rsid w:val="6D203E37"/>
    <w:rsid w:val="6D25444C"/>
    <w:rsid w:val="6D352F7B"/>
    <w:rsid w:val="6D437B25"/>
    <w:rsid w:val="6D5B09CB"/>
    <w:rsid w:val="6D6D6950"/>
    <w:rsid w:val="6D77157D"/>
    <w:rsid w:val="6D9D14A4"/>
    <w:rsid w:val="6DAD4F9F"/>
    <w:rsid w:val="6DB63E53"/>
    <w:rsid w:val="6DCA5B51"/>
    <w:rsid w:val="6DD15131"/>
    <w:rsid w:val="6DE54739"/>
    <w:rsid w:val="6DF5E025"/>
    <w:rsid w:val="6E027099"/>
    <w:rsid w:val="6E0607D2"/>
    <w:rsid w:val="6E196913"/>
    <w:rsid w:val="6E245261"/>
    <w:rsid w:val="6E2C680B"/>
    <w:rsid w:val="6E3A2CD6"/>
    <w:rsid w:val="6E3B07FD"/>
    <w:rsid w:val="6E6E0BD2"/>
    <w:rsid w:val="6E6E3BE9"/>
    <w:rsid w:val="6E76733B"/>
    <w:rsid w:val="6E8612AA"/>
    <w:rsid w:val="6E9248C1"/>
    <w:rsid w:val="6EA91C0A"/>
    <w:rsid w:val="6EAD16FA"/>
    <w:rsid w:val="6EB365E5"/>
    <w:rsid w:val="6ED0368D"/>
    <w:rsid w:val="6ED50F94"/>
    <w:rsid w:val="6EE92007"/>
    <w:rsid w:val="6EEA392C"/>
    <w:rsid w:val="6EF747E7"/>
    <w:rsid w:val="6EFA7E44"/>
    <w:rsid w:val="6F15104E"/>
    <w:rsid w:val="6F516BAB"/>
    <w:rsid w:val="6F631DB9"/>
    <w:rsid w:val="6F796C19"/>
    <w:rsid w:val="6F9603E0"/>
    <w:rsid w:val="6F96218E"/>
    <w:rsid w:val="6FB26695"/>
    <w:rsid w:val="6FC211D5"/>
    <w:rsid w:val="6FF77C41"/>
    <w:rsid w:val="70096E04"/>
    <w:rsid w:val="70313A42"/>
    <w:rsid w:val="7049481C"/>
    <w:rsid w:val="705B5186"/>
    <w:rsid w:val="707F0E75"/>
    <w:rsid w:val="70860455"/>
    <w:rsid w:val="70B2124A"/>
    <w:rsid w:val="70B52AE8"/>
    <w:rsid w:val="70B54896"/>
    <w:rsid w:val="70C26FB3"/>
    <w:rsid w:val="70C41323"/>
    <w:rsid w:val="70D7582F"/>
    <w:rsid w:val="70DE5BAC"/>
    <w:rsid w:val="70E06818"/>
    <w:rsid w:val="70EE1B56"/>
    <w:rsid w:val="70EE7FD0"/>
    <w:rsid w:val="70F51CC1"/>
    <w:rsid w:val="70F60C6B"/>
    <w:rsid w:val="711772FF"/>
    <w:rsid w:val="712424A9"/>
    <w:rsid w:val="71520337"/>
    <w:rsid w:val="71777D9E"/>
    <w:rsid w:val="71816E6E"/>
    <w:rsid w:val="718D75C1"/>
    <w:rsid w:val="71984832"/>
    <w:rsid w:val="719E532A"/>
    <w:rsid w:val="71A30B93"/>
    <w:rsid w:val="71A803D2"/>
    <w:rsid w:val="71AC3EEB"/>
    <w:rsid w:val="71BC1C54"/>
    <w:rsid w:val="71EA5041"/>
    <w:rsid w:val="71FB277D"/>
    <w:rsid w:val="72023B0B"/>
    <w:rsid w:val="720750AB"/>
    <w:rsid w:val="72135D18"/>
    <w:rsid w:val="7213773D"/>
    <w:rsid w:val="721970A7"/>
    <w:rsid w:val="721B4B69"/>
    <w:rsid w:val="722523DA"/>
    <w:rsid w:val="7238752D"/>
    <w:rsid w:val="724834E8"/>
    <w:rsid w:val="724A54B2"/>
    <w:rsid w:val="72651D1D"/>
    <w:rsid w:val="72824C4C"/>
    <w:rsid w:val="728F1117"/>
    <w:rsid w:val="729F57FE"/>
    <w:rsid w:val="72AC7F1B"/>
    <w:rsid w:val="72BB1F0C"/>
    <w:rsid w:val="72BC63B0"/>
    <w:rsid w:val="72CC4119"/>
    <w:rsid w:val="72D902DB"/>
    <w:rsid w:val="72D922D2"/>
    <w:rsid w:val="72E15E16"/>
    <w:rsid w:val="72EC0317"/>
    <w:rsid w:val="72F31818"/>
    <w:rsid w:val="72F40506"/>
    <w:rsid w:val="730A615D"/>
    <w:rsid w:val="7329331A"/>
    <w:rsid w:val="73352A0F"/>
    <w:rsid w:val="73366491"/>
    <w:rsid w:val="733E7955"/>
    <w:rsid w:val="733F2341"/>
    <w:rsid w:val="7349576A"/>
    <w:rsid w:val="7363318F"/>
    <w:rsid w:val="73784B15"/>
    <w:rsid w:val="73A40BF2"/>
    <w:rsid w:val="73B9644B"/>
    <w:rsid w:val="73C13552"/>
    <w:rsid w:val="73D414D7"/>
    <w:rsid w:val="73E159A2"/>
    <w:rsid w:val="73E27753"/>
    <w:rsid w:val="73F27BAF"/>
    <w:rsid w:val="73FC458A"/>
    <w:rsid w:val="73FE47A6"/>
    <w:rsid w:val="740A5D4F"/>
    <w:rsid w:val="74681C20"/>
    <w:rsid w:val="748F53FE"/>
    <w:rsid w:val="74C4779E"/>
    <w:rsid w:val="74DB0643"/>
    <w:rsid w:val="74F3598D"/>
    <w:rsid w:val="74FF4400"/>
    <w:rsid w:val="75181898"/>
    <w:rsid w:val="752F4586"/>
    <w:rsid w:val="75377F70"/>
    <w:rsid w:val="753A35BC"/>
    <w:rsid w:val="755A1EB0"/>
    <w:rsid w:val="757C62BA"/>
    <w:rsid w:val="75966973"/>
    <w:rsid w:val="75993854"/>
    <w:rsid w:val="75BF3AC1"/>
    <w:rsid w:val="75C567D4"/>
    <w:rsid w:val="75CF63FA"/>
    <w:rsid w:val="75D32B1E"/>
    <w:rsid w:val="76005B8B"/>
    <w:rsid w:val="76063720"/>
    <w:rsid w:val="760944E2"/>
    <w:rsid w:val="760F2C9B"/>
    <w:rsid w:val="76116A13"/>
    <w:rsid w:val="761958C7"/>
    <w:rsid w:val="7630676D"/>
    <w:rsid w:val="76370B8C"/>
    <w:rsid w:val="76377AFB"/>
    <w:rsid w:val="763C02F5"/>
    <w:rsid w:val="763F6D05"/>
    <w:rsid w:val="764D731F"/>
    <w:rsid w:val="76534121"/>
    <w:rsid w:val="765468FF"/>
    <w:rsid w:val="76676633"/>
    <w:rsid w:val="766B147C"/>
    <w:rsid w:val="76827673"/>
    <w:rsid w:val="76876CD5"/>
    <w:rsid w:val="768B3538"/>
    <w:rsid w:val="768C6099"/>
    <w:rsid w:val="76A41635"/>
    <w:rsid w:val="76B15B00"/>
    <w:rsid w:val="76B33626"/>
    <w:rsid w:val="76B55D08"/>
    <w:rsid w:val="76B61368"/>
    <w:rsid w:val="76D23B71"/>
    <w:rsid w:val="76D77B5B"/>
    <w:rsid w:val="76DA4F81"/>
    <w:rsid w:val="76E80E22"/>
    <w:rsid w:val="770025E3"/>
    <w:rsid w:val="770245AD"/>
    <w:rsid w:val="770754B2"/>
    <w:rsid w:val="77135F98"/>
    <w:rsid w:val="771C566F"/>
    <w:rsid w:val="77291B3A"/>
    <w:rsid w:val="772E30C3"/>
    <w:rsid w:val="774D3A7A"/>
    <w:rsid w:val="77765AAD"/>
    <w:rsid w:val="77A13DC6"/>
    <w:rsid w:val="77D45F4A"/>
    <w:rsid w:val="77D61F04"/>
    <w:rsid w:val="780659D7"/>
    <w:rsid w:val="78232A2D"/>
    <w:rsid w:val="78396B34"/>
    <w:rsid w:val="783B7D77"/>
    <w:rsid w:val="78482494"/>
    <w:rsid w:val="784A7FBA"/>
    <w:rsid w:val="787119EB"/>
    <w:rsid w:val="78762B5D"/>
    <w:rsid w:val="789353C9"/>
    <w:rsid w:val="789E20B4"/>
    <w:rsid w:val="78B611AB"/>
    <w:rsid w:val="78BD078C"/>
    <w:rsid w:val="78BE62B2"/>
    <w:rsid w:val="78D04EAD"/>
    <w:rsid w:val="78DA5F74"/>
    <w:rsid w:val="78E977D3"/>
    <w:rsid w:val="79002D6F"/>
    <w:rsid w:val="79050385"/>
    <w:rsid w:val="790D3456"/>
    <w:rsid w:val="79164340"/>
    <w:rsid w:val="791A7F61"/>
    <w:rsid w:val="79287546"/>
    <w:rsid w:val="792E3438"/>
    <w:rsid w:val="792E51E6"/>
    <w:rsid w:val="792F71B0"/>
    <w:rsid w:val="794C38BE"/>
    <w:rsid w:val="7950639F"/>
    <w:rsid w:val="79762964"/>
    <w:rsid w:val="79A862DB"/>
    <w:rsid w:val="79B95342"/>
    <w:rsid w:val="79DD09BA"/>
    <w:rsid w:val="7A002417"/>
    <w:rsid w:val="7A114262"/>
    <w:rsid w:val="7A312B48"/>
    <w:rsid w:val="7A320D06"/>
    <w:rsid w:val="7A430B5F"/>
    <w:rsid w:val="7A5A025C"/>
    <w:rsid w:val="7A666C01"/>
    <w:rsid w:val="7A7E5F0B"/>
    <w:rsid w:val="7A826F8A"/>
    <w:rsid w:val="7A9D480F"/>
    <w:rsid w:val="7AAF042F"/>
    <w:rsid w:val="7AAF29A1"/>
    <w:rsid w:val="7AF366E7"/>
    <w:rsid w:val="7AF67F85"/>
    <w:rsid w:val="7B034450"/>
    <w:rsid w:val="7B1228E5"/>
    <w:rsid w:val="7B171D01"/>
    <w:rsid w:val="7B2E5971"/>
    <w:rsid w:val="7B31720F"/>
    <w:rsid w:val="7B42141C"/>
    <w:rsid w:val="7B580C40"/>
    <w:rsid w:val="7B5B12E2"/>
    <w:rsid w:val="7B5D2507"/>
    <w:rsid w:val="7B71246B"/>
    <w:rsid w:val="7B783090"/>
    <w:rsid w:val="7B8E01BE"/>
    <w:rsid w:val="7B9A6617"/>
    <w:rsid w:val="7B9B3F93"/>
    <w:rsid w:val="7BA048B9"/>
    <w:rsid w:val="7BB3231A"/>
    <w:rsid w:val="7BBC344E"/>
    <w:rsid w:val="7BBF6E5D"/>
    <w:rsid w:val="7BCB31C0"/>
    <w:rsid w:val="7BD8636F"/>
    <w:rsid w:val="7BDCC144"/>
    <w:rsid w:val="7BE54825"/>
    <w:rsid w:val="7C232FFC"/>
    <w:rsid w:val="7C286864"/>
    <w:rsid w:val="7C3589DB"/>
    <w:rsid w:val="7C3639F5"/>
    <w:rsid w:val="7C606D6D"/>
    <w:rsid w:val="7C693ED0"/>
    <w:rsid w:val="7C6D3A08"/>
    <w:rsid w:val="7C727ADF"/>
    <w:rsid w:val="7C8D1DBB"/>
    <w:rsid w:val="7C961A20"/>
    <w:rsid w:val="7CAF2AE1"/>
    <w:rsid w:val="7CB400F8"/>
    <w:rsid w:val="7CB81B01"/>
    <w:rsid w:val="7CC145C3"/>
    <w:rsid w:val="7CD42548"/>
    <w:rsid w:val="7CFB5D27"/>
    <w:rsid w:val="7D0F68B1"/>
    <w:rsid w:val="7D1172F8"/>
    <w:rsid w:val="7D146DE8"/>
    <w:rsid w:val="7D2F3C22"/>
    <w:rsid w:val="7D3E3F8C"/>
    <w:rsid w:val="7D3E79C1"/>
    <w:rsid w:val="7D406FB9"/>
    <w:rsid w:val="7D4A45B8"/>
    <w:rsid w:val="7D507DD4"/>
    <w:rsid w:val="7D894928"/>
    <w:rsid w:val="7DAE4B47"/>
    <w:rsid w:val="7DB91369"/>
    <w:rsid w:val="7DC26844"/>
    <w:rsid w:val="7DC54BFB"/>
    <w:rsid w:val="7DCE3B5B"/>
    <w:rsid w:val="7DD6409E"/>
    <w:rsid w:val="7DDE1223"/>
    <w:rsid w:val="7DFA7D8C"/>
    <w:rsid w:val="7E0429B9"/>
    <w:rsid w:val="7E165433"/>
    <w:rsid w:val="7E301A00"/>
    <w:rsid w:val="7E3037AE"/>
    <w:rsid w:val="7E6B47E6"/>
    <w:rsid w:val="7E6D4A02"/>
    <w:rsid w:val="7E991412"/>
    <w:rsid w:val="7EA06B86"/>
    <w:rsid w:val="7EB73ECF"/>
    <w:rsid w:val="7EBB39C0"/>
    <w:rsid w:val="7EBC3294"/>
    <w:rsid w:val="7EEC0498"/>
    <w:rsid w:val="7EF1F59B"/>
    <w:rsid w:val="7EFB3DBC"/>
    <w:rsid w:val="7EFE38AC"/>
    <w:rsid w:val="7EFF6F9C"/>
    <w:rsid w:val="7F032C71"/>
    <w:rsid w:val="7F054C3B"/>
    <w:rsid w:val="7F0C5FC9"/>
    <w:rsid w:val="7F1B539F"/>
    <w:rsid w:val="7F240ECD"/>
    <w:rsid w:val="7F4A08A0"/>
    <w:rsid w:val="7F54171E"/>
    <w:rsid w:val="7F563747"/>
    <w:rsid w:val="7F840255"/>
    <w:rsid w:val="7F8C1A7C"/>
    <w:rsid w:val="7F945FBF"/>
    <w:rsid w:val="7FCE327F"/>
    <w:rsid w:val="7FE72592"/>
    <w:rsid w:val="7FE8B90A"/>
    <w:rsid w:val="7FF6A521"/>
    <w:rsid w:val="7FFD1DB6"/>
    <w:rsid w:val="9CDE80DB"/>
    <w:rsid w:val="CEEFD4C1"/>
    <w:rsid w:val="DEAFB606"/>
    <w:rsid w:val="EC5DAC7E"/>
    <w:rsid w:val="EFBF180B"/>
    <w:rsid w:val="F7BFB459"/>
    <w:rsid w:val="FCD35CA2"/>
    <w:rsid w:val="FEFF8AAE"/>
    <w:rsid w:val="FF7B96E6"/>
    <w:rsid w:val="FFE06830"/>
    <w:rsid w:val="FFEF8E41"/>
    <w:rsid w:val="FFFD4D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rFonts w:ascii="Times New Roman"/>
    </w:rPr>
  </w:style>
  <w:style w:type="paragraph" w:styleId="3">
    <w:name w:val="Normal Indent"/>
    <w:basedOn w:val="1"/>
    <w:qFormat/>
    <w:uiPriority w:val="99"/>
    <w:pPr>
      <w:ind w:firstLine="420"/>
    </w:pPr>
    <w:rPr>
      <w:rFonts w:ascii="Calibri" w:hAnsi="Calibri"/>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line="360" w:lineRule="auto"/>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basedOn w:val="10"/>
    <w:qFormat/>
    <w:uiPriority w:val="0"/>
    <w:rPr>
      <w:color w:val="000000"/>
      <w:u w:val="none"/>
    </w:rPr>
  </w:style>
  <w:style w:type="character" w:styleId="12">
    <w:name w:val="Emphasis"/>
    <w:basedOn w:val="10"/>
    <w:qFormat/>
    <w:uiPriority w:val="0"/>
  </w:style>
  <w:style w:type="character" w:styleId="13">
    <w:name w:val="Hyperlink"/>
    <w:basedOn w:val="10"/>
    <w:qFormat/>
    <w:uiPriority w:val="0"/>
    <w:rPr>
      <w:color w:val="000000"/>
      <w:u w:val="none"/>
    </w:rPr>
  </w:style>
  <w:style w:type="paragraph" w:customStyle="1" w:styleId="14">
    <w:name w:val="p0"/>
    <w:basedOn w:val="1"/>
    <w:qFormat/>
    <w:uiPriority w:val="0"/>
    <w:pPr>
      <w:widowControl/>
    </w:pPr>
    <w:rPr>
      <w:kern w:val="0"/>
      <w:szCs w:val="21"/>
    </w:rPr>
  </w:style>
  <w:style w:type="character" w:customStyle="1" w:styleId="15">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6">
    <w:name w:val="font01"/>
    <w:basedOn w:val="10"/>
    <w:qFormat/>
    <w:uiPriority w:val="0"/>
    <w:rPr>
      <w:rFonts w:ascii="Arial" w:hAnsi="Arial" w:cs="Arial"/>
      <w:color w:val="000000"/>
      <w:sz w:val="20"/>
      <w:szCs w:val="20"/>
      <w:u w:val="none"/>
    </w:rPr>
  </w:style>
  <w:style w:type="character" w:customStyle="1" w:styleId="17">
    <w:name w:val="font11"/>
    <w:basedOn w:val="10"/>
    <w:qFormat/>
    <w:uiPriority w:val="0"/>
    <w:rPr>
      <w:rFonts w:hint="eastAsia" w:ascii="宋体" w:hAnsi="宋体" w:eastAsia="宋体" w:cs="宋体"/>
      <w:color w:val="000000"/>
      <w:sz w:val="20"/>
      <w:szCs w:val="20"/>
      <w:u w:val="none"/>
    </w:rPr>
  </w:style>
  <w:style w:type="character" w:customStyle="1" w:styleId="18">
    <w:name w:val="a_p_2"/>
    <w:basedOn w:val="10"/>
    <w:qFormat/>
    <w:uiPriority w:val="0"/>
  </w:style>
  <w:style w:type="character" w:customStyle="1" w:styleId="19">
    <w:name w:val="a_p_21"/>
    <w:basedOn w:val="10"/>
    <w:qFormat/>
    <w:uiPriority w:val="0"/>
    <w:rPr>
      <w:sz w:val="27"/>
      <w:szCs w:val="27"/>
    </w:rPr>
  </w:style>
  <w:style w:type="character" w:customStyle="1" w:styleId="20">
    <w:name w:val="ul_li_a_1"/>
    <w:basedOn w:val="10"/>
    <w:qFormat/>
    <w:uiPriority w:val="0"/>
    <w:rPr>
      <w:b/>
      <w:bCs/>
      <w:color w:val="FFFFFF"/>
    </w:rPr>
  </w:style>
  <w:style w:type="character" w:customStyle="1" w:styleId="21">
    <w:name w:val="exap"/>
    <w:basedOn w:val="10"/>
    <w:qFormat/>
    <w:uiPriority w:val="0"/>
    <w:rPr>
      <w:sz w:val="27"/>
      <w:szCs w:val="27"/>
    </w:rPr>
  </w:style>
  <w:style w:type="character" w:customStyle="1" w:styleId="22">
    <w:name w:val="a_p_1"/>
    <w:basedOn w:val="10"/>
    <w:qFormat/>
    <w:uiPriority w:val="0"/>
    <w:rPr>
      <w:sz w:val="27"/>
      <w:szCs w:val="27"/>
    </w:rPr>
  </w:style>
  <w:style w:type="character" w:customStyle="1" w:styleId="23">
    <w:name w:val="a_p_3"/>
    <w:basedOn w:val="10"/>
    <w:qFormat/>
    <w:uiPriority w:val="0"/>
    <w:rPr>
      <w:sz w:val="27"/>
      <w:szCs w:val="27"/>
    </w:rPr>
  </w:style>
  <w:style w:type="character" w:customStyle="1" w:styleId="24">
    <w:name w:val="font51"/>
    <w:basedOn w:val="10"/>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4940</Words>
  <Characters>5973</Characters>
  <Lines>29</Lines>
  <Paragraphs>8</Paragraphs>
  <TotalTime>4</TotalTime>
  <ScaleCrop>false</ScaleCrop>
  <LinksUpToDate>false</LinksUpToDate>
  <CharactersWithSpaces>6081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2020-05-19T08:43:00Z</dcterms:created>
  <dc:creator>自由快乐雨</dc:creator>
  <cp:lastModifiedBy>雯雯</cp:lastModifiedBy>
  <cp:lastPrinted>2024-08-02T18:03:00Z</cp:lastPrinted>
  <dcterms:modified xsi:type="dcterms:W3CDTF">2025-09-05T09:46:40Z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92E8ABE4B7DE428E8A44D9AF2F4C2A3E_13</vt:lpwstr>
  </property>
  <property fmtid="{D5CDD505-2E9C-101B-9397-08002B2CF9AE}" pid="4" name="KSOTemplateDocerSaveRecord">
    <vt:lpwstr>eyJoZGlkIjoiOTQ1NDk0MTUxODUzNzU4Mzk4NjNmYTAwNWVjMThlNTMiLCJ1c2VySWQiOiIzMTk2OTY3NDUifQ==</vt:lpwstr>
  </property>
</Properties>
</file>