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AE236">
      <w:pPr>
        <w:pStyle w:val="7"/>
        <w:widowControl/>
        <w:jc w:val="center"/>
        <w:rPr>
          <w:rFonts w:hint="eastAsia" w:ascii="方正小标宋_GBK" w:hAnsi="方正小标宋_GBK" w:eastAsia="方正小标宋_GBK" w:cs="方正小标宋_GBK"/>
          <w:b/>
          <w:color w:val="000000" w:themeColor="text1"/>
          <w:sz w:val="44"/>
          <w:szCs w:val="44"/>
          <w14:textFill>
            <w14:solidFill>
              <w14:schemeClr w14:val="tx1"/>
            </w14:solidFill>
          </w14:textFill>
        </w:rPr>
      </w:pPr>
      <w:r>
        <w:rPr>
          <w:rFonts w:hint="eastAsia" w:ascii="方正小标宋_GBK" w:hAnsi="方正小标宋_GBK" w:eastAsia="方正小标宋_GBK" w:cs="方正小标宋_GBK"/>
          <w:b/>
          <w:color w:val="000000" w:themeColor="text1"/>
          <w:sz w:val="44"/>
          <w:szCs w:val="44"/>
          <w:lang w:val="en-US" w:eastAsia="zh-CN"/>
          <w14:textFill>
            <w14:solidFill>
              <w14:schemeClr w14:val="tx1"/>
            </w14:solidFill>
          </w14:textFill>
        </w:rPr>
        <w:t xml:space="preserve">  </w:t>
      </w:r>
      <w:r>
        <w:rPr>
          <w:rFonts w:hint="eastAsia" w:ascii="方正小标宋_GBK" w:hAnsi="方正小标宋_GBK" w:eastAsia="方正小标宋_GBK" w:cs="方正小标宋_GBK"/>
          <w:b/>
          <w:color w:val="000000" w:themeColor="text1"/>
          <w:sz w:val="44"/>
          <w:szCs w:val="44"/>
          <w:lang w:eastAsia="zh-CN"/>
          <w14:textFill>
            <w14:solidFill>
              <w14:schemeClr w14:val="tx1"/>
            </w14:solidFill>
          </w14:textFill>
        </w:rPr>
        <w:t>2025年</w:t>
      </w:r>
      <w:r>
        <w:rPr>
          <w:rFonts w:hint="eastAsia" w:ascii="方正小标宋_GBK" w:hAnsi="方正小标宋_GBK" w:eastAsia="方正小标宋_GBK" w:cs="方正小标宋_GBK"/>
          <w:b/>
          <w:color w:val="000000" w:themeColor="text1"/>
          <w:sz w:val="44"/>
          <w:szCs w:val="44"/>
          <w14:textFill>
            <w14:solidFill>
              <w14:schemeClr w14:val="tx1"/>
            </w14:solidFill>
          </w14:textFill>
        </w:rPr>
        <w:t>中站区国民经济和社会发展</w:t>
      </w:r>
    </w:p>
    <w:p w14:paraId="1E68D824">
      <w:pPr>
        <w:pStyle w:val="7"/>
        <w:widowControl/>
        <w:jc w:val="center"/>
        <w:rPr>
          <w:rFonts w:hint="eastAsia" w:ascii="方正小标宋_GBK" w:hAnsi="方正小标宋_GBK" w:eastAsia="方正小标宋_GBK" w:cs="方正小标宋_GBK"/>
          <w:b/>
          <w:color w:val="000000" w:themeColor="text1"/>
          <w:sz w:val="44"/>
          <w:szCs w:val="44"/>
          <w14:textFill>
            <w14:solidFill>
              <w14:schemeClr w14:val="tx1"/>
            </w14:solidFill>
          </w14:textFill>
        </w:rPr>
      </w:pPr>
      <w:r>
        <w:rPr>
          <w:rFonts w:hint="eastAsia" w:ascii="方正小标宋_GBK" w:hAnsi="方正小标宋_GBK" w:eastAsia="方正小标宋_GBK" w:cs="方正小标宋_GBK"/>
          <w:b/>
          <w:color w:val="000000" w:themeColor="text1"/>
          <w:sz w:val="44"/>
          <w:szCs w:val="44"/>
          <w14:textFill>
            <w14:solidFill>
              <w14:schemeClr w14:val="tx1"/>
            </w14:solidFill>
          </w14:textFill>
        </w:rPr>
        <w:t>统计公报</w:t>
      </w:r>
    </w:p>
    <w:p w14:paraId="7821631A">
      <w:pPr>
        <w:pStyle w:val="7"/>
        <w:widowControl/>
        <w:spacing w:line="480" w:lineRule="auto"/>
        <w:jc w:val="center"/>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中站区统计局</w:t>
      </w:r>
    </w:p>
    <w:p w14:paraId="4F5267F9">
      <w:pPr>
        <w:pStyle w:val="7"/>
        <w:widowControl/>
        <w:spacing w:line="480" w:lineRule="auto"/>
        <w:jc w:val="center"/>
        <w:rPr>
          <w:rFonts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lang w:eastAsia="zh-CN"/>
          <w14:textFill>
            <w14:solidFill>
              <w14:schemeClr w14:val="tx1"/>
            </w14:solidFill>
          </w14:textFill>
        </w:rPr>
        <w:t>202</w:t>
      </w:r>
      <w:r>
        <w:rPr>
          <w:rFonts w:hint="eastAsia" w:ascii="楷体" w:hAnsi="楷体" w:eastAsia="楷体" w:cs="楷体"/>
          <w:color w:val="000000" w:themeColor="text1"/>
          <w:sz w:val="32"/>
          <w:szCs w:val="32"/>
          <w:lang w:val="en-US" w:eastAsia="zh-CN"/>
          <w14:textFill>
            <w14:solidFill>
              <w14:schemeClr w14:val="tx1"/>
            </w14:solidFill>
          </w14:textFill>
        </w:rPr>
        <w:t>6</w:t>
      </w:r>
      <w:r>
        <w:rPr>
          <w:rFonts w:hint="eastAsia" w:ascii="楷体" w:hAnsi="楷体" w:eastAsia="楷体" w:cs="楷体"/>
          <w:color w:val="000000" w:themeColor="text1"/>
          <w:sz w:val="32"/>
          <w:szCs w:val="32"/>
          <w:lang w:eastAsia="zh-CN"/>
          <w14:textFill>
            <w14:solidFill>
              <w14:schemeClr w14:val="tx1"/>
            </w14:solidFill>
          </w14:textFill>
        </w:rPr>
        <w:t>年</w:t>
      </w:r>
      <w:r>
        <w:rPr>
          <w:rFonts w:hint="eastAsia" w:ascii="楷体" w:hAnsi="楷体" w:eastAsia="楷体" w:cs="楷体"/>
          <w:color w:val="000000" w:themeColor="text1"/>
          <w:sz w:val="32"/>
          <w:szCs w:val="32"/>
          <w:lang w:val="en-US" w:eastAsia="zh-CN"/>
          <w14:textFill>
            <w14:solidFill>
              <w14:schemeClr w14:val="tx1"/>
            </w14:solidFill>
          </w14:textFill>
        </w:rPr>
        <w:t>6</w:t>
      </w:r>
      <w:r>
        <w:rPr>
          <w:rFonts w:hint="eastAsia" w:ascii="楷体" w:hAnsi="楷体" w:eastAsia="楷体" w:cs="楷体"/>
          <w:color w:val="000000" w:themeColor="text1"/>
          <w:sz w:val="32"/>
          <w:szCs w:val="32"/>
          <w:lang w:eastAsia="zh-CN"/>
          <w14:textFill>
            <w14:solidFill>
              <w14:schemeClr w14:val="tx1"/>
            </w14:solidFill>
          </w14:textFill>
        </w:rPr>
        <w:t>月</w:t>
      </w:r>
      <w:r>
        <w:rPr>
          <w:rFonts w:hint="eastAsia" w:ascii="楷体" w:hAnsi="楷体" w:eastAsia="楷体" w:cs="楷体"/>
          <w:color w:val="000000" w:themeColor="text1"/>
          <w:sz w:val="32"/>
          <w:szCs w:val="32"/>
          <w:lang w:val="en-US" w:eastAsia="zh-CN"/>
          <w14:textFill>
            <w14:solidFill>
              <w14:schemeClr w14:val="tx1"/>
            </w14:solidFill>
          </w14:textFill>
        </w:rPr>
        <w:t>26</w:t>
      </w:r>
      <w:r>
        <w:rPr>
          <w:rFonts w:hint="eastAsia" w:ascii="楷体" w:hAnsi="楷体" w:eastAsia="楷体" w:cs="楷体"/>
          <w:color w:val="000000" w:themeColor="text1"/>
          <w:sz w:val="32"/>
          <w:szCs w:val="32"/>
          <w:lang w:eastAsia="zh-CN"/>
          <w14:textFill>
            <w14:solidFill>
              <w14:schemeClr w14:val="tx1"/>
            </w14:solidFill>
          </w14:textFill>
        </w:rPr>
        <w:t>日</w:t>
      </w:r>
    </w:p>
    <w:p w14:paraId="1EA1BC1B">
      <w:pPr>
        <w:pStyle w:val="7"/>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p>
    <w:p w14:paraId="2E2FC8E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2025年，全区上下坚持以习近平新时代中国特色社会主义思想为指导，全面贯彻落实党的二十大和二十届历次全会精神，围绕“1+2+4+N”目标任务体系，坚持“四个聚焦”，深入实施“1346”发展战略，</w:t>
      </w:r>
      <w:r>
        <w:rPr>
          <w:rFonts w:hint="default" w:ascii="Times New Roman" w:hAnsi="Times New Roman" w:eastAsia="仿宋_GB2312" w:cs="Times New Roman"/>
          <w:color w:val="auto"/>
          <w:spacing w:val="0"/>
          <w:kern w:val="10"/>
          <w:sz w:val="32"/>
          <w:szCs w:val="32"/>
          <w:u w:val="none" w:color="auto"/>
          <w:lang w:val="en-US" w:eastAsia="zh-CN"/>
        </w:rPr>
        <w:t>落实“311”工作要求，</w:t>
      </w: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稳中求进，难中求成</w:t>
      </w: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w:t>
      </w: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经济发展稳中提质，社会大局和谐稳定。</w:t>
      </w:r>
    </w:p>
    <w:p w14:paraId="301C7099">
      <w:pPr>
        <w:pStyle w:val="7"/>
        <w:keepNext w:val="0"/>
        <w:keepLines w:val="0"/>
        <w:pageBreakBefore w:val="0"/>
        <w:widowControl/>
        <w:kinsoku/>
        <w:wordWrap/>
        <w:overflowPunct/>
        <w:topLinePunct w:val="0"/>
        <w:autoSpaceDE/>
        <w:autoSpaceDN/>
        <w:bidi w:val="0"/>
        <w:adjustRightInd/>
        <w:snapToGrid/>
        <w:spacing w:line="560" w:lineRule="exact"/>
        <w:ind w:firstLine="643" w:firstLineChars="200"/>
        <w:jc w:val="both"/>
        <w:rPr>
          <w:rFonts w:hint="eastAsia" w:ascii="Times New Roman" w:hAnsi="Times New Roman" w:eastAsia="黑体" w:cs="黑体"/>
          <w:color w:val="000000" w:themeColor="text1"/>
          <w:sz w:val="32"/>
          <w:szCs w:val="32"/>
          <w14:textFill>
            <w14:solidFill>
              <w14:schemeClr w14:val="tx1"/>
            </w14:solidFill>
          </w14:textFill>
        </w:rPr>
      </w:pPr>
      <w:r>
        <w:rPr>
          <w:rFonts w:hint="eastAsia" w:ascii="Times New Roman" w:hAnsi="Times New Roman" w:eastAsia="黑体" w:cs="黑体"/>
          <w:b/>
          <w:color w:val="000000" w:themeColor="text1"/>
          <w:sz w:val="32"/>
          <w:szCs w:val="32"/>
          <w14:textFill>
            <w14:solidFill>
              <w14:schemeClr w14:val="tx1"/>
            </w14:solidFill>
          </w14:textFill>
        </w:rPr>
        <w:t>一、综合</w:t>
      </w:r>
    </w:p>
    <w:p w14:paraId="5A08388E">
      <w:pPr>
        <w:pStyle w:val="7"/>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初步核算，全年全区地区生产总值173.8亿元，比上年增长6.8%。其中：第一产业增加值0.4亿元，增长3.3%；第二产业增加值110.2亿元，增长6.7%；第三产业增加值63.2亿元，增长6.9%。三次产业结构为0.2:63.4:36.4。按常住人口计算，全年人均地区生产总值164774元，增长7.6%。</w:t>
      </w:r>
    </w:p>
    <w:p w14:paraId="56B3C8D7">
      <w:pPr>
        <w:pStyle w:val="7"/>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年末全区常住人口10.55万人，其中城镇常住人口8.54万人，乡村常住人口2.01万人；常住人口城镇化率为80.95%，比上年末提高0.66个百分点。全年出生人口0.05万人，人口出生率为4.68‰；死亡人口0.13万人，人口死亡率为12.38‰；人口自然增长率为-7.7‰。</w:t>
      </w:r>
    </w:p>
    <w:p w14:paraId="44EDFC08">
      <w:pPr>
        <w:keepNext w:val="0"/>
        <w:keepLines w:val="0"/>
        <w:pageBreakBefore w:val="0"/>
        <w:kinsoku/>
        <w:wordWrap/>
        <w:overflowPunct/>
        <w:topLinePunct w:val="0"/>
        <w:autoSpaceDE/>
        <w:autoSpaceDN/>
        <w:bidi w:val="0"/>
        <w:adjustRightInd/>
        <w:snapToGrid/>
        <w:spacing w:line="560" w:lineRule="exact"/>
        <w:ind w:firstLine="422" w:firstLineChars="150"/>
        <w:jc w:val="center"/>
        <w:rPr>
          <w:rFonts w:hint="default" w:ascii="Times New Roman" w:hAnsi="Times New Roman" w:eastAsia="仿宋" w:cs="仿宋"/>
          <w:b/>
          <w:bCs w:val="0"/>
          <w:color w:val="000000" w:themeColor="text1"/>
          <w:kern w:val="0"/>
          <w:sz w:val="28"/>
          <w:szCs w:val="28"/>
          <w:shd w:val="clear" w:color="auto" w:fill="FFFFFF"/>
          <w:lang w:val="en-US" w:eastAsia="zh-CN"/>
          <w14:textFill>
            <w14:solidFill>
              <w14:schemeClr w14:val="tx1"/>
            </w14:solidFill>
          </w14:textFill>
        </w:rPr>
      </w:pPr>
      <w:r>
        <w:rPr>
          <w:rFonts w:hint="eastAsia" w:ascii="Times New Roman" w:hAnsi="Times New Roman" w:eastAsia="仿宋" w:cs="仿宋"/>
          <w:b/>
          <w:bCs w:val="0"/>
          <w:color w:val="000000" w:themeColor="text1"/>
          <w:kern w:val="0"/>
          <w:sz w:val="28"/>
          <w:szCs w:val="28"/>
          <w:shd w:val="clear" w:color="auto" w:fill="FFFFFF"/>
          <w:lang w:val="en-US" w:eastAsia="zh-CN"/>
          <w14:textFill>
            <w14:solidFill>
              <w14:schemeClr w14:val="tx1"/>
            </w14:solidFill>
          </w14:textFill>
        </w:rPr>
        <w:t>表1  2025年年末中站区常住人口数及其构成</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4"/>
        <w:gridCol w:w="1991"/>
        <w:gridCol w:w="2097"/>
      </w:tblGrid>
      <w:tr w14:paraId="6770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4" w:type="dxa"/>
            <w:tcBorders>
              <w:top w:val="single" w:color="auto" w:sz="4" w:space="0"/>
              <w:left w:val="nil"/>
              <w:bottom w:val="single" w:color="auto" w:sz="4" w:space="0"/>
              <w:right w:val="single" w:color="auto" w:sz="4" w:space="0"/>
            </w:tcBorders>
          </w:tcPr>
          <w:p w14:paraId="001F8F13">
            <w:pPr>
              <w:pStyle w:val="7"/>
              <w:keepNext w:val="0"/>
              <w:keepLines w:val="0"/>
              <w:pageBreakBefore w:val="0"/>
              <w:widowControl/>
              <w:kinsoku/>
              <w:wordWrap/>
              <w:overflowPunct/>
              <w:topLinePunct w:val="0"/>
              <w:autoSpaceDE/>
              <w:autoSpaceDN/>
              <w:bidi w:val="0"/>
              <w:adjustRightInd/>
              <w:snapToGrid/>
              <w:spacing w:line="560" w:lineRule="exact"/>
              <w:jc w:val="center"/>
              <w:rPr>
                <w:rFonts w:hint="eastAsia" w:ascii="Times New Roman" w:hAnsi="Times New Roman" w:eastAsia="仿宋_GB2312" w:cstheme="minorBidi"/>
                <w:b/>
                <w:bCs w:val="0"/>
                <w:color w:val="000000" w:themeColor="text1"/>
                <w:kern w:val="0"/>
                <w:sz w:val="28"/>
                <w:szCs w:val="28"/>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
                <w:bCs w:val="0"/>
                <w:color w:val="000000" w:themeColor="text1"/>
                <w:kern w:val="0"/>
                <w:sz w:val="28"/>
                <w:szCs w:val="28"/>
                <w:shd w:val="clear" w:color="auto" w:fill="FFFFFF"/>
                <w:vertAlign w:val="baseline"/>
                <w:lang w:val="en-US" w:eastAsia="zh-CN" w:bidi="ar-SA"/>
                <w14:textFill>
                  <w14:solidFill>
                    <w14:schemeClr w14:val="tx1"/>
                  </w14:solidFill>
                </w14:textFill>
              </w:rPr>
              <w:t>指标</w:t>
            </w:r>
          </w:p>
        </w:tc>
        <w:tc>
          <w:tcPr>
            <w:tcW w:w="1991" w:type="dxa"/>
            <w:tcBorders>
              <w:top w:val="single" w:color="auto" w:sz="4" w:space="0"/>
              <w:left w:val="single" w:color="auto" w:sz="4" w:space="0"/>
              <w:bottom w:val="single" w:color="auto" w:sz="4" w:space="0"/>
              <w:right w:val="single" w:color="auto" w:sz="4" w:space="0"/>
            </w:tcBorders>
          </w:tcPr>
          <w:p w14:paraId="480A1D25">
            <w:pPr>
              <w:pStyle w:val="7"/>
              <w:keepNext w:val="0"/>
              <w:keepLines w:val="0"/>
              <w:pageBreakBefore w:val="0"/>
              <w:widowControl/>
              <w:kinsoku/>
              <w:wordWrap/>
              <w:overflowPunct/>
              <w:topLinePunct w:val="0"/>
              <w:autoSpaceDE/>
              <w:autoSpaceDN/>
              <w:bidi w:val="0"/>
              <w:adjustRightInd/>
              <w:snapToGrid/>
              <w:spacing w:line="560" w:lineRule="exact"/>
              <w:jc w:val="center"/>
              <w:rPr>
                <w:rFonts w:hint="eastAsia" w:ascii="Times New Roman" w:hAnsi="Times New Roman" w:eastAsia="仿宋_GB2312" w:cstheme="minorBidi"/>
                <w:b/>
                <w:bCs w:val="0"/>
                <w:color w:val="000000" w:themeColor="text1"/>
                <w:kern w:val="0"/>
                <w:sz w:val="28"/>
                <w:szCs w:val="28"/>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
                <w:bCs w:val="0"/>
                <w:color w:val="000000" w:themeColor="text1"/>
                <w:kern w:val="0"/>
                <w:sz w:val="28"/>
                <w:szCs w:val="28"/>
                <w:shd w:val="clear" w:color="auto" w:fill="FFFFFF"/>
                <w:vertAlign w:val="baseline"/>
                <w:lang w:val="en-US" w:eastAsia="zh-CN" w:bidi="ar-SA"/>
                <w14:textFill>
                  <w14:solidFill>
                    <w14:schemeClr w14:val="tx1"/>
                  </w14:solidFill>
                </w14:textFill>
              </w:rPr>
              <w:t>年末数（万人）</w:t>
            </w:r>
          </w:p>
        </w:tc>
        <w:tc>
          <w:tcPr>
            <w:tcW w:w="2097" w:type="dxa"/>
            <w:tcBorders>
              <w:top w:val="single" w:color="auto" w:sz="4" w:space="0"/>
              <w:left w:val="single" w:color="auto" w:sz="4" w:space="0"/>
              <w:bottom w:val="single" w:color="auto" w:sz="4" w:space="0"/>
              <w:right w:val="nil"/>
            </w:tcBorders>
          </w:tcPr>
          <w:p w14:paraId="17B4A2B1">
            <w:pPr>
              <w:pStyle w:val="7"/>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仿宋_GB2312" w:cstheme="minorBidi"/>
                <w:b/>
                <w:bCs w:val="0"/>
                <w:color w:val="000000" w:themeColor="text1"/>
                <w:kern w:val="0"/>
                <w:sz w:val="28"/>
                <w:szCs w:val="28"/>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
                <w:bCs w:val="0"/>
                <w:color w:val="000000" w:themeColor="text1"/>
                <w:kern w:val="0"/>
                <w:sz w:val="28"/>
                <w:szCs w:val="28"/>
                <w:shd w:val="clear" w:color="auto" w:fill="FFFFFF"/>
                <w:vertAlign w:val="baseline"/>
                <w:lang w:val="en-US" w:eastAsia="zh-CN" w:bidi="ar-SA"/>
                <w14:textFill>
                  <w14:solidFill>
                    <w14:schemeClr w14:val="tx1"/>
                  </w14:solidFill>
                </w14:textFill>
              </w:rPr>
              <w:t>比重（%）</w:t>
            </w:r>
          </w:p>
        </w:tc>
      </w:tr>
      <w:tr w14:paraId="235E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4" w:type="dxa"/>
            <w:tcBorders>
              <w:top w:val="single" w:color="auto" w:sz="4" w:space="0"/>
              <w:left w:val="nil"/>
              <w:bottom w:val="single" w:color="auto" w:sz="4" w:space="0"/>
              <w:right w:val="single" w:color="auto" w:sz="4" w:space="0"/>
            </w:tcBorders>
          </w:tcPr>
          <w:p w14:paraId="34BE3490">
            <w:pPr>
              <w:pStyle w:val="7"/>
              <w:keepNext w:val="0"/>
              <w:keepLines w:val="0"/>
              <w:pageBreakBefore w:val="0"/>
              <w:widowControl/>
              <w:kinsoku/>
              <w:wordWrap/>
              <w:overflowPunct/>
              <w:topLinePunct w:val="0"/>
              <w:autoSpaceDE/>
              <w:autoSpaceDN/>
              <w:bidi w:val="0"/>
              <w:adjustRightInd/>
              <w:snapToGrid/>
              <w:spacing w:line="560" w:lineRule="exact"/>
              <w:jc w:val="left"/>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全区常住人口</w:t>
            </w:r>
          </w:p>
        </w:tc>
        <w:tc>
          <w:tcPr>
            <w:tcW w:w="1991" w:type="dxa"/>
            <w:tcBorders>
              <w:top w:val="single" w:color="auto" w:sz="4" w:space="0"/>
              <w:left w:val="single" w:color="auto" w:sz="4" w:space="0"/>
              <w:bottom w:val="single" w:color="auto" w:sz="4" w:space="0"/>
              <w:right w:val="single" w:color="auto" w:sz="4" w:space="0"/>
            </w:tcBorders>
          </w:tcPr>
          <w:p w14:paraId="614B397F">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lang w:val="en-US" w:eastAsia="zh-CN" w:bidi="ar-SA"/>
                <w14:textFill>
                  <w14:solidFill>
                    <w14:schemeClr w14:val="tx1"/>
                  </w14:solidFill>
                </w14:textFill>
              </w:rPr>
              <w:t>10.55</w:t>
            </w:r>
          </w:p>
        </w:tc>
        <w:tc>
          <w:tcPr>
            <w:tcW w:w="2097" w:type="dxa"/>
            <w:tcBorders>
              <w:top w:val="single" w:color="auto" w:sz="4" w:space="0"/>
              <w:left w:val="single" w:color="auto" w:sz="4" w:space="0"/>
              <w:bottom w:val="single" w:color="auto" w:sz="4" w:space="0"/>
              <w:right w:val="nil"/>
            </w:tcBorders>
          </w:tcPr>
          <w:p w14:paraId="56DBC9E7">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100.0</w:t>
            </w:r>
          </w:p>
        </w:tc>
      </w:tr>
      <w:tr w14:paraId="18E8B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4" w:type="dxa"/>
            <w:tcBorders>
              <w:top w:val="single" w:color="auto" w:sz="4" w:space="0"/>
              <w:left w:val="nil"/>
              <w:bottom w:val="single" w:color="auto" w:sz="4" w:space="0"/>
              <w:right w:val="single" w:color="auto" w:sz="4" w:space="0"/>
            </w:tcBorders>
          </w:tcPr>
          <w:p w14:paraId="2FD6CC30">
            <w:pPr>
              <w:pStyle w:val="7"/>
              <w:keepNext w:val="0"/>
              <w:keepLines w:val="0"/>
              <w:pageBreakBefore w:val="0"/>
              <w:widowControl/>
              <w:kinsoku/>
              <w:wordWrap/>
              <w:overflowPunct/>
              <w:topLinePunct w:val="0"/>
              <w:autoSpaceDE/>
              <w:autoSpaceDN/>
              <w:bidi w:val="0"/>
              <w:adjustRightInd/>
              <w:snapToGrid/>
              <w:spacing w:line="560" w:lineRule="exact"/>
              <w:ind w:firstLine="480" w:firstLineChars="200"/>
              <w:jc w:val="left"/>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其中：城镇</w:t>
            </w:r>
          </w:p>
        </w:tc>
        <w:tc>
          <w:tcPr>
            <w:tcW w:w="1991" w:type="dxa"/>
            <w:tcBorders>
              <w:top w:val="single" w:color="auto" w:sz="4" w:space="0"/>
              <w:left w:val="single" w:color="auto" w:sz="4" w:space="0"/>
              <w:bottom w:val="single" w:color="auto" w:sz="4" w:space="0"/>
              <w:right w:val="single" w:color="auto" w:sz="4" w:space="0"/>
            </w:tcBorders>
          </w:tcPr>
          <w:p w14:paraId="1FD44930">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8.54</w:t>
            </w:r>
          </w:p>
        </w:tc>
        <w:tc>
          <w:tcPr>
            <w:tcW w:w="2097" w:type="dxa"/>
            <w:tcBorders>
              <w:top w:val="single" w:color="auto" w:sz="4" w:space="0"/>
              <w:left w:val="single" w:color="auto" w:sz="4" w:space="0"/>
              <w:bottom w:val="single" w:color="auto" w:sz="4" w:space="0"/>
              <w:right w:val="nil"/>
            </w:tcBorders>
          </w:tcPr>
          <w:p w14:paraId="43031ABD">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80.95</w:t>
            </w:r>
          </w:p>
        </w:tc>
      </w:tr>
      <w:tr w14:paraId="3A8E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4" w:type="dxa"/>
            <w:tcBorders>
              <w:top w:val="single" w:color="auto" w:sz="4" w:space="0"/>
              <w:left w:val="nil"/>
              <w:bottom w:val="single" w:color="auto" w:sz="4" w:space="0"/>
              <w:right w:val="single" w:color="auto" w:sz="4" w:space="0"/>
            </w:tcBorders>
          </w:tcPr>
          <w:p w14:paraId="087F8A05">
            <w:pPr>
              <w:pStyle w:val="7"/>
              <w:keepNext w:val="0"/>
              <w:keepLines w:val="0"/>
              <w:pageBreakBefore w:val="0"/>
              <w:widowControl/>
              <w:kinsoku/>
              <w:wordWrap/>
              <w:overflowPunct/>
              <w:topLinePunct w:val="0"/>
              <w:autoSpaceDE/>
              <w:autoSpaceDN/>
              <w:bidi w:val="0"/>
              <w:adjustRightInd/>
              <w:snapToGrid/>
              <w:spacing w:line="560" w:lineRule="exact"/>
              <w:ind w:firstLine="1200" w:firstLineChars="500"/>
              <w:jc w:val="lef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乡村</w:t>
            </w:r>
          </w:p>
        </w:tc>
        <w:tc>
          <w:tcPr>
            <w:tcW w:w="1991" w:type="dxa"/>
            <w:tcBorders>
              <w:top w:val="single" w:color="auto" w:sz="4" w:space="0"/>
              <w:left w:val="single" w:color="auto" w:sz="4" w:space="0"/>
              <w:bottom w:val="single" w:color="auto" w:sz="4" w:space="0"/>
              <w:right w:val="single" w:color="auto" w:sz="4" w:space="0"/>
            </w:tcBorders>
          </w:tcPr>
          <w:p w14:paraId="34B4A03F">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2.01</w:t>
            </w:r>
          </w:p>
        </w:tc>
        <w:tc>
          <w:tcPr>
            <w:tcW w:w="2097" w:type="dxa"/>
            <w:tcBorders>
              <w:top w:val="single" w:color="auto" w:sz="4" w:space="0"/>
              <w:left w:val="single" w:color="auto" w:sz="4" w:space="0"/>
              <w:bottom w:val="single" w:color="auto" w:sz="4" w:space="0"/>
              <w:right w:val="nil"/>
            </w:tcBorders>
          </w:tcPr>
          <w:p w14:paraId="3A7058CC">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19.05</w:t>
            </w:r>
          </w:p>
        </w:tc>
      </w:tr>
      <w:tr w14:paraId="34CD0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4" w:type="dxa"/>
            <w:tcBorders>
              <w:top w:val="single" w:color="auto" w:sz="4" w:space="0"/>
              <w:left w:val="nil"/>
              <w:bottom w:val="single" w:color="auto" w:sz="4" w:space="0"/>
              <w:right w:val="single" w:color="auto" w:sz="4" w:space="0"/>
            </w:tcBorders>
            <w:shd w:val="clear" w:color="auto" w:fill="auto"/>
            <w:vAlign w:val="top"/>
          </w:tcPr>
          <w:p w14:paraId="6BA4A525">
            <w:pPr>
              <w:pStyle w:val="7"/>
              <w:keepNext w:val="0"/>
              <w:keepLines w:val="0"/>
              <w:pageBreakBefore w:val="0"/>
              <w:widowControl/>
              <w:kinsoku/>
              <w:wordWrap/>
              <w:overflowPunct/>
              <w:topLinePunct w:val="0"/>
              <w:autoSpaceDE/>
              <w:autoSpaceDN/>
              <w:bidi w:val="0"/>
              <w:adjustRightInd/>
              <w:snapToGrid/>
              <w:spacing w:line="560" w:lineRule="exact"/>
              <w:ind w:firstLine="480" w:firstLineChars="200"/>
              <w:jc w:val="lef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其中：男性</w:t>
            </w:r>
          </w:p>
        </w:tc>
        <w:tc>
          <w:tcPr>
            <w:tcW w:w="1991" w:type="dxa"/>
            <w:tcBorders>
              <w:top w:val="single" w:color="auto" w:sz="4" w:space="0"/>
              <w:left w:val="single" w:color="auto" w:sz="4" w:space="0"/>
              <w:bottom w:val="single" w:color="auto" w:sz="4" w:space="0"/>
              <w:right w:val="single" w:color="auto" w:sz="4" w:space="0"/>
            </w:tcBorders>
          </w:tcPr>
          <w:p w14:paraId="77253156">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5.29</w:t>
            </w:r>
          </w:p>
        </w:tc>
        <w:tc>
          <w:tcPr>
            <w:tcW w:w="2097" w:type="dxa"/>
            <w:tcBorders>
              <w:top w:val="single" w:color="auto" w:sz="4" w:space="0"/>
              <w:left w:val="single" w:color="auto" w:sz="4" w:space="0"/>
              <w:bottom w:val="single" w:color="auto" w:sz="4" w:space="0"/>
              <w:right w:val="nil"/>
            </w:tcBorders>
          </w:tcPr>
          <w:p w14:paraId="2B259966">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50.14</w:t>
            </w:r>
          </w:p>
        </w:tc>
      </w:tr>
      <w:tr w14:paraId="2414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4" w:type="dxa"/>
            <w:tcBorders>
              <w:top w:val="single" w:color="auto" w:sz="4" w:space="0"/>
              <w:left w:val="nil"/>
              <w:bottom w:val="single" w:color="auto" w:sz="4" w:space="0"/>
              <w:right w:val="single" w:color="auto" w:sz="4" w:space="0"/>
            </w:tcBorders>
            <w:shd w:val="clear" w:color="auto" w:fill="auto"/>
            <w:vAlign w:val="top"/>
          </w:tcPr>
          <w:p w14:paraId="1E6A1EBC">
            <w:pPr>
              <w:pStyle w:val="7"/>
              <w:keepNext w:val="0"/>
              <w:keepLines w:val="0"/>
              <w:pageBreakBefore w:val="0"/>
              <w:widowControl/>
              <w:kinsoku/>
              <w:wordWrap/>
              <w:overflowPunct/>
              <w:topLinePunct w:val="0"/>
              <w:autoSpaceDE/>
              <w:autoSpaceDN/>
              <w:bidi w:val="0"/>
              <w:adjustRightInd/>
              <w:snapToGrid/>
              <w:spacing w:line="560" w:lineRule="exact"/>
              <w:ind w:firstLine="1200" w:firstLineChars="500"/>
              <w:jc w:val="left"/>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女性</w:t>
            </w:r>
          </w:p>
        </w:tc>
        <w:tc>
          <w:tcPr>
            <w:tcW w:w="1991" w:type="dxa"/>
            <w:tcBorders>
              <w:top w:val="single" w:color="auto" w:sz="4" w:space="0"/>
              <w:left w:val="single" w:color="auto" w:sz="4" w:space="0"/>
              <w:bottom w:val="single" w:color="auto" w:sz="4" w:space="0"/>
              <w:right w:val="single" w:color="auto" w:sz="4" w:space="0"/>
            </w:tcBorders>
          </w:tcPr>
          <w:p w14:paraId="0FD9EFEE">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5.26</w:t>
            </w:r>
          </w:p>
        </w:tc>
        <w:tc>
          <w:tcPr>
            <w:tcW w:w="2097" w:type="dxa"/>
            <w:tcBorders>
              <w:top w:val="single" w:color="auto" w:sz="4" w:space="0"/>
              <w:left w:val="single" w:color="auto" w:sz="4" w:space="0"/>
              <w:bottom w:val="single" w:color="auto" w:sz="4" w:space="0"/>
              <w:right w:val="nil"/>
            </w:tcBorders>
          </w:tcPr>
          <w:p w14:paraId="61FD93A3">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49.86</w:t>
            </w:r>
          </w:p>
        </w:tc>
      </w:tr>
      <w:tr w14:paraId="065A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4" w:type="dxa"/>
            <w:tcBorders>
              <w:top w:val="single" w:color="auto" w:sz="4" w:space="0"/>
              <w:left w:val="nil"/>
              <w:bottom w:val="single" w:color="auto" w:sz="4" w:space="0"/>
              <w:right w:val="single" w:color="auto" w:sz="4" w:space="0"/>
            </w:tcBorders>
            <w:shd w:val="clear" w:color="auto" w:fill="auto"/>
            <w:vAlign w:val="top"/>
          </w:tcPr>
          <w:p w14:paraId="4765D263">
            <w:pPr>
              <w:pStyle w:val="7"/>
              <w:keepNext w:val="0"/>
              <w:keepLines w:val="0"/>
              <w:pageBreakBefore w:val="0"/>
              <w:widowControl/>
              <w:kinsoku/>
              <w:wordWrap/>
              <w:overflowPunct/>
              <w:topLinePunct w:val="0"/>
              <w:autoSpaceDE/>
              <w:autoSpaceDN/>
              <w:bidi w:val="0"/>
              <w:adjustRightInd/>
              <w:snapToGrid/>
              <w:spacing w:line="560" w:lineRule="exact"/>
              <w:ind w:firstLine="480" w:firstLineChars="200"/>
              <w:jc w:val="lef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其中：0-15岁（含不满16周岁）</w:t>
            </w:r>
          </w:p>
        </w:tc>
        <w:tc>
          <w:tcPr>
            <w:tcW w:w="1991" w:type="dxa"/>
            <w:tcBorders>
              <w:top w:val="single" w:color="auto" w:sz="4" w:space="0"/>
              <w:left w:val="single" w:color="auto" w:sz="4" w:space="0"/>
              <w:bottom w:val="single" w:color="auto" w:sz="4" w:space="0"/>
              <w:right w:val="single" w:color="auto" w:sz="4" w:space="0"/>
            </w:tcBorders>
          </w:tcPr>
          <w:p w14:paraId="3CD5C5DA">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1.64</w:t>
            </w:r>
          </w:p>
        </w:tc>
        <w:tc>
          <w:tcPr>
            <w:tcW w:w="2097" w:type="dxa"/>
            <w:tcBorders>
              <w:top w:val="single" w:color="auto" w:sz="4" w:space="0"/>
              <w:left w:val="single" w:color="auto" w:sz="4" w:space="0"/>
              <w:bottom w:val="single" w:color="auto" w:sz="4" w:space="0"/>
              <w:right w:val="nil"/>
            </w:tcBorders>
          </w:tcPr>
          <w:p w14:paraId="73AB378B">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15.55</w:t>
            </w:r>
          </w:p>
        </w:tc>
      </w:tr>
      <w:tr w14:paraId="1A5C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4" w:type="dxa"/>
            <w:tcBorders>
              <w:top w:val="single" w:color="auto" w:sz="4" w:space="0"/>
              <w:left w:val="nil"/>
              <w:bottom w:val="single" w:color="auto" w:sz="4" w:space="0"/>
              <w:right w:val="single" w:color="auto" w:sz="4" w:space="0"/>
            </w:tcBorders>
            <w:shd w:val="clear" w:color="auto" w:fill="auto"/>
            <w:vAlign w:val="top"/>
          </w:tcPr>
          <w:p w14:paraId="5CF88905">
            <w:pPr>
              <w:pStyle w:val="7"/>
              <w:keepNext w:val="0"/>
              <w:keepLines w:val="0"/>
              <w:pageBreakBefore w:val="0"/>
              <w:widowControl/>
              <w:kinsoku/>
              <w:wordWrap/>
              <w:overflowPunct/>
              <w:topLinePunct w:val="0"/>
              <w:autoSpaceDE/>
              <w:autoSpaceDN/>
              <w:bidi w:val="0"/>
              <w:adjustRightInd/>
              <w:snapToGrid/>
              <w:spacing w:line="560" w:lineRule="exact"/>
              <w:ind w:firstLine="1200" w:firstLineChars="500"/>
              <w:jc w:val="lef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16-59岁（含不满60周岁）</w:t>
            </w:r>
          </w:p>
        </w:tc>
        <w:tc>
          <w:tcPr>
            <w:tcW w:w="1991" w:type="dxa"/>
            <w:tcBorders>
              <w:top w:val="single" w:color="auto" w:sz="4" w:space="0"/>
              <w:left w:val="single" w:color="auto" w:sz="4" w:space="0"/>
              <w:bottom w:val="single" w:color="auto" w:sz="4" w:space="0"/>
              <w:right w:val="single" w:color="auto" w:sz="4" w:space="0"/>
            </w:tcBorders>
          </w:tcPr>
          <w:p w14:paraId="1F39B65D">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6.14</w:t>
            </w:r>
          </w:p>
        </w:tc>
        <w:tc>
          <w:tcPr>
            <w:tcW w:w="2097" w:type="dxa"/>
            <w:tcBorders>
              <w:top w:val="single" w:color="auto" w:sz="4" w:space="0"/>
              <w:left w:val="single" w:color="auto" w:sz="4" w:space="0"/>
              <w:bottom w:val="single" w:color="auto" w:sz="4" w:space="0"/>
              <w:right w:val="nil"/>
            </w:tcBorders>
          </w:tcPr>
          <w:p w14:paraId="2DD8D6FD">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58.20</w:t>
            </w:r>
          </w:p>
        </w:tc>
      </w:tr>
      <w:tr w14:paraId="359E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4" w:type="dxa"/>
            <w:tcBorders>
              <w:top w:val="single" w:color="auto" w:sz="4" w:space="0"/>
              <w:left w:val="nil"/>
              <w:bottom w:val="single" w:color="auto" w:sz="4" w:space="0"/>
              <w:right w:val="single" w:color="auto" w:sz="4" w:space="0"/>
            </w:tcBorders>
          </w:tcPr>
          <w:p w14:paraId="6DBE5949">
            <w:pPr>
              <w:pStyle w:val="7"/>
              <w:keepNext w:val="0"/>
              <w:keepLines w:val="0"/>
              <w:pageBreakBefore w:val="0"/>
              <w:widowControl/>
              <w:kinsoku/>
              <w:wordWrap/>
              <w:overflowPunct/>
              <w:topLinePunct w:val="0"/>
              <w:autoSpaceDE/>
              <w:autoSpaceDN/>
              <w:bidi w:val="0"/>
              <w:adjustRightInd/>
              <w:snapToGrid/>
              <w:spacing w:line="560" w:lineRule="exact"/>
              <w:ind w:firstLine="720" w:firstLineChars="300"/>
              <w:jc w:val="lef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 xml:space="preserve">     60周岁及以上</w:t>
            </w:r>
          </w:p>
        </w:tc>
        <w:tc>
          <w:tcPr>
            <w:tcW w:w="1991" w:type="dxa"/>
            <w:tcBorders>
              <w:top w:val="single" w:color="auto" w:sz="4" w:space="0"/>
              <w:left w:val="single" w:color="auto" w:sz="4" w:space="0"/>
              <w:bottom w:val="single" w:color="auto" w:sz="4" w:space="0"/>
              <w:right w:val="single" w:color="auto" w:sz="4" w:space="0"/>
            </w:tcBorders>
          </w:tcPr>
          <w:p w14:paraId="119DFAE7">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2.77</w:t>
            </w:r>
          </w:p>
        </w:tc>
        <w:tc>
          <w:tcPr>
            <w:tcW w:w="2097" w:type="dxa"/>
            <w:tcBorders>
              <w:top w:val="single" w:color="auto" w:sz="4" w:space="0"/>
              <w:left w:val="single" w:color="auto" w:sz="4" w:space="0"/>
              <w:bottom w:val="single" w:color="auto" w:sz="4" w:space="0"/>
              <w:right w:val="nil"/>
            </w:tcBorders>
          </w:tcPr>
          <w:p w14:paraId="54232990">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26.26</w:t>
            </w:r>
          </w:p>
        </w:tc>
      </w:tr>
      <w:tr w14:paraId="738E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4" w:type="dxa"/>
            <w:tcBorders>
              <w:top w:val="single" w:color="auto" w:sz="4" w:space="0"/>
              <w:left w:val="nil"/>
              <w:bottom w:val="single" w:color="auto" w:sz="4" w:space="0"/>
              <w:right w:val="single" w:color="auto" w:sz="4" w:space="0"/>
            </w:tcBorders>
          </w:tcPr>
          <w:p w14:paraId="630653AC">
            <w:pPr>
              <w:pStyle w:val="7"/>
              <w:keepNext w:val="0"/>
              <w:keepLines w:val="0"/>
              <w:pageBreakBefore w:val="0"/>
              <w:widowControl/>
              <w:kinsoku/>
              <w:wordWrap/>
              <w:overflowPunct/>
              <w:topLinePunct w:val="0"/>
              <w:autoSpaceDE/>
              <w:autoSpaceDN/>
              <w:bidi w:val="0"/>
              <w:adjustRightInd/>
              <w:snapToGrid/>
              <w:spacing w:line="560" w:lineRule="exact"/>
              <w:ind w:firstLine="720" w:firstLineChars="300"/>
              <w:jc w:val="lef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 xml:space="preserve">     其中：65岁及以上</w:t>
            </w:r>
          </w:p>
        </w:tc>
        <w:tc>
          <w:tcPr>
            <w:tcW w:w="1991" w:type="dxa"/>
            <w:tcBorders>
              <w:top w:val="single" w:color="auto" w:sz="4" w:space="0"/>
              <w:left w:val="single" w:color="auto" w:sz="4" w:space="0"/>
              <w:bottom w:val="single" w:color="auto" w:sz="4" w:space="0"/>
              <w:right w:val="single" w:color="auto" w:sz="4" w:space="0"/>
            </w:tcBorders>
          </w:tcPr>
          <w:p w14:paraId="0681032A">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1.94</w:t>
            </w:r>
          </w:p>
        </w:tc>
        <w:tc>
          <w:tcPr>
            <w:tcW w:w="2097" w:type="dxa"/>
            <w:tcBorders>
              <w:top w:val="single" w:color="auto" w:sz="4" w:space="0"/>
              <w:left w:val="single" w:color="auto" w:sz="4" w:space="0"/>
              <w:bottom w:val="single" w:color="auto" w:sz="4" w:space="0"/>
              <w:right w:val="nil"/>
            </w:tcBorders>
          </w:tcPr>
          <w:p w14:paraId="5AF13AE6">
            <w:pPr>
              <w:pStyle w:val="7"/>
              <w:keepNext w:val="0"/>
              <w:keepLines w:val="0"/>
              <w:pageBreakBefore w:val="0"/>
              <w:widowControl/>
              <w:kinsoku/>
              <w:wordWrap/>
              <w:overflowPunct/>
              <w:topLinePunct w:val="0"/>
              <w:autoSpaceDE/>
              <w:autoSpaceDN/>
              <w:bidi w:val="0"/>
              <w:adjustRightInd/>
              <w:snapToGrid/>
              <w:spacing w:line="560" w:lineRule="exact"/>
              <w:jc w:val="right"/>
              <w:rPr>
                <w:rFonts w:hint="default"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pPr>
            <w:r>
              <w:rPr>
                <w:rFonts w:hint="eastAsia" w:ascii="Times New Roman" w:hAnsi="Times New Roman" w:eastAsia="仿宋_GB2312" w:cstheme="minorBidi"/>
                <w:bCs/>
                <w:color w:val="000000" w:themeColor="text1"/>
                <w:kern w:val="0"/>
                <w:sz w:val="24"/>
                <w:szCs w:val="24"/>
                <w:shd w:val="clear" w:color="auto" w:fill="FFFFFF"/>
                <w:vertAlign w:val="baseline"/>
                <w:lang w:val="en-US" w:eastAsia="zh-CN" w:bidi="ar-SA"/>
                <w14:textFill>
                  <w14:solidFill>
                    <w14:schemeClr w14:val="tx1"/>
                  </w14:solidFill>
                </w14:textFill>
              </w:rPr>
              <w:t>18.10</w:t>
            </w:r>
          </w:p>
        </w:tc>
      </w:tr>
    </w:tbl>
    <w:p w14:paraId="1D42245D">
      <w:pPr>
        <w:pStyle w:val="7"/>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全年全区城镇新增就业人员3400人，城镇失业人员再就业2008人，其中就业困难人员就业244人。新增农村劳动力转移就业1542人,新增返乡入乡创业419人。年末城镇登记失业率为1.7%，与上年相比降低了0.3个百分点。</w:t>
      </w:r>
    </w:p>
    <w:p w14:paraId="796C5165">
      <w:pPr>
        <w:pStyle w:val="7"/>
        <w:keepNext w:val="0"/>
        <w:keepLines w:val="0"/>
        <w:pageBreakBefore w:val="0"/>
        <w:widowControl/>
        <w:kinsoku/>
        <w:wordWrap/>
        <w:overflowPunct/>
        <w:topLinePunct w:val="0"/>
        <w:autoSpaceDE/>
        <w:autoSpaceDN/>
        <w:bidi w:val="0"/>
        <w:adjustRightInd/>
        <w:snapToGrid/>
        <w:spacing w:line="560" w:lineRule="exact"/>
        <w:ind w:firstLine="643" w:firstLineChars="200"/>
        <w:jc w:val="both"/>
        <w:rPr>
          <w:rFonts w:hint="eastAsia" w:ascii="Times New Roman" w:hAnsi="Times New Roman" w:eastAsia="黑体" w:cs="黑体"/>
          <w:b/>
          <w:color w:val="000000" w:themeColor="text1"/>
          <w:sz w:val="32"/>
          <w:szCs w:val="32"/>
          <w14:textFill>
            <w14:solidFill>
              <w14:schemeClr w14:val="tx1"/>
            </w14:solidFill>
          </w14:textFill>
        </w:rPr>
      </w:pPr>
      <w:r>
        <w:rPr>
          <w:rFonts w:hint="eastAsia" w:ascii="Times New Roman" w:hAnsi="Times New Roman" w:eastAsia="黑体" w:cs="黑体"/>
          <w:b/>
          <w:color w:val="000000" w:themeColor="text1"/>
          <w:sz w:val="32"/>
          <w:szCs w:val="32"/>
          <w14:textFill>
            <w14:solidFill>
              <w14:schemeClr w14:val="tx1"/>
            </w14:solidFill>
          </w14:textFill>
        </w:rPr>
        <w:t>二、农业</w:t>
      </w:r>
    </w:p>
    <w:p w14:paraId="4BC0B9C4">
      <w:pPr>
        <w:pStyle w:val="7"/>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农作物总播种面积1136.6公顷，比上年减少1公顷,其中粮食播种面积1075.5公顷,比上年增长1.7公顷，小麦播种面积538.8公顷，比上年增长3.8公顷,玉米播种面积536.7公顷，比上年减少2.1公顷,蔬菜播种面积61.1公顷，比上年减少2.7公顷。</w:t>
      </w:r>
    </w:p>
    <w:p w14:paraId="5A3056A1">
      <w:pPr>
        <w:pStyle w:val="7"/>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全年全区粮食总产量5313吨，比上年下降0.5 %；蔬菜总产量2464.5吨，比上年下降9.4 %；水果总产量397.8吨，比上年增长10.9%。</w:t>
      </w:r>
    </w:p>
    <w:p w14:paraId="6989F795">
      <w:pPr>
        <w:pStyle w:val="7"/>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全年全区生猪存栏6822头，比上年增长1.6%,牛存栏670头，比上年下降7.6%，羊存栏23114只,比上年下降14.4%,家禽存栏71656只，比上年下降11.7 %。</w:t>
      </w:r>
    </w:p>
    <w:p w14:paraId="46E02B47">
      <w:pPr>
        <w:pStyle w:val="7"/>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全年全区肉类总产量1240吨，比上年增长4.1%；蛋类产量753吨，比上年下降4.7%。</w:t>
      </w:r>
    </w:p>
    <w:p w14:paraId="65CFB942">
      <w:pPr>
        <w:pStyle w:val="7"/>
        <w:keepNext w:val="0"/>
        <w:keepLines w:val="0"/>
        <w:pageBreakBefore w:val="0"/>
        <w:widowControl/>
        <w:kinsoku/>
        <w:wordWrap/>
        <w:overflowPunct/>
        <w:topLinePunct w:val="0"/>
        <w:autoSpaceDE/>
        <w:autoSpaceDN/>
        <w:bidi w:val="0"/>
        <w:adjustRightInd/>
        <w:snapToGrid/>
        <w:spacing w:line="560" w:lineRule="exact"/>
        <w:ind w:firstLine="643" w:firstLineChars="200"/>
        <w:jc w:val="both"/>
        <w:rPr>
          <w:rFonts w:hint="eastAsia" w:ascii="Times New Roman" w:hAnsi="Times New Roman" w:eastAsia="黑体" w:cs="黑体"/>
          <w:b/>
          <w:color w:val="000000" w:themeColor="text1"/>
          <w:sz w:val="32"/>
          <w:szCs w:val="32"/>
          <w14:textFill>
            <w14:solidFill>
              <w14:schemeClr w14:val="tx1"/>
            </w14:solidFill>
          </w14:textFill>
        </w:rPr>
      </w:pPr>
      <w:r>
        <w:rPr>
          <w:rFonts w:hint="eastAsia" w:ascii="Times New Roman" w:hAnsi="Times New Roman" w:eastAsia="黑体" w:cs="黑体"/>
          <w:b/>
          <w:color w:val="000000" w:themeColor="text1"/>
          <w:sz w:val="32"/>
          <w:szCs w:val="32"/>
          <w14:textFill>
            <w14:solidFill>
              <w14:schemeClr w14:val="tx1"/>
            </w14:solidFill>
          </w14:textFill>
        </w:rPr>
        <w:t>三、工业和建筑业</w:t>
      </w:r>
    </w:p>
    <w:p w14:paraId="7D13E46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全年全区规模以上工业增加值增长8.9%。分经济类型看，国有控股企业增加值同比增速3.9%；股份制企业同比增长10.2%，外商及港澳台商投资企业同比增长26.3%。分门类看，采矿业下降1.5%，制造业增长9.0%，</w:t>
      </w:r>
      <w:bookmarkStart w:id="0" w:name="_GoBack"/>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电力、热力、燃气及水生产和供应业</w:t>
      </w:r>
      <w:bookmarkEnd w:id="0"/>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下降2.3%。分重点产业看，五大主导产业增加值同比下降5.2%，占规模以上工业增加值的比重为71.5%；工业战略性新兴产业增长13.2%，占规模以上工业的62.4%；高新技术产业增长8.4%，占规模以上工业的93%。</w:t>
      </w:r>
    </w:p>
    <w:p w14:paraId="199864C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规模以上工业中，非金属矿采选业增加值比上年增长0.4%，酒、饮料和精制茶制造业下降52.8%，纺织业增长23.5%，化学原料和化学制品制造业增长42.4%，橡胶和塑料制品业增长5.2%，黑色金属冶炼和压延加工业下降38.4%，金属制品业增长20.7%，专用设备制造业增长6.1%，汽车制造业增长48.1%，计算机、通信和其他电子设备制造业增长34.4%，电力、热力生产和供应业增长6.5%。</w:t>
      </w:r>
    </w:p>
    <w:p w14:paraId="500529E8">
      <w:pPr>
        <w:keepNext w:val="0"/>
        <w:keepLines w:val="0"/>
        <w:pageBreakBefore w:val="0"/>
        <w:kinsoku/>
        <w:wordWrap/>
        <w:overflowPunct/>
        <w:topLinePunct w:val="0"/>
        <w:autoSpaceDE/>
        <w:autoSpaceDN/>
        <w:bidi w:val="0"/>
        <w:adjustRightInd/>
        <w:snapToGrid/>
        <w:spacing w:line="560" w:lineRule="exact"/>
        <w:jc w:val="center"/>
        <w:rPr>
          <w:rFonts w:hint="eastAsia" w:ascii="Times New Roman" w:hAnsi="Times New Roman" w:eastAsia="仿宋" w:cs="仿宋"/>
          <w:b/>
          <w:bCs w:val="0"/>
          <w:color w:val="000000" w:themeColor="text1"/>
          <w:kern w:val="0"/>
          <w:sz w:val="28"/>
          <w:szCs w:val="28"/>
          <w:shd w:val="clear" w:color="auto" w:fill="FFFFFF"/>
          <w:lang w:val="en-US" w:eastAsia="zh-CN"/>
          <w14:textFill>
            <w14:solidFill>
              <w14:schemeClr w14:val="tx1"/>
            </w14:solidFill>
          </w14:textFill>
        </w:rPr>
      </w:pPr>
      <w:r>
        <w:rPr>
          <w:rFonts w:hint="eastAsia" w:ascii="Times New Roman" w:hAnsi="Times New Roman" w:eastAsia="仿宋" w:cs="仿宋"/>
          <w:b/>
          <w:bCs w:val="0"/>
          <w:color w:val="000000" w:themeColor="text1"/>
          <w:kern w:val="0"/>
          <w:sz w:val="28"/>
          <w:szCs w:val="28"/>
          <w:shd w:val="clear" w:color="auto" w:fill="FFFFFF"/>
          <w:lang w:val="en-US" w:eastAsia="zh-CN"/>
          <w14:textFill>
            <w14:solidFill>
              <w14:schemeClr w14:val="tx1"/>
            </w14:solidFill>
          </w14:textFill>
        </w:rPr>
        <w:t>表2：2025年中站区规模以上工业主要产品产量及其增长速度</w:t>
      </w:r>
    </w:p>
    <w:tbl>
      <w:tblPr>
        <w:tblStyle w:val="8"/>
        <w:tblW w:w="8333"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786"/>
        <w:gridCol w:w="1228"/>
        <w:gridCol w:w="1704"/>
        <w:gridCol w:w="1615"/>
      </w:tblGrid>
      <w:tr w14:paraId="53C1C82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55" w:hRule="atLeast"/>
        </w:trPr>
        <w:tc>
          <w:tcPr>
            <w:tcW w:w="3786" w:type="dxa"/>
            <w:tcBorders>
              <w:top w:val="single" w:color="auto" w:sz="4" w:space="0"/>
            </w:tcBorders>
            <w:tcMar>
              <w:top w:w="15" w:type="dxa"/>
              <w:left w:w="15" w:type="dxa"/>
              <w:right w:w="15" w:type="dxa"/>
            </w:tcMar>
            <w:vAlign w:val="bottom"/>
          </w:tcPr>
          <w:p w14:paraId="46A44F0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bCs/>
                <w:i w:val="0"/>
                <w:color w:val="000000" w:themeColor="text1"/>
                <w:sz w:val="28"/>
                <w:szCs w:val="28"/>
                <w:u w:val="none"/>
                <w14:textFill>
                  <w14:solidFill>
                    <w14:schemeClr w14:val="tx1"/>
                  </w14:solidFill>
                </w14:textFill>
              </w:rPr>
            </w:pPr>
            <w:r>
              <w:rPr>
                <w:rFonts w:hint="eastAsia" w:ascii="Times New Roman" w:hAnsi="Times New Roman" w:eastAsia="仿宋" w:cs="仿宋"/>
                <w:b/>
                <w:bCs/>
                <w:i w:val="0"/>
                <w:color w:val="000000" w:themeColor="text1"/>
                <w:kern w:val="0"/>
                <w:sz w:val="28"/>
                <w:szCs w:val="28"/>
                <w:u w:val="none"/>
                <w:lang w:val="en-US" w:eastAsia="zh-CN" w:bidi="ar"/>
                <w14:textFill>
                  <w14:solidFill>
                    <w14:schemeClr w14:val="tx1"/>
                  </w14:solidFill>
                </w14:textFill>
              </w:rPr>
              <w:t>产品名称</w:t>
            </w:r>
          </w:p>
        </w:tc>
        <w:tc>
          <w:tcPr>
            <w:tcW w:w="1228" w:type="dxa"/>
            <w:tcBorders>
              <w:top w:val="single" w:color="auto" w:sz="4" w:space="0"/>
            </w:tcBorders>
            <w:tcMar>
              <w:top w:w="15" w:type="dxa"/>
              <w:left w:w="15" w:type="dxa"/>
              <w:right w:w="15" w:type="dxa"/>
            </w:tcMar>
            <w:vAlign w:val="bottom"/>
          </w:tcPr>
          <w:p w14:paraId="0555A6D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bCs/>
                <w:i w:val="0"/>
                <w:color w:val="000000" w:themeColor="text1"/>
                <w:sz w:val="28"/>
                <w:szCs w:val="28"/>
                <w:u w:val="none"/>
                <w14:textFill>
                  <w14:solidFill>
                    <w14:schemeClr w14:val="tx1"/>
                  </w14:solidFill>
                </w14:textFill>
              </w:rPr>
            </w:pPr>
            <w:r>
              <w:rPr>
                <w:rFonts w:hint="eastAsia" w:ascii="Times New Roman" w:hAnsi="Times New Roman" w:eastAsia="仿宋" w:cs="仿宋"/>
                <w:b/>
                <w:bCs/>
                <w:i w:val="0"/>
                <w:color w:val="000000" w:themeColor="text1"/>
                <w:kern w:val="0"/>
                <w:sz w:val="28"/>
                <w:szCs w:val="28"/>
                <w:u w:val="none"/>
                <w:lang w:val="en-US" w:eastAsia="zh-CN" w:bidi="ar"/>
                <w14:textFill>
                  <w14:solidFill>
                    <w14:schemeClr w14:val="tx1"/>
                  </w14:solidFill>
                </w14:textFill>
              </w:rPr>
              <w:t>单  位</w:t>
            </w:r>
          </w:p>
        </w:tc>
        <w:tc>
          <w:tcPr>
            <w:tcW w:w="1704" w:type="dxa"/>
            <w:tcBorders>
              <w:top w:val="single" w:color="auto" w:sz="4" w:space="0"/>
            </w:tcBorders>
            <w:tcMar>
              <w:top w:w="15" w:type="dxa"/>
              <w:left w:w="15" w:type="dxa"/>
              <w:right w:w="15" w:type="dxa"/>
            </w:tcMar>
            <w:vAlign w:val="bottom"/>
          </w:tcPr>
          <w:p w14:paraId="04C52AD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bCs/>
                <w:i w:val="0"/>
                <w:color w:val="000000" w:themeColor="text1"/>
                <w:sz w:val="28"/>
                <w:szCs w:val="28"/>
                <w:u w:val="none"/>
                <w14:textFill>
                  <w14:solidFill>
                    <w14:schemeClr w14:val="tx1"/>
                  </w14:solidFill>
                </w14:textFill>
              </w:rPr>
            </w:pPr>
            <w:r>
              <w:rPr>
                <w:rFonts w:hint="eastAsia" w:ascii="Times New Roman" w:hAnsi="Times New Roman" w:eastAsia="仿宋" w:cs="仿宋"/>
                <w:b/>
                <w:bCs/>
                <w:i w:val="0"/>
                <w:color w:val="000000" w:themeColor="text1"/>
                <w:kern w:val="0"/>
                <w:sz w:val="28"/>
                <w:szCs w:val="28"/>
                <w:u w:val="none"/>
                <w:lang w:val="en-US" w:eastAsia="zh-CN" w:bidi="ar"/>
                <w14:textFill>
                  <w14:solidFill>
                    <w14:schemeClr w14:val="tx1"/>
                  </w14:solidFill>
                </w14:textFill>
              </w:rPr>
              <w:t>产 量</w:t>
            </w:r>
          </w:p>
        </w:tc>
        <w:tc>
          <w:tcPr>
            <w:tcW w:w="1615" w:type="dxa"/>
            <w:tcBorders>
              <w:top w:val="single" w:color="auto" w:sz="4" w:space="0"/>
            </w:tcBorders>
            <w:tcMar>
              <w:top w:w="15" w:type="dxa"/>
              <w:left w:w="15" w:type="dxa"/>
              <w:right w:w="15" w:type="dxa"/>
            </w:tcMar>
            <w:vAlign w:val="bottom"/>
          </w:tcPr>
          <w:p w14:paraId="56C0906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bCs/>
                <w:i w:val="0"/>
                <w:color w:val="000000" w:themeColor="text1"/>
                <w:sz w:val="28"/>
                <w:szCs w:val="28"/>
                <w:u w:val="none"/>
                <w14:textFill>
                  <w14:solidFill>
                    <w14:schemeClr w14:val="tx1"/>
                  </w14:solidFill>
                </w14:textFill>
              </w:rPr>
            </w:pPr>
            <w:r>
              <w:rPr>
                <w:rFonts w:hint="eastAsia" w:ascii="Times New Roman" w:hAnsi="Times New Roman" w:eastAsia="仿宋" w:cs="仿宋"/>
                <w:b/>
                <w:bCs/>
                <w:i w:val="0"/>
                <w:color w:val="000000" w:themeColor="text1"/>
                <w:kern w:val="0"/>
                <w:sz w:val="28"/>
                <w:szCs w:val="28"/>
                <w:u w:val="none"/>
                <w:lang w:val="en-US" w:eastAsia="zh-CN" w:bidi="ar"/>
                <w14:textFill>
                  <w14:solidFill>
                    <w14:schemeClr w14:val="tx1"/>
                  </w14:solidFill>
                </w14:textFill>
              </w:rPr>
              <w:t>比上年增长%</w:t>
            </w:r>
          </w:p>
        </w:tc>
      </w:tr>
      <w:tr w14:paraId="4500C6A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77F99D4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bCs/>
                <w:i w:val="0"/>
                <w:iCs w:val="0"/>
                <w:color w:val="000000" w:themeColor="text1"/>
                <w:kern w:val="0"/>
                <w:sz w:val="24"/>
                <w:szCs w:val="24"/>
                <w:u w:val="none"/>
                <w:lang w:val="en-US" w:eastAsia="zh-CN" w:bidi="ar"/>
                <w14:textFill>
                  <w14:solidFill>
                    <w14:schemeClr w14:val="tx1"/>
                  </w14:solidFill>
                </w14:textFill>
              </w:rPr>
              <w:t>高岭土（瓷土）</w:t>
            </w:r>
          </w:p>
        </w:tc>
        <w:tc>
          <w:tcPr>
            <w:tcW w:w="1228" w:type="dxa"/>
            <w:tcMar>
              <w:top w:w="15" w:type="dxa"/>
              <w:left w:w="15" w:type="dxa"/>
              <w:right w:w="15" w:type="dxa"/>
            </w:tcMar>
            <w:vAlign w:val="bottom"/>
          </w:tcPr>
          <w:p w14:paraId="298B7A5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万吨</w:t>
            </w:r>
          </w:p>
        </w:tc>
        <w:tc>
          <w:tcPr>
            <w:tcW w:w="1704" w:type="dxa"/>
            <w:tcMar>
              <w:top w:w="15" w:type="dxa"/>
              <w:left w:w="15" w:type="dxa"/>
              <w:right w:w="15" w:type="dxa"/>
            </w:tcMar>
            <w:vAlign w:val="center"/>
          </w:tcPr>
          <w:p w14:paraId="5FDC1FC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1.7</w:t>
            </w:r>
          </w:p>
        </w:tc>
        <w:tc>
          <w:tcPr>
            <w:tcW w:w="1615" w:type="dxa"/>
            <w:tcMar>
              <w:top w:w="15" w:type="dxa"/>
              <w:left w:w="15" w:type="dxa"/>
              <w:right w:w="15" w:type="dxa"/>
            </w:tcMar>
            <w:vAlign w:val="center"/>
          </w:tcPr>
          <w:p w14:paraId="4743FA1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3.4</w:t>
            </w:r>
          </w:p>
        </w:tc>
      </w:tr>
      <w:tr w14:paraId="51DDCE4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0AE6B93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bCs/>
                <w:i w:val="0"/>
                <w:iCs w:val="0"/>
                <w:color w:val="000000" w:themeColor="text1"/>
                <w:kern w:val="0"/>
                <w:sz w:val="24"/>
                <w:szCs w:val="24"/>
                <w:u w:val="none"/>
                <w:lang w:val="en-US" w:eastAsia="zh-CN" w:bidi="ar"/>
                <w14:textFill>
                  <w14:solidFill>
                    <w14:schemeClr w14:val="tx1"/>
                  </w14:solidFill>
                </w14:textFill>
              </w:rPr>
              <w:t>饮料</w:t>
            </w:r>
          </w:p>
        </w:tc>
        <w:tc>
          <w:tcPr>
            <w:tcW w:w="1228" w:type="dxa"/>
            <w:tcMar>
              <w:top w:w="15" w:type="dxa"/>
              <w:left w:w="15" w:type="dxa"/>
              <w:right w:w="15" w:type="dxa"/>
            </w:tcMar>
            <w:vAlign w:val="bottom"/>
          </w:tcPr>
          <w:p w14:paraId="4FBAC2F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万吨</w:t>
            </w:r>
          </w:p>
        </w:tc>
        <w:tc>
          <w:tcPr>
            <w:tcW w:w="1704" w:type="dxa"/>
            <w:tcMar>
              <w:top w:w="15" w:type="dxa"/>
              <w:left w:w="15" w:type="dxa"/>
              <w:right w:w="15" w:type="dxa"/>
            </w:tcMar>
            <w:vAlign w:val="center"/>
          </w:tcPr>
          <w:p w14:paraId="551E779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0.7</w:t>
            </w:r>
          </w:p>
        </w:tc>
        <w:tc>
          <w:tcPr>
            <w:tcW w:w="1615" w:type="dxa"/>
            <w:tcMar>
              <w:top w:w="15" w:type="dxa"/>
              <w:left w:w="15" w:type="dxa"/>
              <w:right w:w="15" w:type="dxa"/>
            </w:tcMar>
            <w:vAlign w:val="center"/>
          </w:tcPr>
          <w:p w14:paraId="59A93FF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 xml:space="preserve">-63.5 </w:t>
            </w:r>
          </w:p>
        </w:tc>
      </w:tr>
      <w:tr w14:paraId="462D41B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05A3EAB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bCs/>
                <w:i w:val="0"/>
                <w:iCs w:val="0"/>
                <w:color w:val="000000" w:themeColor="text1"/>
                <w:kern w:val="0"/>
                <w:sz w:val="24"/>
                <w:szCs w:val="24"/>
                <w:u w:val="none"/>
                <w:lang w:val="en-US" w:eastAsia="zh-CN" w:bidi="ar"/>
                <w14:textFill>
                  <w14:solidFill>
                    <w14:schemeClr w14:val="tx1"/>
                  </w14:solidFill>
                </w14:textFill>
              </w:rPr>
              <w:t>印染布</w:t>
            </w:r>
          </w:p>
        </w:tc>
        <w:tc>
          <w:tcPr>
            <w:tcW w:w="1228" w:type="dxa"/>
            <w:tcMar>
              <w:top w:w="15" w:type="dxa"/>
              <w:left w:w="15" w:type="dxa"/>
              <w:right w:w="15" w:type="dxa"/>
            </w:tcMar>
            <w:vAlign w:val="bottom"/>
          </w:tcPr>
          <w:p w14:paraId="4F27F93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万米</w:t>
            </w:r>
          </w:p>
        </w:tc>
        <w:tc>
          <w:tcPr>
            <w:tcW w:w="1704" w:type="dxa"/>
            <w:tcMar>
              <w:top w:w="15" w:type="dxa"/>
              <w:left w:w="15" w:type="dxa"/>
              <w:right w:w="15" w:type="dxa"/>
            </w:tcMar>
            <w:vAlign w:val="center"/>
          </w:tcPr>
          <w:p w14:paraId="61CBE81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 xml:space="preserve">0.2 </w:t>
            </w:r>
          </w:p>
        </w:tc>
        <w:tc>
          <w:tcPr>
            <w:tcW w:w="1615" w:type="dxa"/>
            <w:tcMar>
              <w:top w:w="15" w:type="dxa"/>
              <w:left w:w="15" w:type="dxa"/>
              <w:right w:w="15" w:type="dxa"/>
            </w:tcMar>
            <w:vAlign w:val="center"/>
          </w:tcPr>
          <w:p w14:paraId="6585B86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10.7</w:t>
            </w:r>
          </w:p>
        </w:tc>
      </w:tr>
      <w:tr w14:paraId="0A01869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1CDBA01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bCs/>
                <w:i w:val="0"/>
                <w:iCs w:val="0"/>
                <w:color w:val="000000" w:themeColor="text1"/>
                <w:kern w:val="0"/>
                <w:sz w:val="24"/>
                <w:szCs w:val="24"/>
                <w:u w:val="none"/>
                <w:lang w:val="en-US" w:eastAsia="zh-CN" w:bidi="ar"/>
                <w14:textFill>
                  <w14:solidFill>
                    <w14:schemeClr w14:val="tx1"/>
                  </w14:solidFill>
                </w14:textFill>
              </w:rPr>
              <w:t>硫酸（折100％）</w:t>
            </w:r>
          </w:p>
        </w:tc>
        <w:tc>
          <w:tcPr>
            <w:tcW w:w="1228" w:type="dxa"/>
            <w:tcMar>
              <w:top w:w="15" w:type="dxa"/>
              <w:left w:w="15" w:type="dxa"/>
              <w:right w:w="15" w:type="dxa"/>
            </w:tcMar>
            <w:vAlign w:val="bottom"/>
          </w:tcPr>
          <w:p w14:paraId="76D7BF4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万吨</w:t>
            </w:r>
          </w:p>
        </w:tc>
        <w:tc>
          <w:tcPr>
            <w:tcW w:w="1704" w:type="dxa"/>
            <w:tcMar>
              <w:top w:w="15" w:type="dxa"/>
              <w:left w:w="15" w:type="dxa"/>
              <w:right w:w="15" w:type="dxa"/>
            </w:tcMar>
            <w:vAlign w:val="center"/>
          </w:tcPr>
          <w:p w14:paraId="5F68D08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45.1</w:t>
            </w:r>
          </w:p>
        </w:tc>
        <w:tc>
          <w:tcPr>
            <w:tcW w:w="1615" w:type="dxa"/>
            <w:tcMar>
              <w:top w:w="15" w:type="dxa"/>
              <w:left w:w="15" w:type="dxa"/>
              <w:right w:w="15" w:type="dxa"/>
            </w:tcMar>
            <w:vAlign w:val="center"/>
          </w:tcPr>
          <w:p w14:paraId="42888AD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-2.1</w:t>
            </w:r>
          </w:p>
        </w:tc>
      </w:tr>
      <w:tr w14:paraId="26DAEA3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027422D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bCs/>
                <w:i w:val="0"/>
                <w:iCs w:val="0"/>
                <w:color w:val="000000" w:themeColor="text1"/>
                <w:kern w:val="0"/>
                <w:sz w:val="24"/>
                <w:szCs w:val="24"/>
                <w:u w:val="none"/>
                <w:lang w:val="en-US" w:eastAsia="zh-CN" w:bidi="ar"/>
                <w14:textFill>
                  <w14:solidFill>
                    <w14:schemeClr w14:val="tx1"/>
                  </w14:solidFill>
                </w14:textFill>
              </w:rPr>
              <w:t>盐酸（氯化氢，含量31％）</w:t>
            </w:r>
          </w:p>
        </w:tc>
        <w:tc>
          <w:tcPr>
            <w:tcW w:w="1228" w:type="dxa"/>
            <w:tcMar>
              <w:top w:w="15" w:type="dxa"/>
              <w:left w:w="15" w:type="dxa"/>
              <w:right w:w="15" w:type="dxa"/>
            </w:tcMar>
            <w:vAlign w:val="bottom"/>
          </w:tcPr>
          <w:p w14:paraId="7AA2EC3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万吨</w:t>
            </w:r>
          </w:p>
        </w:tc>
        <w:tc>
          <w:tcPr>
            <w:tcW w:w="1704" w:type="dxa"/>
            <w:tcMar>
              <w:top w:w="15" w:type="dxa"/>
              <w:left w:w="15" w:type="dxa"/>
              <w:right w:w="15" w:type="dxa"/>
            </w:tcMar>
            <w:vAlign w:val="center"/>
          </w:tcPr>
          <w:p w14:paraId="65BA037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8.3</w:t>
            </w:r>
          </w:p>
        </w:tc>
        <w:tc>
          <w:tcPr>
            <w:tcW w:w="1615" w:type="dxa"/>
            <w:tcMar>
              <w:top w:w="15" w:type="dxa"/>
              <w:left w:w="15" w:type="dxa"/>
              <w:right w:w="15" w:type="dxa"/>
            </w:tcMar>
            <w:vAlign w:val="center"/>
          </w:tcPr>
          <w:p w14:paraId="32D82EB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-10.4</w:t>
            </w:r>
          </w:p>
        </w:tc>
      </w:tr>
      <w:tr w14:paraId="6714D0B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248EB3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bCs/>
                <w:i w:val="0"/>
                <w:iCs w:val="0"/>
                <w:color w:val="000000" w:themeColor="text1"/>
                <w:kern w:val="0"/>
                <w:sz w:val="24"/>
                <w:szCs w:val="24"/>
                <w:u w:val="none"/>
                <w:lang w:val="en-US" w:eastAsia="zh-CN" w:bidi="ar"/>
                <w14:textFill>
                  <w14:solidFill>
                    <w14:schemeClr w14:val="tx1"/>
                  </w14:solidFill>
                </w14:textFill>
              </w:rPr>
              <w:t>烧碱（折100％）</w:t>
            </w:r>
          </w:p>
        </w:tc>
        <w:tc>
          <w:tcPr>
            <w:tcW w:w="1228" w:type="dxa"/>
            <w:tcMar>
              <w:top w:w="15" w:type="dxa"/>
              <w:left w:w="15" w:type="dxa"/>
              <w:right w:w="15" w:type="dxa"/>
            </w:tcMar>
            <w:vAlign w:val="bottom"/>
          </w:tcPr>
          <w:p w14:paraId="49378D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万吨</w:t>
            </w:r>
          </w:p>
        </w:tc>
        <w:tc>
          <w:tcPr>
            <w:tcW w:w="1704" w:type="dxa"/>
            <w:tcMar>
              <w:top w:w="15" w:type="dxa"/>
              <w:left w:w="15" w:type="dxa"/>
              <w:right w:w="15" w:type="dxa"/>
            </w:tcMar>
            <w:vAlign w:val="center"/>
          </w:tcPr>
          <w:p w14:paraId="73EFA2B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20.3</w:t>
            </w:r>
          </w:p>
        </w:tc>
        <w:tc>
          <w:tcPr>
            <w:tcW w:w="1615" w:type="dxa"/>
            <w:tcMar>
              <w:top w:w="15" w:type="dxa"/>
              <w:left w:w="15" w:type="dxa"/>
              <w:right w:w="15" w:type="dxa"/>
            </w:tcMar>
            <w:vAlign w:val="center"/>
          </w:tcPr>
          <w:p w14:paraId="768799A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2.8</w:t>
            </w:r>
          </w:p>
        </w:tc>
      </w:tr>
      <w:tr w14:paraId="35FBE74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5D8DCFC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FF0000"/>
                <w:kern w:val="0"/>
                <w:sz w:val="24"/>
                <w:szCs w:val="24"/>
                <w:u w:val="none"/>
                <w:lang w:val="en-US" w:eastAsia="zh-CN" w:bidi="ar"/>
              </w:rPr>
            </w:pPr>
            <w:r>
              <w:rPr>
                <w:rFonts w:hint="eastAsia" w:ascii="Times New Roman" w:hAnsi="Times New Roman" w:eastAsia="仿宋" w:cs="仿宋"/>
                <w:b/>
                <w:bCs/>
                <w:i w:val="0"/>
                <w:iCs w:val="0"/>
                <w:color w:val="000000"/>
                <w:kern w:val="0"/>
                <w:sz w:val="24"/>
                <w:szCs w:val="24"/>
                <w:u w:val="none"/>
                <w:lang w:val="en-US" w:eastAsia="zh-CN" w:bidi="ar"/>
              </w:rPr>
              <w:t>稀土化合物</w:t>
            </w:r>
          </w:p>
        </w:tc>
        <w:tc>
          <w:tcPr>
            <w:tcW w:w="1228" w:type="dxa"/>
            <w:tcMar>
              <w:top w:w="15" w:type="dxa"/>
              <w:left w:w="15" w:type="dxa"/>
              <w:right w:w="15" w:type="dxa"/>
            </w:tcMar>
            <w:vAlign w:val="bottom"/>
          </w:tcPr>
          <w:p w14:paraId="6315EE8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千克</w:t>
            </w:r>
          </w:p>
        </w:tc>
        <w:tc>
          <w:tcPr>
            <w:tcW w:w="1704" w:type="dxa"/>
            <w:tcMar>
              <w:top w:w="15" w:type="dxa"/>
              <w:left w:w="15" w:type="dxa"/>
              <w:right w:w="15" w:type="dxa"/>
            </w:tcMar>
            <w:vAlign w:val="center"/>
          </w:tcPr>
          <w:p w14:paraId="4C0B2FD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698110</w:t>
            </w:r>
          </w:p>
        </w:tc>
        <w:tc>
          <w:tcPr>
            <w:tcW w:w="1615" w:type="dxa"/>
            <w:tcMar>
              <w:top w:w="15" w:type="dxa"/>
              <w:left w:w="15" w:type="dxa"/>
              <w:right w:w="15" w:type="dxa"/>
            </w:tcMar>
            <w:vAlign w:val="center"/>
          </w:tcPr>
          <w:p w14:paraId="061B62F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-16.4</w:t>
            </w:r>
          </w:p>
        </w:tc>
      </w:tr>
      <w:tr w14:paraId="11400D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014536E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FF0000"/>
                <w:kern w:val="0"/>
                <w:sz w:val="24"/>
                <w:szCs w:val="24"/>
                <w:u w:val="none"/>
                <w:lang w:val="en-US" w:eastAsia="zh-CN" w:bidi="ar"/>
              </w:rPr>
            </w:pPr>
            <w:r>
              <w:rPr>
                <w:rFonts w:hint="eastAsia" w:ascii="Times New Roman" w:hAnsi="Times New Roman" w:eastAsia="仿宋" w:cs="仿宋"/>
                <w:b/>
                <w:bCs/>
                <w:i w:val="0"/>
                <w:iCs w:val="0"/>
                <w:color w:val="000000"/>
                <w:kern w:val="0"/>
                <w:sz w:val="24"/>
                <w:szCs w:val="24"/>
                <w:u w:val="none"/>
                <w:lang w:val="en-US" w:eastAsia="zh-CN" w:bidi="ar"/>
              </w:rPr>
              <w:t>涂料</w:t>
            </w:r>
          </w:p>
        </w:tc>
        <w:tc>
          <w:tcPr>
            <w:tcW w:w="1228" w:type="dxa"/>
            <w:tcMar>
              <w:top w:w="15" w:type="dxa"/>
              <w:left w:w="15" w:type="dxa"/>
              <w:right w:w="15" w:type="dxa"/>
            </w:tcMar>
            <w:vAlign w:val="bottom"/>
          </w:tcPr>
          <w:p w14:paraId="3D29593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万吨</w:t>
            </w:r>
          </w:p>
        </w:tc>
        <w:tc>
          <w:tcPr>
            <w:tcW w:w="1704" w:type="dxa"/>
            <w:tcMar>
              <w:top w:w="15" w:type="dxa"/>
              <w:left w:w="15" w:type="dxa"/>
              <w:right w:w="15" w:type="dxa"/>
            </w:tcMar>
            <w:vAlign w:val="center"/>
          </w:tcPr>
          <w:p w14:paraId="3CD0AF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5.2</w:t>
            </w:r>
          </w:p>
        </w:tc>
        <w:tc>
          <w:tcPr>
            <w:tcW w:w="1615" w:type="dxa"/>
            <w:tcMar>
              <w:top w:w="15" w:type="dxa"/>
              <w:left w:w="15" w:type="dxa"/>
              <w:right w:w="15" w:type="dxa"/>
            </w:tcMar>
            <w:vAlign w:val="center"/>
          </w:tcPr>
          <w:p w14:paraId="0FCF234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16.3</w:t>
            </w:r>
          </w:p>
        </w:tc>
      </w:tr>
      <w:tr w14:paraId="48E37F3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1E8B930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FF0000"/>
                <w:kern w:val="0"/>
                <w:sz w:val="24"/>
                <w:szCs w:val="24"/>
                <w:u w:val="none"/>
                <w:lang w:val="en-US" w:eastAsia="zh-CN" w:bidi="ar"/>
              </w:rPr>
            </w:pPr>
            <w:r>
              <w:rPr>
                <w:rFonts w:hint="eastAsia" w:ascii="Times New Roman" w:hAnsi="Times New Roman" w:eastAsia="仿宋" w:cs="仿宋"/>
                <w:b/>
                <w:bCs/>
                <w:i w:val="0"/>
                <w:iCs w:val="0"/>
                <w:color w:val="000000"/>
                <w:kern w:val="0"/>
                <w:sz w:val="24"/>
                <w:szCs w:val="24"/>
                <w:u w:val="none"/>
                <w:lang w:val="en-US" w:eastAsia="zh-CN" w:bidi="ar"/>
              </w:rPr>
              <w:t>化学试剂</w:t>
            </w:r>
          </w:p>
        </w:tc>
        <w:tc>
          <w:tcPr>
            <w:tcW w:w="1228" w:type="dxa"/>
            <w:tcMar>
              <w:top w:w="15" w:type="dxa"/>
              <w:left w:w="15" w:type="dxa"/>
              <w:right w:w="15" w:type="dxa"/>
            </w:tcMar>
            <w:vAlign w:val="bottom"/>
          </w:tcPr>
          <w:p w14:paraId="5CC57AC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万吨</w:t>
            </w:r>
          </w:p>
        </w:tc>
        <w:tc>
          <w:tcPr>
            <w:tcW w:w="1704" w:type="dxa"/>
            <w:tcMar>
              <w:top w:w="15" w:type="dxa"/>
              <w:left w:w="15" w:type="dxa"/>
              <w:right w:w="15" w:type="dxa"/>
            </w:tcMar>
            <w:vAlign w:val="center"/>
          </w:tcPr>
          <w:p w14:paraId="348C6C3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15.9</w:t>
            </w:r>
          </w:p>
        </w:tc>
        <w:tc>
          <w:tcPr>
            <w:tcW w:w="1615" w:type="dxa"/>
            <w:tcMar>
              <w:top w:w="15" w:type="dxa"/>
              <w:left w:w="15" w:type="dxa"/>
              <w:right w:w="15" w:type="dxa"/>
            </w:tcMar>
            <w:vAlign w:val="center"/>
          </w:tcPr>
          <w:p w14:paraId="2F996E7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2.5</w:t>
            </w:r>
          </w:p>
        </w:tc>
      </w:tr>
      <w:tr w14:paraId="4864CA1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236303A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bCs/>
                <w:i w:val="0"/>
                <w:iCs w:val="0"/>
                <w:color w:val="000000" w:themeColor="text1"/>
                <w:kern w:val="0"/>
                <w:sz w:val="24"/>
                <w:szCs w:val="24"/>
                <w:u w:val="none"/>
                <w:lang w:val="en-US" w:eastAsia="zh-CN" w:bidi="ar"/>
                <w14:textFill>
                  <w14:solidFill>
                    <w14:schemeClr w14:val="tx1"/>
                  </w14:solidFill>
                </w14:textFill>
              </w:rPr>
              <w:t>橡胶轮胎外胎</w:t>
            </w:r>
          </w:p>
        </w:tc>
        <w:tc>
          <w:tcPr>
            <w:tcW w:w="1228" w:type="dxa"/>
            <w:tcMar>
              <w:top w:w="15" w:type="dxa"/>
              <w:left w:w="15" w:type="dxa"/>
              <w:right w:w="15" w:type="dxa"/>
            </w:tcMar>
            <w:vAlign w:val="bottom"/>
          </w:tcPr>
          <w:p w14:paraId="59D787C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万条</w:t>
            </w:r>
          </w:p>
        </w:tc>
        <w:tc>
          <w:tcPr>
            <w:tcW w:w="1704" w:type="dxa"/>
            <w:tcMar>
              <w:top w:w="15" w:type="dxa"/>
              <w:left w:w="15" w:type="dxa"/>
              <w:right w:w="15" w:type="dxa"/>
            </w:tcMar>
            <w:vAlign w:val="center"/>
          </w:tcPr>
          <w:p w14:paraId="550619E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203</w:t>
            </w:r>
          </w:p>
        </w:tc>
        <w:tc>
          <w:tcPr>
            <w:tcW w:w="1615" w:type="dxa"/>
            <w:tcMar>
              <w:top w:w="15" w:type="dxa"/>
              <w:left w:w="15" w:type="dxa"/>
              <w:right w:w="15" w:type="dxa"/>
            </w:tcMar>
            <w:vAlign w:val="center"/>
          </w:tcPr>
          <w:p w14:paraId="762C6F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-4.6</w:t>
            </w:r>
          </w:p>
        </w:tc>
      </w:tr>
      <w:tr w14:paraId="455887F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6BC3EF3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bCs/>
                <w:i w:val="0"/>
                <w:iCs w:val="0"/>
                <w:color w:val="000000" w:themeColor="text1"/>
                <w:kern w:val="0"/>
                <w:sz w:val="24"/>
                <w:szCs w:val="24"/>
                <w:u w:val="none"/>
                <w:lang w:val="en-US" w:eastAsia="zh-CN" w:bidi="ar"/>
                <w14:textFill>
                  <w14:solidFill>
                    <w14:schemeClr w14:val="tx1"/>
                  </w14:solidFill>
                </w14:textFill>
              </w:rPr>
              <w:t>塑料制品</w:t>
            </w:r>
          </w:p>
        </w:tc>
        <w:tc>
          <w:tcPr>
            <w:tcW w:w="1228" w:type="dxa"/>
            <w:tcMar>
              <w:top w:w="15" w:type="dxa"/>
              <w:left w:w="15" w:type="dxa"/>
              <w:right w:w="15" w:type="dxa"/>
            </w:tcMar>
            <w:vAlign w:val="bottom"/>
          </w:tcPr>
          <w:p w14:paraId="08630A0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万吨</w:t>
            </w:r>
          </w:p>
        </w:tc>
        <w:tc>
          <w:tcPr>
            <w:tcW w:w="1704" w:type="dxa"/>
            <w:tcMar>
              <w:top w:w="15" w:type="dxa"/>
              <w:left w:w="15" w:type="dxa"/>
              <w:right w:w="15" w:type="dxa"/>
            </w:tcMar>
            <w:vAlign w:val="center"/>
          </w:tcPr>
          <w:p w14:paraId="6CC4D92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0.3</w:t>
            </w:r>
          </w:p>
        </w:tc>
        <w:tc>
          <w:tcPr>
            <w:tcW w:w="1615" w:type="dxa"/>
            <w:tcMar>
              <w:top w:w="15" w:type="dxa"/>
              <w:left w:w="15" w:type="dxa"/>
              <w:right w:w="15" w:type="dxa"/>
            </w:tcMar>
            <w:vAlign w:val="center"/>
          </w:tcPr>
          <w:p w14:paraId="3AD2E05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-31.0</w:t>
            </w:r>
          </w:p>
        </w:tc>
      </w:tr>
      <w:tr w14:paraId="709F7D5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3C3CBC9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FF0000"/>
                <w:kern w:val="0"/>
                <w:sz w:val="24"/>
                <w:szCs w:val="24"/>
                <w:u w:val="none"/>
                <w:lang w:val="en-US" w:eastAsia="zh-CN" w:bidi="ar"/>
              </w:rPr>
            </w:pPr>
            <w:r>
              <w:rPr>
                <w:rFonts w:hint="eastAsia" w:ascii="Times New Roman" w:hAnsi="Times New Roman" w:eastAsia="仿宋" w:cs="仿宋"/>
                <w:b/>
                <w:bCs/>
                <w:i w:val="0"/>
                <w:iCs w:val="0"/>
                <w:color w:val="000000"/>
                <w:kern w:val="0"/>
                <w:sz w:val="24"/>
                <w:szCs w:val="24"/>
                <w:u w:val="none"/>
                <w:lang w:val="en-US" w:eastAsia="zh-CN" w:bidi="ar"/>
              </w:rPr>
              <w:t>商品混凝土</w:t>
            </w:r>
          </w:p>
        </w:tc>
        <w:tc>
          <w:tcPr>
            <w:tcW w:w="1228" w:type="dxa"/>
            <w:tcMar>
              <w:top w:w="15" w:type="dxa"/>
              <w:left w:w="15" w:type="dxa"/>
              <w:right w:w="15" w:type="dxa"/>
            </w:tcMar>
            <w:vAlign w:val="bottom"/>
          </w:tcPr>
          <w:p w14:paraId="04733BA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万立方米</w:t>
            </w:r>
          </w:p>
        </w:tc>
        <w:tc>
          <w:tcPr>
            <w:tcW w:w="1704" w:type="dxa"/>
            <w:tcMar>
              <w:top w:w="15" w:type="dxa"/>
              <w:left w:w="15" w:type="dxa"/>
              <w:right w:w="15" w:type="dxa"/>
            </w:tcMar>
            <w:vAlign w:val="center"/>
          </w:tcPr>
          <w:p w14:paraId="45ECE0B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30.3</w:t>
            </w:r>
          </w:p>
        </w:tc>
        <w:tc>
          <w:tcPr>
            <w:tcW w:w="1615" w:type="dxa"/>
            <w:tcMar>
              <w:top w:w="15" w:type="dxa"/>
              <w:left w:w="15" w:type="dxa"/>
              <w:right w:w="15" w:type="dxa"/>
            </w:tcMar>
            <w:vAlign w:val="center"/>
          </w:tcPr>
          <w:p w14:paraId="4F201F7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6.5</w:t>
            </w:r>
          </w:p>
        </w:tc>
      </w:tr>
      <w:tr w14:paraId="05F02A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5897C55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FF0000"/>
                <w:kern w:val="0"/>
                <w:sz w:val="24"/>
                <w:szCs w:val="24"/>
                <w:u w:val="none"/>
                <w:lang w:val="en-US" w:eastAsia="zh-CN" w:bidi="ar"/>
              </w:rPr>
            </w:pPr>
            <w:r>
              <w:rPr>
                <w:rFonts w:hint="eastAsia" w:ascii="Times New Roman" w:hAnsi="Times New Roman" w:eastAsia="仿宋" w:cs="仿宋"/>
                <w:b/>
                <w:bCs/>
                <w:i w:val="0"/>
                <w:iCs w:val="0"/>
                <w:color w:val="000000"/>
                <w:kern w:val="0"/>
                <w:sz w:val="24"/>
                <w:szCs w:val="24"/>
                <w:u w:val="none"/>
                <w:lang w:val="en-US" w:eastAsia="zh-CN" w:bidi="ar"/>
              </w:rPr>
              <w:t>砖</w:t>
            </w:r>
          </w:p>
        </w:tc>
        <w:tc>
          <w:tcPr>
            <w:tcW w:w="1228" w:type="dxa"/>
            <w:tcMar>
              <w:top w:w="15" w:type="dxa"/>
              <w:left w:w="15" w:type="dxa"/>
              <w:right w:w="15" w:type="dxa"/>
            </w:tcMar>
            <w:vAlign w:val="bottom"/>
          </w:tcPr>
          <w:p w14:paraId="7D4BC15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万块</w:t>
            </w:r>
          </w:p>
        </w:tc>
        <w:tc>
          <w:tcPr>
            <w:tcW w:w="1704" w:type="dxa"/>
            <w:tcMar>
              <w:top w:w="15" w:type="dxa"/>
              <w:left w:w="15" w:type="dxa"/>
              <w:right w:w="15" w:type="dxa"/>
            </w:tcMar>
            <w:vAlign w:val="center"/>
          </w:tcPr>
          <w:p w14:paraId="121D2A3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298</w:t>
            </w:r>
          </w:p>
        </w:tc>
        <w:tc>
          <w:tcPr>
            <w:tcW w:w="1615" w:type="dxa"/>
            <w:tcMar>
              <w:top w:w="15" w:type="dxa"/>
              <w:left w:w="15" w:type="dxa"/>
              <w:right w:w="15" w:type="dxa"/>
            </w:tcMar>
            <w:vAlign w:val="center"/>
          </w:tcPr>
          <w:p w14:paraId="7ADDA75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98.7</w:t>
            </w:r>
          </w:p>
        </w:tc>
      </w:tr>
      <w:tr w14:paraId="2C3B6D2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0CFD0CB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FF0000"/>
                <w:kern w:val="0"/>
                <w:sz w:val="24"/>
                <w:szCs w:val="24"/>
                <w:u w:val="none"/>
                <w:lang w:val="en-US" w:eastAsia="zh-CN" w:bidi="ar"/>
              </w:rPr>
            </w:pPr>
            <w:r>
              <w:rPr>
                <w:rFonts w:hint="eastAsia" w:ascii="Times New Roman" w:hAnsi="Times New Roman" w:eastAsia="仿宋" w:cs="仿宋"/>
                <w:b/>
                <w:bCs/>
                <w:i w:val="0"/>
                <w:iCs w:val="0"/>
                <w:color w:val="000000"/>
                <w:kern w:val="0"/>
                <w:sz w:val="24"/>
                <w:szCs w:val="24"/>
                <w:u w:val="none"/>
                <w:lang w:val="en-US" w:eastAsia="zh-CN" w:bidi="ar"/>
              </w:rPr>
              <w:t>耐火材料制品</w:t>
            </w:r>
          </w:p>
        </w:tc>
        <w:tc>
          <w:tcPr>
            <w:tcW w:w="1228" w:type="dxa"/>
            <w:tcMar>
              <w:top w:w="15" w:type="dxa"/>
              <w:left w:w="15" w:type="dxa"/>
              <w:right w:w="15" w:type="dxa"/>
            </w:tcMar>
            <w:vAlign w:val="bottom"/>
          </w:tcPr>
          <w:p w14:paraId="35CBAC2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万吨</w:t>
            </w:r>
          </w:p>
        </w:tc>
        <w:tc>
          <w:tcPr>
            <w:tcW w:w="1704" w:type="dxa"/>
            <w:tcMar>
              <w:top w:w="15" w:type="dxa"/>
              <w:left w:w="15" w:type="dxa"/>
              <w:right w:w="15" w:type="dxa"/>
            </w:tcMar>
            <w:vAlign w:val="center"/>
          </w:tcPr>
          <w:p w14:paraId="4936CB0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40.3</w:t>
            </w:r>
          </w:p>
        </w:tc>
        <w:tc>
          <w:tcPr>
            <w:tcW w:w="1615" w:type="dxa"/>
            <w:tcMar>
              <w:top w:w="15" w:type="dxa"/>
              <w:left w:w="15" w:type="dxa"/>
              <w:right w:w="15" w:type="dxa"/>
            </w:tcMar>
            <w:vAlign w:val="center"/>
          </w:tcPr>
          <w:p w14:paraId="1F6BB88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-0.8</w:t>
            </w:r>
          </w:p>
        </w:tc>
      </w:tr>
      <w:tr w14:paraId="1179A4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470905E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bCs/>
                <w:i w:val="0"/>
                <w:iCs w:val="0"/>
                <w:color w:val="000000" w:themeColor="text1"/>
                <w:kern w:val="0"/>
                <w:sz w:val="24"/>
                <w:szCs w:val="24"/>
                <w:u w:val="none"/>
                <w:lang w:val="en-US" w:eastAsia="zh-CN" w:bidi="ar"/>
                <w14:textFill>
                  <w14:solidFill>
                    <w14:schemeClr w14:val="tx1"/>
                  </w14:solidFill>
                </w14:textFill>
              </w:rPr>
              <w:t>石墨及碳素制品</w:t>
            </w:r>
          </w:p>
        </w:tc>
        <w:tc>
          <w:tcPr>
            <w:tcW w:w="1228" w:type="dxa"/>
            <w:tcMar>
              <w:top w:w="15" w:type="dxa"/>
              <w:left w:w="15" w:type="dxa"/>
              <w:right w:w="15" w:type="dxa"/>
            </w:tcMar>
            <w:vAlign w:val="bottom"/>
          </w:tcPr>
          <w:p w14:paraId="3910C22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万吨</w:t>
            </w:r>
          </w:p>
        </w:tc>
        <w:tc>
          <w:tcPr>
            <w:tcW w:w="1704" w:type="dxa"/>
            <w:tcMar>
              <w:top w:w="15" w:type="dxa"/>
              <w:left w:w="15" w:type="dxa"/>
              <w:right w:w="15" w:type="dxa"/>
            </w:tcMar>
            <w:vAlign w:val="center"/>
          </w:tcPr>
          <w:p w14:paraId="04D204D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 xml:space="preserve">3.6 </w:t>
            </w:r>
          </w:p>
        </w:tc>
        <w:tc>
          <w:tcPr>
            <w:tcW w:w="1615" w:type="dxa"/>
            <w:tcMar>
              <w:top w:w="15" w:type="dxa"/>
              <w:left w:w="15" w:type="dxa"/>
              <w:right w:w="15" w:type="dxa"/>
            </w:tcMar>
            <w:vAlign w:val="center"/>
          </w:tcPr>
          <w:p w14:paraId="50965BE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-6.3</w:t>
            </w:r>
          </w:p>
        </w:tc>
      </w:tr>
      <w:tr w14:paraId="483135D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323CB1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bCs/>
                <w:i w:val="0"/>
                <w:iCs w:val="0"/>
                <w:color w:val="000000" w:themeColor="text1"/>
                <w:kern w:val="0"/>
                <w:sz w:val="24"/>
                <w:szCs w:val="24"/>
                <w:u w:val="none"/>
                <w:lang w:val="en-US" w:eastAsia="zh-CN" w:bidi="ar"/>
                <w14:textFill>
                  <w14:solidFill>
                    <w14:schemeClr w14:val="tx1"/>
                  </w14:solidFill>
                </w14:textFill>
              </w:rPr>
              <w:t>铝合金</w:t>
            </w:r>
          </w:p>
        </w:tc>
        <w:tc>
          <w:tcPr>
            <w:tcW w:w="1228" w:type="dxa"/>
            <w:tcMar>
              <w:top w:w="15" w:type="dxa"/>
              <w:left w:w="15" w:type="dxa"/>
              <w:right w:w="15" w:type="dxa"/>
            </w:tcMar>
            <w:vAlign w:val="bottom"/>
          </w:tcPr>
          <w:p w14:paraId="71B50A2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万吨</w:t>
            </w:r>
          </w:p>
        </w:tc>
        <w:tc>
          <w:tcPr>
            <w:tcW w:w="1704" w:type="dxa"/>
            <w:tcMar>
              <w:top w:w="15" w:type="dxa"/>
              <w:left w:w="15" w:type="dxa"/>
              <w:right w:w="15" w:type="dxa"/>
            </w:tcMar>
            <w:vAlign w:val="center"/>
          </w:tcPr>
          <w:p w14:paraId="7FACB94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4.7</w:t>
            </w:r>
          </w:p>
        </w:tc>
        <w:tc>
          <w:tcPr>
            <w:tcW w:w="1615" w:type="dxa"/>
            <w:tcMar>
              <w:top w:w="15" w:type="dxa"/>
              <w:left w:w="15" w:type="dxa"/>
              <w:right w:w="15" w:type="dxa"/>
            </w:tcMar>
            <w:vAlign w:val="center"/>
          </w:tcPr>
          <w:p w14:paraId="5A57941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-12.9</w:t>
            </w:r>
          </w:p>
        </w:tc>
      </w:tr>
      <w:tr w14:paraId="056E71D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Mar>
              <w:top w:w="15" w:type="dxa"/>
              <w:left w:w="15" w:type="dxa"/>
              <w:right w:w="15" w:type="dxa"/>
            </w:tcMar>
            <w:vAlign w:val="center"/>
          </w:tcPr>
          <w:p w14:paraId="2C3EFC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bCs/>
                <w:i w:val="0"/>
                <w:iCs w:val="0"/>
                <w:color w:val="000000" w:themeColor="text1"/>
                <w:kern w:val="0"/>
                <w:sz w:val="24"/>
                <w:szCs w:val="24"/>
                <w:u w:val="none"/>
                <w:lang w:val="en-US" w:eastAsia="zh-CN" w:bidi="ar"/>
                <w14:textFill>
                  <w14:solidFill>
                    <w14:schemeClr w14:val="tx1"/>
                  </w14:solidFill>
                </w14:textFill>
              </w:rPr>
              <w:t>改装汽车(辆)</w:t>
            </w:r>
          </w:p>
        </w:tc>
        <w:tc>
          <w:tcPr>
            <w:tcW w:w="1228" w:type="dxa"/>
            <w:tcMar>
              <w:top w:w="15" w:type="dxa"/>
              <w:left w:w="15" w:type="dxa"/>
              <w:right w:w="15" w:type="dxa"/>
            </w:tcMar>
            <w:vAlign w:val="bottom"/>
          </w:tcPr>
          <w:p w14:paraId="098115C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t>辆</w:t>
            </w:r>
          </w:p>
        </w:tc>
        <w:tc>
          <w:tcPr>
            <w:tcW w:w="1704" w:type="dxa"/>
            <w:tcMar>
              <w:top w:w="15" w:type="dxa"/>
              <w:left w:w="15" w:type="dxa"/>
              <w:right w:w="15" w:type="dxa"/>
            </w:tcMar>
            <w:vAlign w:val="center"/>
          </w:tcPr>
          <w:p w14:paraId="48383C5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426</w:t>
            </w:r>
          </w:p>
        </w:tc>
        <w:tc>
          <w:tcPr>
            <w:tcW w:w="1615" w:type="dxa"/>
            <w:tcMar>
              <w:top w:w="15" w:type="dxa"/>
              <w:left w:w="15" w:type="dxa"/>
              <w:right w:w="15" w:type="dxa"/>
            </w:tcMar>
            <w:vAlign w:val="center"/>
          </w:tcPr>
          <w:p w14:paraId="386E24A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36.1</w:t>
            </w:r>
          </w:p>
        </w:tc>
      </w:tr>
      <w:tr w14:paraId="29C0580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3786" w:type="dxa"/>
            <w:tcBorders>
              <w:bottom w:val="single" w:color="auto" w:sz="4" w:space="0"/>
            </w:tcBorders>
            <w:tcMar>
              <w:top w:w="15" w:type="dxa"/>
              <w:left w:w="15" w:type="dxa"/>
              <w:right w:w="15" w:type="dxa"/>
            </w:tcMar>
            <w:vAlign w:val="center"/>
          </w:tcPr>
          <w:p w14:paraId="0FA4741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bCs/>
                <w:i w:val="0"/>
                <w:iCs w:val="0"/>
                <w:color w:val="000000" w:themeColor="text1"/>
                <w:kern w:val="0"/>
                <w:sz w:val="24"/>
                <w:szCs w:val="24"/>
                <w:u w:val="none"/>
                <w:lang w:val="en-US" w:eastAsia="zh-CN" w:bidi="ar"/>
                <w14:textFill>
                  <w14:solidFill>
                    <w14:schemeClr w14:val="tx1"/>
                  </w14:solidFill>
                </w14:textFill>
              </w:rPr>
              <w:t>锂离子电池（千瓦时）</w:t>
            </w:r>
          </w:p>
        </w:tc>
        <w:tc>
          <w:tcPr>
            <w:tcW w:w="1228" w:type="dxa"/>
            <w:tcBorders>
              <w:bottom w:val="single" w:color="auto" w:sz="4" w:space="0"/>
            </w:tcBorders>
            <w:tcMar>
              <w:top w:w="15" w:type="dxa"/>
              <w:left w:w="15" w:type="dxa"/>
              <w:right w:w="15" w:type="dxa"/>
            </w:tcMar>
            <w:vAlign w:val="bottom"/>
          </w:tcPr>
          <w:p w14:paraId="43B88B6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bottom"/>
              <w:rPr>
                <w:rFonts w:hint="eastAsia"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万千瓦时</w:t>
            </w:r>
          </w:p>
        </w:tc>
        <w:tc>
          <w:tcPr>
            <w:tcW w:w="1704" w:type="dxa"/>
            <w:tcBorders>
              <w:bottom w:val="single" w:color="auto" w:sz="4" w:space="0"/>
            </w:tcBorders>
            <w:tcMar>
              <w:top w:w="15" w:type="dxa"/>
              <w:left w:w="15" w:type="dxa"/>
              <w:right w:w="15" w:type="dxa"/>
            </w:tcMar>
            <w:vAlign w:val="center"/>
          </w:tcPr>
          <w:p w14:paraId="5148A37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520.3</w:t>
            </w:r>
          </w:p>
        </w:tc>
        <w:tc>
          <w:tcPr>
            <w:tcW w:w="1615" w:type="dxa"/>
            <w:tcBorders>
              <w:bottom w:val="single" w:color="auto" w:sz="4" w:space="0"/>
            </w:tcBorders>
            <w:tcMar>
              <w:top w:w="15" w:type="dxa"/>
              <w:left w:w="15" w:type="dxa"/>
              <w:right w:w="15" w:type="dxa"/>
            </w:tcMar>
            <w:vAlign w:val="center"/>
          </w:tcPr>
          <w:p w14:paraId="2782094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仿宋"/>
                <w:b w:val="0"/>
                <w:bCs w:val="0"/>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仿宋" w:cs="仿宋"/>
                <w:b w:val="0"/>
                <w:bCs w:val="0"/>
                <w:i w:val="0"/>
                <w:iCs w:val="0"/>
                <w:color w:val="000000" w:themeColor="text1"/>
                <w:kern w:val="0"/>
                <w:sz w:val="24"/>
                <w:szCs w:val="24"/>
                <w:u w:val="none"/>
                <w:lang w:val="en-US" w:eastAsia="zh-CN" w:bidi="ar"/>
                <w14:textFill>
                  <w14:solidFill>
                    <w14:schemeClr w14:val="tx1"/>
                  </w14:solidFill>
                </w14:textFill>
              </w:rPr>
              <w:t>576.0</w:t>
            </w:r>
          </w:p>
        </w:tc>
      </w:tr>
    </w:tbl>
    <w:p w14:paraId="2C7E170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全年全区规模以上工业企业实现营业收入334.7亿元，实现利润总额22.9亿元。规模以上工业企业年末营业收入超50亿元企业2家，超亿元企业31家。</w:t>
      </w:r>
    </w:p>
    <w:p w14:paraId="3ED8B31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全年全区建筑业增加值11亿元，比上年增长0.9%。总承包和专业承包资质建筑业企业完成建筑业总产值15.2亿元，比上年增长5%。</w:t>
      </w:r>
    </w:p>
    <w:p w14:paraId="06BD9421">
      <w:pPr>
        <w:pStyle w:val="7"/>
        <w:keepNext w:val="0"/>
        <w:keepLines w:val="0"/>
        <w:pageBreakBefore w:val="0"/>
        <w:widowControl/>
        <w:kinsoku/>
        <w:wordWrap/>
        <w:overflowPunct/>
        <w:topLinePunct w:val="0"/>
        <w:autoSpaceDE/>
        <w:autoSpaceDN/>
        <w:bidi w:val="0"/>
        <w:adjustRightInd/>
        <w:snapToGrid/>
        <w:spacing w:line="560" w:lineRule="exact"/>
        <w:ind w:firstLine="643" w:firstLineChars="200"/>
        <w:jc w:val="both"/>
        <w:rPr>
          <w:rFonts w:hint="eastAsia" w:ascii="Times New Roman" w:hAnsi="Times New Roman" w:eastAsia="黑体" w:cs="黑体"/>
          <w:b/>
          <w:color w:val="000000" w:themeColor="text1"/>
          <w:sz w:val="32"/>
          <w:szCs w:val="32"/>
          <w14:textFill>
            <w14:solidFill>
              <w14:schemeClr w14:val="tx1"/>
            </w14:solidFill>
          </w14:textFill>
        </w:rPr>
      </w:pPr>
      <w:r>
        <w:rPr>
          <w:rFonts w:hint="eastAsia" w:ascii="Times New Roman" w:hAnsi="Times New Roman" w:eastAsia="黑体" w:cs="黑体"/>
          <w:b/>
          <w:color w:val="000000" w:themeColor="text1"/>
          <w:sz w:val="32"/>
          <w:szCs w:val="32"/>
          <w:lang w:val="en-US" w:eastAsia="zh-CN"/>
          <w14:textFill>
            <w14:solidFill>
              <w14:schemeClr w14:val="tx1"/>
            </w14:solidFill>
          </w14:textFill>
        </w:rPr>
        <w:t>四</w:t>
      </w:r>
      <w:r>
        <w:rPr>
          <w:rFonts w:hint="eastAsia" w:ascii="Times New Roman" w:hAnsi="Times New Roman" w:eastAsia="黑体" w:cs="黑体"/>
          <w:b/>
          <w:color w:val="000000" w:themeColor="text1"/>
          <w:sz w:val="32"/>
          <w:szCs w:val="32"/>
          <w14:textFill>
            <w14:solidFill>
              <w14:schemeClr w14:val="tx1"/>
            </w14:solidFill>
          </w14:textFill>
        </w:rPr>
        <w:t>、固定资产投资</w:t>
      </w:r>
    </w:p>
    <w:p w14:paraId="2A3E7A0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全年全区固定资产投资（不含农户，下同）比上年增长6.3%。其中，第二产业投资增长7.4%，第三产业投资下降23.3%。民间投资增长11.6%，工业投资增长7.4%，房地产开发投资下降82.9%。</w:t>
      </w:r>
    </w:p>
    <w:p w14:paraId="1B505A2F">
      <w:pPr>
        <w:pStyle w:val="7"/>
        <w:keepNext w:val="0"/>
        <w:keepLines w:val="0"/>
        <w:pageBreakBefore w:val="0"/>
        <w:widowControl/>
        <w:kinsoku/>
        <w:wordWrap/>
        <w:overflowPunct/>
        <w:topLinePunct w:val="0"/>
        <w:autoSpaceDE/>
        <w:autoSpaceDN/>
        <w:bidi w:val="0"/>
        <w:adjustRightInd/>
        <w:snapToGrid/>
        <w:spacing w:line="560" w:lineRule="exact"/>
        <w:ind w:firstLine="643" w:firstLineChars="200"/>
        <w:jc w:val="both"/>
        <w:rPr>
          <w:rFonts w:hint="eastAsia" w:ascii="Times New Roman" w:hAnsi="Times New Roman" w:eastAsia="黑体" w:cs="黑体"/>
          <w:b/>
          <w:color w:val="000000" w:themeColor="text1"/>
          <w:sz w:val="32"/>
          <w:szCs w:val="32"/>
          <w:lang w:val="en-US" w:eastAsia="zh-CN"/>
          <w14:textFill>
            <w14:solidFill>
              <w14:schemeClr w14:val="tx1"/>
            </w14:solidFill>
          </w14:textFill>
        </w:rPr>
      </w:pPr>
      <w:r>
        <w:rPr>
          <w:rFonts w:hint="eastAsia" w:ascii="Times New Roman" w:hAnsi="Times New Roman" w:eastAsia="黑体" w:cs="黑体"/>
          <w:b/>
          <w:color w:val="000000" w:themeColor="text1"/>
          <w:sz w:val="32"/>
          <w:szCs w:val="32"/>
          <w:lang w:val="en-US" w:eastAsia="zh-CN"/>
          <w14:textFill>
            <w14:solidFill>
              <w14:schemeClr w14:val="tx1"/>
            </w14:solidFill>
          </w14:textFill>
        </w:rPr>
        <w:t>五、国内贸易</w:t>
      </w:r>
    </w:p>
    <w:p w14:paraId="300ED90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全年全区社会消费品零售总额比上年增长6.2%。批发业销售额增长6.7%；零售业销售额增长6.7%；住宿业营业额增长3.3%；餐饮业营业额增长7.1%。</w:t>
      </w:r>
    </w:p>
    <w:p w14:paraId="53F2F90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全年全区限额以上单位消费品零售额中，粮油、食品类零售额比上年增长31.6%，饮料类增长82.8%，烟酒类增长26.4%，服装、鞋帽、针纺织品类下降2.2%，日用品类增长23.1%，石油及制品类增长23.1%，汽车类下降2.2%。</w:t>
      </w:r>
    </w:p>
    <w:p w14:paraId="4E76C1A4">
      <w:pPr>
        <w:pStyle w:val="7"/>
        <w:keepNext w:val="0"/>
        <w:keepLines w:val="0"/>
        <w:pageBreakBefore w:val="0"/>
        <w:widowControl/>
        <w:kinsoku/>
        <w:wordWrap/>
        <w:overflowPunct/>
        <w:topLinePunct w:val="0"/>
        <w:autoSpaceDE/>
        <w:autoSpaceDN/>
        <w:bidi w:val="0"/>
        <w:adjustRightInd/>
        <w:snapToGrid/>
        <w:spacing w:line="560" w:lineRule="exact"/>
        <w:ind w:firstLine="643" w:firstLineChars="200"/>
        <w:jc w:val="both"/>
        <w:rPr>
          <w:rFonts w:hint="eastAsia" w:ascii="Times New Roman" w:hAnsi="Times New Roman" w:eastAsia="黑体" w:cs="黑体"/>
          <w:b/>
          <w:color w:val="000000" w:themeColor="text1"/>
          <w:sz w:val="32"/>
          <w:szCs w:val="32"/>
          <w:lang w:val="en-US" w:eastAsia="zh-CN"/>
          <w14:textFill>
            <w14:solidFill>
              <w14:schemeClr w14:val="tx1"/>
            </w14:solidFill>
          </w14:textFill>
        </w:rPr>
      </w:pPr>
      <w:r>
        <w:rPr>
          <w:rFonts w:hint="eastAsia" w:ascii="Times New Roman" w:hAnsi="Times New Roman" w:eastAsia="黑体" w:cs="黑体"/>
          <w:b/>
          <w:color w:val="000000" w:themeColor="text1"/>
          <w:sz w:val="32"/>
          <w:szCs w:val="32"/>
          <w:lang w:val="en-US" w:eastAsia="zh-CN"/>
          <w14:textFill>
            <w14:solidFill>
              <w14:schemeClr w14:val="tx1"/>
            </w14:solidFill>
          </w14:textFill>
        </w:rPr>
        <w:t>六、对外经济</w:t>
      </w:r>
    </w:p>
    <w:p w14:paraId="35F8CC6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全年全区货物贸易进出口总额67.5亿元，同比下降12%。其中出口额61.9亿元，同比下降7.7%，进口额5.6亿元，同比下降42.3%。</w:t>
      </w:r>
    </w:p>
    <w:p w14:paraId="4975B424">
      <w:pPr>
        <w:pStyle w:val="7"/>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全年全区实际利用外商直接投资1505万美元，同比增长50.5%。</w:t>
      </w:r>
    </w:p>
    <w:p w14:paraId="11834BEA">
      <w:pPr>
        <w:pStyle w:val="7"/>
        <w:keepNext w:val="0"/>
        <w:keepLines w:val="0"/>
        <w:pageBreakBefore w:val="0"/>
        <w:widowControl/>
        <w:kinsoku/>
        <w:wordWrap/>
        <w:overflowPunct/>
        <w:topLinePunct w:val="0"/>
        <w:autoSpaceDE/>
        <w:autoSpaceDN/>
        <w:bidi w:val="0"/>
        <w:adjustRightInd/>
        <w:snapToGrid/>
        <w:spacing w:line="560" w:lineRule="exact"/>
        <w:ind w:firstLine="643" w:firstLineChars="200"/>
        <w:jc w:val="both"/>
        <w:rPr>
          <w:rFonts w:hint="eastAsia" w:ascii="Times New Roman" w:hAnsi="Times New Roman" w:eastAsia="黑体" w:cs="黑体"/>
          <w:b/>
          <w:color w:val="auto"/>
          <w:sz w:val="32"/>
          <w:szCs w:val="32"/>
          <w:lang w:val="en-US" w:eastAsia="zh-CN"/>
        </w:rPr>
      </w:pPr>
      <w:r>
        <w:rPr>
          <w:rFonts w:hint="eastAsia" w:ascii="Times New Roman" w:hAnsi="Times New Roman" w:eastAsia="黑体" w:cs="黑体"/>
          <w:b/>
          <w:color w:val="auto"/>
          <w:sz w:val="32"/>
          <w:szCs w:val="32"/>
          <w:lang w:val="en-US" w:eastAsia="zh-CN"/>
        </w:rPr>
        <w:t>七、财政金融</w:t>
      </w:r>
    </w:p>
    <w:p w14:paraId="1984D04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一般公共预算收入11.7亿元，比上年增长5%，其中：税收收入7.9亿元，下降3.9%，占一般公共预算收入的比重为67.6%。一般公共预算支出12.7亿元，增长0.9%，其中：一般公共服务支出1.6亿元，增长2.4%；医疗卫生支出0.9亿元，增长18.9%；教育支出1.9亿元，增长0.1%；农林水事务支出0.7亿元，增长6%。</w:t>
      </w:r>
    </w:p>
    <w:p w14:paraId="79F8A1F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年末全区金融机构各项人民币存款余额</w:t>
      </w: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101.93亿元，较年初增长3.07亿元</w:t>
      </w: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增长3.1</w:t>
      </w: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各项贷款余额63.56亿元，较年初增长8.05亿元，增长14.52%。</w:t>
      </w:r>
    </w:p>
    <w:p w14:paraId="5463A2B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辖区8家保险公司</w:t>
      </w: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w:t>
      </w: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保费收入21542万元，较同期增加8480.84万元,增长64.93%；赔付金额9840.87万元。</w:t>
      </w:r>
    </w:p>
    <w:p w14:paraId="185AE2F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年末全区已培育上市企业</w:t>
      </w: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2</w:t>
      </w: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家（多氟多、佰利联</w:t>
      </w: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w:t>
      </w: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引进上市企业4</w:t>
      </w: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家：风神轮胎、龙星化工、新开源</w:t>
      </w: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、安彩</w:t>
      </w: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半导体），新三板挂牌企业1家（鸽德新材料）；省定上市后备企业2家（分别是爱尔福克、鑫诚耐火），重点关注企业1家（和兴化工</w:t>
      </w: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可以视为省后备），市定上市后备企业1家（远润环保）。</w:t>
      </w:r>
    </w:p>
    <w:p w14:paraId="629F3873">
      <w:pPr>
        <w:pStyle w:val="7"/>
        <w:keepNext w:val="0"/>
        <w:keepLines w:val="0"/>
        <w:pageBreakBefore w:val="0"/>
        <w:widowControl/>
        <w:kinsoku/>
        <w:wordWrap/>
        <w:overflowPunct/>
        <w:topLinePunct w:val="0"/>
        <w:autoSpaceDE/>
        <w:autoSpaceDN/>
        <w:bidi w:val="0"/>
        <w:adjustRightInd/>
        <w:snapToGrid/>
        <w:spacing w:line="560" w:lineRule="exact"/>
        <w:ind w:firstLine="643" w:firstLineChars="200"/>
        <w:jc w:val="both"/>
        <w:rPr>
          <w:rFonts w:hint="eastAsia" w:ascii="Times New Roman" w:hAnsi="Times New Roman" w:eastAsia="黑体" w:cs="黑体"/>
          <w:b/>
          <w:color w:val="000000" w:themeColor="text1"/>
          <w:sz w:val="32"/>
          <w:szCs w:val="32"/>
          <w:lang w:val="en-US" w:eastAsia="zh-CN"/>
          <w14:textFill>
            <w14:solidFill>
              <w14:schemeClr w14:val="tx1"/>
            </w14:solidFill>
          </w14:textFill>
        </w:rPr>
      </w:pPr>
      <w:r>
        <w:rPr>
          <w:rFonts w:hint="eastAsia" w:ascii="Times New Roman" w:hAnsi="Times New Roman" w:eastAsia="黑体" w:cs="黑体"/>
          <w:b/>
          <w:color w:val="000000" w:themeColor="text1"/>
          <w:sz w:val="32"/>
          <w:szCs w:val="32"/>
          <w:lang w:val="en-US" w:eastAsia="zh-CN"/>
          <w14:textFill>
            <w14:solidFill>
              <w14:schemeClr w14:val="tx1"/>
            </w14:solidFill>
          </w14:textFill>
        </w:rPr>
        <w:t>八、居民收入消费和社会保障</w:t>
      </w:r>
    </w:p>
    <w:p w14:paraId="7BC9ADD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全年全区居民人均可支配收入（五城区）40400元，比上年增长5.5%。按常住地分，城镇居民人均可支配收入38841元，比上年增长5.2%；农民居民人均可支配收入（五城区）27635元，比上年增长5.2%。</w:t>
      </w:r>
    </w:p>
    <w:p w14:paraId="7448B6E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全年全区居民人均消费支出（五城区）26782元，比上年增长4.1%；按常住地分，城镇居民人均消费支出25932元，比上年增长4.0%；农村居民人均消费支出（五城区）20069元，比上年增长4.5%。</w:t>
      </w:r>
    </w:p>
    <w:p w14:paraId="734197D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参加基本医疗保险人数84811人，其中居民医疗保险66744人，职工医疗保险参保人数18067人（在职职工参加职工医疗保险15293人，退休人员参加职工医疗保险2774人）。参加基本养老保险64169人，其中：企业养老保险26483人，城乡居民养老保险参保33297人。在企业养老保险中，在职职工参保 23457人，比上年增加 1118人，增长5%；离退休人员参保3026人，比上年增加315人,增长11.6%。参加失业保险人数15582人。参加工伤保险人数19277人。</w:t>
      </w:r>
    </w:p>
    <w:p w14:paraId="09F4C10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城区最低生活保障月标准719元，农村最低生活保障月标准606元。全年共救助城市最低生活保障对象25562人次，发放城市最低生活保障金909.40万元。全年共救助农村最低生活保障对象11028人次，发放农村最低生活保障金309.66万元。全年共救助特困人员1156人次，发放特困救助供养金116.31万元，全年共临时救助困难群众110人次，发放临时救助金13.27万元，人均救助1206.36元。</w:t>
      </w:r>
    </w:p>
    <w:p w14:paraId="3F1B8D2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全年共办理结婚登记381对，离婚申请380份，离婚登记227对，补领结婚登记证243对，补领离婚登记证37对。</w:t>
      </w:r>
    </w:p>
    <w:p w14:paraId="622D9E8A">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rPr>
          <w:rFonts w:hint="eastAsia" w:ascii="Times New Roman" w:hAnsi="Times New Roman" w:eastAsia="黑体" w:cs="黑体"/>
          <w:b/>
          <w:color w:val="000000" w:themeColor="text1"/>
          <w:sz w:val="32"/>
          <w:szCs w:val="32"/>
          <w:lang w:val="en-US" w:eastAsia="zh-CN"/>
          <w14:textFill>
            <w14:solidFill>
              <w14:schemeClr w14:val="tx1"/>
            </w14:solidFill>
          </w14:textFill>
        </w:rPr>
      </w:pPr>
      <w:r>
        <w:rPr>
          <w:rFonts w:hint="eastAsia" w:ascii="Times New Roman" w:hAnsi="Times New Roman" w:eastAsia="黑体" w:cs="黑体"/>
          <w:b/>
          <w:color w:val="000000" w:themeColor="text1"/>
          <w:sz w:val="32"/>
          <w:szCs w:val="32"/>
          <w:lang w:val="en-US" w:eastAsia="zh-CN"/>
          <w14:textFill>
            <w14:solidFill>
              <w14:schemeClr w14:val="tx1"/>
            </w14:solidFill>
          </w14:textFill>
        </w:rPr>
        <w:t>九、科学技术和教育</w:t>
      </w:r>
    </w:p>
    <w:p w14:paraId="39728B0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新增国家高新技术企业4家，总数达到37家；备案入库国家科技型中小企业51家。拥有河南省院士工作站1个；河南省工程技术研究中心28家。完成技术合同登记额15.37亿元，全年争取各类科技政策性资金1336.5万元。</w:t>
      </w:r>
    </w:p>
    <w:p w14:paraId="03C4AB0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普通高中1所，招生987人，在校生2724人，毕业生871人。初中学校7所，招生1903人，在校生5846人，毕业生1823人。普通小学13所，招生1038人，在校生7531人，毕业生1373人。全区幼儿园在园幼儿2354人，其中公办幼儿园在园幼儿1152人，民办幼儿园在园幼儿1202人。资助困难学生1596人次，共计发放各项资助金125.5万元。</w:t>
      </w:r>
    </w:p>
    <w:p w14:paraId="49FB2519">
      <w:pPr>
        <w:keepNext w:val="0"/>
        <w:keepLines w:val="0"/>
        <w:pageBreakBefore w:val="0"/>
        <w:kinsoku/>
        <w:wordWrap/>
        <w:overflowPunct/>
        <w:topLinePunct w:val="0"/>
        <w:autoSpaceDE/>
        <w:autoSpaceDN/>
        <w:bidi w:val="0"/>
        <w:adjustRightInd/>
        <w:snapToGrid/>
        <w:spacing w:line="560" w:lineRule="exact"/>
        <w:jc w:val="center"/>
        <w:rPr>
          <w:rFonts w:hint="eastAsia" w:ascii="Times New Roman" w:hAnsi="Times New Roman" w:eastAsia="仿宋" w:cs="仿宋"/>
          <w:b/>
          <w:bCs w:val="0"/>
          <w:color w:val="auto"/>
          <w:kern w:val="0"/>
          <w:sz w:val="28"/>
          <w:szCs w:val="28"/>
          <w:shd w:val="clear" w:color="auto" w:fill="FFFFFF"/>
          <w:lang w:val="en-US" w:eastAsia="zh-CN"/>
        </w:rPr>
      </w:pPr>
      <w:r>
        <w:rPr>
          <w:rFonts w:hint="eastAsia" w:ascii="Times New Roman" w:hAnsi="Times New Roman" w:eastAsia="仿宋" w:cs="仿宋"/>
          <w:b/>
          <w:bCs w:val="0"/>
          <w:color w:val="auto"/>
          <w:kern w:val="0"/>
          <w:sz w:val="28"/>
          <w:szCs w:val="28"/>
          <w:shd w:val="clear" w:color="auto" w:fill="FFFFFF"/>
          <w:lang w:val="en-US" w:eastAsia="zh-CN"/>
        </w:rPr>
        <w:t>表3：2025年全区各类学校招生和在校生情况</w:t>
      </w:r>
    </w:p>
    <w:p w14:paraId="667E031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eastAsia" w:ascii="Times New Roman" w:hAnsi="Times New Roman" w:eastAsia="仿宋" w:cs="宋体"/>
          <w:color w:val="auto"/>
          <w:kern w:val="0"/>
          <w:sz w:val="28"/>
          <w:szCs w:val="28"/>
        </w:rPr>
      </w:pPr>
      <w:r>
        <w:rPr>
          <w:rFonts w:hint="eastAsia" w:ascii="Times New Roman" w:hAnsi="Times New Roman" w:eastAsia="仿宋" w:cs="宋体"/>
          <w:color w:val="auto"/>
          <w:kern w:val="0"/>
          <w:sz w:val="32"/>
          <w:szCs w:val="32"/>
        </w:rPr>
        <w:t xml:space="preserve">                                     </w:t>
      </w:r>
      <w:r>
        <w:rPr>
          <w:rFonts w:hint="eastAsia" w:ascii="Times New Roman" w:hAnsi="Times New Roman" w:eastAsia="仿宋" w:cs="宋体"/>
          <w:color w:val="auto"/>
          <w:kern w:val="0"/>
          <w:sz w:val="28"/>
          <w:szCs w:val="28"/>
        </w:rPr>
        <w:t xml:space="preserve">  单位：人</w:t>
      </w:r>
    </w:p>
    <w:tbl>
      <w:tblPr>
        <w:tblStyle w:val="8"/>
        <w:tblW w:w="8386" w:type="dxa"/>
        <w:tblInd w:w="136" w:type="dxa"/>
        <w:tblLayout w:type="fixed"/>
        <w:tblCellMar>
          <w:top w:w="0" w:type="dxa"/>
          <w:left w:w="108" w:type="dxa"/>
          <w:bottom w:w="0" w:type="dxa"/>
          <w:right w:w="108" w:type="dxa"/>
        </w:tblCellMar>
      </w:tblPr>
      <w:tblGrid>
        <w:gridCol w:w="2312"/>
        <w:gridCol w:w="1812"/>
        <w:gridCol w:w="2131"/>
        <w:gridCol w:w="2131"/>
      </w:tblGrid>
      <w:tr w14:paraId="7423EA7D">
        <w:tblPrEx>
          <w:tblCellMar>
            <w:top w:w="0" w:type="dxa"/>
            <w:left w:w="108" w:type="dxa"/>
            <w:bottom w:w="0" w:type="dxa"/>
            <w:right w:w="108" w:type="dxa"/>
          </w:tblCellMar>
        </w:tblPrEx>
        <w:tc>
          <w:tcPr>
            <w:tcW w:w="2312" w:type="dxa"/>
            <w:tcBorders>
              <w:top w:val="single" w:color="000000" w:sz="4" w:space="0"/>
              <w:left w:val="single" w:color="000000" w:sz="4" w:space="0"/>
              <w:bottom w:val="single" w:color="000000" w:sz="4" w:space="0"/>
              <w:right w:val="single" w:color="000000" w:sz="4" w:space="0"/>
            </w:tcBorders>
            <w:vAlign w:val="center"/>
          </w:tcPr>
          <w:p w14:paraId="5DAD756D">
            <w:pPr>
              <w:keepNext w:val="0"/>
              <w:keepLines w:val="0"/>
              <w:pageBreakBefore w:val="0"/>
              <w:widowControl/>
              <w:kinsoku/>
              <w:wordWrap/>
              <w:overflowPunct/>
              <w:topLinePunct w:val="0"/>
              <w:autoSpaceDE/>
              <w:autoSpaceDN/>
              <w:bidi w:val="0"/>
              <w:adjustRightInd/>
              <w:snapToGrid/>
              <w:spacing w:line="560" w:lineRule="exact"/>
              <w:jc w:val="center"/>
              <w:rPr>
                <w:rFonts w:ascii="Times New Roman" w:hAnsi="Times New Roman" w:eastAsia="仿宋" w:cs="宋体"/>
                <w:color w:val="auto"/>
                <w:kern w:val="0"/>
                <w:sz w:val="28"/>
                <w:szCs w:val="28"/>
              </w:rPr>
            </w:pPr>
            <w:r>
              <w:rPr>
                <w:rFonts w:hint="eastAsia" w:ascii="Times New Roman" w:hAnsi="Times New Roman" w:eastAsia="仿宋" w:cs="宋体"/>
                <w:color w:val="auto"/>
                <w:kern w:val="0"/>
                <w:sz w:val="28"/>
                <w:szCs w:val="28"/>
              </w:rPr>
              <w:t>指  标</w:t>
            </w:r>
          </w:p>
        </w:tc>
        <w:tc>
          <w:tcPr>
            <w:tcW w:w="1812" w:type="dxa"/>
            <w:tcBorders>
              <w:top w:val="single" w:color="000000" w:sz="4" w:space="0"/>
              <w:left w:val="nil"/>
              <w:bottom w:val="single" w:color="000000" w:sz="4" w:space="0"/>
              <w:right w:val="single" w:color="000000" w:sz="4" w:space="0"/>
            </w:tcBorders>
            <w:vAlign w:val="center"/>
          </w:tcPr>
          <w:p w14:paraId="631A63EB">
            <w:pPr>
              <w:keepNext w:val="0"/>
              <w:keepLines w:val="0"/>
              <w:pageBreakBefore w:val="0"/>
              <w:widowControl/>
              <w:kinsoku/>
              <w:wordWrap/>
              <w:overflowPunct/>
              <w:topLinePunct w:val="0"/>
              <w:autoSpaceDE/>
              <w:autoSpaceDN/>
              <w:bidi w:val="0"/>
              <w:adjustRightInd/>
              <w:snapToGrid/>
              <w:spacing w:line="560" w:lineRule="exact"/>
              <w:jc w:val="center"/>
              <w:rPr>
                <w:rFonts w:ascii="Times New Roman" w:hAnsi="Times New Roman" w:eastAsia="仿宋" w:cs="宋体"/>
                <w:color w:val="auto"/>
                <w:kern w:val="0"/>
                <w:sz w:val="28"/>
                <w:szCs w:val="28"/>
              </w:rPr>
            </w:pPr>
            <w:r>
              <w:rPr>
                <w:rFonts w:hint="eastAsia" w:ascii="Times New Roman" w:hAnsi="Times New Roman" w:eastAsia="仿宋" w:cs="宋体"/>
                <w:color w:val="auto"/>
                <w:kern w:val="0"/>
                <w:sz w:val="28"/>
                <w:szCs w:val="28"/>
              </w:rPr>
              <w:t>招生数</w:t>
            </w:r>
          </w:p>
        </w:tc>
        <w:tc>
          <w:tcPr>
            <w:tcW w:w="2131" w:type="dxa"/>
            <w:tcBorders>
              <w:top w:val="single" w:color="000000" w:sz="4" w:space="0"/>
              <w:left w:val="nil"/>
              <w:bottom w:val="single" w:color="000000" w:sz="4" w:space="0"/>
              <w:right w:val="single" w:color="000000" w:sz="4" w:space="0"/>
            </w:tcBorders>
            <w:vAlign w:val="center"/>
          </w:tcPr>
          <w:p w14:paraId="649CBF0F">
            <w:pPr>
              <w:keepNext w:val="0"/>
              <w:keepLines w:val="0"/>
              <w:pageBreakBefore w:val="0"/>
              <w:widowControl/>
              <w:kinsoku/>
              <w:wordWrap/>
              <w:overflowPunct/>
              <w:topLinePunct w:val="0"/>
              <w:autoSpaceDE/>
              <w:autoSpaceDN/>
              <w:bidi w:val="0"/>
              <w:adjustRightInd/>
              <w:snapToGrid/>
              <w:spacing w:line="560" w:lineRule="exact"/>
              <w:jc w:val="center"/>
              <w:rPr>
                <w:rFonts w:ascii="Times New Roman" w:hAnsi="Times New Roman" w:eastAsia="仿宋" w:cs="宋体"/>
                <w:color w:val="auto"/>
                <w:kern w:val="0"/>
                <w:sz w:val="28"/>
                <w:szCs w:val="28"/>
              </w:rPr>
            </w:pPr>
            <w:r>
              <w:rPr>
                <w:rFonts w:hint="eastAsia" w:ascii="Times New Roman" w:hAnsi="Times New Roman" w:eastAsia="仿宋" w:cs="宋体"/>
                <w:color w:val="auto"/>
                <w:kern w:val="0"/>
                <w:sz w:val="28"/>
                <w:szCs w:val="28"/>
              </w:rPr>
              <w:t>在校生数</w:t>
            </w:r>
          </w:p>
        </w:tc>
        <w:tc>
          <w:tcPr>
            <w:tcW w:w="2131" w:type="dxa"/>
            <w:tcBorders>
              <w:top w:val="single" w:color="000000" w:sz="4" w:space="0"/>
              <w:left w:val="nil"/>
              <w:bottom w:val="single" w:color="000000" w:sz="4" w:space="0"/>
              <w:right w:val="single" w:color="000000" w:sz="4" w:space="0"/>
            </w:tcBorders>
            <w:vAlign w:val="center"/>
          </w:tcPr>
          <w:p w14:paraId="59935810">
            <w:pPr>
              <w:keepNext w:val="0"/>
              <w:keepLines w:val="0"/>
              <w:pageBreakBefore w:val="0"/>
              <w:widowControl/>
              <w:kinsoku/>
              <w:wordWrap/>
              <w:overflowPunct/>
              <w:topLinePunct w:val="0"/>
              <w:autoSpaceDE/>
              <w:autoSpaceDN/>
              <w:bidi w:val="0"/>
              <w:adjustRightInd/>
              <w:snapToGrid/>
              <w:spacing w:line="560" w:lineRule="exact"/>
              <w:jc w:val="center"/>
              <w:rPr>
                <w:rFonts w:ascii="Times New Roman" w:hAnsi="Times New Roman" w:eastAsia="仿宋" w:cs="宋体"/>
                <w:color w:val="auto"/>
                <w:kern w:val="0"/>
                <w:sz w:val="28"/>
                <w:szCs w:val="28"/>
              </w:rPr>
            </w:pPr>
            <w:r>
              <w:rPr>
                <w:rFonts w:hint="eastAsia" w:ascii="Times New Roman" w:hAnsi="Times New Roman" w:eastAsia="仿宋" w:cs="宋体"/>
                <w:color w:val="auto"/>
                <w:kern w:val="0"/>
                <w:sz w:val="28"/>
                <w:szCs w:val="28"/>
              </w:rPr>
              <w:t>毕业生数</w:t>
            </w:r>
          </w:p>
        </w:tc>
      </w:tr>
      <w:tr w14:paraId="174B7A74">
        <w:tblPrEx>
          <w:tblCellMar>
            <w:top w:w="0" w:type="dxa"/>
            <w:left w:w="108" w:type="dxa"/>
            <w:bottom w:w="0" w:type="dxa"/>
            <w:right w:w="108" w:type="dxa"/>
          </w:tblCellMar>
        </w:tblPrEx>
        <w:tc>
          <w:tcPr>
            <w:tcW w:w="2312" w:type="dxa"/>
            <w:tcBorders>
              <w:top w:val="single" w:color="000000" w:sz="4" w:space="0"/>
              <w:left w:val="single" w:color="000000" w:sz="4" w:space="0"/>
              <w:bottom w:val="single" w:color="000000" w:sz="4" w:space="0"/>
              <w:right w:val="single" w:color="000000" w:sz="4" w:space="0"/>
            </w:tcBorders>
            <w:vAlign w:val="center"/>
          </w:tcPr>
          <w:p w14:paraId="08B7E18F">
            <w:pPr>
              <w:keepNext w:val="0"/>
              <w:keepLines w:val="0"/>
              <w:pageBreakBefore w:val="0"/>
              <w:widowControl/>
              <w:kinsoku/>
              <w:wordWrap/>
              <w:overflowPunct/>
              <w:topLinePunct w:val="0"/>
              <w:autoSpaceDE/>
              <w:autoSpaceDN/>
              <w:bidi w:val="0"/>
              <w:adjustRightInd/>
              <w:snapToGrid/>
              <w:spacing w:line="560" w:lineRule="exact"/>
              <w:ind w:firstLine="50" w:firstLineChars="18"/>
              <w:jc w:val="left"/>
              <w:rPr>
                <w:rFonts w:ascii="Times New Roman" w:hAnsi="Times New Roman" w:eastAsia="仿宋" w:cs="宋体"/>
                <w:color w:val="auto"/>
                <w:kern w:val="0"/>
                <w:sz w:val="28"/>
                <w:szCs w:val="28"/>
              </w:rPr>
            </w:pPr>
            <w:r>
              <w:rPr>
                <w:rFonts w:hint="eastAsia" w:ascii="Times New Roman" w:hAnsi="Times New Roman" w:eastAsia="仿宋" w:cs="宋体"/>
                <w:color w:val="auto"/>
                <w:kern w:val="0"/>
                <w:sz w:val="28"/>
                <w:szCs w:val="28"/>
              </w:rPr>
              <w:t>普通高中</w:t>
            </w:r>
          </w:p>
        </w:tc>
        <w:tc>
          <w:tcPr>
            <w:tcW w:w="1812" w:type="dxa"/>
            <w:tcBorders>
              <w:top w:val="single" w:color="000000" w:sz="4" w:space="0"/>
              <w:left w:val="nil"/>
              <w:bottom w:val="single" w:color="000000" w:sz="4" w:space="0"/>
              <w:right w:val="single" w:color="000000" w:sz="4" w:space="0"/>
            </w:tcBorders>
            <w:vAlign w:val="center"/>
          </w:tcPr>
          <w:p w14:paraId="6578DB45">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rPr>
                <w:rFonts w:hint="default" w:ascii="Times New Roman" w:hAnsi="Times New Roman" w:eastAsia="仿宋" w:cs="宋体"/>
                <w:color w:val="auto"/>
                <w:kern w:val="0"/>
                <w:sz w:val="28"/>
                <w:szCs w:val="28"/>
                <w:lang w:val="en-US" w:eastAsia="zh-CN"/>
              </w:rPr>
            </w:pPr>
            <w:r>
              <w:rPr>
                <w:rFonts w:hint="eastAsia" w:ascii="Times New Roman" w:hAnsi="Times New Roman" w:eastAsia="仿宋" w:cs="宋体"/>
                <w:color w:val="auto"/>
                <w:kern w:val="0"/>
                <w:sz w:val="28"/>
                <w:szCs w:val="28"/>
                <w:lang w:val="en-US" w:eastAsia="zh-CN"/>
              </w:rPr>
              <w:t>987</w:t>
            </w:r>
          </w:p>
        </w:tc>
        <w:tc>
          <w:tcPr>
            <w:tcW w:w="2131" w:type="dxa"/>
            <w:tcBorders>
              <w:top w:val="single" w:color="000000" w:sz="4" w:space="0"/>
              <w:left w:val="nil"/>
              <w:bottom w:val="single" w:color="000000" w:sz="4" w:space="0"/>
              <w:right w:val="single" w:color="000000" w:sz="4" w:space="0"/>
            </w:tcBorders>
            <w:vAlign w:val="center"/>
          </w:tcPr>
          <w:p w14:paraId="67A2C5FB">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rPr>
                <w:rFonts w:hint="default" w:ascii="Times New Roman" w:hAnsi="Times New Roman" w:eastAsia="仿宋" w:cs="宋体"/>
                <w:color w:val="auto"/>
                <w:kern w:val="0"/>
                <w:sz w:val="28"/>
                <w:szCs w:val="28"/>
                <w:lang w:val="en-US" w:eastAsia="zh-CN"/>
              </w:rPr>
            </w:pPr>
            <w:r>
              <w:rPr>
                <w:rFonts w:hint="eastAsia" w:ascii="Times New Roman" w:hAnsi="Times New Roman" w:eastAsia="仿宋" w:cs="宋体"/>
                <w:color w:val="auto"/>
                <w:kern w:val="0"/>
                <w:sz w:val="28"/>
                <w:szCs w:val="28"/>
                <w:lang w:val="en-US" w:eastAsia="zh-CN"/>
              </w:rPr>
              <w:t>2724</w:t>
            </w:r>
          </w:p>
        </w:tc>
        <w:tc>
          <w:tcPr>
            <w:tcW w:w="2131" w:type="dxa"/>
            <w:tcBorders>
              <w:top w:val="single" w:color="000000" w:sz="4" w:space="0"/>
              <w:left w:val="nil"/>
              <w:bottom w:val="single" w:color="000000" w:sz="4" w:space="0"/>
              <w:right w:val="single" w:color="000000" w:sz="4" w:space="0"/>
            </w:tcBorders>
            <w:vAlign w:val="center"/>
          </w:tcPr>
          <w:p w14:paraId="2551B425">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rPr>
                <w:rFonts w:hint="default" w:ascii="Times New Roman" w:hAnsi="Times New Roman" w:eastAsia="仿宋" w:cs="宋体"/>
                <w:color w:val="auto"/>
                <w:kern w:val="0"/>
                <w:sz w:val="28"/>
                <w:szCs w:val="28"/>
                <w:lang w:val="en-US" w:eastAsia="zh-CN"/>
              </w:rPr>
            </w:pPr>
            <w:r>
              <w:rPr>
                <w:rFonts w:hint="eastAsia" w:ascii="Times New Roman" w:hAnsi="Times New Roman" w:eastAsia="仿宋" w:cs="宋体"/>
                <w:color w:val="auto"/>
                <w:kern w:val="0"/>
                <w:sz w:val="28"/>
                <w:szCs w:val="28"/>
                <w:lang w:val="en-US" w:eastAsia="zh-CN"/>
              </w:rPr>
              <w:t>871</w:t>
            </w:r>
          </w:p>
        </w:tc>
      </w:tr>
      <w:tr w14:paraId="26EE79AE">
        <w:tblPrEx>
          <w:tblCellMar>
            <w:top w:w="0" w:type="dxa"/>
            <w:left w:w="108" w:type="dxa"/>
            <w:bottom w:w="0" w:type="dxa"/>
            <w:right w:w="108" w:type="dxa"/>
          </w:tblCellMar>
        </w:tblPrEx>
        <w:tc>
          <w:tcPr>
            <w:tcW w:w="2312" w:type="dxa"/>
            <w:tcBorders>
              <w:top w:val="single" w:color="000000" w:sz="4" w:space="0"/>
              <w:left w:val="single" w:color="000000" w:sz="4" w:space="0"/>
              <w:bottom w:val="single" w:color="000000" w:sz="4" w:space="0"/>
              <w:right w:val="single" w:color="000000" w:sz="4" w:space="0"/>
            </w:tcBorders>
            <w:vAlign w:val="center"/>
          </w:tcPr>
          <w:p w14:paraId="7066680A">
            <w:pPr>
              <w:keepNext w:val="0"/>
              <w:keepLines w:val="0"/>
              <w:pageBreakBefore w:val="0"/>
              <w:widowControl/>
              <w:kinsoku/>
              <w:wordWrap/>
              <w:overflowPunct/>
              <w:topLinePunct w:val="0"/>
              <w:autoSpaceDE/>
              <w:autoSpaceDN/>
              <w:bidi w:val="0"/>
              <w:adjustRightInd/>
              <w:snapToGrid/>
              <w:spacing w:line="560" w:lineRule="exact"/>
              <w:ind w:firstLine="50" w:firstLineChars="18"/>
              <w:jc w:val="left"/>
              <w:rPr>
                <w:rFonts w:ascii="Times New Roman" w:hAnsi="Times New Roman" w:eastAsia="仿宋" w:cs="宋体"/>
                <w:color w:val="auto"/>
                <w:kern w:val="0"/>
                <w:sz w:val="28"/>
                <w:szCs w:val="28"/>
              </w:rPr>
            </w:pPr>
            <w:r>
              <w:rPr>
                <w:rFonts w:hint="eastAsia" w:ascii="Times New Roman" w:hAnsi="Times New Roman" w:eastAsia="仿宋" w:cs="宋体"/>
                <w:color w:val="auto"/>
                <w:kern w:val="0"/>
                <w:sz w:val="28"/>
                <w:szCs w:val="28"/>
              </w:rPr>
              <w:t>初中学校</w:t>
            </w:r>
          </w:p>
        </w:tc>
        <w:tc>
          <w:tcPr>
            <w:tcW w:w="1812" w:type="dxa"/>
            <w:tcBorders>
              <w:top w:val="single" w:color="000000" w:sz="4" w:space="0"/>
              <w:left w:val="nil"/>
              <w:bottom w:val="single" w:color="000000" w:sz="4" w:space="0"/>
              <w:right w:val="single" w:color="000000" w:sz="4" w:space="0"/>
            </w:tcBorders>
            <w:vAlign w:val="center"/>
          </w:tcPr>
          <w:p w14:paraId="3D8C2CD9">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rPr>
                <w:rFonts w:hint="default" w:ascii="Times New Roman" w:hAnsi="Times New Roman" w:eastAsia="仿宋" w:cs="宋体"/>
                <w:color w:val="auto"/>
                <w:kern w:val="0"/>
                <w:sz w:val="28"/>
                <w:szCs w:val="28"/>
                <w:lang w:val="en-US" w:eastAsia="zh-CN"/>
              </w:rPr>
            </w:pPr>
            <w:r>
              <w:rPr>
                <w:rFonts w:hint="eastAsia" w:ascii="Times New Roman" w:hAnsi="Times New Roman" w:eastAsia="仿宋" w:cs="宋体"/>
                <w:color w:val="auto"/>
                <w:kern w:val="0"/>
                <w:sz w:val="28"/>
                <w:szCs w:val="28"/>
                <w:lang w:val="en-US" w:eastAsia="zh-CN"/>
              </w:rPr>
              <w:t>1903</w:t>
            </w:r>
          </w:p>
        </w:tc>
        <w:tc>
          <w:tcPr>
            <w:tcW w:w="2131" w:type="dxa"/>
            <w:tcBorders>
              <w:top w:val="single" w:color="000000" w:sz="4" w:space="0"/>
              <w:left w:val="nil"/>
              <w:bottom w:val="single" w:color="000000" w:sz="4" w:space="0"/>
              <w:right w:val="single" w:color="000000" w:sz="4" w:space="0"/>
            </w:tcBorders>
            <w:vAlign w:val="center"/>
          </w:tcPr>
          <w:p w14:paraId="484F3692">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rPr>
                <w:rFonts w:hint="default" w:ascii="Times New Roman" w:hAnsi="Times New Roman" w:eastAsia="仿宋" w:cs="宋体"/>
                <w:color w:val="auto"/>
                <w:kern w:val="0"/>
                <w:sz w:val="28"/>
                <w:szCs w:val="28"/>
                <w:lang w:val="en-US" w:eastAsia="zh-CN"/>
              </w:rPr>
            </w:pPr>
            <w:r>
              <w:rPr>
                <w:rFonts w:hint="eastAsia" w:ascii="Times New Roman" w:hAnsi="Times New Roman" w:eastAsia="仿宋" w:cs="宋体"/>
                <w:color w:val="auto"/>
                <w:kern w:val="0"/>
                <w:sz w:val="28"/>
                <w:szCs w:val="28"/>
                <w:lang w:val="en-US" w:eastAsia="zh-CN"/>
              </w:rPr>
              <w:t>5846</w:t>
            </w:r>
          </w:p>
        </w:tc>
        <w:tc>
          <w:tcPr>
            <w:tcW w:w="2131" w:type="dxa"/>
            <w:tcBorders>
              <w:top w:val="single" w:color="000000" w:sz="4" w:space="0"/>
              <w:left w:val="nil"/>
              <w:bottom w:val="single" w:color="000000" w:sz="4" w:space="0"/>
              <w:right w:val="single" w:color="000000" w:sz="4" w:space="0"/>
            </w:tcBorders>
            <w:vAlign w:val="center"/>
          </w:tcPr>
          <w:p w14:paraId="522EE2D1">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rPr>
                <w:rFonts w:hint="default" w:ascii="Times New Roman" w:hAnsi="Times New Roman" w:eastAsia="仿宋" w:cs="宋体"/>
                <w:color w:val="auto"/>
                <w:kern w:val="0"/>
                <w:sz w:val="28"/>
                <w:szCs w:val="28"/>
                <w:lang w:val="en-US" w:eastAsia="zh-CN"/>
              </w:rPr>
            </w:pPr>
            <w:r>
              <w:rPr>
                <w:rFonts w:hint="eastAsia" w:ascii="Times New Roman" w:hAnsi="Times New Roman" w:eastAsia="仿宋" w:cs="宋体"/>
                <w:color w:val="auto"/>
                <w:kern w:val="0"/>
                <w:sz w:val="28"/>
                <w:szCs w:val="28"/>
                <w:lang w:val="en-US" w:eastAsia="zh-CN"/>
              </w:rPr>
              <w:t>1823</w:t>
            </w:r>
          </w:p>
        </w:tc>
      </w:tr>
      <w:tr w14:paraId="4456BDAB">
        <w:tblPrEx>
          <w:tblCellMar>
            <w:top w:w="0" w:type="dxa"/>
            <w:left w:w="108" w:type="dxa"/>
            <w:bottom w:w="0" w:type="dxa"/>
            <w:right w:w="108" w:type="dxa"/>
          </w:tblCellMar>
        </w:tblPrEx>
        <w:tc>
          <w:tcPr>
            <w:tcW w:w="2312" w:type="dxa"/>
            <w:tcBorders>
              <w:top w:val="single" w:color="000000" w:sz="4" w:space="0"/>
              <w:left w:val="single" w:color="000000" w:sz="4" w:space="0"/>
              <w:bottom w:val="single" w:color="000000" w:sz="4" w:space="0"/>
              <w:right w:val="single" w:color="000000" w:sz="4" w:space="0"/>
            </w:tcBorders>
            <w:vAlign w:val="center"/>
          </w:tcPr>
          <w:p w14:paraId="50F56A7B">
            <w:pPr>
              <w:keepNext w:val="0"/>
              <w:keepLines w:val="0"/>
              <w:pageBreakBefore w:val="0"/>
              <w:widowControl/>
              <w:kinsoku/>
              <w:wordWrap/>
              <w:overflowPunct/>
              <w:topLinePunct w:val="0"/>
              <w:autoSpaceDE/>
              <w:autoSpaceDN/>
              <w:bidi w:val="0"/>
              <w:adjustRightInd/>
              <w:snapToGrid/>
              <w:spacing w:line="560" w:lineRule="exact"/>
              <w:ind w:firstLine="50" w:firstLineChars="18"/>
              <w:jc w:val="left"/>
              <w:rPr>
                <w:rFonts w:ascii="Times New Roman" w:hAnsi="Times New Roman" w:eastAsia="仿宋" w:cs="宋体"/>
                <w:color w:val="auto"/>
                <w:kern w:val="0"/>
                <w:sz w:val="28"/>
                <w:szCs w:val="28"/>
              </w:rPr>
            </w:pPr>
            <w:r>
              <w:rPr>
                <w:rFonts w:hint="eastAsia" w:ascii="Times New Roman" w:hAnsi="Times New Roman" w:eastAsia="仿宋" w:cs="宋体"/>
                <w:color w:val="auto"/>
                <w:kern w:val="0"/>
                <w:sz w:val="28"/>
                <w:szCs w:val="28"/>
              </w:rPr>
              <w:t>普通小学</w:t>
            </w:r>
          </w:p>
        </w:tc>
        <w:tc>
          <w:tcPr>
            <w:tcW w:w="1812" w:type="dxa"/>
            <w:tcBorders>
              <w:top w:val="single" w:color="000000" w:sz="4" w:space="0"/>
              <w:left w:val="nil"/>
              <w:bottom w:val="single" w:color="000000" w:sz="4" w:space="0"/>
              <w:right w:val="single" w:color="000000" w:sz="4" w:space="0"/>
            </w:tcBorders>
            <w:vAlign w:val="center"/>
          </w:tcPr>
          <w:p w14:paraId="60E4728D">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rPr>
                <w:rFonts w:hint="default" w:ascii="Times New Roman" w:hAnsi="Times New Roman" w:eastAsia="仿宋" w:cs="宋体"/>
                <w:color w:val="auto"/>
                <w:kern w:val="0"/>
                <w:sz w:val="28"/>
                <w:szCs w:val="28"/>
                <w:lang w:val="en-US" w:eastAsia="zh-CN"/>
              </w:rPr>
            </w:pPr>
            <w:r>
              <w:rPr>
                <w:rFonts w:hint="eastAsia" w:ascii="Times New Roman" w:hAnsi="Times New Roman" w:eastAsia="仿宋" w:cs="宋体"/>
                <w:color w:val="auto"/>
                <w:kern w:val="0"/>
                <w:sz w:val="28"/>
                <w:szCs w:val="28"/>
                <w:lang w:val="en-US" w:eastAsia="zh-CN"/>
              </w:rPr>
              <w:t>1038</w:t>
            </w:r>
          </w:p>
        </w:tc>
        <w:tc>
          <w:tcPr>
            <w:tcW w:w="2131" w:type="dxa"/>
            <w:tcBorders>
              <w:top w:val="single" w:color="000000" w:sz="4" w:space="0"/>
              <w:left w:val="nil"/>
              <w:bottom w:val="single" w:color="000000" w:sz="4" w:space="0"/>
              <w:right w:val="single" w:color="000000" w:sz="4" w:space="0"/>
            </w:tcBorders>
            <w:vAlign w:val="center"/>
          </w:tcPr>
          <w:p w14:paraId="5D000D7F">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rPr>
                <w:rFonts w:hint="default" w:ascii="Times New Roman" w:hAnsi="Times New Roman" w:eastAsia="仿宋" w:cs="宋体"/>
                <w:color w:val="auto"/>
                <w:kern w:val="0"/>
                <w:sz w:val="28"/>
                <w:szCs w:val="28"/>
                <w:lang w:val="en-US" w:eastAsia="zh-CN"/>
              </w:rPr>
            </w:pPr>
            <w:r>
              <w:rPr>
                <w:rFonts w:hint="eastAsia" w:ascii="Times New Roman" w:hAnsi="Times New Roman" w:eastAsia="仿宋" w:cs="宋体"/>
                <w:color w:val="auto"/>
                <w:kern w:val="0"/>
                <w:sz w:val="28"/>
                <w:szCs w:val="28"/>
                <w:lang w:val="en-US" w:eastAsia="zh-CN"/>
              </w:rPr>
              <w:t>7531</w:t>
            </w:r>
          </w:p>
        </w:tc>
        <w:tc>
          <w:tcPr>
            <w:tcW w:w="2131" w:type="dxa"/>
            <w:tcBorders>
              <w:top w:val="single" w:color="000000" w:sz="4" w:space="0"/>
              <w:left w:val="nil"/>
              <w:bottom w:val="single" w:color="000000" w:sz="4" w:space="0"/>
              <w:right w:val="single" w:color="000000" w:sz="4" w:space="0"/>
            </w:tcBorders>
            <w:vAlign w:val="center"/>
          </w:tcPr>
          <w:p w14:paraId="51E6EB15">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rPr>
                <w:rFonts w:hint="default" w:ascii="Times New Roman" w:hAnsi="Times New Roman" w:eastAsia="仿宋" w:cs="宋体"/>
                <w:color w:val="auto"/>
                <w:kern w:val="0"/>
                <w:sz w:val="28"/>
                <w:szCs w:val="28"/>
                <w:lang w:val="en-US" w:eastAsia="zh-CN"/>
              </w:rPr>
            </w:pPr>
            <w:r>
              <w:rPr>
                <w:rFonts w:hint="eastAsia" w:ascii="Times New Roman" w:hAnsi="Times New Roman" w:eastAsia="仿宋" w:cs="宋体"/>
                <w:color w:val="auto"/>
                <w:kern w:val="0"/>
                <w:sz w:val="28"/>
                <w:szCs w:val="28"/>
                <w:lang w:val="en-US" w:eastAsia="zh-CN"/>
              </w:rPr>
              <w:t>1373</w:t>
            </w:r>
          </w:p>
        </w:tc>
      </w:tr>
    </w:tbl>
    <w:p w14:paraId="28828F72">
      <w:pPr>
        <w:pStyle w:val="7"/>
        <w:keepNext w:val="0"/>
        <w:keepLines w:val="0"/>
        <w:pageBreakBefore w:val="0"/>
        <w:widowControl/>
        <w:kinsoku/>
        <w:wordWrap/>
        <w:overflowPunct/>
        <w:topLinePunct w:val="0"/>
        <w:autoSpaceDE/>
        <w:autoSpaceDN/>
        <w:bidi w:val="0"/>
        <w:adjustRightInd/>
        <w:snapToGrid/>
        <w:spacing w:line="560" w:lineRule="exact"/>
        <w:ind w:firstLine="643" w:firstLineChars="200"/>
        <w:jc w:val="both"/>
        <w:rPr>
          <w:rFonts w:hint="eastAsia" w:ascii="Times New Roman" w:hAnsi="Times New Roman" w:eastAsia="黑体" w:cs="黑体"/>
          <w:b/>
          <w:color w:val="000000" w:themeColor="text1"/>
          <w:sz w:val="32"/>
          <w:szCs w:val="32"/>
          <w:lang w:val="en-US" w:eastAsia="zh-CN"/>
          <w14:textFill>
            <w14:solidFill>
              <w14:schemeClr w14:val="tx1"/>
            </w14:solidFill>
          </w14:textFill>
        </w:rPr>
      </w:pPr>
      <w:r>
        <w:rPr>
          <w:rFonts w:hint="eastAsia" w:ascii="Times New Roman" w:hAnsi="Times New Roman" w:eastAsia="黑体" w:cs="黑体"/>
          <w:b/>
          <w:color w:val="000000" w:themeColor="text1"/>
          <w:sz w:val="32"/>
          <w:szCs w:val="32"/>
          <w:lang w:val="en-US" w:eastAsia="zh-CN"/>
          <w14:textFill>
            <w14:solidFill>
              <w14:schemeClr w14:val="tx1"/>
            </w14:solidFill>
          </w14:textFill>
        </w:rPr>
        <w:t>十、文化旅游、卫生健康和体育</w:t>
      </w:r>
    </w:p>
    <w:p w14:paraId="50AE133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共有各类艺术表演团体53个，文化馆1个，图书馆2个，各街道办事处文化站9个、村（社区）文化中心48个。国家级非物质文化遗产项目（常家武虎、小尚虎舞）2项，省级非物质文化遗产保护项目（白猿通背拳、东冯封文武高跷、李封天目瓷烧制技艺、造店查拳、小尚炮捶）5项，市级非物质文化遗产保护项目10项；全国重点文物保护单位（府城遗址、许衡墓）2处，省级文物保护单位（靳德茂墓、北朱村民居、张昺墓含张昺祠、太行区第四专区及焦作市党政军机关旧址、府城王家祠堂）5处，省保附属建筑（英福公司李封矿矿师办公室旧址、王封矿发电机房）2处，市级文物保护单位38处。</w:t>
      </w:r>
    </w:p>
    <w:p w14:paraId="7E90572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共有卫生机构83个，其中：医院、卫生院10个（二级医疗机构1家、一级医疗机构2家，社区卫生服务中心7家）。医院、卫生院病床668张，卫生技术人员789人（含医师和护士），其中：执业医师和执业助理医师377人，注册护士412人。疾病预防控制中心（卫生监督所）25个，其中卫生技术人员11人（含医师和护士）。爱国卫生促进中心（妇幼保健服务中心）1个，其中卫生技术人员5人（含医师和护士）。</w:t>
      </w:r>
    </w:p>
    <w:p w14:paraId="561BC19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共开展经常性群众文化活动280余次，开展经常性群众文体活动50余次。全区所有的行政村、社区已实现了体育健身工程的全覆盖，新建多功能篮球场2块，为村（社区）更换健身路径11套，安装智能室外器材3套。</w:t>
      </w:r>
    </w:p>
    <w:p w14:paraId="0A58F9F2">
      <w:pPr>
        <w:pStyle w:val="7"/>
        <w:keepNext w:val="0"/>
        <w:keepLines w:val="0"/>
        <w:pageBreakBefore w:val="0"/>
        <w:widowControl/>
        <w:kinsoku/>
        <w:wordWrap/>
        <w:overflowPunct/>
        <w:topLinePunct w:val="0"/>
        <w:autoSpaceDE/>
        <w:autoSpaceDN/>
        <w:bidi w:val="0"/>
        <w:adjustRightInd/>
        <w:snapToGrid/>
        <w:spacing w:line="560" w:lineRule="exact"/>
        <w:ind w:firstLine="643" w:firstLineChars="200"/>
        <w:jc w:val="both"/>
        <w:rPr>
          <w:rFonts w:hint="default" w:ascii="Times New Roman" w:hAnsi="Times New Roman" w:eastAsia="黑体" w:cs="黑体"/>
          <w:b/>
          <w:color w:val="auto"/>
          <w:sz w:val="32"/>
          <w:szCs w:val="32"/>
          <w:lang w:val="en-US" w:eastAsia="zh-CN"/>
        </w:rPr>
      </w:pPr>
      <w:r>
        <w:rPr>
          <w:rFonts w:hint="eastAsia" w:ascii="Times New Roman" w:hAnsi="Times New Roman" w:eastAsia="黑体" w:cs="黑体"/>
          <w:b/>
          <w:color w:val="auto"/>
          <w:sz w:val="32"/>
          <w:szCs w:val="32"/>
          <w:lang w:val="en-US" w:eastAsia="zh-CN"/>
        </w:rPr>
        <w:t>十一、交通、资源和环境</w:t>
      </w:r>
    </w:p>
    <w:p w14:paraId="183215B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全年末全区公路通车总里程169.735公里，其中干线公路总里程41.795公里，高速公路总里程22公里，农村公路总里程105.94公里。全区行政村村村通油路或水泥路105.94公里。</w:t>
      </w:r>
    </w:p>
    <w:p w14:paraId="22FBDF7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全年全区全社会能耗总量204.4万吨标准煤，比上年下降3.4%，万元GDP能耗降低率为-9.6%。全年全区规模以上工业综合能源消费量比上年下降4.3%，规模以上工业单位增加值能耗下降12.1%。</w:t>
      </w:r>
    </w:p>
    <w:p w14:paraId="1B4BFAD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全年全区PM10年均浓度为63微克/立方米，同比下降11.2%；PM2.5年均浓度为40微克/立方米，同比下降11.4%；优良天数为260天，同比上升6.1%，</w:t>
      </w: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同比去年增加</w:t>
      </w: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15</w:t>
      </w:r>
      <w:r>
        <w:rPr>
          <w:rFonts w:hint="default" w:ascii="Times New Roman" w:hAnsi="Times New Roman" w:eastAsia="仿宋" w:cs="仿宋"/>
          <w:color w:val="000000" w:themeColor="text1"/>
          <w:kern w:val="2"/>
          <w:sz w:val="32"/>
          <w:szCs w:val="32"/>
          <w:lang w:val="en-US" w:eastAsia="zh-CN" w:bidi="ar-SA"/>
          <w14:textFill>
            <w14:solidFill>
              <w14:schemeClr w14:val="tx1"/>
            </w14:solidFill>
          </w14:textFill>
        </w:rPr>
        <w:t>天</w:t>
      </w: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;重度及以上污染天数为1天，同比下降85.7%。</w:t>
      </w:r>
    </w:p>
    <w:p w14:paraId="3BB4B47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仿宋"/>
          <w:color w:val="000000" w:themeColor="text1"/>
          <w:kern w:val="2"/>
          <w:sz w:val="32"/>
          <w:szCs w:val="32"/>
          <w:lang w:val="en-US" w:eastAsia="zh-CN" w:bidi="ar-SA"/>
          <w14:textFill>
            <w14:solidFill>
              <w14:schemeClr w14:val="tx1"/>
            </w14:solidFill>
          </w14:textFill>
        </w:rPr>
        <w:t>全年全区完成造林面积133公顷，其中人工造林面积133公顷，均为飞播造林。全区参加义务植树0.02万余人次，完成义务植树0.11万余株。年末共有国家级自然保护区1个，省级森林公园2个。</w:t>
      </w:r>
    </w:p>
    <w:p w14:paraId="2CAFF7BE">
      <w:pPr>
        <w:pStyle w:val="7"/>
        <w:keepNext w:val="0"/>
        <w:keepLines w:val="0"/>
        <w:pageBreakBefore w:val="0"/>
        <w:widowControl/>
        <w:kinsoku/>
        <w:wordWrap/>
        <w:overflowPunct/>
        <w:topLinePunct w:val="0"/>
        <w:autoSpaceDE/>
        <w:autoSpaceDN/>
        <w:bidi w:val="0"/>
        <w:adjustRightInd/>
        <w:snapToGrid/>
        <w:spacing w:line="560" w:lineRule="exact"/>
        <w:ind w:firstLine="643" w:firstLineChars="200"/>
        <w:jc w:val="both"/>
        <w:rPr>
          <w:rFonts w:ascii="Times New Roman" w:hAnsi="Times New Roman" w:eastAsia="仿宋" w:cs="仿宋"/>
          <w:color w:val="000000" w:themeColor="text1"/>
          <w:sz w:val="32"/>
          <w:szCs w:val="32"/>
          <w14:textFill>
            <w14:solidFill>
              <w14:schemeClr w14:val="tx1"/>
            </w14:solidFill>
          </w14:textFill>
        </w:rPr>
      </w:pPr>
      <w:r>
        <w:rPr>
          <w:rFonts w:hint="eastAsia" w:ascii="Times New Roman" w:hAnsi="Times New Roman" w:eastAsia="仿宋" w:cs="仿宋"/>
          <w:b/>
          <w:color w:val="000000" w:themeColor="text1"/>
          <w:sz w:val="32"/>
          <w:szCs w:val="32"/>
          <w14:textFill>
            <w14:solidFill>
              <w14:schemeClr w14:val="tx1"/>
            </w14:solidFill>
          </w14:textFill>
        </w:rPr>
        <w:t>注：</w:t>
      </w:r>
    </w:p>
    <w:p w14:paraId="5BDFABAA">
      <w:pPr>
        <w:pStyle w:val="7"/>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both"/>
        <w:rPr>
          <w:rFonts w:hint="eastAsia" w:ascii="Times New Roman" w:hAnsi="Times New Roman" w:eastAsia="仿宋" w:cs="仿宋"/>
          <w:color w:val="000000" w:themeColor="text1"/>
          <w:sz w:val="24"/>
          <w:szCs w:val="24"/>
          <w:lang w:val="en-US" w:eastAsia="zh-CN"/>
          <w14:textFill>
            <w14:solidFill>
              <w14:schemeClr w14:val="tx1"/>
            </w14:solidFill>
          </w14:textFill>
        </w:rPr>
      </w:pPr>
      <w:r>
        <w:rPr>
          <w:rFonts w:hint="eastAsia" w:ascii="Times New Roman" w:hAnsi="Times New Roman" w:eastAsia="仿宋" w:cs="仿宋"/>
          <w:color w:val="000000" w:themeColor="text1"/>
          <w:sz w:val="24"/>
          <w:szCs w:val="24"/>
          <w:lang w:val="en-US" w:eastAsia="zh-CN"/>
          <w14:textFill>
            <w14:solidFill>
              <w14:schemeClr w14:val="tx1"/>
            </w14:solidFill>
          </w14:textFill>
        </w:rPr>
        <w:t>1.本公报2025年数据为初步统计结果。部分数据因四舍五入的原因，存在总计与分项合计不等的情况。</w:t>
      </w:r>
    </w:p>
    <w:p w14:paraId="0EDAECC0">
      <w:pPr>
        <w:pStyle w:val="7"/>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both"/>
        <w:rPr>
          <w:rFonts w:hint="eastAsia" w:ascii="Times New Roman" w:hAnsi="Times New Roman" w:eastAsia="仿宋" w:cs="仿宋"/>
          <w:color w:val="000000" w:themeColor="text1"/>
          <w:sz w:val="24"/>
          <w:szCs w:val="24"/>
          <w:lang w:val="en-US" w:eastAsia="zh-CN"/>
          <w14:textFill>
            <w14:solidFill>
              <w14:schemeClr w14:val="tx1"/>
            </w14:solidFill>
          </w14:textFill>
        </w:rPr>
      </w:pPr>
      <w:r>
        <w:rPr>
          <w:rFonts w:hint="eastAsia" w:ascii="Times New Roman" w:hAnsi="Times New Roman" w:eastAsia="仿宋" w:cs="仿宋"/>
          <w:color w:val="000000" w:themeColor="text1"/>
          <w:sz w:val="24"/>
          <w:szCs w:val="24"/>
          <w:lang w:val="en-US" w:eastAsia="zh-CN"/>
          <w14:textFill>
            <w14:solidFill>
              <w14:schemeClr w14:val="tx1"/>
            </w14:solidFill>
          </w14:textFill>
        </w:rPr>
        <w:t>2.生产总值、各产业增加值绝对数按现价计算，增长速度按不变价格计算。根据我国国民经济核算制度和第五次全国经济普查结果，2024年全区地区生产总值修订为165.8亿元，比上年增长5.3%，三次产业结构为0.3:64.6:35.1，并对历史数据进行了修订。</w:t>
      </w:r>
    </w:p>
    <w:p w14:paraId="2BADF7DE">
      <w:pPr>
        <w:pStyle w:val="7"/>
        <w:keepNext w:val="0"/>
        <w:keepLines w:val="0"/>
        <w:pageBreakBefore w:val="0"/>
        <w:widowControl/>
        <w:kinsoku/>
        <w:wordWrap/>
        <w:overflowPunct/>
        <w:topLinePunct w:val="0"/>
        <w:autoSpaceDE/>
        <w:autoSpaceDN/>
        <w:bidi w:val="0"/>
        <w:adjustRightInd/>
        <w:snapToGrid/>
        <w:spacing w:line="560" w:lineRule="exact"/>
        <w:ind w:firstLine="480" w:firstLineChars="200"/>
        <w:jc w:val="both"/>
        <w:rPr>
          <w:rFonts w:hint="eastAsia" w:ascii="Times New Roman" w:hAnsi="Times New Roman" w:eastAsia="仿宋" w:cs="仿宋"/>
          <w:color w:val="000000" w:themeColor="text1"/>
          <w:sz w:val="24"/>
          <w:szCs w:val="24"/>
          <w:lang w:val="en-US" w:eastAsia="zh-CN"/>
          <w14:textFill>
            <w14:solidFill>
              <w14:schemeClr w14:val="tx1"/>
            </w14:solidFill>
          </w14:textFill>
        </w:rPr>
      </w:pPr>
      <w:r>
        <w:rPr>
          <w:rFonts w:hint="eastAsia" w:ascii="Times New Roman" w:hAnsi="Times New Roman" w:eastAsia="仿宋" w:cs="仿宋"/>
          <w:color w:val="000000" w:themeColor="text1"/>
          <w:sz w:val="24"/>
          <w:szCs w:val="24"/>
          <w:lang w:val="en-US" w:eastAsia="zh-CN"/>
          <w14:textFill>
            <w14:solidFill>
              <w14:schemeClr w14:val="tx1"/>
            </w14:solidFill>
          </w14:textFill>
        </w:rPr>
        <w:t>3.三次产业分类依据国家统计局2018年修订的《三次产业划分规定》，第一产业是指农、林、牧、渔业（不含农、林、牧、渔专业及辅助性活动）；第二产业是指采矿业（不含开采专业及辅助性活动），制造业（不含金属制品、机械和设备修理业），电力、热力、燃气及水生产和供应业，建筑业；第三产业即服务业，是指除第一产业、第二产业以外的其他行业（剔除国际组织）。</w:t>
      </w:r>
    </w:p>
    <w:p w14:paraId="74C30E5F">
      <w:pPr>
        <w:pStyle w:val="7"/>
        <w:keepNext w:val="0"/>
        <w:keepLines w:val="0"/>
        <w:pageBreakBefore w:val="0"/>
        <w:widowControl/>
        <w:kinsoku/>
        <w:wordWrap/>
        <w:overflowPunct/>
        <w:topLinePunct w:val="0"/>
        <w:autoSpaceDE/>
        <w:autoSpaceDN/>
        <w:bidi w:val="0"/>
        <w:adjustRightInd/>
        <w:snapToGrid/>
        <w:spacing w:line="560" w:lineRule="exact"/>
        <w:ind w:firstLine="480" w:firstLineChars="200"/>
        <w:jc w:val="both"/>
        <w:rPr>
          <w:rFonts w:hint="eastAsia" w:ascii="Times New Roman" w:hAnsi="Times New Roman" w:eastAsia="仿宋" w:cs="仿宋"/>
          <w:color w:val="000000" w:themeColor="text1"/>
          <w:sz w:val="24"/>
          <w:szCs w:val="24"/>
          <w:lang w:val="en-US" w:eastAsia="zh-CN"/>
          <w14:textFill>
            <w14:solidFill>
              <w14:schemeClr w14:val="tx1"/>
            </w14:solidFill>
          </w14:textFill>
        </w:rPr>
      </w:pPr>
      <w:r>
        <w:rPr>
          <w:rFonts w:hint="eastAsia" w:ascii="Times New Roman" w:hAnsi="Times New Roman" w:eastAsia="仿宋" w:cs="仿宋"/>
          <w:color w:val="000000" w:themeColor="text1"/>
          <w:sz w:val="24"/>
          <w:szCs w:val="24"/>
          <w:lang w:val="en-US" w:eastAsia="zh-CN"/>
          <w14:textFill>
            <w14:solidFill>
              <w14:schemeClr w14:val="tx1"/>
            </w14:solidFill>
          </w14:textFill>
        </w:rPr>
        <w:t>4.工业战略性新兴产业根据国务院第五次全国经济普查领导小组办公室印发的《工业战略性新兴产业分类目录（2023）》确定。</w:t>
      </w:r>
    </w:p>
    <w:p w14:paraId="5A93FB5A">
      <w:pPr>
        <w:pStyle w:val="7"/>
        <w:keepNext w:val="0"/>
        <w:keepLines w:val="0"/>
        <w:pageBreakBefore w:val="0"/>
        <w:widowControl/>
        <w:kinsoku/>
        <w:wordWrap/>
        <w:overflowPunct/>
        <w:topLinePunct w:val="0"/>
        <w:autoSpaceDE/>
        <w:autoSpaceDN/>
        <w:bidi w:val="0"/>
        <w:adjustRightInd/>
        <w:snapToGrid/>
        <w:spacing w:line="560" w:lineRule="exact"/>
        <w:ind w:firstLine="480" w:firstLineChars="200"/>
        <w:jc w:val="both"/>
        <w:rPr>
          <w:rFonts w:hint="default" w:ascii="Times New Roman" w:hAnsi="Times New Roman" w:eastAsia="仿宋" w:cs="仿宋"/>
          <w:color w:val="000000" w:themeColor="text1"/>
          <w:sz w:val="24"/>
          <w:szCs w:val="24"/>
          <w:lang w:val="en-US" w:eastAsia="zh-CN"/>
          <w14:textFill>
            <w14:solidFill>
              <w14:schemeClr w14:val="tx1"/>
            </w14:solidFill>
          </w14:textFill>
        </w:rPr>
      </w:pPr>
      <w:r>
        <w:rPr>
          <w:rFonts w:hint="eastAsia" w:ascii="Times New Roman" w:hAnsi="Times New Roman" w:eastAsia="仿宋" w:cs="仿宋"/>
          <w:color w:val="000000" w:themeColor="text1"/>
          <w:sz w:val="24"/>
          <w:szCs w:val="24"/>
          <w:lang w:val="en-US" w:eastAsia="zh-CN"/>
          <w14:textFill>
            <w14:solidFill>
              <w14:schemeClr w14:val="tx1"/>
            </w14:solidFill>
          </w14:textFill>
        </w:rPr>
        <w:t>5.根据“当城镇（农村）样本量不足50户时，不得公开发布城镇（农村）居民收支数据当全年全区居民”的制度规定，2025年，全区居民人均可支配收入、农村居民人均可支配收入、居民人均消费支出、农村居民人均消费支出数据为城区统一数据。</w:t>
      </w:r>
    </w:p>
    <w:p w14:paraId="1565CE56">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80" w:firstLineChars="200"/>
        <w:rPr>
          <w:rFonts w:hint="default" w:ascii="Times New Roman" w:hAnsi="Times New Roman" w:eastAsia="仿宋" w:cs="仿宋"/>
          <w:color w:val="FF0000"/>
          <w:sz w:val="24"/>
          <w:szCs w:val="24"/>
          <w:lang w:val="en-US" w:eastAsia="zh-CN"/>
        </w:rPr>
      </w:pPr>
      <w:r>
        <w:rPr>
          <w:rFonts w:hint="eastAsia" w:ascii="Times New Roman" w:hAnsi="Times New Roman" w:eastAsia="仿宋" w:cs="仿宋"/>
          <w:color w:val="auto"/>
          <w:kern w:val="0"/>
          <w:sz w:val="24"/>
          <w:szCs w:val="24"/>
          <w:lang w:val="en-US" w:eastAsia="zh-CN" w:bidi="ar-SA"/>
        </w:rPr>
        <w:t>6、资料来源：本公报中城乡最低生活保障标准、救助城乡低保障人员、发放城乡最低生活保障金额、救助城乡特困人员、发放特困救助供养金额、临时救助困难群众人员，发放救助金额、办理结婚登记和离婚登记情况等数据来自区民政局；一般公共预算收入金额，一般公共预算支出金额等数据来自区财政局；金融机构各项人民币存贷款余额、上市公司、新三板挂牌公司、保险保费收入和赔款支出等数据来自区金融工作局；造林面积、参加义务植树人次、义务植树株数、自然保护区、森林公园等数据来自区农业农村局；艺术表演团体、文化设施、文物保护单位、非物质文化遗产项目、群众文体活动场次、体育健身活动次数、体育健身工程覆盖实施情况等数据来自区文化广电和旅游局；各类学校招生、在校、毕业人数、资助学生人数和金额等数据来自区教育局；高新技术企业、国家科技型中小企业、工程技术研究中心数量、技术合同登记额、各类科技政策性资金等数据来自区科技局；城乡居民基本养老保险人数和参加失业保险人数等数据来自区人力资源和社会保障局；货物贸易进出口、实际使用外资等数据来自区商务局；参加基本医疗保险人数等数据来自区医疗保障局；公路通车里程、村村通油路或水泥路里程等数据来自区交通运输局；卫生机构、床位数等数据来自卫健委；PM10年均浓度、PM2.5年均浓度、优良天数等数据来自中站生态环境分局；其他数据来自区统计局。</w:t>
      </w:r>
    </w:p>
    <w:p w14:paraId="05652283">
      <w:pPr>
        <w:pStyle w:val="7"/>
        <w:keepNext w:val="0"/>
        <w:keepLines w:val="0"/>
        <w:pageBreakBefore w:val="0"/>
        <w:widowControl/>
        <w:kinsoku/>
        <w:wordWrap/>
        <w:overflowPunct/>
        <w:topLinePunct w:val="0"/>
        <w:autoSpaceDE/>
        <w:autoSpaceDN/>
        <w:bidi w:val="0"/>
        <w:adjustRightInd/>
        <w:snapToGrid/>
        <w:spacing w:line="560" w:lineRule="exact"/>
        <w:ind w:firstLine="480" w:firstLineChars="200"/>
        <w:jc w:val="both"/>
        <w:rPr>
          <w:rFonts w:hint="eastAsia" w:ascii="Times New Roman" w:hAnsi="Times New Roman" w:eastAsia="仿宋" w:cs="仿宋"/>
          <w:color w:val="000000" w:themeColor="text1"/>
          <w:sz w:val="24"/>
          <w:szCs w:val="24"/>
          <w14:textFill>
            <w14:solidFill>
              <w14:schemeClr w14:val="tx1"/>
            </w14:solidFill>
          </w14:textFill>
        </w:rPr>
      </w:pPr>
      <w:r>
        <w:rPr>
          <w:rFonts w:hint="eastAsia" w:ascii="Times New Roman" w:hAnsi="Times New Roman" w:eastAsia="仿宋" w:cs="仿宋"/>
          <w:color w:val="000000" w:themeColor="text1"/>
          <w:sz w:val="24"/>
          <w:szCs w:val="24"/>
          <w:lang w:val="en-US" w:eastAsia="zh-CN"/>
          <w14:textFill>
            <w14:solidFill>
              <w14:schemeClr w14:val="tx1"/>
            </w14:solidFill>
          </w14:textFill>
        </w:rPr>
        <w:t>7.</w:t>
      </w:r>
      <w:r>
        <w:rPr>
          <w:rFonts w:hint="eastAsia" w:ascii="Times New Roman" w:hAnsi="Times New Roman" w:eastAsia="仿宋" w:cs="仿宋"/>
          <w:color w:val="000000" w:themeColor="text1"/>
          <w:sz w:val="24"/>
          <w:szCs w:val="24"/>
          <w14:textFill>
            <w14:solidFill>
              <w14:schemeClr w14:val="tx1"/>
            </w14:solidFill>
          </w14:textFill>
        </w:rPr>
        <w:t>部分数据合计数或相对数由于单位取舍不同而产生的计算误差均未作机械调整。</w:t>
      </w:r>
    </w:p>
    <w:p w14:paraId="130A9339">
      <w:pPr>
        <w:keepNext w:val="0"/>
        <w:keepLines w:val="0"/>
        <w:pageBreakBefore w:val="0"/>
        <w:kinsoku/>
        <w:wordWrap/>
        <w:overflowPunct/>
        <w:topLinePunct w:val="0"/>
        <w:autoSpaceDE/>
        <w:autoSpaceDN/>
        <w:bidi w:val="0"/>
        <w:adjustRightInd/>
        <w:snapToGrid/>
        <w:spacing w:line="560" w:lineRule="exact"/>
        <w:rPr>
          <w:rFonts w:ascii="Times New Roman" w:hAnsi="Times New Roman" w:eastAsia="仿宋" w:cs="仿宋"/>
          <w:color w:val="FF0000"/>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0016"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1C02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9D4264">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8bSus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IoSxy0O/PLzx+XXn8vv72SZ&#10;5ekD1Jh1HzAvDe/8gEsz+wGdmfWgos1f5EMwjuKer+LKIRGRH61X63WFIYGx+YL47OF5iJDeS29J&#10;NhoacXpFVH76CGlMnVNyNefvtDFlgsb940DM7GG597HHbKVhP0yE9r49I58eB99Qh3tOifngUNe8&#10;I7MRZ2M/G8cQ9aErS5TrQbg9Jmyi9JYrjLBTYZxYYTdtV16Jx/eS9fBHb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fG0rrIAQAAmQMAAA4AAAAAAAAAAQAgAAAAHgEAAGRycy9lMm9Eb2Mu&#10;eG1sUEsFBgAAAAAGAAYAWQEAAFgFAAAAAA==&#10;">
              <v:fill on="f" focussize="0,0"/>
              <v:stroke on="f"/>
              <v:imagedata o:title=""/>
              <o:lock v:ext="edit" aspectratio="f"/>
              <v:textbox inset="0mm,0mm,0mm,0mm" style="mso-fit-shape-to-text:t;">
                <w:txbxContent>
                  <w:p w14:paraId="1E9D4264">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5ZTRhNjViZThkODMyNjFmNDQzNjZiZTVmYWI3NWYifQ=="/>
  </w:docVars>
  <w:rsids>
    <w:rsidRoot w:val="75D32B1E"/>
    <w:rsid w:val="00041EA3"/>
    <w:rsid w:val="000428E6"/>
    <w:rsid w:val="00082B3C"/>
    <w:rsid w:val="000859DA"/>
    <w:rsid w:val="000969AD"/>
    <w:rsid w:val="001A1DAE"/>
    <w:rsid w:val="001F7F7E"/>
    <w:rsid w:val="00201C1E"/>
    <w:rsid w:val="0024464A"/>
    <w:rsid w:val="00272F20"/>
    <w:rsid w:val="002E6413"/>
    <w:rsid w:val="003549D6"/>
    <w:rsid w:val="00385B80"/>
    <w:rsid w:val="003C43BB"/>
    <w:rsid w:val="00430C0A"/>
    <w:rsid w:val="0048298A"/>
    <w:rsid w:val="004C35CC"/>
    <w:rsid w:val="005213A2"/>
    <w:rsid w:val="005730FC"/>
    <w:rsid w:val="005F6255"/>
    <w:rsid w:val="006115C0"/>
    <w:rsid w:val="006123B1"/>
    <w:rsid w:val="006814B1"/>
    <w:rsid w:val="006D2A98"/>
    <w:rsid w:val="006D6F3B"/>
    <w:rsid w:val="00744BB3"/>
    <w:rsid w:val="007A159C"/>
    <w:rsid w:val="007A43C3"/>
    <w:rsid w:val="00831310"/>
    <w:rsid w:val="00902C2A"/>
    <w:rsid w:val="00933498"/>
    <w:rsid w:val="00973FB8"/>
    <w:rsid w:val="00995516"/>
    <w:rsid w:val="00A4512C"/>
    <w:rsid w:val="00B1089E"/>
    <w:rsid w:val="00B767A9"/>
    <w:rsid w:val="00C91165"/>
    <w:rsid w:val="00D01EFC"/>
    <w:rsid w:val="00D20B4D"/>
    <w:rsid w:val="00D9012D"/>
    <w:rsid w:val="00E53D07"/>
    <w:rsid w:val="00E56C41"/>
    <w:rsid w:val="00E7694E"/>
    <w:rsid w:val="00EA2817"/>
    <w:rsid w:val="00F76805"/>
    <w:rsid w:val="00FB72F2"/>
    <w:rsid w:val="00FC3E1B"/>
    <w:rsid w:val="01017684"/>
    <w:rsid w:val="012A6BDB"/>
    <w:rsid w:val="01347A59"/>
    <w:rsid w:val="01453A14"/>
    <w:rsid w:val="01527EDF"/>
    <w:rsid w:val="01634AAB"/>
    <w:rsid w:val="01943F18"/>
    <w:rsid w:val="01A65484"/>
    <w:rsid w:val="01A73D87"/>
    <w:rsid w:val="01B6046E"/>
    <w:rsid w:val="01B74978"/>
    <w:rsid w:val="01BF5575"/>
    <w:rsid w:val="01C04E49"/>
    <w:rsid w:val="01C70348"/>
    <w:rsid w:val="01CA0D85"/>
    <w:rsid w:val="01D152A8"/>
    <w:rsid w:val="01E4091A"/>
    <w:rsid w:val="02025461"/>
    <w:rsid w:val="020B4C98"/>
    <w:rsid w:val="02225B04"/>
    <w:rsid w:val="02247086"/>
    <w:rsid w:val="02483192"/>
    <w:rsid w:val="02510197"/>
    <w:rsid w:val="02555ED9"/>
    <w:rsid w:val="026C1FFB"/>
    <w:rsid w:val="026E6F9B"/>
    <w:rsid w:val="02A76009"/>
    <w:rsid w:val="02B32C00"/>
    <w:rsid w:val="02B726F0"/>
    <w:rsid w:val="02D45050"/>
    <w:rsid w:val="02DA1F3A"/>
    <w:rsid w:val="02DF39F5"/>
    <w:rsid w:val="02E1151B"/>
    <w:rsid w:val="02EB05EB"/>
    <w:rsid w:val="031F12CE"/>
    <w:rsid w:val="03237D85"/>
    <w:rsid w:val="034D4E02"/>
    <w:rsid w:val="035717DD"/>
    <w:rsid w:val="036839EA"/>
    <w:rsid w:val="036D1000"/>
    <w:rsid w:val="03726617"/>
    <w:rsid w:val="03773C2D"/>
    <w:rsid w:val="037802C6"/>
    <w:rsid w:val="03942A31"/>
    <w:rsid w:val="03A36084"/>
    <w:rsid w:val="03B60BF9"/>
    <w:rsid w:val="03BB45AA"/>
    <w:rsid w:val="03BF6142"/>
    <w:rsid w:val="03CA406C"/>
    <w:rsid w:val="03CF0ABD"/>
    <w:rsid w:val="03D177E1"/>
    <w:rsid w:val="03DC540D"/>
    <w:rsid w:val="040A2CF3"/>
    <w:rsid w:val="043B2EAD"/>
    <w:rsid w:val="0442423B"/>
    <w:rsid w:val="045126D0"/>
    <w:rsid w:val="04601D53"/>
    <w:rsid w:val="04644730"/>
    <w:rsid w:val="048D195A"/>
    <w:rsid w:val="04936845"/>
    <w:rsid w:val="04A743F8"/>
    <w:rsid w:val="04C679B5"/>
    <w:rsid w:val="04D07A99"/>
    <w:rsid w:val="04EC7060"/>
    <w:rsid w:val="04ED064B"/>
    <w:rsid w:val="04FC6AE0"/>
    <w:rsid w:val="05025778"/>
    <w:rsid w:val="05145BD8"/>
    <w:rsid w:val="05153056"/>
    <w:rsid w:val="051C2CDE"/>
    <w:rsid w:val="05216546"/>
    <w:rsid w:val="05224895"/>
    <w:rsid w:val="05263B5D"/>
    <w:rsid w:val="052A52EE"/>
    <w:rsid w:val="0539362A"/>
    <w:rsid w:val="05773A30"/>
    <w:rsid w:val="05C70E9C"/>
    <w:rsid w:val="05D53406"/>
    <w:rsid w:val="05D76C05"/>
    <w:rsid w:val="05E82BC0"/>
    <w:rsid w:val="05F81055"/>
    <w:rsid w:val="0638308C"/>
    <w:rsid w:val="06420522"/>
    <w:rsid w:val="06514C09"/>
    <w:rsid w:val="066A57CB"/>
    <w:rsid w:val="068C79F0"/>
    <w:rsid w:val="06A44D39"/>
    <w:rsid w:val="06BA27AF"/>
    <w:rsid w:val="06C8767B"/>
    <w:rsid w:val="06DB44D3"/>
    <w:rsid w:val="06DC2725"/>
    <w:rsid w:val="06EB47E3"/>
    <w:rsid w:val="06ED1A3A"/>
    <w:rsid w:val="06EE06AA"/>
    <w:rsid w:val="06F061D0"/>
    <w:rsid w:val="06F537E7"/>
    <w:rsid w:val="06FA27D5"/>
    <w:rsid w:val="070B051F"/>
    <w:rsid w:val="070B6B66"/>
    <w:rsid w:val="071579E5"/>
    <w:rsid w:val="072145DC"/>
    <w:rsid w:val="073E53BF"/>
    <w:rsid w:val="073F54F1"/>
    <w:rsid w:val="07462294"/>
    <w:rsid w:val="075524D7"/>
    <w:rsid w:val="075F2594"/>
    <w:rsid w:val="07691ADF"/>
    <w:rsid w:val="077C1812"/>
    <w:rsid w:val="07833724"/>
    <w:rsid w:val="078A174F"/>
    <w:rsid w:val="079175D5"/>
    <w:rsid w:val="079F3753"/>
    <w:rsid w:val="07B0770E"/>
    <w:rsid w:val="07B436A2"/>
    <w:rsid w:val="07B976C5"/>
    <w:rsid w:val="080F15E4"/>
    <w:rsid w:val="08144141"/>
    <w:rsid w:val="08234384"/>
    <w:rsid w:val="0837011C"/>
    <w:rsid w:val="083D5445"/>
    <w:rsid w:val="084F33CB"/>
    <w:rsid w:val="084F478B"/>
    <w:rsid w:val="08612A73"/>
    <w:rsid w:val="08714021"/>
    <w:rsid w:val="088766C0"/>
    <w:rsid w:val="08892439"/>
    <w:rsid w:val="08940DDD"/>
    <w:rsid w:val="089A1325"/>
    <w:rsid w:val="08B5322E"/>
    <w:rsid w:val="08BA4CE8"/>
    <w:rsid w:val="08C94F2B"/>
    <w:rsid w:val="08CE42EF"/>
    <w:rsid w:val="08ED37A6"/>
    <w:rsid w:val="08F301FA"/>
    <w:rsid w:val="09075A53"/>
    <w:rsid w:val="093305F6"/>
    <w:rsid w:val="0946032A"/>
    <w:rsid w:val="094E71DE"/>
    <w:rsid w:val="096B378F"/>
    <w:rsid w:val="097053A7"/>
    <w:rsid w:val="09756E61"/>
    <w:rsid w:val="098A47B6"/>
    <w:rsid w:val="099B1542"/>
    <w:rsid w:val="09B2776D"/>
    <w:rsid w:val="09B87FCE"/>
    <w:rsid w:val="09D43B87"/>
    <w:rsid w:val="09DB4F16"/>
    <w:rsid w:val="09E76BEE"/>
    <w:rsid w:val="0A1E3055"/>
    <w:rsid w:val="0A356BC7"/>
    <w:rsid w:val="0A36019B"/>
    <w:rsid w:val="0A4505E1"/>
    <w:rsid w:val="0A5627EE"/>
    <w:rsid w:val="0A5D3B7D"/>
    <w:rsid w:val="0A670558"/>
    <w:rsid w:val="0A713900"/>
    <w:rsid w:val="0A79472F"/>
    <w:rsid w:val="0A80786B"/>
    <w:rsid w:val="0A984BB5"/>
    <w:rsid w:val="0A9F4195"/>
    <w:rsid w:val="0AC31DC9"/>
    <w:rsid w:val="0AD83203"/>
    <w:rsid w:val="0ADD2F10"/>
    <w:rsid w:val="0AE61DC4"/>
    <w:rsid w:val="0AEC7FD0"/>
    <w:rsid w:val="0AFE12F5"/>
    <w:rsid w:val="0B297647"/>
    <w:rsid w:val="0B3F3C64"/>
    <w:rsid w:val="0B472137"/>
    <w:rsid w:val="0B5C3E34"/>
    <w:rsid w:val="0B5F6506"/>
    <w:rsid w:val="0B6131F9"/>
    <w:rsid w:val="0B6D6042"/>
    <w:rsid w:val="0B9244AD"/>
    <w:rsid w:val="0BA65D7A"/>
    <w:rsid w:val="0BC0456A"/>
    <w:rsid w:val="0BC814CA"/>
    <w:rsid w:val="0BDB2B67"/>
    <w:rsid w:val="0C0369A6"/>
    <w:rsid w:val="0C061FF2"/>
    <w:rsid w:val="0C2C3B88"/>
    <w:rsid w:val="0C380D85"/>
    <w:rsid w:val="0C452B1A"/>
    <w:rsid w:val="0C57284E"/>
    <w:rsid w:val="0C5E1E2E"/>
    <w:rsid w:val="0C871385"/>
    <w:rsid w:val="0C9475FE"/>
    <w:rsid w:val="0CA535B9"/>
    <w:rsid w:val="0CC57ACD"/>
    <w:rsid w:val="0CC954FA"/>
    <w:rsid w:val="0CCE0D62"/>
    <w:rsid w:val="0CD81FE0"/>
    <w:rsid w:val="0CE93A79"/>
    <w:rsid w:val="0CEA36C2"/>
    <w:rsid w:val="0CEE6D0E"/>
    <w:rsid w:val="0CF54541"/>
    <w:rsid w:val="0D002EE5"/>
    <w:rsid w:val="0D054058"/>
    <w:rsid w:val="0D140704"/>
    <w:rsid w:val="0D197B03"/>
    <w:rsid w:val="0D1B236A"/>
    <w:rsid w:val="0D244E26"/>
    <w:rsid w:val="0D417786"/>
    <w:rsid w:val="0D4C612B"/>
    <w:rsid w:val="0D542E96"/>
    <w:rsid w:val="0D5A276F"/>
    <w:rsid w:val="0D7D3ED3"/>
    <w:rsid w:val="0D821B4C"/>
    <w:rsid w:val="0D9D24E2"/>
    <w:rsid w:val="0DA73B82"/>
    <w:rsid w:val="0DA87805"/>
    <w:rsid w:val="0DAB2E51"/>
    <w:rsid w:val="0DAC1C3E"/>
    <w:rsid w:val="0DB00467"/>
    <w:rsid w:val="0DF540CC"/>
    <w:rsid w:val="0DFA7935"/>
    <w:rsid w:val="0E013747"/>
    <w:rsid w:val="0E16593F"/>
    <w:rsid w:val="0E1B7FD7"/>
    <w:rsid w:val="0E5708C4"/>
    <w:rsid w:val="0E5928AD"/>
    <w:rsid w:val="0E5A03D3"/>
    <w:rsid w:val="0E6574A4"/>
    <w:rsid w:val="0E894D27"/>
    <w:rsid w:val="0E8C446E"/>
    <w:rsid w:val="0E9909B8"/>
    <w:rsid w:val="0E99670C"/>
    <w:rsid w:val="0ECF491D"/>
    <w:rsid w:val="0EE505E5"/>
    <w:rsid w:val="0F0A1DF9"/>
    <w:rsid w:val="0F346E76"/>
    <w:rsid w:val="0F362BEE"/>
    <w:rsid w:val="0F3B0205"/>
    <w:rsid w:val="0F4A3E67"/>
    <w:rsid w:val="0F515C7A"/>
    <w:rsid w:val="0F5337A0"/>
    <w:rsid w:val="0F747687"/>
    <w:rsid w:val="0F781459"/>
    <w:rsid w:val="0F7A6F7F"/>
    <w:rsid w:val="0FA2064B"/>
    <w:rsid w:val="0FA32AAF"/>
    <w:rsid w:val="0FA61B22"/>
    <w:rsid w:val="0FB40474"/>
    <w:rsid w:val="0FD04DF1"/>
    <w:rsid w:val="0FF79B5F"/>
    <w:rsid w:val="0FFA1E6E"/>
    <w:rsid w:val="0FFB33A3"/>
    <w:rsid w:val="0FFD4225"/>
    <w:rsid w:val="0FFEF0C5"/>
    <w:rsid w:val="0FFF56D6"/>
    <w:rsid w:val="10086339"/>
    <w:rsid w:val="100E3C08"/>
    <w:rsid w:val="10134CDE"/>
    <w:rsid w:val="10191164"/>
    <w:rsid w:val="102173FB"/>
    <w:rsid w:val="102B0279"/>
    <w:rsid w:val="103C51F6"/>
    <w:rsid w:val="104E0165"/>
    <w:rsid w:val="10750EEC"/>
    <w:rsid w:val="107C0AD5"/>
    <w:rsid w:val="10863702"/>
    <w:rsid w:val="108F0808"/>
    <w:rsid w:val="108F6A5A"/>
    <w:rsid w:val="10925A7C"/>
    <w:rsid w:val="109852EC"/>
    <w:rsid w:val="109C2F25"/>
    <w:rsid w:val="10C06C14"/>
    <w:rsid w:val="10C27336"/>
    <w:rsid w:val="10C61D50"/>
    <w:rsid w:val="10D64689"/>
    <w:rsid w:val="10D6635B"/>
    <w:rsid w:val="11234432"/>
    <w:rsid w:val="11351FC9"/>
    <w:rsid w:val="11390774"/>
    <w:rsid w:val="11405FA6"/>
    <w:rsid w:val="116E041E"/>
    <w:rsid w:val="118916FB"/>
    <w:rsid w:val="119D229A"/>
    <w:rsid w:val="11B2284A"/>
    <w:rsid w:val="11C5740C"/>
    <w:rsid w:val="11C97D4A"/>
    <w:rsid w:val="11E15093"/>
    <w:rsid w:val="11EE6BF4"/>
    <w:rsid w:val="120300D1"/>
    <w:rsid w:val="12086AC4"/>
    <w:rsid w:val="121D69D6"/>
    <w:rsid w:val="122B4943"/>
    <w:rsid w:val="124444F2"/>
    <w:rsid w:val="1246139A"/>
    <w:rsid w:val="124F0883"/>
    <w:rsid w:val="12521AED"/>
    <w:rsid w:val="12A32349"/>
    <w:rsid w:val="12EC77C1"/>
    <w:rsid w:val="12FB2185"/>
    <w:rsid w:val="12FE7EC7"/>
    <w:rsid w:val="1303728B"/>
    <w:rsid w:val="13190E51"/>
    <w:rsid w:val="13225964"/>
    <w:rsid w:val="13265C2F"/>
    <w:rsid w:val="1347361C"/>
    <w:rsid w:val="134A0A16"/>
    <w:rsid w:val="135D5BA6"/>
    <w:rsid w:val="136057B9"/>
    <w:rsid w:val="13655850"/>
    <w:rsid w:val="13741F37"/>
    <w:rsid w:val="13750189"/>
    <w:rsid w:val="13783CEF"/>
    <w:rsid w:val="137B5074"/>
    <w:rsid w:val="137D4E72"/>
    <w:rsid w:val="13DE2CBE"/>
    <w:rsid w:val="13EB3FA7"/>
    <w:rsid w:val="13EE5846"/>
    <w:rsid w:val="140B4AED"/>
    <w:rsid w:val="14180502"/>
    <w:rsid w:val="141F1528"/>
    <w:rsid w:val="14396398"/>
    <w:rsid w:val="1445127B"/>
    <w:rsid w:val="14667AD2"/>
    <w:rsid w:val="147A17CF"/>
    <w:rsid w:val="14847F58"/>
    <w:rsid w:val="148A3535"/>
    <w:rsid w:val="14A376BB"/>
    <w:rsid w:val="14A437A0"/>
    <w:rsid w:val="14A800EA"/>
    <w:rsid w:val="14A91E64"/>
    <w:rsid w:val="14AB4219"/>
    <w:rsid w:val="14AE2DAD"/>
    <w:rsid w:val="14B06F9F"/>
    <w:rsid w:val="14D7452C"/>
    <w:rsid w:val="14DB226E"/>
    <w:rsid w:val="14E1184E"/>
    <w:rsid w:val="14F43330"/>
    <w:rsid w:val="150F1F18"/>
    <w:rsid w:val="151920E1"/>
    <w:rsid w:val="152E4A94"/>
    <w:rsid w:val="1537146E"/>
    <w:rsid w:val="155E2E9F"/>
    <w:rsid w:val="15681628"/>
    <w:rsid w:val="15710277"/>
    <w:rsid w:val="157B57FF"/>
    <w:rsid w:val="15995E7A"/>
    <w:rsid w:val="15A71EC1"/>
    <w:rsid w:val="15B4486D"/>
    <w:rsid w:val="15BE6DAB"/>
    <w:rsid w:val="15C2342E"/>
    <w:rsid w:val="15F15AC1"/>
    <w:rsid w:val="15FF3D3A"/>
    <w:rsid w:val="160A42F0"/>
    <w:rsid w:val="16210154"/>
    <w:rsid w:val="16457A62"/>
    <w:rsid w:val="16473A81"/>
    <w:rsid w:val="165E3157"/>
    <w:rsid w:val="166A6559"/>
    <w:rsid w:val="16800372"/>
    <w:rsid w:val="16826719"/>
    <w:rsid w:val="168B3A44"/>
    <w:rsid w:val="169A1213"/>
    <w:rsid w:val="169C3C7F"/>
    <w:rsid w:val="16A3500D"/>
    <w:rsid w:val="16B94831"/>
    <w:rsid w:val="16CA1510"/>
    <w:rsid w:val="16CC5ACB"/>
    <w:rsid w:val="16CF0EC8"/>
    <w:rsid w:val="16D46E2A"/>
    <w:rsid w:val="16D630A4"/>
    <w:rsid w:val="16DB0BA3"/>
    <w:rsid w:val="16DC051F"/>
    <w:rsid w:val="16EC657B"/>
    <w:rsid w:val="16FA39D0"/>
    <w:rsid w:val="17101F77"/>
    <w:rsid w:val="1723076A"/>
    <w:rsid w:val="173739A8"/>
    <w:rsid w:val="176A7232"/>
    <w:rsid w:val="17780248"/>
    <w:rsid w:val="178A3AD7"/>
    <w:rsid w:val="17AF79E2"/>
    <w:rsid w:val="17B945C0"/>
    <w:rsid w:val="17CF3BE0"/>
    <w:rsid w:val="17D17958"/>
    <w:rsid w:val="17F04282"/>
    <w:rsid w:val="17F673BF"/>
    <w:rsid w:val="17FB6783"/>
    <w:rsid w:val="18041ADC"/>
    <w:rsid w:val="183C604C"/>
    <w:rsid w:val="184C3483"/>
    <w:rsid w:val="18550589"/>
    <w:rsid w:val="18567E5D"/>
    <w:rsid w:val="185F4F64"/>
    <w:rsid w:val="188239F0"/>
    <w:rsid w:val="18910E95"/>
    <w:rsid w:val="18A312F5"/>
    <w:rsid w:val="18A4506D"/>
    <w:rsid w:val="18AB63FB"/>
    <w:rsid w:val="18B352B0"/>
    <w:rsid w:val="18CF3CB8"/>
    <w:rsid w:val="18DB7FA7"/>
    <w:rsid w:val="18EB2629"/>
    <w:rsid w:val="1903609F"/>
    <w:rsid w:val="190D2F64"/>
    <w:rsid w:val="190D7898"/>
    <w:rsid w:val="19227658"/>
    <w:rsid w:val="19235F91"/>
    <w:rsid w:val="19365251"/>
    <w:rsid w:val="193B52E8"/>
    <w:rsid w:val="193E726F"/>
    <w:rsid w:val="193F7204"/>
    <w:rsid w:val="195C14A3"/>
    <w:rsid w:val="19665E27"/>
    <w:rsid w:val="197176DE"/>
    <w:rsid w:val="19762565"/>
    <w:rsid w:val="19A54D92"/>
    <w:rsid w:val="19BB5403"/>
    <w:rsid w:val="19BE3F0C"/>
    <w:rsid w:val="19C77265"/>
    <w:rsid w:val="19D92AF4"/>
    <w:rsid w:val="19DB4ABE"/>
    <w:rsid w:val="19F05074"/>
    <w:rsid w:val="19F31730"/>
    <w:rsid w:val="1A0C3F20"/>
    <w:rsid w:val="1A11228E"/>
    <w:rsid w:val="1A15545B"/>
    <w:rsid w:val="1A1661CA"/>
    <w:rsid w:val="1A191140"/>
    <w:rsid w:val="1A271AB1"/>
    <w:rsid w:val="1A4268EB"/>
    <w:rsid w:val="1A4317E7"/>
    <w:rsid w:val="1A676352"/>
    <w:rsid w:val="1A6B4094"/>
    <w:rsid w:val="1A7E0C69"/>
    <w:rsid w:val="1A9E4AB4"/>
    <w:rsid w:val="1A9F3D3E"/>
    <w:rsid w:val="1AA9125F"/>
    <w:rsid w:val="1AB11222"/>
    <w:rsid w:val="1AC333F8"/>
    <w:rsid w:val="1AD41E4A"/>
    <w:rsid w:val="1AE300CE"/>
    <w:rsid w:val="1AF000F5"/>
    <w:rsid w:val="1AF57E02"/>
    <w:rsid w:val="1AF75928"/>
    <w:rsid w:val="1B1C713C"/>
    <w:rsid w:val="1B1D597D"/>
    <w:rsid w:val="1B214920"/>
    <w:rsid w:val="1B281F85"/>
    <w:rsid w:val="1B2D759B"/>
    <w:rsid w:val="1B4169AB"/>
    <w:rsid w:val="1B5C5FCB"/>
    <w:rsid w:val="1B8D1DE8"/>
    <w:rsid w:val="1B993335"/>
    <w:rsid w:val="1B9F38C9"/>
    <w:rsid w:val="1BB472B8"/>
    <w:rsid w:val="1BCA0B6E"/>
    <w:rsid w:val="1BE340FE"/>
    <w:rsid w:val="1BEC2FB3"/>
    <w:rsid w:val="1BEF2AA3"/>
    <w:rsid w:val="1BF73705"/>
    <w:rsid w:val="1C023003"/>
    <w:rsid w:val="1C025840"/>
    <w:rsid w:val="1C2E646B"/>
    <w:rsid w:val="1C3B1844"/>
    <w:rsid w:val="1C450915"/>
    <w:rsid w:val="1C8256C5"/>
    <w:rsid w:val="1C876AA4"/>
    <w:rsid w:val="1C9660A5"/>
    <w:rsid w:val="1C9F1DD3"/>
    <w:rsid w:val="1CBB5A90"/>
    <w:rsid w:val="1CE974F2"/>
    <w:rsid w:val="1CFF6D16"/>
    <w:rsid w:val="1D1C78C7"/>
    <w:rsid w:val="1D326E93"/>
    <w:rsid w:val="1D44260C"/>
    <w:rsid w:val="1D6B6159"/>
    <w:rsid w:val="1D7274E7"/>
    <w:rsid w:val="1D8334A3"/>
    <w:rsid w:val="1D972DAB"/>
    <w:rsid w:val="1DA17DCD"/>
    <w:rsid w:val="1DAF05B3"/>
    <w:rsid w:val="1DB23D88"/>
    <w:rsid w:val="1DEA1774"/>
    <w:rsid w:val="1DEC706D"/>
    <w:rsid w:val="1DF919B7"/>
    <w:rsid w:val="1E0C793C"/>
    <w:rsid w:val="1E1265D5"/>
    <w:rsid w:val="1E220F0E"/>
    <w:rsid w:val="1E2C3B3A"/>
    <w:rsid w:val="1E311151"/>
    <w:rsid w:val="1E34479D"/>
    <w:rsid w:val="1E445058"/>
    <w:rsid w:val="1E553C4C"/>
    <w:rsid w:val="1E5C77AF"/>
    <w:rsid w:val="1E6F77DF"/>
    <w:rsid w:val="1E731769"/>
    <w:rsid w:val="1E7B16F8"/>
    <w:rsid w:val="1E96080A"/>
    <w:rsid w:val="1EA7598F"/>
    <w:rsid w:val="1EB57765"/>
    <w:rsid w:val="1ECB5101"/>
    <w:rsid w:val="1ED65854"/>
    <w:rsid w:val="1F0143D2"/>
    <w:rsid w:val="1F296668"/>
    <w:rsid w:val="1F39249A"/>
    <w:rsid w:val="1F664E2A"/>
    <w:rsid w:val="1F6EE0A4"/>
    <w:rsid w:val="1F7237CF"/>
    <w:rsid w:val="1F784B5D"/>
    <w:rsid w:val="1F7C464D"/>
    <w:rsid w:val="1FCB1131"/>
    <w:rsid w:val="1FD71884"/>
    <w:rsid w:val="1FD81001"/>
    <w:rsid w:val="1FDB75C6"/>
    <w:rsid w:val="1FDF25FF"/>
    <w:rsid w:val="1FF651C6"/>
    <w:rsid w:val="1FF730FD"/>
    <w:rsid w:val="1FFD5647"/>
    <w:rsid w:val="20111287"/>
    <w:rsid w:val="20140D2A"/>
    <w:rsid w:val="201E1F01"/>
    <w:rsid w:val="201F53B1"/>
    <w:rsid w:val="2020322B"/>
    <w:rsid w:val="202D5948"/>
    <w:rsid w:val="203211B0"/>
    <w:rsid w:val="204825AF"/>
    <w:rsid w:val="20484530"/>
    <w:rsid w:val="205A494F"/>
    <w:rsid w:val="205B24B5"/>
    <w:rsid w:val="2072468A"/>
    <w:rsid w:val="20724974"/>
    <w:rsid w:val="207417C9"/>
    <w:rsid w:val="207E493E"/>
    <w:rsid w:val="208732AA"/>
    <w:rsid w:val="20A0436C"/>
    <w:rsid w:val="20AC2D10"/>
    <w:rsid w:val="20C77B4A"/>
    <w:rsid w:val="20F47953"/>
    <w:rsid w:val="21051CA7"/>
    <w:rsid w:val="21192919"/>
    <w:rsid w:val="212339B6"/>
    <w:rsid w:val="2127683B"/>
    <w:rsid w:val="212D5E52"/>
    <w:rsid w:val="21317A7A"/>
    <w:rsid w:val="21354AB4"/>
    <w:rsid w:val="214058BF"/>
    <w:rsid w:val="21410CD7"/>
    <w:rsid w:val="214271D1"/>
    <w:rsid w:val="21703D3E"/>
    <w:rsid w:val="217A4BBD"/>
    <w:rsid w:val="217E5C39"/>
    <w:rsid w:val="217F21D3"/>
    <w:rsid w:val="21A659B2"/>
    <w:rsid w:val="21C42C5D"/>
    <w:rsid w:val="21DA1AFF"/>
    <w:rsid w:val="21DE0C2D"/>
    <w:rsid w:val="21FE759C"/>
    <w:rsid w:val="2208041A"/>
    <w:rsid w:val="2217240B"/>
    <w:rsid w:val="221E19EC"/>
    <w:rsid w:val="22350AE4"/>
    <w:rsid w:val="2237485C"/>
    <w:rsid w:val="2241051D"/>
    <w:rsid w:val="225418B2"/>
    <w:rsid w:val="22547CC7"/>
    <w:rsid w:val="22645955"/>
    <w:rsid w:val="226514F4"/>
    <w:rsid w:val="229D440A"/>
    <w:rsid w:val="22B83BEE"/>
    <w:rsid w:val="22BF3AAD"/>
    <w:rsid w:val="22CA3922"/>
    <w:rsid w:val="22D4654E"/>
    <w:rsid w:val="22D87DED"/>
    <w:rsid w:val="22E744D4"/>
    <w:rsid w:val="22FF31BA"/>
    <w:rsid w:val="23052BAC"/>
    <w:rsid w:val="230F7587"/>
    <w:rsid w:val="23337719"/>
    <w:rsid w:val="234B76E0"/>
    <w:rsid w:val="234C07DB"/>
    <w:rsid w:val="23502079"/>
    <w:rsid w:val="23563407"/>
    <w:rsid w:val="23694EE9"/>
    <w:rsid w:val="236B120B"/>
    <w:rsid w:val="238D507B"/>
    <w:rsid w:val="23A06262"/>
    <w:rsid w:val="23C16AD3"/>
    <w:rsid w:val="23DD461A"/>
    <w:rsid w:val="23FD2ABC"/>
    <w:rsid w:val="24062738"/>
    <w:rsid w:val="242641B0"/>
    <w:rsid w:val="242673A6"/>
    <w:rsid w:val="242F7EE0"/>
    <w:rsid w:val="244A2F6C"/>
    <w:rsid w:val="244A6AC8"/>
    <w:rsid w:val="24546C5A"/>
    <w:rsid w:val="245A1973"/>
    <w:rsid w:val="246833F2"/>
    <w:rsid w:val="24771887"/>
    <w:rsid w:val="24885842"/>
    <w:rsid w:val="24B228BF"/>
    <w:rsid w:val="24B65F0C"/>
    <w:rsid w:val="24CD14A7"/>
    <w:rsid w:val="24D25C14"/>
    <w:rsid w:val="24D97E4C"/>
    <w:rsid w:val="24E01EA8"/>
    <w:rsid w:val="24E16D01"/>
    <w:rsid w:val="24EF7670"/>
    <w:rsid w:val="24FB35A7"/>
    <w:rsid w:val="25096670"/>
    <w:rsid w:val="253B7E2A"/>
    <w:rsid w:val="254974E0"/>
    <w:rsid w:val="255174C7"/>
    <w:rsid w:val="256718FC"/>
    <w:rsid w:val="256938F4"/>
    <w:rsid w:val="257527D8"/>
    <w:rsid w:val="259124D5"/>
    <w:rsid w:val="25A77F4A"/>
    <w:rsid w:val="25B032A3"/>
    <w:rsid w:val="25C46078"/>
    <w:rsid w:val="25D115E1"/>
    <w:rsid w:val="25DA0320"/>
    <w:rsid w:val="25E42F4C"/>
    <w:rsid w:val="26094761"/>
    <w:rsid w:val="260B2287"/>
    <w:rsid w:val="260E53C8"/>
    <w:rsid w:val="262B2929"/>
    <w:rsid w:val="26457D7B"/>
    <w:rsid w:val="26527EB6"/>
    <w:rsid w:val="26541E80"/>
    <w:rsid w:val="26606A77"/>
    <w:rsid w:val="266B0F78"/>
    <w:rsid w:val="26780E08"/>
    <w:rsid w:val="267E186D"/>
    <w:rsid w:val="26A30712"/>
    <w:rsid w:val="26BB304D"/>
    <w:rsid w:val="26BC7A25"/>
    <w:rsid w:val="26C50688"/>
    <w:rsid w:val="26CF7AEC"/>
    <w:rsid w:val="26D66D39"/>
    <w:rsid w:val="26E054C2"/>
    <w:rsid w:val="26E5094A"/>
    <w:rsid w:val="26F412B7"/>
    <w:rsid w:val="270D202F"/>
    <w:rsid w:val="271D04C4"/>
    <w:rsid w:val="2727357C"/>
    <w:rsid w:val="27277595"/>
    <w:rsid w:val="273146AC"/>
    <w:rsid w:val="27475541"/>
    <w:rsid w:val="275D1833"/>
    <w:rsid w:val="275D2FB6"/>
    <w:rsid w:val="27651E6B"/>
    <w:rsid w:val="27843EBD"/>
    <w:rsid w:val="278818BE"/>
    <w:rsid w:val="27910D21"/>
    <w:rsid w:val="27916CFA"/>
    <w:rsid w:val="27950FB5"/>
    <w:rsid w:val="27960276"/>
    <w:rsid w:val="279664C8"/>
    <w:rsid w:val="279F4C64"/>
    <w:rsid w:val="27A20FE9"/>
    <w:rsid w:val="27A4153B"/>
    <w:rsid w:val="27A54E4E"/>
    <w:rsid w:val="27A75FE0"/>
    <w:rsid w:val="27A91D58"/>
    <w:rsid w:val="27B64475"/>
    <w:rsid w:val="27C70430"/>
    <w:rsid w:val="27C9064C"/>
    <w:rsid w:val="27D86AE1"/>
    <w:rsid w:val="27DC212D"/>
    <w:rsid w:val="27DF5779"/>
    <w:rsid w:val="27EB2370"/>
    <w:rsid w:val="27EE1E60"/>
    <w:rsid w:val="27F45061"/>
    <w:rsid w:val="27F751B9"/>
    <w:rsid w:val="28017DE6"/>
    <w:rsid w:val="2810627B"/>
    <w:rsid w:val="282E04AF"/>
    <w:rsid w:val="28302479"/>
    <w:rsid w:val="285A5748"/>
    <w:rsid w:val="286B34B1"/>
    <w:rsid w:val="286D0FD7"/>
    <w:rsid w:val="28750910"/>
    <w:rsid w:val="287E7613"/>
    <w:rsid w:val="28A43E8F"/>
    <w:rsid w:val="28AB7D51"/>
    <w:rsid w:val="28BA1D43"/>
    <w:rsid w:val="28CA01D8"/>
    <w:rsid w:val="28E60D8A"/>
    <w:rsid w:val="2916166F"/>
    <w:rsid w:val="296879F1"/>
    <w:rsid w:val="298C3AA9"/>
    <w:rsid w:val="299E3412"/>
    <w:rsid w:val="29A72C75"/>
    <w:rsid w:val="29C63095"/>
    <w:rsid w:val="29CD4916"/>
    <w:rsid w:val="29E00EFE"/>
    <w:rsid w:val="29E928DF"/>
    <w:rsid w:val="29F12D2D"/>
    <w:rsid w:val="29F46316"/>
    <w:rsid w:val="29FA6CC9"/>
    <w:rsid w:val="2A060B46"/>
    <w:rsid w:val="2A514B25"/>
    <w:rsid w:val="2A9E191C"/>
    <w:rsid w:val="2AA2056F"/>
    <w:rsid w:val="2AB729DE"/>
    <w:rsid w:val="2AD13CA0"/>
    <w:rsid w:val="2AD4533E"/>
    <w:rsid w:val="2AF1427A"/>
    <w:rsid w:val="2AFC2AE6"/>
    <w:rsid w:val="2AFD1EAA"/>
    <w:rsid w:val="2B1E2A5D"/>
    <w:rsid w:val="2B2142FB"/>
    <w:rsid w:val="2B342280"/>
    <w:rsid w:val="2B381FB0"/>
    <w:rsid w:val="2B612949"/>
    <w:rsid w:val="2B7C5330"/>
    <w:rsid w:val="2BA32F62"/>
    <w:rsid w:val="2BAF1907"/>
    <w:rsid w:val="2BB05DAB"/>
    <w:rsid w:val="2BB86A0D"/>
    <w:rsid w:val="2BD80E5D"/>
    <w:rsid w:val="2BD96290"/>
    <w:rsid w:val="2BE315B0"/>
    <w:rsid w:val="2BE45A54"/>
    <w:rsid w:val="2BE5357A"/>
    <w:rsid w:val="2BE772F2"/>
    <w:rsid w:val="2BEB0CFB"/>
    <w:rsid w:val="2C0C6D59"/>
    <w:rsid w:val="2C1E47CC"/>
    <w:rsid w:val="2C484235"/>
    <w:rsid w:val="2C49281B"/>
    <w:rsid w:val="2C695F59"/>
    <w:rsid w:val="2C820DC9"/>
    <w:rsid w:val="2C956D4E"/>
    <w:rsid w:val="2C9B2631"/>
    <w:rsid w:val="2CB2345D"/>
    <w:rsid w:val="2CB43679"/>
    <w:rsid w:val="2CBB7F9F"/>
    <w:rsid w:val="2CC55886"/>
    <w:rsid w:val="2CD0422B"/>
    <w:rsid w:val="2CF41CC7"/>
    <w:rsid w:val="2CF47F19"/>
    <w:rsid w:val="2CF577ED"/>
    <w:rsid w:val="2CFB3D8A"/>
    <w:rsid w:val="2D3A16A4"/>
    <w:rsid w:val="2D5224BE"/>
    <w:rsid w:val="2D613ABF"/>
    <w:rsid w:val="2D6706EB"/>
    <w:rsid w:val="2D6F23DE"/>
    <w:rsid w:val="2D7746A6"/>
    <w:rsid w:val="2D9E60D7"/>
    <w:rsid w:val="2DA0091A"/>
    <w:rsid w:val="2DAF2092"/>
    <w:rsid w:val="2DC378EB"/>
    <w:rsid w:val="2DCC49F2"/>
    <w:rsid w:val="2DFA7533"/>
    <w:rsid w:val="2E083AB4"/>
    <w:rsid w:val="2E0979F4"/>
    <w:rsid w:val="2E187C37"/>
    <w:rsid w:val="2E3B3926"/>
    <w:rsid w:val="2E3D144C"/>
    <w:rsid w:val="2E3E76ED"/>
    <w:rsid w:val="2E432A80"/>
    <w:rsid w:val="2E68261C"/>
    <w:rsid w:val="2E6D51E7"/>
    <w:rsid w:val="2E7E58A8"/>
    <w:rsid w:val="2E8C4181"/>
    <w:rsid w:val="2E950E26"/>
    <w:rsid w:val="2E9A25D8"/>
    <w:rsid w:val="2EB6049D"/>
    <w:rsid w:val="2EBB3DDD"/>
    <w:rsid w:val="2EBE07DF"/>
    <w:rsid w:val="2EC52F9A"/>
    <w:rsid w:val="2EE82402"/>
    <w:rsid w:val="2EEE67F3"/>
    <w:rsid w:val="2EFE0BDB"/>
    <w:rsid w:val="2F0F2DE8"/>
    <w:rsid w:val="2F1403FE"/>
    <w:rsid w:val="2F3565C7"/>
    <w:rsid w:val="2F427627"/>
    <w:rsid w:val="2F477220"/>
    <w:rsid w:val="2F560A17"/>
    <w:rsid w:val="2F776BDF"/>
    <w:rsid w:val="2FA35866"/>
    <w:rsid w:val="2FBE65BC"/>
    <w:rsid w:val="2FD858D0"/>
    <w:rsid w:val="2FEE6EA1"/>
    <w:rsid w:val="2FF63FA8"/>
    <w:rsid w:val="300422BD"/>
    <w:rsid w:val="300F506A"/>
    <w:rsid w:val="301601A6"/>
    <w:rsid w:val="30201025"/>
    <w:rsid w:val="3029612C"/>
    <w:rsid w:val="302B2FD8"/>
    <w:rsid w:val="302E5A2A"/>
    <w:rsid w:val="30322AC0"/>
    <w:rsid w:val="304545E8"/>
    <w:rsid w:val="30727EDD"/>
    <w:rsid w:val="30742770"/>
    <w:rsid w:val="309C0A74"/>
    <w:rsid w:val="30A21A3A"/>
    <w:rsid w:val="30AB6B41"/>
    <w:rsid w:val="30AC4667"/>
    <w:rsid w:val="30B654E5"/>
    <w:rsid w:val="30CF71A4"/>
    <w:rsid w:val="30F46739"/>
    <w:rsid w:val="310E0E7D"/>
    <w:rsid w:val="31126BC0"/>
    <w:rsid w:val="31321010"/>
    <w:rsid w:val="313A65C2"/>
    <w:rsid w:val="313E7F05"/>
    <w:rsid w:val="313F3781"/>
    <w:rsid w:val="314B20D2"/>
    <w:rsid w:val="316F7D26"/>
    <w:rsid w:val="31753528"/>
    <w:rsid w:val="31953880"/>
    <w:rsid w:val="319B5FA0"/>
    <w:rsid w:val="31A812D2"/>
    <w:rsid w:val="31D17310"/>
    <w:rsid w:val="31D9592F"/>
    <w:rsid w:val="31EC5663"/>
    <w:rsid w:val="31ED3E23"/>
    <w:rsid w:val="321101F9"/>
    <w:rsid w:val="32127EA5"/>
    <w:rsid w:val="32326DEE"/>
    <w:rsid w:val="32456B21"/>
    <w:rsid w:val="32597690"/>
    <w:rsid w:val="32676A97"/>
    <w:rsid w:val="327411B4"/>
    <w:rsid w:val="32794452"/>
    <w:rsid w:val="327B0795"/>
    <w:rsid w:val="32887FC7"/>
    <w:rsid w:val="329905F0"/>
    <w:rsid w:val="32D10501"/>
    <w:rsid w:val="32D70700"/>
    <w:rsid w:val="32D83E39"/>
    <w:rsid w:val="32ED1692"/>
    <w:rsid w:val="331F3816"/>
    <w:rsid w:val="33201F23"/>
    <w:rsid w:val="333358E4"/>
    <w:rsid w:val="33705E1F"/>
    <w:rsid w:val="33781E43"/>
    <w:rsid w:val="338673F1"/>
    <w:rsid w:val="338A5133"/>
    <w:rsid w:val="33A7763E"/>
    <w:rsid w:val="33B2468A"/>
    <w:rsid w:val="33B45D0C"/>
    <w:rsid w:val="33BA709B"/>
    <w:rsid w:val="33E505BB"/>
    <w:rsid w:val="33E5680D"/>
    <w:rsid w:val="33F627C9"/>
    <w:rsid w:val="33FE167D"/>
    <w:rsid w:val="34034EE6"/>
    <w:rsid w:val="340C3D9A"/>
    <w:rsid w:val="342C4EC8"/>
    <w:rsid w:val="342C7F98"/>
    <w:rsid w:val="34311A53"/>
    <w:rsid w:val="34374DF8"/>
    <w:rsid w:val="3464452F"/>
    <w:rsid w:val="346F0CAD"/>
    <w:rsid w:val="347C1AB2"/>
    <w:rsid w:val="34CE214D"/>
    <w:rsid w:val="34F211E2"/>
    <w:rsid w:val="34F715C7"/>
    <w:rsid w:val="35004F81"/>
    <w:rsid w:val="3518051D"/>
    <w:rsid w:val="35571045"/>
    <w:rsid w:val="355768CE"/>
    <w:rsid w:val="35647C06"/>
    <w:rsid w:val="35977693"/>
    <w:rsid w:val="35C607AA"/>
    <w:rsid w:val="35DE41F4"/>
    <w:rsid w:val="35E30B2B"/>
    <w:rsid w:val="35FE3BB6"/>
    <w:rsid w:val="36236F7B"/>
    <w:rsid w:val="36343134"/>
    <w:rsid w:val="36421A71"/>
    <w:rsid w:val="36483084"/>
    <w:rsid w:val="364D4390"/>
    <w:rsid w:val="364E58BC"/>
    <w:rsid w:val="367F38FD"/>
    <w:rsid w:val="36AD2EE7"/>
    <w:rsid w:val="36BC7A7B"/>
    <w:rsid w:val="36C4095C"/>
    <w:rsid w:val="36DD220B"/>
    <w:rsid w:val="36DD37CC"/>
    <w:rsid w:val="36DD557A"/>
    <w:rsid w:val="36EA5A89"/>
    <w:rsid w:val="36EB5FB2"/>
    <w:rsid w:val="36ED4944"/>
    <w:rsid w:val="36FD5CFE"/>
    <w:rsid w:val="3700570C"/>
    <w:rsid w:val="370276D6"/>
    <w:rsid w:val="37076A9B"/>
    <w:rsid w:val="370D4395"/>
    <w:rsid w:val="372431A9"/>
    <w:rsid w:val="37410209"/>
    <w:rsid w:val="3748158D"/>
    <w:rsid w:val="376379C1"/>
    <w:rsid w:val="3772660A"/>
    <w:rsid w:val="37737C8C"/>
    <w:rsid w:val="37772A4E"/>
    <w:rsid w:val="377D0B0B"/>
    <w:rsid w:val="37806E25"/>
    <w:rsid w:val="378533EC"/>
    <w:rsid w:val="37895702"/>
    <w:rsid w:val="379C71E3"/>
    <w:rsid w:val="379F4F25"/>
    <w:rsid w:val="37A12A4B"/>
    <w:rsid w:val="37AB37BE"/>
    <w:rsid w:val="37AD1DE2"/>
    <w:rsid w:val="37BC7885"/>
    <w:rsid w:val="37E53F53"/>
    <w:rsid w:val="38064D7C"/>
    <w:rsid w:val="380F0FA0"/>
    <w:rsid w:val="38196A86"/>
    <w:rsid w:val="38451629"/>
    <w:rsid w:val="385B17DF"/>
    <w:rsid w:val="38644B89"/>
    <w:rsid w:val="38795776"/>
    <w:rsid w:val="388859B9"/>
    <w:rsid w:val="388A117B"/>
    <w:rsid w:val="388C36FB"/>
    <w:rsid w:val="3893203C"/>
    <w:rsid w:val="3896205C"/>
    <w:rsid w:val="38A073B4"/>
    <w:rsid w:val="38AD7F63"/>
    <w:rsid w:val="38B769E8"/>
    <w:rsid w:val="38C86055"/>
    <w:rsid w:val="38DF26A8"/>
    <w:rsid w:val="38E2331B"/>
    <w:rsid w:val="38F60B75"/>
    <w:rsid w:val="391515EB"/>
    <w:rsid w:val="3929719C"/>
    <w:rsid w:val="392E6561"/>
    <w:rsid w:val="39386DAA"/>
    <w:rsid w:val="394D6D52"/>
    <w:rsid w:val="394E09B1"/>
    <w:rsid w:val="39697599"/>
    <w:rsid w:val="396C0E37"/>
    <w:rsid w:val="397228F1"/>
    <w:rsid w:val="397F6DBC"/>
    <w:rsid w:val="39900FC9"/>
    <w:rsid w:val="39923CC5"/>
    <w:rsid w:val="39930ABA"/>
    <w:rsid w:val="39A13AF4"/>
    <w:rsid w:val="39A46823"/>
    <w:rsid w:val="39BE5B37"/>
    <w:rsid w:val="39C944DB"/>
    <w:rsid w:val="39C96289"/>
    <w:rsid w:val="39CC3033"/>
    <w:rsid w:val="39CE1115"/>
    <w:rsid w:val="39FA4695"/>
    <w:rsid w:val="39FF1CAB"/>
    <w:rsid w:val="3A00614F"/>
    <w:rsid w:val="3A020880"/>
    <w:rsid w:val="3A080B60"/>
    <w:rsid w:val="3A18053F"/>
    <w:rsid w:val="3A30455A"/>
    <w:rsid w:val="3A361B71"/>
    <w:rsid w:val="3A4D6EBA"/>
    <w:rsid w:val="3A5E4C24"/>
    <w:rsid w:val="3A661D2A"/>
    <w:rsid w:val="3A6F6E31"/>
    <w:rsid w:val="3A704957"/>
    <w:rsid w:val="3A72247D"/>
    <w:rsid w:val="3A7E52C6"/>
    <w:rsid w:val="3A8723CC"/>
    <w:rsid w:val="3A887B03"/>
    <w:rsid w:val="3A8C2EB9"/>
    <w:rsid w:val="3AAD729F"/>
    <w:rsid w:val="3AB54DA3"/>
    <w:rsid w:val="3ADA2E11"/>
    <w:rsid w:val="3ADB611B"/>
    <w:rsid w:val="3AE315CD"/>
    <w:rsid w:val="3AE656FD"/>
    <w:rsid w:val="3B0532F1"/>
    <w:rsid w:val="3B084B8F"/>
    <w:rsid w:val="3B0A4DAB"/>
    <w:rsid w:val="3B2216F2"/>
    <w:rsid w:val="3B2458B0"/>
    <w:rsid w:val="3B2E6F98"/>
    <w:rsid w:val="3B3346AA"/>
    <w:rsid w:val="3B351E28"/>
    <w:rsid w:val="3B697D24"/>
    <w:rsid w:val="3BAD2C5D"/>
    <w:rsid w:val="3BBF5B96"/>
    <w:rsid w:val="3BC11D04"/>
    <w:rsid w:val="3BCEADE5"/>
    <w:rsid w:val="3BD656B9"/>
    <w:rsid w:val="3BE519B4"/>
    <w:rsid w:val="3BE70C49"/>
    <w:rsid w:val="3BF05F44"/>
    <w:rsid w:val="3C0E61D6"/>
    <w:rsid w:val="3C3F2833"/>
    <w:rsid w:val="3C7050E2"/>
    <w:rsid w:val="3CD72A6B"/>
    <w:rsid w:val="3CF0295C"/>
    <w:rsid w:val="3D163594"/>
    <w:rsid w:val="3D17730C"/>
    <w:rsid w:val="3D204F2B"/>
    <w:rsid w:val="3D29776B"/>
    <w:rsid w:val="3D2A703F"/>
    <w:rsid w:val="3D32482E"/>
    <w:rsid w:val="3D3D3216"/>
    <w:rsid w:val="3D4E0F7F"/>
    <w:rsid w:val="3D581DFE"/>
    <w:rsid w:val="3D6267D9"/>
    <w:rsid w:val="3D670293"/>
    <w:rsid w:val="3D6A38DF"/>
    <w:rsid w:val="3D6C3B53"/>
    <w:rsid w:val="3DB57251"/>
    <w:rsid w:val="3DB86D41"/>
    <w:rsid w:val="3DBA4867"/>
    <w:rsid w:val="3DBB413B"/>
    <w:rsid w:val="3DBF4417"/>
    <w:rsid w:val="3DBFC313"/>
    <w:rsid w:val="3DC95DE0"/>
    <w:rsid w:val="3DE12C05"/>
    <w:rsid w:val="3DE92F1E"/>
    <w:rsid w:val="3DF21B38"/>
    <w:rsid w:val="3DFF671E"/>
    <w:rsid w:val="3E17702D"/>
    <w:rsid w:val="3E1A3557"/>
    <w:rsid w:val="3E360BF9"/>
    <w:rsid w:val="3E3A3AB8"/>
    <w:rsid w:val="3E4F46AE"/>
    <w:rsid w:val="3E760D57"/>
    <w:rsid w:val="3E9230EE"/>
    <w:rsid w:val="3EA572C5"/>
    <w:rsid w:val="3EAFC708"/>
    <w:rsid w:val="3EF91446"/>
    <w:rsid w:val="3F035D9A"/>
    <w:rsid w:val="3F1151BB"/>
    <w:rsid w:val="3F2D72BA"/>
    <w:rsid w:val="3F3D6B1F"/>
    <w:rsid w:val="3F491F68"/>
    <w:rsid w:val="3F536D21"/>
    <w:rsid w:val="3F6F1731"/>
    <w:rsid w:val="3F76656C"/>
    <w:rsid w:val="3F880418"/>
    <w:rsid w:val="3F9520B5"/>
    <w:rsid w:val="3F9D7F9C"/>
    <w:rsid w:val="3FA0183A"/>
    <w:rsid w:val="3FA96941"/>
    <w:rsid w:val="3FB7255B"/>
    <w:rsid w:val="3FC45529"/>
    <w:rsid w:val="3FCF2120"/>
    <w:rsid w:val="3FE536F1"/>
    <w:rsid w:val="400718BA"/>
    <w:rsid w:val="401C5365"/>
    <w:rsid w:val="40271F5C"/>
    <w:rsid w:val="40295CD4"/>
    <w:rsid w:val="402D5DC0"/>
    <w:rsid w:val="4033454D"/>
    <w:rsid w:val="403B0F7D"/>
    <w:rsid w:val="403F2E01"/>
    <w:rsid w:val="40632F94"/>
    <w:rsid w:val="40953369"/>
    <w:rsid w:val="409E1AEE"/>
    <w:rsid w:val="40BF2194"/>
    <w:rsid w:val="40CC37CF"/>
    <w:rsid w:val="40EA0ABF"/>
    <w:rsid w:val="40EA0BB5"/>
    <w:rsid w:val="40FB05FF"/>
    <w:rsid w:val="4105229D"/>
    <w:rsid w:val="41086370"/>
    <w:rsid w:val="4110365E"/>
    <w:rsid w:val="411B0AD9"/>
    <w:rsid w:val="41272213"/>
    <w:rsid w:val="41390199"/>
    <w:rsid w:val="41474664"/>
    <w:rsid w:val="415D7B9F"/>
    <w:rsid w:val="41742F7F"/>
    <w:rsid w:val="4175618E"/>
    <w:rsid w:val="41B95CFE"/>
    <w:rsid w:val="41C37A62"/>
    <w:rsid w:val="41D659E7"/>
    <w:rsid w:val="41E579D9"/>
    <w:rsid w:val="42042555"/>
    <w:rsid w:val="42054087"/>
    <w:rsid w:val="420543DE"/>
    <w:rsid w:val="42072045"/>
    <w:rsid w:val="421309EA"/>
    <w:rsid w:val="422B7AE1"/>
    <w:rsid w:val="424C018D"/>
    <w:rsid w:val="42964545"/>
    <w:rsid w:val="42B2779B"/>
    <w:rsid w:val="42D737C5"/>
    <w:rsid w:val="42DA32B5"/>
    <w:rsid w:val="42DB79D7"/>
    <w:rsid w:val="42E14644"/>
    <w:rsid w:val="430A17B4"/>
    <w:rsid w:val="430D5439"/>
    <w:rsid w:val="432B2CDF"/>
    <w:rsid w:val="433504EC"/>
    <w:rsid w:val="4346094B"/>
    <w:rsid w:val="43575CAD"/>
    <w:rsid w:val="43610C51"/>
    <w:rsid w:val="436808C1"/>
    <w:rsid w:val="43747266"/>
    <w:rsid w:val="4379487C"/>
    <w:rsid w:val="43866F99"/>
    <w:rsid w:val="43893B63"/>
    <w:rsid w:val="43921FC5"/>
    <w:rsid w:val="43A062AD"/>
    <w:rsid w:val="43A318F9"/>
    <w:rsid w:val="43AF029E"/>
    <w:rsid w:val="43B835F7"/>
    <w:rsid w:val="43BD6E5F"/>
    <w:rsid w:val="43CA50D8"/>
    <w:rsid w:val="43CC52F4"/>
    <w:rsid w:val="43D40C92"/>
    <w:rsid w:val="43DE3B85"/>
    <w:rsid w:val="43E77A38"/>
    <w:rsid w:val="43FD725B"/>
    <w:rsid w:val="44066B1E"/>
    <w:rsid w:val="440D650B"/>
    <w:rsid w:val="442764C7"/>
    <w:rsid w:val="44437501"/>
    <w:rsid w:val="44461C1B"/>
    <w:rsid w:val="44564BBE"/>
    <w:rsid w:val="445B0426"/>
    <w:rsid w:val="44623A35"/>
    <w:rsid w:val="449000D0"/>
    <w:rsid w:val="44A91191"/>
    <w:rsid w:val="45120AE5"/>
    <w:rsid w:val="45283316"/>
    <w:rsid w:val="4528655A"/>
    <w:rsid w:val="452B604A"/>
    <w:rsid w:val="4530540F"/>
    <w:rsid w:val="45435142"/>
    <w:rsid w:val="454F3AE7"/>
    <w:rsid w:val="45532502"/>
    <w:rsid w:val="45576E3F"/>
    <w:rsid w:val="455E3D2A"/>
    <w:rsid w:val="45603F46"/>
    <w:rsid w:val="4571562C"/>
    <w:rsid w:val="45763769"/>
    <w:rsid w:val="45921465"/>
    <w:rsid w:val="459C6AFE"/>
    <w:rsid w:val="45C142B9"/>
    <w:rsid w:val="45C51FFB"/>
    <w:rsid w:val="45CD4679"/>
    <w:rsid w:val="45CF2E79"/>
    <w:rsid w:val="45D67359"/>
    <w:rsid w:val="45DC6186"/>
    <w:rsid w:val="45F26AAE"/>
    <w:rsid w:val="45F60406"/>
    <w:rsid w:val="4617355E"/>
    <w:rsid w:val="464C6278"/>
    <w:rsid w:val="46560EA5"/>
    <w:rsid w:val="466C691A"/>
    <w:rsid w:val="466C6B3F"/>
    <w:rsid w:val="46717A8D"/>
    <w:rsid w:val="467B3D94"/>
    <w:rsid w:val="46A50CD8"/>
    <w:rsid w:val="46B34549"/>
    <w:rsid w:val="46BF6A4A"/>
    <w:rsid w:val="46D71FE6"/>
    <w:rsid w:val="46F2539B"/>
    <w:rsid w:val="47482EE3"/>
    <w:rsid w:val="4773693A"/>
    <w:rsid w:val="47835CCA"/>
    <w:rsid w:val="47B16CDB"/>
    <w:rsid w:val="47B40579"/>
    <w:rsid w:val="47B97FF9"/>
    <w:rsid w:val="47D97FDF"/>
    <w:rsid w:val="47DA1545"/>
    <w:rsid w:val="47DC4CA1"/>
    <w:rsid w:val="47EB386F"/>
    <w:rsid w:val="47F44E19"/>
    <w:rsid w:val="4820176A"/>
    <w:rsid w:val="482202D7"/>
    <w:rsid w:val="4823125B"/>
    <w:rsid w:val="48403BBB"/>
    <w:rsid w:val="48847F4B"/>
    <w:rsid w:val="488A3088"/>
    <w:rsid w:val="488A510E"/>
    <w:rsid w:val="489857A5"/>
    <w:rsid w:val="48A47D51"/>
    <w:rsid w:val="48AE6D76"/>
    <w:rsid w:val="48DCE487"/>
    <w:rsid w:val="48ED5C35"/>
    <w:rsid w:val="48EE7ABB"/>
    <w:rsid w:val="48F36E7F"/>
    <w:rsid w:val="48FA020D"/>
    <w:rsid w:val="490C58FB"/>
    <w:rsid w:val="49107A31"/>
    <w:rsid w:val="49294ADE"/>
    <w:rsid w:val="49392E7D"/>
    <w:rsid w:val="495D254A"/>
    <w:rsid w:val="4968786D"/>
    <w:rsid w:val="49715BC5"/>
    <w:rsid w:val="49804BB7"/>
    <w:rsid w:val="498B70B7"/>
    <w:rsid w:val="498E0956"/>
    <w:rsid w:val="499522CC"/>
    <w:rsid w:val="49995E63"/>
    <w:rsid w:val="49A563CB"/>
    <w:rsid w:val="49B91E77"/>
    <w:rsid w:val="49C5081B"/>
    <w:rsid w:val="49CC7DFC"/>
    <w:rsid w:val="49E8450A"/>
    <w:rsid w:val="49F64E79"/>
    <w:rsid w:val="4A070E34"/>
    <w:rsid w:val="4A0A4480"/>
    <w:rsid w:val="4A0F5F3A"/>
    <w:rsid w:val="4A1433DA"/>
    <w:rsid w:val="4A203CA4"/>
    <w:rsid w:val="4A45370A"/>
    <w:rsid w:val="4A4A2ACF"/>
    <w:rsid w:val="4A4F4B74"/>
    <w:rsid w:val="4A6F2535"/>
    <w:rsid w:val="4A873D23"/>
    <w:rsid w:val="4A954692"/>
    <w:rsid w:val="4A9F72BE"/>
    <w:rsid w:val="4AA2290B"/>
    <w:rsid w:val="4AA5064D"/>
    <w:rsid w:val="4AC705C3"/>
    <w:rsid w:val="4AD131F0"/>
    <w:rsid w:val="4AD66A58"/>
    <w:rsid w:val="4AF52ED4"/>
    <w:rsid w:val="4B1411AE"/>
    <w:rsid w:val="4B315A3D"/>
    <w:rsid w:val="4B3A1389"/>
    <w:rsid w:val="4B3F63AB"/>
    <w:rsid w:val="4B4340EE"/>
    <w:rsid w:val="4B526D79"/>
    <w:rsid w:val="4B55195F"/>
    <w:rsid w:val="4B663938"/>
    <w:rsid w:val="4B871B00"/>
    <w:rsid w:val="4B9366F7"/>
    <w:rsid w:val="4BA206E8"/>
    <w:rsid w:val="4BB24DCF"/>
    <w:rsid w:val="4BC30D8B"/>
    <w:rsid w:val="4BC66ACD"/>
    <w:rsid w:val="4BCD7E5B"/>
    <w:rsid w:val="4BD016F9"/>
    <w:rsid w:val="4BD905AE"/>
    <w:rsid w:val="4BDF36EB"/>
    <w:rsid w:val="4BE62CCB"/>
    <w:rsid w:val="4BEA7622"/>
    <w:rsid w:val="4C052C36"/>
    <w:rsid w:val="4C1B5024"/>
    <w:rsid w:val="4C3161CC"/>
    <w:rsid w:val="4C523EBC"/>
    <w:rsid w:val="4C7622A1"/>
    <w:rsid w:val="4C806C7C"/>
    <w:rsid w:val="4CA7245A"/>
    <w:rsid w:val="4CB9218D"/>
    <w:rsid w:val="4CD174D7"/>
    <w:rsid w:val="4CE511D4"/>
    <w:rsid w:val="4CE5247E"/>
    <w:rsid w:val="4CEE1E37"/>
    <w:rsid w:val="4CFE5DF2"/>
    <w:rsid w:val="4D043409"/>
    <w:rsid w:val="4D0E072B"/>
    <w:rsid w:val="4D123D77"/>
    <w:rsid w:val="4D1A2C2C"/>
    <w:rsid w:val="4D1B69A4"/>
    <w:rsid w:val="4D3239D4"/>
    <w:rsid w:val="4D330192"/>
    <w:rsid w:val="4D4203D5"/>
    <w:rsid w:val="4D4654B8"/>
    <w:rsid w:val="4D471547"/>
    <w:rsid w:val="4D583754"/>
    <w:rsid w:val="4D64034B"/>
    <w:rsid w:val="4D677E3B"/>
    <w:rsid w:val="4D810EFD"/>
    <w:rsid w:val="4D92310A"/>
    <w:rsid w:val="4DAE3242"/>
    <w:rsid w:val="4DBF1A26"/>
    <w:rsid w:val="4DC25072"/>
    <w:rsid w:val="4DEA1C1D"/>
    <w:rsid w:val="4DEF770C"/>
    <w:rsid w:val="4DF669E6"/>
    <w:rsid w:val="4E317FF7"/>
    <w:rsid w:val="4E402B66"/>
    <w:rsid w:val="4E55757B"/>
    <w:rsid w:val="4E5B34FC"/>
    <w:rsid w:val="4E7520E4"/>
    <w:rsid w:val="4E9B7D9D"/>
    <w:rsid w:val="4EB55ABE"/>
    <w:rsid w:val="4ED11A10"/>
    <w:rsid w:val="4EFA3B41"/>
    <w:rsid w:val="4F02606E"/>
    <w:rsid w:val="4F0A0A7E"/>
    <w:rsid w:val="4F0C2A48"/>
    <w:rsid w:val="4F0E2C85"/>
    <w:rsid w:val="4F103D94"/>
    <w:rsid w:val="4F267062"/>
    <w:rsid w:val="4F2F6737"/>
    <w:rsid w:val="4F302BDB"/>
    <w:rsid w:val="4F3376A8"/>
    <w:rsid w:val="4F3D5063"/>
    <w:rsid w:val="4F4026F2"/>
    <w:rsid w:val="4F731F21"/>
    <w:rsid w:val="4F90367A"/>
    <w:rsid w:val="4FA26F09"/>
    <w:rsid w:val="4FBA6948"/>
    <w:rsid w:val="4FE87012"/>
    <w:rsid w:val="4FEB08B0"/>
    <w:rsid w:val="4FF43C08"/>
    <w:rsid w:val="50074618"/>
    <w:rsid w:val="500876B4"/>
    <w:rsid w:val="50285660"/>
    <w:rsid w:val="502B6EFE"/>
    <w:rsid w:val="50377F99"/>
    <w:rsid w:val="50566671"/>
    <w:rsid w:val="50593A6B"/>
    <w:rsid w:val="5086682B"/>
    <w:rsid w:val="50964CC0"/>
    <w:rsid w:val="509C7DFC"/>
    <w:rsid w:val="50BC78F1"/>
    <w:rsid w:val="50F30247"/>
    <w:rsid w:val="511172D9"/>
    <w:rsid w:val="51143E36"/>
    <w:rsid w:val="512A5408"/>
    <w:rsid w:val="512A7C48"/>
    <w:rsid w:val="51360251"/>
    <w:rsid w:val="51385D77"/>
    <w:rsid w:val="514A5AAA"/>
    <w:rsid w:val="51532BB1"/>
    <w:rsid w:val="515C701B"/>
    <w:rsid w:val="51672BF3"/>
    <w:rsid w:val="5175220F"/>
    <w:rsid w:val="51962A9D"/>
    <w:rsid w:val="51A010D6"/>
    <w:rsid w:val="51A72C5B"/>
    <w:rsid w:val="51B11685"/>
    <w:rsid w:val="51E23F34"/>
    <w:rsid w:val="51EB103B"/>
    <w:rsid w:val="51FC4FF6"/>
    <w:rsid w:val="5201085F"/>
    <w:rsid w:val="52025275"/>
    <w:rsid w:val="521340EE"/>
    <w:rsid w:val="52240FED"/>
    <w:rsid w:val="524F15CA"/>
    <w:rsid w:val="527934C5"/>
    <w:rsid w:val="527F3531"/>
    <w:rsid w:val="528172AA"/>
    <w:rsid w:val="528C45CC"/>
    <w:rsid w:val="52905D6C"/>
    <w:rsid w:val="52A82A88"/>
    <w:rsid w:val="52AD4542"/>
    <w:rsid w:val="52B94C95"/>
    <w:rsid w:val="52CB49C9"/>
    <w:rsid w:val="52CB6777"/>
    <w:rsid w:val="52EC6E19"/>
    <w:rsid w:val="52F03646"/>
    <w:rsid w:val="52FC2C8D"/>
    <w:rsid w:val="531E0F9C"/>
    <w:rsid w:val="53511372"/>
    <w:rsid w:val="535C34CA"/>
    <w:rsid w:val="536444B8"/>
    <w:rsid w:val="536966BB"/>
    <w:rsid w:val="536A2433"/>
    <w:rsid w:val="53760DD8"/>
    <w:rsid w:val="538A73DF"/>
    <w:rsid w:val="538D3872"/>
    <w:rsid w:val="539B6326"/>
    <w:rsid w:val="53B37937"/>
    <w:rsid w:val="53C1052D"/>
    <w:rsid w:val="53D967E6"/>
    <w:rsid w:val="53DA4EC3"/>
    <w:rsid w:val="53E47AF0"/>
    <w:rsid w:val="53E90DAD"/>
    <w:rsid w:val="53EA0E7E"/>
    <w:rsid w:val="540B51FB"/>
    <w:rsid w:val="54181E8F"/>
    <w:rsid w:val="542608A9"/>
    <w:rsid w:val="542A77B8"/>
    <w:rsid w:val="543D5452"/>
    <w:rsid w:val="546450D5"/>
    <w:rsid w:val="548B2661"/>
    <w:rsid w:val="548F2152"/>
    <w:rsid w:val="549E4143"/>
    <w:rsid w:val="54A0435F"/>
    <w:rsid w:val="54C31DFB"/>
    <w:rsid w:val="54C87412"/>
    <w:rsid w:val="54EF499E"/>
    <w:rsid w:val="54F33592"/>
    <w:rsid w:val="55093012"/>
    <w:rsid w:val="552A00CC"/>
    <w:rsid w:val="55386FB1"/>
    <w:rsid w:val="55432F3C"/>
    <w:rsid w:val="55434CEA"/>
    <w:rsid w:val="55546EF7"/>
    <w:rsid w:val="555B0586"/>
    <w:rsid w:val="555C6BD0"/>
    <w:rsid w:val="55630EE8"/>
    <w:rsid w:val="558A46C7"/>
    <w:rsid w:val="558F7F2F"/>
    <w:rsid w:val="559E76D2"/>
    <w:rsid w:val="55A81A65"/>
    <w:rsid w:val="55AC0AE1"/>
    <w:rsid w:val="55AF05D2"/>
    <w:rsid w:val="55B31E70"/>
    <w:rsid w:val="55BF23EE"/>
    <w:rsid w:val="55CF409A"/>
    <w:rsid w:val="5621502B"/>
    <w:rsid w:val="562C1C22"/>
    <w:rsid w:val="5632548A"/>
    <w:rsid w:val="56332FB1"/>
    <w:rsid w:val="56365414"/>
    <w:rsid w:val="56421214"/>
    <w:rsid w:val="56680EAC"/>
    <w:rsid w:val="56703856"/>
    <w:rsid w:val="567315FF"/>
    <w:rsid w:val="56955A19"/>
    <w:rsid w:val="56A66920"/>
    <w:rsid w:val="56BF4844"/>
    <w:rsid w:val="56C500AD"/>
    <w:rsid w:val="56D976B4"/>
    <w:rsid w:val="56F00EA2"/>
    <w:rsid w:val="56F8250A"/>
    <w:rsid w:val="56FC15F5"/>
    <w:rsid w:val="56FD7CD0"/>
    <w:rsid w:val="57027519"/>
    <w:rsid w:val="57064A98"/>
    <w:rsid w:val="57266671"/>
    <w:rsid w:val="57323268"/>
    <w:rsid w:val="573963A5"/>
    <w:rsid w:val="574D0D59"/>
    <w:rsid w:val="57511940"/>
    <w:rsid w:val="5762118D"/>
    <w:rsid w:val="57743881"/>
    <w:rsid w:val="577D0987"/>
    <w:rsid w:val="5789732C"/>
    <w:rsid w:val="578B2EF1"/>
    <w:rsid w:val="57945CD1"/>
    <w:rsid w:val="57A8352A"/>
    <w:rsid w:val="57BF2D4E"/>
    <w:rsid w:val="57D96C56"/>
    <w:rsid w:val="57EE3633"/>
    <w:rsid w:val="57FA323B"/>
    <w:rsid w:val="57FF75EE"/>
    <w:rsid w:val="58247055"/>
    <w:rsid w:val="5842572D"/>
    <w:rsid w:val="586631C9"/>
    <w:rsid w:val="58711B6E"/>
    <w:rsid w:val="58783637"/>
    <w:rsid w:val="587C0C3F"/>
    <w:rsid w:val="588E4582"/>
    <w:rsid w:val="5898359F"/>
    <w:rsid w:val="589F0489"/>
    <w:rsid w:val="58A601B5"/>
    <w:rsid w:val="58F5454D"/>
    <w:rsid w:val="590B5737"/>
    <w:rsid w:val="591250FF"/>
    <w:rsid w:val="591A6D21"/>
    <w:rsid w:val="59253085"/>
    <w:rsid w:val="592B4413"/>
    <w:rsid w:val="59434531"/>
    <w:rsid w:val="594554D5"/>
    <w:rsid w:val="59505C28"/>
    <w:rsid w:val="5958639F"/>
    <w:rsid w:val="595B0854"/>
    <w:rsid w:val="596C0CB3"/>
    <w:rsid w:val="598041CB"/>
    <w:rsid w:val="598D3023"/>
    <w:rsid w:val="599A79A6"/>
    <w:rsid w:val="59A10231"/>
    <w:rsid w:val="59AC24F7"/>
    <w:rsid w:val="59AD4E28"/>
    <w:rsid w:val="59C669A8"/>
    <w:rsid w:val="59DA7910"/>
    <w:rsid w:val="59EC38E1"/>
    <w:rsid w:val="59EF219F"/>
    <w:rsid w:val="5A0A227A"/>
    <w:rsid w:val="5A2E41BB"/>
    <w:rsid w:val="5A4C63EF"/>
    <w:rsid w:val="5A597744"/>
    <w:rsid w:val="5A5C0D28"/>
    <w:rsid w:val="5A693A4F"/>
    <w:rsid w:val="5A736BAA"/>
    <w:rsid w:val="5A9009D2"/>
    <w:rsid w:val="5AB3021C"/>
    <w:rsid w:val="5AF32D0E"/>
    <w:rsid w:val="5AFF16B3"/>
    <w:rsid w:val="5B0B5C18"/>
    <w:rsid w:val="5B184523"/>
    <w:rsid w:val="5B1F49A4"/>
    <w:rsid w:val="5B370E4D"/>
    <w:rsid w:val="5B445318"/>
    <w:rsid w:val="5B477393"/>
    <w:rsid w:val="5B4BFDAF"/>
    <w:rsid w:val="5B5437AD"/>
    <w:rsid w:val="5B63298B"/>
    <w:rsid w:val="5B85605C"/>
    <w:rsid w:val="5B977B3E"/>
    <w:rsid w:val="5B9C6F02"/>
    <w:rsid w:val="5BA31F6D"/>
    <w:rsid w:val="5BD13050"/>
    <w:rsid w:val="5BD26DC8"/>
    <w:rsid w:val="5BD655A2"/>
    <w:rsid w:val="5BDB5C7C"/>
    <w:rsid w:val="5BE07737"/>
    <w:rsid w:val="5BF94355"/>
    <w:rsid w:val="5C2A0E90"/>
    <w:rsid w:val="5C2B7692"/>
    <w:rsid w:val="5C390BF5"/>
    <w:rsid w:val="5C3929A3"/>
    <w:rsid w:val="5C401F83"/>
    <w:rsid w:val="5C40476C"/>
    <w:rsid w:val="5C425CFC"/>
    <w:rsid w:val="5C4952DC"/>
    <w:rsid w:val="5C5123E2"/>
    <w:rsid w:val="5C735EB5"/>
    <w:rsid w:val="5CAE5E6B"/>
    <w:rsid w:val="5CB36BF9"/>
    <w:rsid w:val="5CBD5382"/>
    <w:rsid w:val="5CD01FBE"/>
    <w:rsid w:val="5CD03307"/>
    <w:rsid w:val="5CD1707F"/>
    <w:rsid w:val="5CEB0141"/>
    <w:rsid w:val="5CED3EB9"/>
    <w:rsid w:val="5CED6664"/>
    <w:rsid w:val="5D0E3E30"/>
    <w:rsid w:val="5D1F7DEB"/>
    <w:rsid w:val="5D221689"/>
    <w:rsid w:val="5D3560D4"/>
    <w:rsid w:val="5D6A375C"/>
    <w:rsid w:val="5D8202BE"/>
    <w:rsid w:val="5D891708"/>
    <w:rsid w:val="5DB22A0D"/>
    <w:rsid w:val="5DD07337"/>
    <w:rsid w:val="5DD56FF0"/>
    <w:rsid w:val="5DD92690"/>
    <w:rsid w:val="5DDD17E1"/>
    <w:rsid w:val="5DE3706A"/>
    <w:rsid w:val="5DF11787"/>
    <w:rsid w:val="5DF9063C"/>
    <w:rsid w:val="5DFC726C"/>
    <w:rsid w:val="5E1D5B3E"/>
    <w:rsid w:val="5E225DE5"/>
    <w:rsid w:val="5E2A6A47"/>
    <w:rsid w:val="5E5001EE"/>
    <w:rsid w:val="5E652ADE"/>
    <w:rsid w:val="5E710FBC"/>
    <w:rsid w:val="5E7F176F"/>
    <w:rsid w:val="5E8545C5"/>
    <w:rsid w:val="5E936558"/>
    <w:rsid w:val="5E9D7480"/>
    <w:rsid w:val="5EAE7678"/>
    <w:rsid w:val="5EC96260"/>
    <w:rsid w:val="5EDD1D0C"/>
    <w:rsid w:val="5EE217F9"/>
    <w:rsid w:val="5EE27322"/>
    <w:rsid w:val="5EE75B17"/>
    <w:rsid w:val="5EEF6B9A"/>
    <w:rsid w:val="5F27742B"/>
    <w:rsid w:val="5F28567D"/>
    <w:rsid w:val="5F3A0F0C"/>
    <w:rsid w:val="5F4B3119"/>
    <w:rsid w:val="5F5415CE"/>
    <w:rsid w:val="5F585836"/>
    <w:rsid w:val="5F64545E"/>
    <w:rsid w:val="5F6E0BB6"/>
    <w:rsid w:val="5F797C86"/>
    <w:rsid w:val="5F993D1B"/>
    <w:rsid w:val="5F9D0CBA"/>
    <w:rsid w:val="5FA958A9"/>
    <w:rsid w:val="5FCF78A6"/>
    <w:rsid w:val="5FD27AAD"/>
    <w:rsid w:val="5FD41360"/>
    <w:rsid w:val="5FD72BFF"/>
    <w:rsid w:val="5FEB66AA"/>
    <w:rsid w:val="5FED41D0"/>
    <w:rsid w:val="5FF4CB73"/>
    <w:rsid w:val="5FF7D553"/>
    <w:rsid w:val="60036C0D"/>
    <w:rsid w:val="60145C01"/>
    <w:rsid w:val="6017124D"/>
    <w:rsid w:val="602A2D2E"/>
    <w:rsid w:val="60327E35"/>
    <w:rsid w:val="60622ED8"/>
    <w:rsid w:val="60792793"/>
    <w:rsid w:val="60795A64"/>
    <w:rsid w:val="607A2F67"/>
    <w:rsid w:val="608C39E9"/>
    <w:rsid w:val="609D5BF6"/>
    <w:rsid w:val="60A01243"/>
    <w:rsid w:val="60AE6449"/>
    <w:rsid w:val="60BD3BA3"/>
    <w:rsid w:val="60CF1B28"/>
    <w:rsid w:val="60D1360B"/>
    <w:rsid w:val="60D4713E"/>
    <w:rsid w:val="60DA29A7"/>
    <w:rsid w:val="60DC0870"/>
    <w:rsid w:val="60E86BFD"/>
    <w:rsid w:val="60EA20B9"/>
    <w:rsid w:val="610923E5"/>
    <w:rsid w:val="61161505"/>
    <w:rsid w:val="611D0E9C"/>
    <w:rsid w:val="612F7FCE"/>
    <w:rsid w:val="613D4CE3"/>
    <w:rsid w:val="61453B98"/>
    <w:rsid w:val="61734BA9"/>
    <w:rsid w:val="618034E5"/>
    <w:rsid w:val="61826B9A"/>
    <w:rsid w:val="618F19E3"/>
    <w:rsid w:val="619568CD"/>
    <w:rsid w:val="61AD66ED"/>
    <w:rsid w:val="61B050E7"/>
    <w:rsid w:val="61B551C2"/>
    <w:rsid w:val="61BE4076"/>
    <w:rsid w:val="61C80A51"/>
    <w:rsid w:val="61D70C94"/>
    <w:rsid w:val="61E11B13"/>
    <w:rsid w:val="61E360BE"/>
    <w:rsid w:val="61FB0E26"/>
    <w:rsid w:val="62055A75"/>
    <w:rsid w:val="62065A1D"/>
    <w:rsid w:val="621912AD"/>
    <w:rsid w:val="621F43E9"/>
    <w:rsid w:val="622F1669"/>
    <w:rsid w:val="623460E6"/>
    <w:rsid w:val="62365B47"/>
    <w:rsid w:val="624D53FA"/>
    <w:rsid w:val="62562501"/>
    <w:rsid w:val="625B7B17"/>
    <w:rsid w:val="625D388F"/>
    <w:rsid w:val="62650996"/>
    <w:rsid w:val="62683FE2"/>
    <w:rsid w:val="626B793D"/>
    <w:rsid w:val="62764FAB"/>
    <w:rsid w:val="627666FF"/>
    <w:rsid w:val="629B008E"/>
    <w:rsid w:val="629C3C79"/>
    <w:rsid w:val="629D0130"/>
    <w:rsid w:val="62AD11D0"/>
    <w:rsid w:val="62B22401"/>
    <w:rsid w:val="62E80C7F"/>
    <w:rsid w:val="62F51D1A"/>
    <w:rsid w:val="62FA736F"/>
    <w:rsid w:val="63003949"/>
    <w:rsid w:val="63027F93"/>
    <w:rsid w:val="63046130"/>
    <w:rsid w:val="631A1780"/>
    <w:rsid w:val="631A7E30"/>
    <w:rsid w:val="632443AD"/>
    <w:rsid w:val="63350160"/>
    <w:rsid w:val="633B39FC"/>
    <w:rsid w:val="63506F50"/>
    <w:rsid w:val="63575791"/>
    <w:rsid w:val="63696264"/>
    <w:rsid w:val="63750C42"/>
    <w:rsid w:val="63960D2D"/>
    <w:rsid w:val="63A70B3A"/>
    <w:rsid w:val="63B17E96"/>
    <w:rsid w:val="63C416EC"/>
    <w:rsid w:val="63C74D38"/>
    <w:rsid w:val="63E0176B"/>
    <w:rsid w:val="63E453A9"/>
    <w:rsid w:val="63F7386F"/>
    <w:rsid w:val="64033FC2"/>
    <w:rsid w:val="640922D0"/>
    <w:rsid w:val="641A2EBD"/>
    <w:rsid w:val="641C6E32"/>
    <w:rsid w:val="64295840"/>
    <w:rsid w:val="64395E7C"/>
    <w:rsid w:val="643C74D4"/>
    <w:rsid w:val="64412DBA"/>
    <w:rsid w:val="64476F4B"/>
    <w:rsid w:val="64540CC2"/>
    <w:rsid w:val="64616F3B"/>
    <w:rsid w:val="646802C9"/>
    <w:rsid w:val="646A2293"/>
    <w:rsid w:val="646D768E"/>
    <w:rsid w:val="6477675E"/>
    <w:rsid w:val="64852C29"/>
    <w:rsid w:val="64992B79"/>
    <w:rsid w:val="64CE4D88"/>
    <w:rsid w:val="64DE058B"/>
    <w:rsid w:val="64E02CF2"/>
    <w:rsid w:val="64EC2CA8"/>
    <w:rsid w:val="64FF2A33"/>
    <w:rsid w:val="65077AE2"/>
    <w:rsid w:val="652A028A"/>
    <w:rsid w:val="6535464F"/>
    <w:rsid w:val="653F6B42"/>
    <w:rsid w:val="65407C11"/>
    <w:rsid w:val="65495368"/>
    <w:rsid w:val="655B3896"/>
    <w:rsid w:val="655E3A77"/>
    <w:rsid w:val="65644F35"/>
    <w:rsid w:val="65674A25"/>
    <w:rsid w:val="657809E0"/>
    <w:rsid w:val="658B24C1"/>
    <w:rsid w:val="658B4268"/>
    <w:rsid w:val="658C7000"/>
    <w:rsid w:val="65A74E21"/>
    <w:rsid w:val="65AC068A"/>
    <w:rsid w:val="65E816C2"/>
    <w:rsid w:val="65E9543A"/>
    <w:rsid w:val="66012783"/>
    <w:rsid w:val="66094DB9"/>
    <w:rsid w:val="661078D0"/>
    <w:rsid w:val="66171FA7"/>
    <w:rsid w:val="661C136B"/>
    <w:rsid w:val="661E3757"/>
    <w:rsid w:val="66364CA3"/>
    <w:rsid w:val="664D59C9"/>
    <w:rsid w:val="665C474C"/>
    <w:rsid w:val="665F17E4"/>
    <w:rsid w:val="666176C6"/>
    <w:rsid w:val="666D606B"/>
    <w:rsid w:val="66723681"/>
    <w:rsid w:val="66907D40"/>
    <w:rsid w:val="66BE125A"/>
    <w:rsid w:val="66CD4D5B"/>
    <w:rsid w:val="66E7147B"/>
    <w:rsid w:val="66EA76BB"/>
    <w:rsid w:val="66F402EA"/>
    <w:rsid w:val="66F9345B"/>
    <w:rsid w:val="67036A86"/>
    <w:rsid w:val="670C7632"/>
    <w:rsid w:val="671B5AC7"/>
    <w:rsid w:val="671F6C47"/>
    <w:rsid w:val="67283D40"/>
    <w:rsid w:val="672A5D0A"/>
    <w:rsid w:val="672A7AB8"/>
    <w:rsid w:val="672F727C"/>
    <w:rsid w:val="67423054"/>
    <w:rsid w:val="6747692C"/>
    <w:rsid w:val="67656D42"/>
    <w:rsid w:val="67717495"/>
    <w:rsid w:val="677F7E04"/>
    <w:rsid w:val="6780592A"/>
    <w:rsid w:val="67B0620F"/>
    <w:rsid w:val="67BA708E"/>
    <w:rsid w:val="67C07E4A"/>
    <w:rsid w:val="67DA7730"/>
    <w:rsid w:val="67DD0719"/>
    <w:rsid w:val="67FB2A48"/>
    <w:rsid w:val="67FC76A6"/>
    <w:rsid w:val="67FD2B83"/>
    <w:rsid w:val="67FF2F55"/>
    <w:rsid w:val="68057723"/>
    <w:rsid w:val="680D18B3"/>
    <w:rsid w:val="681F5143"/>
    <w:rsid w:val="68203D1B"/>
    <w:rsid w:val="68472B6D"/>
    <w:rsid w:val="685272C6"/>
    <w:rsid w:val="68531CDD"/>
    <w:rsid w:val="68680898"/>
    <w:rsid w:val="687E2F9C"/>
    <w:rsid w:val="68945B31"/>
    <w:rsid w:val="689C707B"/>
    <w:rsid w:val="68A67612"/>
    <w:rsid w:val="68CD1043"/>
    <w:rsid w:val="68E1064A"/>
    <w:rsid w:val="68E37F9C"/>
    <w:rsid w:val="68E51EE8"/>
    <w:rsid w:val="68FA40F3"/>
    <w:rsid w:val="68FE11FC"/>
    <w:rsid w:val="690031C6"/>
    <w:rsid w:val="69042303"/>
    <w:rsid w:val="690C3919"/>
    <w:rsid w:val="691D5B26"/>
    <w:rsid w:val="69201173"/>
    <w:rsid w:val="69272501"/>
    <w:rsid w:val="69322309"/>
    <w:rsid w:val="694035C3"/>
    <w:rsid w:val="694626F8"/>
    <w:rsid w:val="69594031"/>
    <w:rsid w:val="69696D75"/>
    <w:rsid w:val="698431D7"/>
    <w:rsid w:val="698A2A90"/>
    <w:rsid w:val="69947FE8"/>
    <w:rsid w:val="699A71FC"/>
    <w:rsid w:val="69A8763A"/>
    <w:rsid w:val="69B67D29"/>
    <w:rsid w:val="69C20DE4"/>
    <w:rsid w:val="69C50ADB"/>
    <w:rsid w:val="69C74CBB"/>
    <w:rsid w:val="69DF2DDC"/>
    <w:rsid w:val="69E03E3B"/>
    <w:rsid w:val="6A0C210D"/>
    <w:rsid w:val="6A0D7DED"/>
    <w:rsid w:val="6A1D56B2"/>
    <w:rsid w:val="6A211646"/>
    <w:rsid w:val="6A2151A2"/>
    <w:rsid w:val="6A462E5B"/>
    <w:rsid w:val="6A7019A4"/>
    <w:rsid w:val="6A786D8C"/>
    <w:rsid w:val="6A8B4D12"/>
    <w:rsid w:val="6A972E4E"/>
    <w:rsid w:val="6ACD70D8"/>
    <w:rsid w:val="6AD119EC"/>
    <w:rsid w:val="6AD9782B"/>
    <w:rsid w:val="6ADDFEA1"/>
    <w:rsid w:val="6AE508C6"/>
    <w:rsid w:val="6B1940CB"/>
    <w:rsid w:val="6B361121"/>
    <w:rsid w:val="6B421874"/>
    <w:rsid w:val="6B604762"/>
    <w:rsid w:val="6B6A6C83"/>
    <w:rsid w:val="6B770DC1"/>
    <w:rsid w:val="6B944D8F"/>
    <w:rsid w:val="6BB72D7E"/>
    <w:rsid w:val="6BBD539F"/>
    <w:rsid w:val="6BC9782A"/>
    <w:rsid w:val="6BCE220C"/>
    <w:rsid w:val="6BCF6E80"/>
    <w:rsid w:val="6BD12BF8"/>
    <w:rsid w:val="6BE24E05"/>
    <w:rsid w:val="6BE75F78"/>
    <w:rsid w:val="6BEC358E"/>
    <w:rsid w:val="6BF608B1"/>
    <w:rsid w:val="6BF84629"/>
    <w:rsid w:val="6C2B67AC"/>
    <w:rsid w:val="6C514054"/>
    <w:rsid w:val="6C5D26DE"/>
    <w:rsid w:val="6C5F0204"/>
    <w:rsid w:val="6C702411"/>
    <w:rsid w:val="6C755C79"/>
    <w:rsid w:val="6C770BB5"/>
    <w:rsid w:val="6C845EBC"/>
    <w:rsid w:val="6C86741D"/>
    <w:rsid w:val="6C8E6D3B"/>
    <w:rsid w:val="6C9A748E"/>
    <w:rsid w:val="6C9E6F7E"/>
    <w:rsid w:val="6CA83959"/>
    <w:rsid w:val="6CB70040"/>
    <w:rsid w:val="6CB93DB8"/>
    <w:rsid w:val="6CCB3AEB"/>
    <w:rsid w:val="6CD96208"/>
    <w:rsid w:val="6CFA4F3B"/>
    <w:rsid w:val="6CFD2D81"/>
    <w:rsid w:val="6D0E651B"/>
    <w:rsid w:val="6D0F1C2A"/>
    <w:rsid w:val="6D125276"/>
    <w:rsid w:val="6D192AA9"/>
    <w:rsid w:val="6D1D3BF9"/>
    <w:rsid w:val="6D1F744D"/>
    <w:rsid w:val="6D203E37"/>
    <w:rsid w:val="6D25444C"/>
    <w:rsid w:val="6D352F7B"/>
    <w:rsid w:val="6D437B25"/>
    <w:rsid w:val="6D5B09CB"/>
    <w:rsid w:val="6D6D6950"/>
    <w:rsid w:val="6D77157D"/>
    <w:rsid w:val="6D9D14A4"/>
    <w:rsid w:val="6DAD4F9F"/>
    <w:rsid w:val="6DB63E53"/>
    <w:rsid w:val="6DCA5B51"/>
    <w:rsid w:val="6DD15131"/>
    <w:rsid w:val="6DE54739"/>
    <w:rsid w:val="6DF5E025"/>
    <w:rsid w:val="6E027099"/>
    <w:rsid w:val="6E0607D2"/>
    <w:rsid w:val="6E196913"/>
    <w:rsid w:val="6E245261"/>
    <w:rsid w:val="6E2C680B"/>
    <w:rsid w:val="6E3A2CD6"/>
    <w:rsid w:val="6E3B07FD"/>
    <w:rsid w:val="6E6E0BD2"/>
    <w:rsid w:val="6E6E3BE9"/>
    <w:rsid w:val="6E76733B"/>
    <w:rsid w:val="6E8612AA"/>
    <w:rsid w:val="6E9248C1"/>
    <w:rsid w:val="6EA91C0A"/>
    <w:rsid w:val="6EAD16FA"/>
    <w:rsid w:val="6EB365E5"/>
    <w:rsid w:val="6ED0368D"/>
    <w:rsid w:val="6ED50F94"/>
    <w:rsid w:val="6EE92007"/>
    <w:rsid w:val="6EEA392C"/>
    <w:rsid w:val="6EF747E7"/>
    <w:rsid w:val="6EFA7E44"/>
    <w:rsid w:val="6F15104E"/>
    <w:rsid w:val="6F2C17AC"/>
    <w:rsid w:val="6F516BAB"/>
    <w:rsid w:val="6F631DB9"/>
    <w:rsid w:val="6F796C19"/>
    <w:rsid w:val="6F9603E0"/>
    <w:rsid w:val="6F96218E"/>
    <w:rsid w:val="6FB26695"/>
    <w:rsid w:val="6FC211D5"/>
    <w:rsid w:val="6FF77C41"/>
    <w:rsid w:val="70096E04"/>
    <w:rsid w:val="70313A42"/>
    <w:rsid w:val="7049481C"/>
    <w:rsid w:val="705B5186"/>
    <w:rsid w:val="707F0E75"/>
    <w:rsid w:val="70860455"/>
    <w:rsid w:val="70B2124A"/>
    <w:rsid w:val="70B52AE8"/>
    <w:rsid w:val="70B54896"/>
    <w:rsid w:val="70C26FB3"/>
    <w:rsid w:val="70C41323"/>
    <w:rsid w:val="70D7582F"/>
    <w:rsid w:val="70DE5BAC"/>
    <w:rsid w:val="70E06818"/>
    <w:rsid w:val="70EE1B56"/>
    <w:rsid w:val="70EE7FD0"/>
    <w:rsid w:val="70F51CC1"/>
    <w:rsid w:val="70F60C6B"/>
    <w:rsid w:val="711772FF"/>
    <w:rsid w:val="712424A9"/>
    <w:rsid w:val="71520337"/>
    <w:rsid w:val="71777D9E"/>
    <w:rsid w:val="71816E6E"/>
    <w:rsid w:val="718D75C1"/>
    <w:rsid w:val="71984832"/>
    <w:rsid w:val="719E532A"/>
    <w:rsid w:val="71A30B93"/>
    <w:rsid w:val="71A803D2"/>
    <w:rsid w:val="71AC3EEB"/>
    <w:rsid w:val="71BC1C54"/>
    <w:rsid w:val="71EA5041"/>
    <w:rsid w:val="71FB277D"/>
    <w:rsid w:val="72023B0B"/>
    <w:rsid w:val="720750AB"/>
    <w:rsid w:val="72135D18"/>
    <w:rsid w:val="7213773D"/>
    <w:rsid w:val="721970A7"/>
    <w:rsid w:val="721B4B69"/>
    <w:rsid w:val="722523DA"/>
    <w:rsid w:val="7238752D"/>
    <w:rsid w:val="724834E8"/>
    <w:rsid w:val="724A54B2"/>
    <w:rsid w:val="725274EA"/>
    <w:rsid w:val="72651D1D"/>
    <w:rsid w:val="72824C4C"/>
    <w:rsid w:val="728F1117"/>
    <w:rsid w:val="729F57FE"/>
    <w:rsid w:val="72AC7F1B"/>
    <w:rsid w:val="72BB1F0C"/>
    <w:rsid w:val="72BC63B0"/>
    <w:rsid w:val="72CC4119"/>
    <w:rsid w:val="72D902DB"/>
    <w:rsid w:val="72D922D2"/>
    <w:rsid w:val="72E15E16"/>
    <w:rsid w:val="72EC0317"/>
    <w:rsid w:val="72F31818"/>
    <w:rsid w:val="72F40506"/>
    <w:rsid w:val="730A615D"/>
    <w:rsid w:val="7329331A"/>
    <w:rsid w:val="73352A0F"/>
    <w:rsid w:val="73366491"/>
    <w:rsid w:val="733E7955"/>
    <w:rsid w:val="733F2341"/>
    <w:rsid w:val="7349576A"/>
    <w:rsid w:val="7363318F"/>
    <w:rsid w:val="73784B15"/>
    <w:rsid w:val="73A40BF2"/>
    <w:rsid w:val="73B9644B"/>
    <w:rsid w:val="73C13552"/>
    <w:rsid w:val="73D414D7"/>
    <w:rsid w:val="73E159A2"/>
    <w:rsid w:val="73E27753"/>
    <w:rsid w:val="73EB6821"/>
    <w:rsid w:val="73F27BAF"/>
    <w:rsid w:val="73FC458A"/>
    <w:rsid w:val="73FE47A6"/>
    <w:rsid w:val="740A5D4F"/>
    <w:rsid w:val="74681C20"/>
    <w:rsid w:val="748F53FE"/>
    <w:rsid w:val="749809E1"/>
    <w:rsid w:val="74C4779E"/>
    <w:rsid w:val="74DB0643"/>
    <w:rsid w:val="74F3598D"/>
    <w:rsid w:val="74FF4400"/>
    <w:rsid w:val="75181898"/>
    <w:rsid w:val="752F4586"/>
    <w:rsid w:val="75377F70"/>
    <w:rsid w:val="753A35BC"/>
    <w:rsid w:val="755A1EB0"/>
    <w:rsid w:val="757C62BA"/>
    <w:rsid w:val="75966973"/>
    <w:rsid w:val="75993854"/>
    <w:rsid w:val="75BF3AC1"/>
    <w:rsid w:val="75C567D4"/>
    <w:rsid w:val="75CA2B92"/>
    <w:rsid w:val="75CF63FA"/>
    <w:rsid w:val="75D32B1E"/>
    <w:rsid w:val="76005B8B"/>
    <w:rsid w:val="76063720"/>
    <w:rsid w:val="760944E2"/>
    <w:rsid w:val="760F2C9B"/>
    <w:rsid w:val="76116A13"/>
    <w:rsid w:val="761958C7"/>
    <w:rsid w:val="7630676D"/>
    <w:rsid w:val="76370B8C"/>
    <w:rsid w:val="76377AFB"/>
    <w:rsid w:val="763C02F5"/>
    <w:rsid w:val="763D2B1F"/>
    <w:rsid w:val="763F6D05"/>
    <w:rsid w:val="764D731F"/>
    <w:rsid w:val="76534121"/>
    <w:rsid w:val="765468FF"/>
    <w:rsid w:val="76676633"/>
    <w:rsid w:val="766B147C"/>
    <w:rsid w:val="76827673"/>
    <w:rsid w:val="76876CD5"/>
    <w:rsid w:val="768B3538"/>
    <w:rsid w:val="768C6099"/>
    <w:rsid w:val="76A41635"/>
    <w:rsid w:val="76B15B00"/>
    <w:rsid w:val="76B33626"/>
    <w:rsid w:val="76B55D08"/>
    <w:rsid w:val="76B61368"/>
    <w:rsid w:val="76D23B71"/>
    <w:rsid w:val="76D77B5B"/>
    <w:rsid w:val="76DA4F81"/>
    <w:rsid w:val="76E80E22"/>
    <w:rsid w:val="76F529B8"/>
    <w:rsid w:val="770025E3"/>
    <w:rsid w:val="770245AD"/>
    <w:rsid w:val="770754B2"/>
    <w:rsid w:val="77135F98"/>
    <w:rsid w:val="771C566F"/>
    <w:rsid w:val="77291B3A"/>
    <w:rsid w:val="772E30C3"/>
    <w:rsid w:val="774D3A7A"/>
    <w:rsid w:val="77536BB7"/>
    <w:rsid w:val="77765AAD"/>
    <w:rsid w:val="77A13DC6"/>
    <w:rsid w:val="77D45F4A"/>
    <w:rsid w:val="77D61F04"/>
    <w:rsid w:val="77DD1CBE"/>
    <w:rsid w:val="77FD969B"/>
    <w:rsid w:val="780659D7"/>
    <w:rsid w:val="78232A2D"/>
    <w:rsid w:val="78396B34"/>
    <w:rsid w:val="783B7D77"/>
    <w:rsid w:val="78482494"/>
    <w:rsid w:val="784A7FBA"/>
    <w:rsid w:val="787119EB"/>
    <w:rsid w:val="78762B5D"/>
    <w:rsid w:val="789353C9"/>
    <w:rsid w:val="789E20B4"/>
    <w:rsid w:val="78B611AB"/>
    <w:rsid w:val="78BD078C"/>
    <w:rsid w:val="78BE62B2"/>
    <w:rsid w:val="78D04EAD"/>
    <w:rsid w:val="78DA5F74"/>
    <w:rsid w:val="78E977D3"/>
    <w:rsid w:val="79002D6F"/>
    <w:rsid w:val="79050385"/>
    <w:rsid w:val="790D3456"/>
    <w:rsid w:val="79164340"/>
    <w:rsid w:val="791A7F61"/>
    <w:rsid w:val="79287546"/>
    <w:rsid w:val="792E3438"/>
    <w:rsid w:val="792E51E6"/>
    <w:rsid w:val="792F71B0"/>
    <w:rsid w:val="794C38BE"/>
    <w:rsid w:val="7950639F"/>
    <w:rsid w:val="79762964"/>
    <w:rsid w:val="79A862DB"/>
    <w:rsid w:val="79B95342"/>
    <w:rsid w:val="79DD09BA"/>
    <w:rsid w:val="79F562E7"/>
    <w:rsid w:val="79FC0F94"/>
    <w:rsid w:val="7A002417"/>
    <w:rsid w:val="7A114262"/>
    <w:rsid w:val="7A312B48"/>
    <w:rsid w:val="7A320D06"/>
    <w:rsid w:val="7A430B5F"/>
    <w:rsid w:val="7A5A025C"/>
    <w:rsid w:val="7A666C01"/>
    <w:rsid w:val="7A7E5F0B"/>
    <w:rsid w:val="7A826F8A"/>
    <w:rsid w:val="7A9D480F"/>
    <w:rsid w:val="7AAF042F"/>
    <w:rsid w:val="7AAF29A1"/>
    <w:rsid w:val="7AF366E7"/>
    <w:rsid w:val="7AF67F85"/>
    <w:rsid w:val="7B034450"/>
    <w:rsid w:val="7B1228E5"/>
    <w:rsid w:val="7B171D01"/>
    <w:rsid w:val="7B29A22E"/>
    <w:rsid w:val="7B2E5971"/>
    <w:rsid w:val="7B31720F"/>
    <w:rsid w:val="7B42141C"/>
    <w:rsid w:val="7B580C40"/>
    <w:rsid w:val="7B5B12E2"/>
    <w:rsid w:val="7B5D2507"/>
    <w:rsid w:val="7B71246B"/>
    <w:rsid w:val="7B783090"/>
    <w:rsid w:val="7B8E01BE"/>
    <w:rsid w:val="7B9A6617"/>
    <w:rsid w:val="7B9B3F93"/>
    <w:rsid w:val="7BA048B9"/>
    <w:rsid w:val="7BB3231A"/>
    <w:rsid w:val="7BBC344E"/>
    <w:rsid w:val="7BBF6E5D"/>
    <w:rsid w:val="7BCB31C0"/>
    <w:rsid w:val="7BD8636F"/>
    <w:rsid w:val="7BDCC144"/>
    <w:rsid w:val="7BE54825"/>
    <w:rsid w:val="7C232FFC"/>
    <w:rsid w:val="7C286864"/>
    <w:rsid w:val="7C3589DB"/>
    <w:rsid w:val="7C3639F5"/>
    <w:rsid w:val="7C606D6D"/>
    <w:rsid w:val="7C693ED0"/>
    <w:rsid w:val="7C6D3A08"/>
    <w:rsid w:val="7C727ADF"/>
    <w:rsid w:val="7C8D1DBB"/>
    <w:rsid w:val="7C961A20"/>
    <w:rsid w:val="7CAF2AE1"/>
    <w:rsid w:val="7CB400F8"/>
    <w:rsid w:val="7CB81B01"/>
    <w:rsid w:val="7CC145C3"/>
    <w:rsid w:val="7CD42548"/>
    <w:rsid w:val="7CFB5D27"/>
    <w:rsid w:val="7D0F68B1"/>
    <w:rsid w:val="7D1172F8"/>
    <w:rsid w:val="7D146DE8"/>
    <w:rsid w:val="7D20753B"/>
    <w:rsid w:val="7D2F3C22"/>
    <w:rsid w:val="7D3E3F8C"/>
    <w:rsid w:val="7D3E79C1"/>
    <w:rsid w:val="7D406FB9"/>
    <w:rsid w:val="7D4A45B8"/>
    <w:rsid w:val="7D507DD4"/>
    <w:rsid w:val="7D7FEE0D"/>
    <w:rsid w:val="7D894928"/>
    <w:rsid w:val="7DAE4B47"/>
    <w:rsid w:val="7DB91369"/>
    <w:rsid w:val="7DBFF9B0"/>
    <w:rsid w:val="7DC26844"/>
    <w:rsid w:val="7DC54BFB"/>
    <w:rsid w:val="7DCE3B5B"/>
    <w:rsid w:val="7DD6409E"/>
    <w:rsid w:val="7DDE1223"/>
    <w:rsid w:val="7DFA7D8C"/>
    <w:rsid w:val="7E0429B9"/>
    <w:rsid w:val="7E153490"/>
    <w:rsid w:val="7E165433"/>
    <w:rsid w:val="7E301A00"/>
    <w:rsid w:val="7E3037AE"/>
    <w:rsid w:val="7E461224"/>
    <w:rsid w:val="7E6B47E6"/>
    <w:rsid w:val="7E6D4A02"/>
    <w:rsid w:val="7E991412"/>
    <w:rsid w:val="7EA06B86"/>
    <w:rsid w:val="7EB73ECF"/>
    <w:rsid w:val="7EBB39C0"/>
    <w:rsid w:val="7EBC3294"/>
    <w:rsid w:val="7EEC0498"/>
    <w:rsid w:val="7EF1F59B"/>
    <w:rsid w:val="7EFB3DBC"/>
    <w:rsid w:val="7EFD6A24"/>
    <w:rsid w:val="7EFE38AC"/>
    <w:rsid w:val="7EFF6F9C"/>
    <w:rsid w:val="7EFFDBD7"/>
    <w:rsid w:val="7F032C71"/>
    <w:rsid w:val="7F054C3B"/>
    <w:rsid w:val="7F0C5FC9"/>
    <w:rsid w:val="7F1B539F"/>
    <w:rsid w:val="7F240ECD"/>
    <w:rsid w:val="7F4A08A0"/>
    <w:rsid w:val="7F54171E"/>
    <w:rsid w:val="7F563747"/>
    <w:rsid w:val="7F840255"/>
    <w:rsid w:val="7F8C1A7C"/>
    <w:rsid w:val="7F945FBF"/>
    <w:rsid w:val="7FCE327F"/>
    <w:rsid w:val="7FDF548C"/>
    <w:rsid w:val="7FE64847"/>
    <w:rsid w:val="7FE72592"/>
    <w:rsid w:val="7FE8B90A"/>
    <w:rsid w:val="7FF6A521"/>
    <w:rsid w:val="7FFD1DB6"/>
    <w:rsid w:val="9CDE80DB"/>
    <w:rsid w:val="9FE78C3E"/>
    <w:rsid w:val="AAB9CA47"/>
    <w:rsid w:val="ABB4D346"/>
    <w:rsid w:val="AF5BA60F"/>
    <w:rsid w:val="AFCEF2AE"/>
    <w:rsid w:val="BDD379EE"/>
    <w:rsid w:val="CEEFD4C1"/>
    <w:rsid w:val="D97FCED1"/>
    <w:rsid w:val="DD35FE91"/>
    <w:rsid w:val="DEAFB606"/>
    <w:rsid w:val="DFDB0092"/>
    <w:rsid w:val="E57F6B8F"/>
    <w:rsid w:val="E7FBE342"/>
    <w:rsid w:val="E7FFD8F6"/>
    <w:rsid w:val="EB7BBA43"/>
    <w:rsid w:val="EC5DAC7E"/>
    <w:rsid w:val="EE5A3513"/>
    <w:rsid w:val="EFBF180B"/>
    <w:rsid w:val="F7BFB459"/>
    <w:rsid w:val="FCD35CA2"/>
    <w:rsid w:val="FDC7F759"/>
    <w:rsid w:val="FDFD4637"/>
    <w:rsid w:val="FE6E3D82"/>
    <w:rsid w:val="FED7DF05"/>
    <w:rsid w:val="FEFF8AAE"/>
    <w:rsid w:val="FEFFA3A3"/>
    <w:rsid w:val="FF7B96E6"/>
    <w:rsid w:val="FF7BD1B8"/>
    <w:rsid w:val="FFE06830"/>
    <w:rsid w:val="FFEF8E41"/>
    <w:rsid w:val="FFFD4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rPr>
      <w:rFonts w:ascii="Times New Roman"/>
    </w:rPr>
  </w:style>
  <w:style w:type="paragraph" w:styleId="3">
    <w:name w:val="Normal Indent"/>
    <w:basedOn w:val="1"/>
    <w:qFormat/>
    <w:uiPriority w:val="99"/>
    <w:pPr>
      <w:ind w:firstLine="420"/>
    </w:pPr>
    <w:rPr>
      <w:rFonts w:ascii="Calibri" w:hAnsi="Calibri"/>
    </w:rPr>
  </w:style>
  <w:style w:type="paragraph" w:styleId="4">
    <w:name w:val="Balloon Text"/>
    <w:basedOn w:val="1"/>
    <w:link w:val="15"/>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line="360" w:lineRule="auto"/>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FollowedHyperlink"/>
    <w:basedOn w:val="10"/>
    <w:qFormat/>
    <w:uiPriority w:val="0"/>
    <w:rPr>
      <w:color w:val="000000"/>
      <w:u w:val="none"/>
    </w:rPr>
  </w:style>
  <w:style w:type="character" w:styleId="12">
    <w:name w:val="Emphasis"/>
    <w:basedOn w:val="10"/>
    <w:qFormat/>
    <w:uiPriority w:val="0"/>
  </w:style>
  <w:style w:type="character" w:styleId="13">
    <w:name w:val="Hyperlink"/>
    <w:basedOn w:val="10"/>
    <w:qFormat/>
    <w:uiPriority w:val="0"/>
    <w:rPr>
      <w:color w:val="000000"/>
      <w:u w:val="none"/>
    </w:rPr>
  </w:style>
  <w:style w:type="paragraph" w:customStyle="1" w:styleId="14">
    <w:name w:val="p0"/>
    <w:basedOn w:val="1"/>
    <w:qFormat/>
    <w:uiPriority w:val="0"/>
    <w:pPr>
      <w:widowControl/>
    </w:pPr>
    <w:rPr>
      <w:kern w:val="0"/>
      <w:szCs w:val="21"/>
    </w:rPr>
  </w:style>
  <w:style w:type="character" w:customStyle="1" w:styleId="15">
    <w:name w:val="批注框文本 Char"/>
    <w:basedOn w:val="10"/>
    <w:link w:val="4"/>
    <w:qFormat/>
    <w:uiPriority w:val="0"/>
    <w:rPr>
      <w:rFonts w:asciiTheme="minorHAnsi" w:hAnsiTheme="minorHAnsi" w:eastAsiaTheme="minorEastAsia" w:cstheme="minorBidi"/>
      <w:kern w:val="2"/>
      <w:sz w:val="18"/>
      <w:szCs w:val="18"/>
    </w:rPr>
  </w:style>
  <w:style w:type="character" w:customStyle="1" w:styleId="16">
    <w:name w:val="font01"/>
    <w:basedOn w:val="10"/>
    <w:qFormat/>
    <w:uiPriority w:val="0"/>
    <w:rPr>
      <w:rFonts w:ascii="Arial" w:hAnsi="Arial" w:cs="Arial"/>
      <w:color w:val="000000"/>
      <w:sz w:val="20"/>
      <w:szCs w:val="20"/>
      <w:u w:val="none"/>
    </w:rPr>
  </w:style>
  <w:style w:type="character" w:customStyle="1" w:styleId="17">
    <w:name w:val="font11"/>
    <w:basedOn w:val="10"/>
    <w:qFormat/>
    <w:uiPriority w:val="0"/>
    <w:rPr>
      <w:rFonts w:hint="eastAsia" w:ascii="宋体" w:hAnsi="宋体" w:eastAsia="宋体" w:cs="宋体"/>
      <w:color w:val="000000"/>
      <w:sz w:val="20"/>
      <w:szCs w:val="20"/>
      <w:u w:val="none"/>
    </w:rPr>
  </w:style>
  <w:style w:type="character" w:customStyle="1" w:styleId="18">
    <w:name w:val="a_p_2"/>
    <w:basedOn w:val="10"/>
    <w:qFormat/>
    <w:uiPriority w:val="0"/>
  </w:style>
  <w:style w:type="character" w:customStyle="1" w:styleId="19">
    <w:name w:val="a_p_21"/>
    <w:basedOn w:val="10"/>
    <w:qFormat/>
    <w:uiPriority w:val="0"/>
    <w:rPr>
      <w:sz w:val="27"/>
      <w:szCs w:val="27"/>
    </w:rPr>
  </w:style>
  <w:style w:type="character" w:customStyle="1" w:styleId="20">
    <w:name w:val="ul_li_a_1"/>
    <w:basedOn w:val="10"/>
    <w:qFormat/>
    <w:uiPriority w:val="0"/>
    <w:rPr>
      <w:b/>
      <w:bCs/>
      <w:color w:val="FFFFFF"/>
    </w:rPr>
  </w:style>
  <w:style w:type="character" w:customStyle="1" w:styleId="21">
    <w:name w:val="exap"/>
    <w:basedOn w:val="10"/>
    <w:qFormat/>
    <w:uiPriority w:val="0"/>
    <w:rPr>
      <w:sz w:val="27"/>
      <w:szCs w:val="27"/>
    </w:rPr>
  </w:style>
  <w:style w:type="character" w:customStyle="1" w:styleId="22">
    <w:name w:val="a_p_1"/>
    <w:basedOn w:val="10"/>
    <w:qFormat/>
    <w:uiPriority w:val="0"/>
    <w:rPr>
      <w:sz w:val="27"/>
      <w:szCs w:val="27"/>
    </w:rPr>
  </w:style>
  <w:style w:type="character" w:customStyle="1" w:styleId="23">
    <w:name w:val="a_p_3"/>
    <w:basedOn w:val="10"/>
    <w:qFormat/>
    <w:uiPriority w:val="0"/>
    <w:rPr>
      <w:sz w:val="27"/>
      <w:szCs w:val="27"/>
    </w:rPr>
  </w:style>
  <w:style w:type="character" w:customStyle="1" w:styleId="24">
    <w:name w:val="font51"/>
    <w:basedOn w:val="10"/>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5011</Words>
  <Characters>6054</Characters>
  <Lines>29</Lines>
  <Paragraphs>8</Paragraphs>
  <TotalTime>33</TotalTime>
  <ScaleCrop>false</ScaleCrop>
  <LinksUpToDate>false</LinksUpToDate>
  <CharactersWithSpaces>6120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2020-05-20T16:43:00Z</dcterms:created>
  <dc:creator>自由快乐雨</dc:creator>
  <cp:lastModifiedBy>雯雯</cp:lastModifiedBy>
  <cp:lastPrinted>2026-07-27T09:59:24Z</cp:lastPrinted>
  <dcterms:modified xsi:type="dcterms:W3CDTF">2026-07-27T10:19:38Z</dcterms:modified>
  <cp:revision>139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A6B1BFFB6D2246D992FE6D30EACBCFCB_13</vt:lpwstr>
  </property>
  <property fmtid="{D5CDD505-2E9C-101B-9397-08002B2CF9AE}" pid="4" name="KSOTemplateDocerSaveRecord">
    <vt:lpwstr>eyJoZGlkIjoiYTRmMzc4ODRiMjIyMjZkYzYyZDlkYzEzMjI3ZGQ3NDMiLCJ1c2VySWQiOiIzMTk2OTY3NDUifQ==</vt:lpwstr>
  </property>
</Properties>
</file>