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jc w:val="center"/>
        <w:rPr>
          <w:rFonts w:hint="default" w:ascii="Times New Roman" w:hAnsi="Times New Roman" w:eastAsia="方正小标宋简体" w:cs="Times New Roman"/>
          <w:color w:val="000000"/>
          <w:sz w:val="44"/>
          <w:szCs w:val="44"/>
        </w:rPr>
      </w:pPr>
    </w:p>
    <w:p>
      <w:pPr>
        <w:adjustRightInd w:val="0"/>
        <w:snapToGrid w:val="0"/>
        <w:spacing w:line="460" w:lineRule="exact"/>
        <w:jc w:val="center"/>
        <w:rPr>
          <w:rFonts w:hint="default" w:ascii="Times New Roman" w:hAnsi="Times New Roman" w:eastAsia="方正小标宋简体" w:cs="Times New Roman"/>
          <w:color w:val="000000"/>
          <w:sz w:val="44"/>
          <w:szCs w:val="44"/>
        </w:rPr>
      </w:pPr>
    </w:p>
    <w:p>
      <w:pPr>
        <w:widowControl/>
        <w:jc w:val="left"/>
        <w:rPr>
          <w:rFonts w:hint="default" w:ascii="Times New Roman" w:hAnsi="Times New Roman" w:eastAsia="黑体" w:cs="Times New Roman"/>
          <w:color w:val="000000"/>
          <w:kern w:val="0"/>
          <w:sz w:val="28"/>
          <w:szCs w:val="28"/>
        </w:rPr>
      </w:pPr>
    </w:p>
    <w:p>
      <w:pPr>
        <w:widowControl/>
        <w:jc w:val="left"/>
        <w:rPr>
          <w:rFonts w:hint="default" w:ascii="Times New Roman" w:hAnsi="Times New Roman" w:eastAsia="黑体" w:cs="Times New Roman"/>
          <w:color w:val="000000"/>
          <w:kern w:val="0"/>
          <w:sz w:val="28"/>
          <w:szCs w:val="28"/>
        </w:rPr>
      </w:pPr>
    </w:p>
    <w:p>
      <w:pPr>
        <w:widowControl/>
        <w:jc w:val="left"/>
        <w:rPr>
          <w:rFonts w:hint="default" w:ascii="Times New Roman" w:hAnsi="Times New Roman" w:eastAsia="黑体" w:cs="Times New Roman"/>
          <w:color w:val="000000"/>
          <w:kern w:val="0"/>
          <w:sz w:val="28"/>
          <w:szCs w:val="28"/>
        </w:rPr>
      </w:pPr>
    </w:p>
    <w:p>
      <w:pPr>
        <w:widowControl/>
        <w:jc w:val="left"/>
        <w:rPr>
          <w:rFonts w:hint="default" w:ascii="Times New Roman" w:hAnsi="Times New Roman" w:eastAsia="黑体" w:cs="Times New Roman"/>
          <w:color w:val="000000"/>
          <w:kern w:val="0"/>
          <w:sz w:val="28"/>
          <w:szCs w:val="28"/>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焦作市马村区总工会</w:t>
      </w:r>
    </w:p>
    <w:p>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202</w:t>
      </w:r>
      <w:r>
        <w:rPr>
          <w:rFonts w:hint="eastAsia" w:ascii="Times New Roman" w:hAnsi="Times New Roman" w:eastAsia="黑体" w:cs="Times New Roman"/>
          <w:b/>
          <w:bCs/>
          <w:color w:val="000000"/>
          <w:sz w:val="52"/>
          <w:szCs w:val="52"/>
          <w:lang w:val="en-US" w:eastAsia="zh-CN"/>
        </w:rPr>
        <w:t>4</w:t>
      </w:r>
      <w:r>
        <w:rPr>
          <w:rFonts w:hint="default" w:ascii="Times New Roman" w:hAnsi="Times New Roman" w:eastAsia="黑体" w:cs="Times New Roman"/>
          <w:b/>
          <w:bCs/>
          <w:color w:val="000000"/>
          <w:sz w:val="52"/>
          <w:szCs w:val="52"/>
          <w:lang w:val="en-US" w:eastAsia="zh-CN"/>
        </w:rPr>
        <w:t>年度部门预算</w:t>
      </w: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p>
    <w:p>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202</w:t>
      </w:r>
      <w:r>
        <w:rPr>
          <w:rFonts w:hint="eastAsia" w:ascii="Times New Roman" w:hAnsi="Times New Roman" w:eastAsia="黑体" w:cs="Times New Roman"/>
          <w:b/>
          <w:bCs/>
          <w:color w:val="000000"/>
          <w:sz w:val="52"/>
          <w:szCs w:val="52"/>
          <w:lang w:val="en-US" w:eastAsia="zh-CN"/>
        </w:rPr>
        <w:t>4</w:t>
      </w:r>
      <w:r>
        <w:rPr>
          <w:rFonts w:hint="default" w:ascii="Times New Roman" w:hAnsi="Times New Roman" w:eastAsia="黑体" w:cs="Times New Roman"/>
          <w:b/>
          <w:bCs/>
          <w:color w:val="000000"/>
          <w:sz w:val="52"/>
          <w:szCs w:val="52"/>
          <w:lang w:val="en-US" w:eastAsia="zh-CN"/>
        </w:rPr>
        <w:t>年3月</w:t>
      </w:r>
    </w:p>
    <w:p>
      <w:pPr>
        <w:jc w:val="center"/>
        <w:rPr>
          <w:rFonts w:hint="default" w:ascii="Times New Roman" w:hAnsi="Times New Roman" w:eastAsia="黑体" w:cs="Times New Roman"/>
          <w:sz w:val="52"/>
          <w:szCs w:val="52"/>
        </w:rPr>
      </w:pPr>
    </w:p>
    <w:p>
      <w:pPr>
        <w:jc w:val="both"/>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p>
    <w:p>
      <w:pPr>
        <w:overflowPunct w:val="0"/>
        <w:adjustRightInd w:val="0"/>
        <w:snapToGrid w:val="0"/>
        <w:spacing w:line="550" w:lineRule="exact"/>
        <w:ind w:left="-142" w:right="51" w:firstLine="30" w:firstLineChars="7"/>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br w:type="page"/>
      </w:r>
      <w:r>
        <w:rPr>
          <w:rFonts w:hint="default" w:ascii="Times New Roman" w:hAnsi="Times New Roman" w:eastAsia="方正小标宋简体" w:cs="Times New Roman"/>
          <w:b/>
          <w:bCs/>
          <w:color w:val="000000"/>
          <w:sz w:val="44"/>
          <w:szCs w:val="44"/>
        </w:rPr>
        <w:t>目  录</w:t>
      </w:r>
    </w:p>
    <w:p>
      <w:pPr>
        <w:overflowPunct w:val="0"/>
        <w:adjustRightInd w:val="0"/>
        <w:snapToGrid w:val="0"/>
        <w:spacing w:line="550" w:lineRule="exact"/>
        <w:ind w:right="3569" w:firstLine="624" w:firstLineChars="200"/>
        <w:rPr>
          <w:rFonts w:hint="default" w:ascii="Times New Roman" w:hAnsi="Times New Roman" w:eastAsia="仿宋_GB2312" w:cs="Times New Roman"/>
          <w:b/>
          <w:bCs/>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24" w:firstLineChars="200"/>
        <w:textAlignment w:val="auto"/>
        <w:outlineLvl w:val="0"/>
        <w:rPr>
          <w:rFonts w:hint="default" w:ascii="Times New Roman" w:hAnsi="Times New Roman" w:eastAsia="楷体_GB2312" w:cs="Times New Roman"/>
          <w:b/>
          <w:bCs/>
          <w:color w:val="000000"/>
          <w:kern w:val="0"/>
          <w:sz w:val="32"/>
          <w:szCs w:val="32"/>
          <w:lang w:eastAsia="zh-CN"/>
        </w:rPr>
      </w:pPr>
      <w:r>
        <w:rPr>
          <w:rFonts w:hint="default" w:ascii="Times New Roman" w:hAnsi="Times New Roman" w:eastAsia="楷体_GB2312" w:cs="Times New Roman"/>
          <w:b/>
          <w:bCs/>
          <w:color w:val="000000"/>
          <w:kern w:val="0"/>
          <w:sz w:val="32"/>
          <w:szCs w:val="32"/>
        </w:rPr>
        <w:t>第一部分  概况</w:t>
      </w:r>
    </w:p>
    <w:p>
      <w:pPr>
        <w:keepNext w:val="0"/>
        <w:keepLines w:val="0"/>
        <w:pageBreakBefore w:val="0"/>
        <w:widowControl w:val="0"/>
        <w:kinsoku/>
        <w:wordWrap/>
        <w:overflowPunct w:val="0"/>
        <w:topLinePunct w:val="0"/>
        <w:autoSpaceDE/>
        <w:autoSpaceDN/>
        <w:bidi w:val="0"/>
        <w:adjustRightInd w:val="0"/>
        <w:snapToGrid w:val="0"/>
        <w:spacing w:line="550" w:lineRule="exact"/>
        <w:ind w:right="3569" w:firstLine="936" w:firstLineChars="3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一、主要职能</w:t>
      </w:r>
    </w:p>
    <w:p>
      <w:pPr>
        <w:keepNext w:val="0"/>
        <w:keepLines w:val="0"/>
        <w:pageBreakBefore w:val="0"/>
        <w:widowControl w:val="0"/>
        <w:kinsoku/>
        <w:wordWrap/>
        <w:overflowPunct w:val="0"/>
        <w:topLinePunct w:val="0"/>
        <w:autoSpaceDE/>
        <w:autoSpaceDN/>
        <w:bidi w:val="0"/>
        <w:adjustRightInd w:val="0"/>
        <w:snapToGrid w:val="0"/>
        <w:spacing w:line="550" w:lineRule="exact"/>
        <w:ind w:right="3569" w:firstLine="936" w:firstLineChars="3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二、预算单位构成</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24" w:firstLineChars="200"/>
        <w:textAlignment w:val="auto"/>
        <w:outlineLvl w:val="0"/>
        <w:rPr>
          <w:rFonts w:hint="default" w:ascii="Times New Roman" w:hAnsi="Times New Roman" w:eastAsia="楷体_GB2312" w:cs="Times New Roman"/>
          <w:b/>
          <w:bCs/>
          <w:color w:val="000000"/>
          <w:kern w:val="0"/>
          <w:sz w:val="32"/>
          <w:szCs w:val="32"/>
        </w:rPr>
      </w:pPr>
      <w:r>
        <w:rPr>
          <w:rFonts w:hint="default" w:ascii="Times New Roman" w:hAnsi="Times New Roman" w:eastAsia="楷体_GB2312" w:cs="Times New Roman"/>
          <w:b/>
          <w:bCs/>
          <w:color w:val="000000"/>
          <w:kern w:val="0"/>
          <w:sz w:val="32"/>
          <w:szCs w:val="32"/>
        </w:rPr>
        <w:t xml:space="preserve">第二部分 </w:t>
      </w:r>
      <w:r>
        <w:rPr>
          <w:rFonts w:hint="default" w:ascii="Times New Roman" w:hAnsi="Times New Roman" w:eastAsia="楷体_GB2312" w:cs="Times New Roman"/>
          <w:b/>
          <w:bCs/>
          <w:color w:val="000000"/>
          <w:kern w:val="0"/>
          <w:sz w:val="32"/>
          <w:szCs w:val="32"/>
          <w:lang w:eastAsia="zh-CN"/>
        </w:rPr>
        <w:t>焦作市</w:t>
      </w:r>
      <w:r>
        <w:rPr>
          <w:rFonts w:hint="default" w:ascii="Times New Roman" w:hAnsi="Times New Roman" w:eastAsia="楷体_GB2312" w:cs="Times New Roman"/>
          <w:b/>
          <w:bCs/>
          <w:color w:val="000000"/>
          <w:kern w:val="0"/>
          <w:sz w:val="32"/>
          <w:szCs w:val="32"/>
        </w:rPr>
        <w:t>马村区</w:t>
      </w:r>
      <w:r>
        <w:rPr>
          <w:rFonts w:hint="default" w:ascii="Times New Roman" w:hAnsi="Times New Roman" w:eastAsia="楷体_GB2312" w:cs="Times New Roman"/>
          <w:b/>
          <w:bCs/>
          <w:color w:val="000000"/>
          <w:kern w:val="0"/>
          <w:sz w:val="32"/>
          <w:szCs w:val="32"/>
          <w:lang w:eastAsia="zh-CN"/>
        </w:rPr>
        <w:t>总会部门</w:t>
      </w:r>
      <w:r>
        <w:rPr>
          <w:rFonts w:hint="default" w:ascii="Times New Roman" w:hAnsi="Times New Roman" w:eastAsia="楷体_GB2312" w:cs="Times New Roman"/>
          <w:b/>
          <w:bCs/>
          <w:color w:val="000000"/>
          <w:kern w:val="0"/>
          <w:sz w:val="32"/>
          <w:szCs w:val="32"/>
        </w:rPr>
        <w:t>202</w:t>
      </w:r>
      <w:r>
        <w:rPr>
          <w:rFonts w:hint="eastAsia" w:ascii="Times New Roman" w:hAnsi="Times New Roman" w:eastAsia="楷体_GB2312" w:cs="Times New Roman"/>
          <w:b/>
          <w:bCs/>
          <w:color w:val="000000"/>
          <w:kern w:val="0"/>
          <w:sz w:val="32"/>
          <w:szCs w:val="32"/>
          <w:lang w:val="en-US" w:eastAsia="zh-CN"/>
        </w:rPr>
        <w:t>4</w:t>
      </w:r>
      <w:r>
        <w:rPr>
          <w:rFonts w:hint="default" w:ascii="Times New Roman" w:hAnsi="Times New Roman" w:eastAsia="楷体_GB2312" w:cs="Times New Roman"/>
          <w:b/>
          <w:bCs/>
          <w:color w:val="000000"/>
          <w:kern w:val="0"/>
          <w:sz w:val="32"/>
          <w:szCs w:val="32"/>
        </w:rPr>
        <w:t>年预算情况说明</w:t>
      </w:r>
    </w:p>
    <w:p>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24" w:firstLineChars="200"/>
        <w:textAlignment w:val="auto"/>
        <w:outlineLvl w:val="0"/>
        <w:rPr>
          <w:rFonts w:hint="default" w:ascii="Times New Roman" w:hAnsi="Times New Roman" w:eastAsia="楷体_GB2312" w:cs="Times New Roman"/>
          <w:b/>
          <w:bCs/>
          <w:color w:val="000000"/>
          <w:kern w:val="0"/>
          <w:sz w:val="32"/>
          <w:szCs w:val="32"/>
        </w:rPr>
      </w:pPr>
      <w:r>
        <w:rPr>
          <w:rFonts w:hint="default" w:ascii="Times New Roman" w:hAnsi="Times New Roman" w:eastAsia="楷体_GB2312" w:cs="Times New Roman"/>
          <w:b/>
          <w:bCs/>
          <w:color w:val="000000"/>
          <w:kern w:val="0"/>
          <w:sz w:val="32"/>
          <w:szCs w:val="32"/>
        </w:rPr>
        <w:t>第三部分 名词解释</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附件：</w:t>
      </w:r>
      <w:r>
        <w:rPr>
          <w:rFonts w:hint="default" w:ascii="Times New Roman" w:hAnsi="Times New Roman" w:eastAsia="仿宋_GB2312" w:cs="Times New Roman"/>
          <w:b w:val="0"/>
          <w:bCs w:val="0"/>
          <w:color w:val="000000"/>
          <w:sz w:val="32"/>
          <w:szCs w:val="32"/>
          <w:lang w:eastAsia="zh-CN"/>
        </w:rPr>
        <w:t>焦作市马村区总工会部门</w:t>
      </w:r>
      <w:r>
        <w:rPr>
          <w:rFonts w:hint="default" w:ascii="Times New Roman" w:hAnsi="Times New Roman" w:eastAsia="仿宋_GB2312" w:cs="Times New Roman"/>
          <w:b w:val="0"/>
          <w:bCs w:val="0"/>
          <w:color w:val="000000"/>
          <w:sz w:val="32"/>
          <w:szCs w:val="32"/>
        </w:rPr>
        <w:t>202</w:t>
      </w:r>
      <w:r>
        <w:rPr>
          <w:rFonts w:hint="eastAsia" w:ascii="Times New Roman" w:hAnsi="Times New Roman"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年度预算表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一、部门收支预算表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二、部门收入预算表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三、部门支出预算表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四、财政拨款收支预算表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六、一般公共预算基本支出预算表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七、一般公共预算基本支出明细表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八、支出经济分类汇总表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九、一般公共预算“三公”经费预算表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十二、项目支出预算表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w:t>
      </w:r>
      <w:r>
        <w:rPr>
          <w:rFonts w:hint="default" w:ascii="Times New Roman" w:hAnsi="Times New Roman" w:eastAsia="仿宋_GB2312" w:cs="Times New Roman"/>
          <w:sz w:val="32"/>
          <w:szCs w:val="32"/>
          <w:lang w:eastAsia="zh-CN"/>
        </w:rPr>
        <w:t>机关（机构）</w:t>
      </w:r>
      <w:r>
        <w:rPr>
          <w:rFonts w:hint="default" w:ascii="Times New Roman" w:hAnsi="Times New Roman" w:eastAsia="仿宋_GB2312" w:cs="Times New Roman"/>
          <w:sz w:val="32"/>
          <w:szCs w:val="32"/>
        </w:rPr>
        <w:t>运行经费</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十四、本级</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整体绩效目标表</w:t>
      </w:r>
    </w:p>
    <w:p>
      <w:pPr>
        <w:keepNext w:val="0"/>
        <w:keepLines w:val="0"/>
        <w:pageBreakBefore w:val="0"/>
        <w:widowControl w:val="0"/>
        <w:kinsoku/>
        <w:wordWrap/>
        <w:overflowPunct w:val="0"/>
        <w:topLinePunct w:val="0"/>
        <w:autoSpaceDE/>
        <w:autoSpaceDN/>
        <w:bidi w:val="0"/>
        <w:adjustRightInd w:val="0"/>
        <w:snapToGrid w:val="0"/>
        <w:spacing w:line="550" w:lineRule="exact"/>
        <w:ind w:right="51" w:firstLine="936"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十五、本级部门预算项目绩效目标表</w:t>
      </w:r>
    </w:p>
    <w:p>
      <w:pPr>
        <w:overflowPunct w:val="0"/>
        <w:adjustRightInd w:val="0"/>
        <w:snapToGrid w:val="0"/>
        <w:spacing w:line="55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p>
    <w:p>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rPr>
        <w:t>第一部分</w:t>
      </w:r>
    </w:p>
    <w:p>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rPr>
        <w:t>焦作市</w:t>
      </w:r>
      <w:r>
        <w:rPr>
          <w:rFonts w:hint="default" w:ascii="Times New Roman" w:hAnsi="Times New Roman" w:eastAsia="黑体" w:cs="Times New Roman"/>
          <w:b/>
          <w:bCs w:val="0"/>
          <w:color w:val="000000"/>
          <w:sz w:val="36"/>
          <w:szCs w:val="36"/>
          <w:lang w:eastAsia="zh-CN"/>
        </w:rPr>
        <w:t>马村区总工会</w:t>
      </w:r>
      <w:r>
        <w:rPr>
          <w:rFonts w:hint="default" w:ascii="Times New Roman" w:hAnsi="Times New Roman" w:eastAsia="黑体" w:cs="Times New Roman"/>
          <w:b/>
          <w:bCs w:val="0"/>
          <w:color w:val="000000"/>
          <w:sz w:val="36"/>
          <w:szCs w:val="36"/>
        </w:rPr>
        <w:t>概况</w:t>
      </w:r>
    </w:p>
    <w:p>
      <w:pPr>
        <w:overflowPunct w:val="0"/>
        <w:autoSpaceDE w:val="0"/>
        <w:autoSpaceDN w:val="0"/>
        <w:adjustRightInd w:val="0"/>
        <w:snapToGrid w:val="0"/>
        <w:spacing w:line="574" w:lineRule="exact"/>
        <w:ind w:firstLine="624" w:firstLineChars="200"/>
        <w:jc w:val="center"/>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一、主要职能</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（一）机构设置情况</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焦作市马村区总工会内设综合办公室。主要负责组织工作、宣教工作、生产工作、民管工作、财务工作、保障工作、保护工作、女工工作、经审工作。按照编制部门最新提供的核查文件规定：区工会编制人员2名。其中领导（主席1名，副主席1名），实有人数为6名，其中离退休人员4名。</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（二）部门职责</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（1）根据党的路线、方针、政策，围绕区委在各个时期的中心任务和党的工运方针，确定我区工会工作的指导方针和任务。</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（2）依照法律和《中国工会章程》，履行工会的维护、建设、参与、教育等社会职能，指导全区工会工作，根据下级工会和基层工会的要求，与有关方面协商解决有关问题。</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对有关职工合法权益的重大问题进行调查研究，向区委、区政府和上级工会反映职工群众的思想、愿望和要求，并提出意见和建议；参与涉及职工切身利益的政策、措施、制度的拟定；参与职工重大伤亡事故的调查处理。</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负责我区工会理论政策研究，研究制定工会的组织制度和民主制度，监督检查《中国工会章程》的贯彻执行；指导各级工会组织开展以职工代表大会为基本制度的民主选举、民主决策、民主管理和民主监督工作，推动建立平等协商、集体合同制度和监督保证机制工作。</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同区党委和区直各有关部门党委（党组）协商推荐企事业工会主要领导人选；研究指导工会自身改革和建设，负责工会组织的发展和工会干部的协管工作；研究制定工会干部的管理制度和培训规划，负责各级工会专兼职人员的培训工作。</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（6）参与全国劳动模范、省劳动模范、市劳动模范的推荐、评选工作，负责组织实施区五一劳动奖章的评选工作；负责各级劳动模范、五一劳动奖章获得者的管理工作。</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（7）负责工会经费和工会资产的管理、审查、审计工作；研究制定工会组织兴办和管理工会企事业的有关制度和规定；负责对工会兴办企事业的指导、协调工作。</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二、焦作市马村区总工会预算单位构成</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本预算为</w:t>
      </w:r>
      <w:r>
        <w:rPr>
          <w:rFonts w:hint="eastAsia" w:ascii="Times New Roman" w:hAnsi="Times New Roman" w:eastAsia="仿宋_GB2312" w:cs="Times New Roman"/>
          <w:color w:val="000000"/>
          <w:sz w:val="32"/>
          <w:szCs w:val="32"/>
          <w:lang w:val="en-US" w:eastAsia="zh-CN"/>
        </w:rPr>
        <w:t>2024</w:t>
      </w:r>
      <w:r>
        <w:rPr>
          <w:rFonts w:hint="default" w:ascii="Times New Roman" w:hAnsi="Times New Roman" w:eastAsia="仿宋_GB2312" w:cs="Times New Roman"/>
          <w:color w:val="000000"/>
          <w:sz w:val="32"/>
          <w:szCs w:val="32"/>
          <w:lang w:val="en-US" w:eastAsia="zh-CN"/>
        </w:rPr>
        <w:t>年焦作市马村区总工会部门预算。</w:t>
      </w:r>
    </w:p>
    <w:p>
      <w:pPr>
        <w:numPr>
          <w:ilvl w:val="0"/>
          <w:numId w:val="0"/>
        </w:numPr>
        <w:overflowPunct w:val="0"/>
        <w:autoSpaceDE w:val="0"/>
        <w:autoSpaceDN w:val="0"/>
        <w:adjustRightInd w:val="0"/>
        <w:snapToGrid w:val="0"/>
        <w:spacing w:line="574" w:lineRule="exact"/>
        <w:ind w:left="311" w:leftChars="0" w:firstLine="624" w:firstLineChars="200"/>
        <w:rPr>
          <w:rFonts w:hint="default" w:ascii="Times New Roman" w:hAnsi="Times New Roman" w:eastAsia="仿宋" w:cs="Times New Roman"/>
          <w:sz w:val="32"/>
          <w:szCs w:val="32"/>
          <w:lang w:val="en-US" w:eastAsia="zh-CN"/>
        </w:rPr>
      </w:pPr>
    </w:p>
    <w:p>
      <w:pPr>
        <w:widowControl w:val="0"/>
        <w:numPr>
          <w:ilvl w:val="0"/>
          <w:numId w:val="0"/>
        </w:numPr>
        <w:overflowPunct w:val="0"/>
        <w:autoSpaceDE w:val="0"/>
        <w:autoSpaceDN w:val="0"/>
        <w:adjustRightInd w:val="0"/>
        <w:snapToGrid w:val="0"/>
        <w:spacing w:line="574" w:lineRule="exact"/>
        <w:jc w:val="both"/>
        <w:rPr>
          <w:rFonts w:hint="default" w:ascii="Times New Roman" w:hAnsi="Times New Roman" w:eastAsia="楷体_GB2312" w:cs="Times New Roman"/>
          <w:sz w:val="32"/>
          <w:szCs w:val="32"/>
          <w:lang w:val="en-US" w:eastAsia="zh-CN"/>
        </w:rPr>
      </w:pPr>
    </w:p>
    <w:p>
      <w:pPr>
        <w:widowControl w:val="0"/>
        <w:numPr>
          <w:ilvl w:val="0"/>
          <w:numId w:val="0"/>
        </w:numPr>
        <w:overflowPunct w:val="0"/>
        <w:autoSpaceDE w:val="0"/>
        <w:autoSpaceDN w:val="0"/>
        <w:adjustRightInd w:val="0"/>
        <w:snapToGrid w:val="0"/>
        <w:spacing w:line="574" w:lineRule="exact"/>
        <w:jc w:val="both"/>
        <w:rPr>
          <w:rFonts w:hint="default" w:ascii="Times New Roman" w:hAnsi="Times New Roman" w:eastAsia="楷体_GB2312" w:cs="Times New Roman"/>
          <w:sz w:val="32"/>
          <w:szCs w:val="32"/>
          <w:lang w:val="en-US" w:eastAsia="zh-CN"/>
        </w:rPr>
      </w:pPr>
    </w:p>
    <w:p>
      <w:pPr>
        <w:widowControl w:val="0"/>
        <w:numPr>
          <w:ilvl w:val="0"/>
          <w:numId w:val="0"/>
        </w:numPr>
        <w:overflowPunct w:val="0"/>
        <w:autoSpaceDE w:val="0"/>
        <w:autoSpaceDN w:val="0"/>
        <w:adjustRightInd w:val="0"/>
        <w:snapToGrid w:val="0"/>
        <w:spacing w:line="574" w:lineRule="exact"/>
        <w:jc w:val="both"/>
        <w:rPr>
          <w:rFonts w:hint="default" w:ascii="Times New Roman" w:hAnsi="Times New Roman" w:eastAsia="楷体_GB2312" w:cs="Times New Roman"/>
          <w:sz w:val="32"/>
          <w:szCs w:val="32"/>
          <w:lang w:val="en-US" w:eastAsia="zh-CN"/>
        </w:rPr>
      </w:pPr>
    </w:p>
    <w:p>
      <w:pPr>
        <w:widowControl w:val="0"/>
        <w:numPr>
          <w:ilvl w:val="0"/>
          <w:numId w:val="0"/>
        </w:numPr>
        <w:overflowPunct w:val="0"/>
        <w:autoSpaceDE w:val="0"/>
        <w:autoSpaceDN w:val="0"/>
        <w:adjustRightInd w:val="0"/>
        <w:snapToGrid w:val="0"/>
        <w:spacing w:line="574" w:lineRule="exact"/>
        <w:jc w:val="both"/>
        <w:rPr>
          <w:rFonts w:hint="default" w:ascii="Times New Roman" w:hAnsi="Times New Roman" w:eastAsia="楷体_GB2312" w:cs="Times New Roman"/>
          <w:sz w:val="32"/>
          <w:szCs w:val="32"/>
          <w:lang w:val="en-US" w:eastAsia="zh-CN"/>
        </w:rPr>
      </w:pPr>
    </w:p>
    <w:p>
      <w:pPr>
        <w:shd w:val="clear" w:color="auto" w:fill="FFFFFF"/>
        <w:overflowPunct w:val="0"/>
        <w:autoSpaceDE w:val="0"/>
        <w:autoSpaceDN w:val="0"/>
        <w:adjustRightInd w:val="0"/>
        <w:snapToGrid w:val="0"/>
        <w:spacing w:line="574" w:lineRule="exact"/>
        <w:jc w:val="both"/>
        <w:rPr>
          <w:rFonts w:hint="default" w:ascii="Times New Roman" w:hAnsi="Times New Roman" w:eastAsia="黑体" w:cs="Times New Roman"/>
          <w:bCs/>
          <w:sz w:val="36"/>
          <w:szCs w:val="36"/>
        </w:rPr>
      </w:pPr>
      <w:r>
        <w:rPr>
          <w:rFonts w:hint="default" w:ascii="Times New Roman" w:hAnsi="Times New Roman" w:eastAsia="黑体" w:cs="Times New Roman"/>
          <w:bCs/>
          <w:sz w:val="36"/>
          <w:szCs w:val="36"/>
        </w:rPr>
        <w:br w:type="textWrapping"/>
      </w:r>
    </w:p>
    <w:p>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rPr>
        <w:t>第二部分</w:t>
      </w:r>
    </w:p>
    <w:p>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lang w:eastAsia="zh-CN"/>
        </w:rPr>
        <w:t>焦作市马村区总工会部门</w:t>
      </w:r>
      <w:r>
        <w:rPr>
          <w:rFonts w:hint="default" w:ascii="Times New Roman" w:hAnsi="Times New Roman" w:eastAsia="黑体" w:cs="Times New Roman"/>
          <w:b/>
          <w:bCs w:val="0"/>
          <w:color w:val="000000"/>
          <w:sz w:val="36"/>
          <w:szCs w:val="36"/>
        </w:rPr>
        <w:t>202</w:t>
      </w:r>
      <w:r>
        <w:rPr>
          <w:rFonts w:hint="eastAsia" w:ascii="Times New Roman" w:hAnsi="Times New Roman" w:eastAsia="黑体" w:cs="Times New Roman"/>
          <w:b/>
          <w:bCs w:val="0"/>
          <w:color w:val="000000"/>
          <w:sz w:val="36"/>
          <w:szCs w:val="36"/>
          <w:lang w:val="en-US" w:eastAsia="zh-CN"/>
        </w:rPr>
        <w:t>4</w:t>
      </w:r>
      <w:r>
        <w:rPr>
          <w:rFonts w:hint="default" w:ascii="Times New Roman" w:hAnsi="Times New Roman" w:eastAsia="黑体" w:cs="Times New Roman"/>
          <w:b/>
          <w:bCs w:val="0"/>
          <w:color w:val="000000"/>
          <w:sz w:val="36"/>
          <w:szCs w:val="36"/>
        </w:rPr>
        <w:t>年度预算情况说明</w:t>
      </w:r>
    </w:p>
    <w:p>
      <w:pPr>
        <w:overflowPunct w:val="0"/>
        <w:autoSpaceDE w:val="0"/>
        <w:autoSpaceDN w:val="0"/>
        <w:adjustRightInd w:val="0"/>
        <w:snapToGrid w:val="0"/>
        <w:spacing w:line="574" w:lineRule="exact"/>
        <w:ind w:firstLine="624" w:firstLineChars="200"/>
        <w:outlineLvl w:val="0"/>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一、收入支出预算总体情况说明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年收入总计</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万元，支出总计</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年相比，收、支总计各增加</w:t>
      </w:r>
      <w:r>
        <w:rPr>
          <w:rFonts w:hint="eastAsia" w:ascii="Times New Roman" w:hAnsi="Times New Roman" w:eastAsia="仿宋_GB2312" w:cs="Times New Roman"/>
          <w:color w:val="000000"/>
          <w:sz w:val="32"/>
          <w:szCs w:val="32"/>
          <w:lang w:val="en-US" w:eastAsia="zh-CN"/>
        </w:rPr>
        <w:t>35.10万元</w:t>
      </w:r>
      <w:r>
        <w:rPr>
          <w:rFonts w:hint="default" w:ascii="Times New Roman" w:hAnsi="Times New Roman" w:eastAsia="仿宋_GB2312" w:cs="Times New Roman"/>
          <w:color w:val="000000"/>
          <w:sz w:val="32"/>
          <w:szCs w:val="32"/>
          <w:lang w:val="en-US" w:eastAsia="zh-CN"/>
        </w:rPr>
        <w:t>，增加</w:t>
      </w:r>
      <w:r>
        <w:rPr>
          <w:rFonts w:hint="eastAsia" w:ascii="Times New Roman" w:hAnsi="Times New Roman" w:eastAsia="仿宋_GB2312" w:cs="Times New Roman"/>
          <w:color w:val="000000"/>
          <w:sz w:val="32"/>
          <w:szCs w:val="32"/>
          <w:lang w:val="en-US" w:eastAsia="zh-CN"/>
        </w:rPr>
        <w:t>7.56</w:t>
      </w:r>
      <w:r>
        <w:rPr>
          <w:rFonts w:hint="default" w:ascii="Times New Roman" w:hAnsi="Times New Roman" w:eastAsia="仿宋_GB2312" w:cs="Times New Roman"/>
          <w:color w:val="000000"/>
          <w:sz w:val="32"/>
          <w:szCs w:val="32"/>
          <w:lang w:val="en-US" w:eastAsia="zh-CN"/>
        </w:rPr>
        <w:t>%。主要原因：全区行政事业单位工会经费增加。</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二、收入预算总体情况说明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年收入合计</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万元，其中：一般公共预算收入</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万元；政府性基金预算收入0万元；国有资本经营预算收入0万元；财政专户管理资金收入0万元；其他收入0万元。</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三、支出预算总体情况说明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年支出合计</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万元，其中：基本支出</w:t>
      </w:r>
      <w:r>
        <w:rPr>
          <w:rFonts w:hint="eastAsia" w:ascii="Times New Roman" w:hAnsi="Times New Roman" w:eastAsia="仿宋_GB2312" w:cs="Times New Roman"/>
          <w:color w:val="000000"/>
          <w:sz w:val="32"/>
          <w:szCs w:val="32"/>
          <w:lang w:val="en-US" w:eastAsia="zh-CN"/>
        </w:rPr>
        <w:t>36.41</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7.30</w:t>
      </w:r>
      <w:r>
        <w:rPr>
          <w:rFonts w:hint="default" w:ascii="Times New Roman" w:hAnsi="Times New Roman" w:eastAsia="仿宋_GB2312" w:cs="Times New Roman"/>
          <w:color w:val="000000"/>
          <w:sz w:val="32"/>
          <w:szCs w:val="32"/>
          <w:lang w:val="en-US" w:eastAsia="zh-CN"/>
        </w:rPr>
        <w:t>%；项目支出</w:t>
      </w:r>
      <w:r>
        <w:rPr>
          <w:rFonts w:hint="eastAsia" w:ascii="Times New Roman" w:hAnsi="Times New Roman" w:eastAsia="仿宋_GB2312" w:cs="Times New Roman"/>
          <w:color w:val="000000"/>
          <w:sz w:val="32"/>
          <w:szCs w:val="32"/>
          <w:lang w:val="en-US" w:eastAsia="zh-CN"/>
        </w:rPr>
        <w:t>463</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92.70</w:t>
      </w:r>
      <w:r>
        <w:rPr>
          <w:rFonts w:hint="default" w:ascii="Times New Roman" w:hAnsi="Times New Roman" w:eastAsia="仿宋_GB2312" w:cs="Times New Roman"/>
          <w:color w:val="000000"/>
          <w:sz w:val="32"/>
          <w:szCs w:val="32"/>
          <w:lang w:val="en-US" w:eastAsia="zh-CN"/>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四、财政拨款收入支出预算总体情况说明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年一般公共预算收支预算</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万元，政府性基金收支预算0万元。与202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年相比，一般公共预算收支预算增加</w:t>
      </w:r>
      <w:r>
        <w:rPr>
          <w:rFonts w:hint="eastAsia" w:ascii="Times New Roman" w:hAnsi="Times New Roman" w:eastAsia="仿宋_GB2312" w:cs="Times New Roman"/>
          <w:color w:val="000000"/>
          <w:sz w:val="32"/>
          <w:szCs w:val="32"/>
          <w:lang w:val="en-US" w:eastAsia="zh-CN"/>
        </w:rPr>
        <w:t>35.10</w:t>
      </w:r>
      <w:r>
        <w:rPr>
          <w:rFonts w:hint="default" w:ascii="Times New Roman" w:hAnsi="Times New Roman" w:eastAsia="仿宋_GB2312" w:cs="Times New Roman"/>
          <w:color w:val="000000"/>
          <w:sz w:val="32"/>
          <w:szCs w:val="32"/>
          <w:lang w:val="en-US" w:eastAsia="zh-CN"/>
        </w:rPr>
        <w:t>万元，增加</w:t>
      </w:r>
      <w:r>
        <w:rPr>
          <w:rFonts w:hint="eastAsia"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.56%，主要原因：全区行政事业单位工会经费增加；政府性基金收支预算增加0万元，增长0%。主要原因：202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年我部门没有安排政府性基金。</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五、一般公共预算支出预算情况说明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年一般公共预算支出年初预算为</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万元。主要用于以下方面：社会保障和就业支出</w:t>
      </w:r>
      <w:r>
        <w:rPr>
          <w:rFonts w:hint="eastAsia" w:ascii="Times New Roman" w:hAnsi="Times New Roman" w:eastAsia="仿宋_GB2312" w:cs="Times New Roman"/>
          <w:color w:val="000000"/>
          <w:sz w:val="32"/>
          <w:szCs w:val="32"/>
          <w:lang w:val="en-US" w:eastAsia="zh-CN"/>
        </w:rPr>
        <w:t>7.08</w:t>
      </w:r>
      <w:r>
        <w:rPr>
          <w:rFonts w:hint="default" w:ascii="Times New Roman" w:hAnsi="Times New Roman" w:eastAsia="仿宋_GB2312" w:cs="Times New Roman"/>
          <w:color w:val="000000"/>
          <w:sz w:val="32"/>
          <w:szCs w:val="32"/>
          <w:lang w:val="en-US" w:eastAsia="zh-CN"/>
        </w:rPr>
        <w:t>万元，占1.4</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%；医疗卫生与计划生育支出1.</w:t>
      </w:r>
      <w:r>
        <w:rPr>
          <w:rFonts w:hint="eastAsia" w:ascii="Times New Roman" w:hAnsi="Times New Roman" w:eastAsia="仿宋_GB2312" w:cs="Times New Roman"/>
          <w:color w:val="000000"/>
          <w:sz w:val="32"/>
          <w:szCs w:val="32"/>
          <w:lang w:val="en-US" w:eastAsia="zh-CN"/>
        </w:rPr>
        <w:t>44</w:t>
      </w:r>
      <w:r>
        <w:rPr>
          <w:rFonts w:hint="default" w:ascii="Times New Roman" w:hAnsi="Times New Roman" w:eastAsia="仿宋_GB2312" w:cs="Times New Roman"/>
          <w:color w:val="000000"/>
          <w:sz w:val="32"/>
          <w:szCs w:val="32"/>
          <w:lang w:val="en-US" w:eastAsia="zh-CN"/>
        </w:rPr>
        <w:t>万元，占0.</w:t>
      </w:r>
      <w:r>
        <w:rPr>
          <w:rFonts w:hint="eastAsia" w:ascii="Times New Roman" w:hAnsi="Times New Roman" w:eastAsia="仿宋_GB2312" w:cs="Times New Roman"/>
          <w:color w:val="000000"/>
          <w:sz w:val="32"/>
          <w:szCs w:val="32"/>
          <w:lang w:val="en-US" w:eastAsia="zh-CN"/>
        </w:rPr>
        <w:t>28</w:t>
      </w:r>
      <w:r>
        <w:rPr>
          <w:rFonts w:hint="default" w:ascii="Times New Roman" w:hAnsi="Times New Roman" w:eastAsia="仿宋_GB2312" w:cs="Times New Roman"/>
          <w:color w:val="000000"/>
          <w:sz w:val="32"/>
          <w:szCs w:val="32"/>
          <w:lang w:val="en-US" w:eastAsia="zh-CN"/>
        </w:rPr>
        <w:t>%；住房保障支出2.</w:t>
      </w:r>
      <w:r>
        <w:rPr>
          <w:rFonts w:hint="eastAsia" w:ascii="Times New Roman" w:hAnsi="Times New Roman" w:eastAsia="仿宋_GB2312" w:cs="Times New Roman"/>
          <w:color w:val="000000"/>
          <w:sz w:val="32"/>
          <w:szCs w:val="32"/>
          <w:lang w:val="en-US" w:eastAsia="zh-CN"/>
        </w:rPr>
        <w:t>37</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0.47</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一般公共服务支出488.62</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97.82</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六、一般公共预算基本支出预算情况说明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年一般公共预算基本支出</w:t>
      </w:r>
      <w:r>
        <w:rPr>
          <w:rFonts w:hint="eastAsia" w:ascii="Times New Roman" w:hAnsi="Times New Roman" w:eastAsia="仿宋_GB2312" w:cs="Times New Roman"/>
          <w:color w:val="000000"/>
          <w:sz w:val="32"/>
          <w:szCs w:val="32"/>
          <w:lang w:val="en-US" w:eastAsia="zh-CN"/>
        </w:rPr>
        <w:t>36.51</w:t>
      </w:r>
      <w:r>
        <w:rPr>
          <w:rFonts w:hint="default" w:ascii="Times New Roman" w:hAnsi="Times New Roman" w:eastAsia="仿宋_GB2312" w:cs="Times New Roman"/>
          <w:color w:val="000000"/>
          <w:sz w:val="32"/>
          <w:szCs w:val="32"/>
          <w:lang w:val="en-US" w:eastAsia="zh-CN"/>
        </w:rPr>
        <w:t>万元，其中：</w:t>
      </w:r>
      <w:r>
        <w:rPr>
          <w:rFonts w:hint="default" w:ascii="Times New Roman" w:hAnsi="Times New Roman" w:eastAsia="仿宋_GB2312" w:cs="Times New Roman"/>
          <w:b/>
          <w:bCs/>
          <w:color w:val="000000"/>
          <w:sz w:val="32"/>
          <w:szCs w:val="32"/>
          <w:lang w:val="en-US" w:eastAsia="zh-CN"/>
        </w:rPr>
        <w:t>人员经费</w:t>
      </w:r>
      <w:r>
        <w:rPr>
          <w:rFonts w:hint="eastAsia" w:ascii="Times New Roman" w:hAnsi="Times New Roman" w:eastAsia="仿宋_GB2312" w:cs="Times New Roman"/>
          <w:b/>
          <w:bCs/>
          <w:color w:val="000000"/>
          <w:sz w:val="32"/>
          <w:szCs w:val="32"/>
          <w:lang w:val="en-US" w:eastAsia="zh-CN"/>
        </w:rPr>
        <w:t>33.85</w:t>
      </w:r>
      <w:r>
        <w:rPr>
          <w:rFonts w:hint="default" w:ascii="Times New Roman" w:hAnsi="Times New Roman" w:eastAsia="仿宋_GB2312" w:cs="Times New Roman"/>
          <w:b/>
          <w:bCs/>
          <w:color w:val="000000"/>
          <w:sz w:val="32"/>
          <w:szCs w:val="32"/>
          <w:lang w:val="en-US" w:eastAsia="zh-CN"/>
        </w:rPr>
        <w:t>万元</w:t>
      </w:r>
      <w:r>
        <w:rPr>
          <w:rFonts w:hint="default" w:ascii="Times New Roman" w:hAnsi="Times New Roman" w:eastAsia="仿宋_GB2312" w:cs="Times New Roman"/>
          <w:color w:val="000000"/>
          <w:sz w:val="32"/>
          <w:szCs w:val="32"/>
          <w:lang w:val="en-US" w:eastAsia="zh-CN"/>
        </w:rPr>
        <w:t>，主要包括：基本工资、津贴补贴、奖金、机关事业单位基本养老保险缴费、其他社会保障缴费、住房公积金、退休费；</w:t>
      </w:r>
      <w:r>
        <w:rPr>
          <w:rFonts w:hint="default" w:ascii="Times New Roman" w:hAnsi="Times New Roman" w:eastAsia="仿宋_GB2312" w:cs="Times New Roman"/>
          <w:b/>
          <w:bCs/>
          <w:color w:val="000000"/>
          <w:sz w:val="32"/>
          <w:szCs w:val="32"/>
          <w:lang w:val="en-US" w:eastAsia="zh-CN"/>
        </w:rPr>
        <w:t>公用经费</w:t>
      </w:r>
      <w:r>
        <w:rPr>
          <w:rFonts w:hint="eastAsia" w:ascii="Times New Roman" w:hAnsi="Times New Roman" w:eastAsia="仿宋_GB2312" w:cs="Times New Roman"/>
          <w:b/>
          <w:bCs/>
          <w:color w:val="000000"/>
          <w:sz w:val="32"/>
          <w:szCs w:val="32"/>
          <w:lang w:val="en-US" w:eastAsia="zh-CN"/>
        </w:rPr>
        <w:t>2.66</w:t>
      </w:r>
      <w:r>
        <w:rPr>
          <w:rFonts w:hint="default" w:ascii="Times New Roman" w:hAnsi="Times New Roman" w:eastAsia="仿宋_GB2312" w:cs="Times New Roman"/>
          <w:b/>
          <w:bCs/>
          <w:color w:val="000000"/>
          <w:sz w:val="32"/>
          <w:szCs w:val="32"/>
          <w:lang w:val="en-US" w:eastAsia="zh-CN"/>
        </w:rPr>
        <w:t>万元</w:t>
      </w:r>
      <w:r>
        <w:rPr>
          <w:rFonts w:hint="default" w:ascii="Times New Roman" w:hAnsi="Times New Roman" w:eastAsia="仿宋_GB2312" w:cs="Times New Roman"/>
          <w:color w:val="000000"/>
          <w:sz w:val="32"/>
          <w:szCs w:val="32"/>
          <w:lang w:val="en-US" w:eastAsia="zh-CN"/>
        </w:rPr>
        <w:t>，主要包括：办公费、其他交通费用。</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七、政府性基金预算支出预算情况说明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年政府性基金预算支出0万元，我部门202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年没有使用政府性基金预算拨款安排的支出。</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八、国有资本经营预算支出预算情况说明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年国有资金经营预算支出0万元，我部门</w:t>
      </w:r>
      <w:r>
        <w:rPr>
          <w:rFonts w:hint="eastAsia" w:ascii="Times New Roman" w:hAnsi="Times New Roman" w:eastAsia="仿宋_GB2312" w:cs="Times New Roman"/>
          <w:color w:val="000000"/>
          <w:sz w:val="32"/>
          <w:szCs w:val="32"/>
          <w:lang w:val="en-US" w:eastAsia="zh-CN"/>
        </w:rPr>
        <w:t>2024年</w:t>
      </w:r>
      <w:r>
        <w:rPr>
          <w:rFonts w:hint="default" w:ascii="Times New Roman" w:hAnsi="Times New Roman" w:eastAsia="仿宋_GB2312" w:cs="Times New Roman"/>
          <w:color w:val="000000"/>
          <w:sz w:val="32"/>
          <w:szCs w:val="32"/>
          <w:lang w:val="en-US" w:eastAsia="zh-CN"/>
        </w:rPr>
        <w:t>没有使用国有资本经营预算拨款安排的支出。</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九、“三公”经费支出预算情况说明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年“三公”经费支出预算为0万元，</w:t>
      </w:r>
      <w:r>
        <w:rPr>
          <w:rFonts w:hint="eastAsia" w:ascii="Times New Roman" w:hAnsi="Times New Roman" w:eastAsia="仿宋_GB2312" w:cs="Times New Roman"/>
          <w:color w:val="000000"/>
          <w:sz w:val="32"/>
          <w:szCs w:val="32"/>
          <w:lang w:val="en-US" w:eastAsia="zh-CN"/>
        </w:rPr>
        <w:t>与2023年预算数持平</w:t>
      </w:r>
      <w:r>
        <w:rPr>
          <w:rFonts w:hint="default" w:ascii="Times New Roman" w:hAnsi="Times New Roman" w:eastAsia="仿宋_GB2312" w:cs="Times New Roman"/>
          <w:color w:val="000000"/>
          <w:sz w:val="32"/>
          <w:szCs w:val="32"/>
          <w:lang w:val="en-US" w:eastAsia="zh-CN"/>
        </w:rPr>
        <w:t>。</w:t>
      </w:r>
      <w:bookmarkStart w:id="0" w:name="_GoBack"/>
      <w:bookmarkEnd w:id="0"/>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具体支出情况如下：</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（一）因公出国（境）费0</w:t>
      </w:r>
      <w:r>
        <w:rPr>
          <w:rFonts w:hint="default" w:ascii="Times New Roman" w:hAnsi="Times New Roman" w:eastAsia="仿宋_GB2312" w:cs="Times New Roman"/>
          <w:color w:val="000000"/>
          <w:sz w:val="32"/>
          <w:szCs w:val="32"/>
          <w:lang w:val="en-US" w:eastAsia="zh-CN"/>
        </w:rPr>
        <w:t>万元。主要用于单位因公出国（境）费，指单位工作人员公务出国（境）的住宿费、旅费、伙食补助费、杂费、培训费等支出。与202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年我部门未安排因公出国（境）的支出。</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（二）公务用车购置及运行费0</w:t>
      </w:r>
      <w:r>
        <w:rPr>
          <w:rFonts w:hint="default" w:ascii="Times New Roman" w:hAnsi="Times New Roman" w:eastAsia="仿宋_GB2312" w:cs="Times New Roman"/>
          <w:color w:val="000000"/>
          <w:sz w:val="32"/>
          <w:szCs w:val="32"/>
          <w:lang w:val="en-US" w:eastAsia="zh-CN"/>
        </w:rPr>
        <w:t>万元。其中公务车辆购置费0万元，主要用于公务车辆购置，与202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未安排公务用车购置费；公务用车运行维护费0万元，指单位公务用车租用费、燃料费、维修费、过路过桥费、保险费、安全奖励费等支出，公务用车指用于履行公务的机动车，包括领导干部专车、一般公务用车。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年公车运行费都为0元。</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（三）公务接待费0</w:t>
      </w:r>
      <w:r>
        <w:rPr>
          <w:rFonts w:hint="default" w:ascii="Times New Roman" w:hAnsi="Times New Roman" w:eastAsia="仿宋_GB2312" w:cs="Times New Roman"/>
          <w:color w:val="000000"/>
          <w:sz w:val="32"/>
          <w:szCs w:val="32"/>
          <w:lang w:val="en-US" w:eastAsia="zh-CN"/>
        </w:rPr>
        <w:t>万元。主要用于指单位按规定开支的各类公务接待（含外宾接待）支出，与202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年我部门未安排公务接待费的支出。</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24"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十、其他重要事项的情况说明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rPr>
        <w:t>（一）</w:t>
      </w:r>
      <w:r>
        <w:rPr>
          <w:rFonts w:hint="default" w:ascii="Times New Roman" w:hAnsi="Times New Roman" w:eastAsia="楷体_GB2312" w:cs="Times New Roman"/>
          <w:color w:val="000000"/>
          <w:kern w:val="0"/>
          <w:sz w:val="32"/>
          <w:szCs w:val="32"/>
          <w:lang w:eastAsia="zh-CN"/>
        </w:rPr>
        <w:t>机关（机构）</w:t>
      </w:r>
      <w:r>
        <w:rPr>
          <w:rFonts w:hint="default" w:ascii="Times New Roman" w:hAnsi="Times New Roman" w:eastAsia="楷体_GB2312" w:cs="Times New Roman"/>
          <w:color w:val="000000"/>
          <w:kern w:val="0"/>
          <w:sz w:val="32"/>
          <w:szCs w:val="32"/>
        </w:rPr>
        <w:t>运行经费支出情况</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年机关（机构）运行经费支出预算0.62万元，主要保障机构正常运转及正常履职需要的办公费等支出，与202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年一致，主要原因：按照预算编制要求，我部门202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年机关（机构）运行经费与202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年持平。</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（二）政府采购支出情况</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年政府采购预算安排0万元，其中：政府采购货物预算0万元、政府采购工程预算0万元、政府采购服务预算0万元。</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（三）关于预算绩效管理工作开展情况说明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年焦作市马村区总工会按要求编制了绩效目标，包括部门整体绩效目标和项目支出绩效目标，综合反映了部门及各项目预期完成的数量、实效、质量，产生的社会经济效益和服务对象满意度等情况。202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年，我部门纳入预算绩效管理的支出总额为</w:t>
      </w:r>
      <w:r>
        <w:rPr>
          <w:rFonts w:hint="eastAsia" w:ascii="Times New Roman" w:hAnsi="Times New Roman" w:eastAsia="仿宋_GB2312" w:cs="Times New Roman"/>
          <w:color w:val="000000"/>
          <w:sz w:val="32"/>
          <w:szCs w:val="32"/>
          <w:lang w:val="en-US" w:eastAsia="zh-CN"/>
        </w:rPr>
        <w:t>499.51</w:t>
      </w:r>
      <w:r>
        <w:rPr>
          <w:rFonts w:hint="default" w:ascii="Times New Roman" w:hAnsi="Times New Roman" w:eastAsia="仿宋_GB2312" w:cs="Times New Roman"/>
          <w:color w:val="000000"/>
          <w:sz w:val="32"/>
          <w:szCs w:val="32"/>
          <w:lang w:val="en-US" w:eastAsia="zh-CN"/>
        </w:rPr>
        <w:t>万元。其中：人员经费支出</w:t>
      </w:r>
      <w:r>
        <w:rPr>
          <w:rFonts w:hint="eastAsia" w:ascii="Times New Roman" w:hAnsi="Times New Roman" w:eastAsia="仿宋_GB2312" w:cs="Times New Roman"/>
          <w:color w:val="000000"/>
          <w:sz w:val="32"/>
          <w:szCs w:val="32"/>
          <w:lang w:val="en-US" w:eastAsia="zh-CN"/>
        </w:rPr>
        <w:t>33.85</w:t>
      </w:r>
      <w:r>
        <w:rPr>
          <w:rFonts w:hint="default" w:ascii="Times New Roman" w:hAnsi="Times New Roman" w:eastAsia="仿宋_GB2312" w:cs="Times New Roman"/>
          <w:color w:val="000000"/>
          <w:sz w:val="32"/>
          <w:szCs w:val="32"/>
          <w:lang w:val="en-US" w:eastAsia="zh-CN"/>
        </w:rPr>
        <w:t>万元；公用经费支出2.</w:t>
      </w:r>
      <w:r>
        <w:rPr>
          <w:rFonts w:hint="eastAsia" w:ascii="Times New Roman" w:hAnsi="Times New Roman" w:eastAsia="仿宋_GB2312" w:cs="Times New Roman"/>
          <w:color w:val="000000"/>
          <w:sz w:val="32"/>
          <w:szCs w:val="32"/>
          <w:lang w:val="en-US" w:eastAsia="zh-CN"/>
        </w:rPr>
        <w:t>66</w:t>
      </w:r>
      <w:r>
        <w:rPr>
          <w:rFonts w:hint="default" w:ascii="Times New Roman" w:hAnsi="Times New Roman" w:eastAsia="仿宋_GB2312" w:cs="Times New Roman"/>
          <w:color w:val="000000"/>
          <w:sz w:val="32"/>
          <w:szCs w:val="32"/>
          <w:lang w:val="en-US" w:eastAsia="zh-CN"/>
        </w:rPr>
        <w:t>万元；项目支出</w:t>
      </w:r>
      <w:r>
        <w:rPr>
          <w:rFonts w:hint="eastAsia" w:ascii="Times New Roman" w:hAnsi="Times New Roman" w:eastAsia="仿宋_GB2312" w:cs="Times New Roman"/>
          <w:color w:val="000000"/>
          <w:sz w:val="32"/>
          <w:szCs w:val="32"/>
          <w:lang w:val="en-US" w:eastAsia="zh-CN"/>
        </w:rPr>
        <w:t>463</w:t>
      </w:r>
      <w:r>
        <w:rPr>
          <w:rFonts w:hint="default" w:ascii="Times New Roman" w:hAnsi="Times New Roman" w:eastAsia="仿宋_GB2312" w:cs="Times New Roman"/>
          <w:color w:val="000000"/>
          <w:sz w:val="32"/>
          <w:szCs w:val="32"/>
          <w:lang w:val="en-US" w:eastAsia="zh-CN"/>
        </w:rPr>
        <w:t>万元，涉及项目2个，</w:t>
      </w:r>
      <w:r>
        <w:rPr>
          <w:rFonts w:hint="eastAsia" w:ascii="Times New Roman" w:hAnsi="Times New Roman" w:eastAsia="仿宋_GB2312" w:cs="Times New Roman"/>
          <w:color w:val="000000"/>
          <w:sz w:val="32"/>
          <w:szCs w:val="32"/>
          <w:lang w:val="en-US" w:eastAsia="zh-CN"/>
        </w:rPr>
        <w:t>我部门2024年未展开重点项目预算绩效目标。</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（四）国有资产占用情况</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期末，焦作市马村区总工会固定资产总额0万元，其中，房屋建筑物0万元，车辆0万元，办公设备0万元，专用设备0万元，其他资产0万元。车辆共有0辆，其中：一般公务用车0辆，执法执勤车0辆；单价50万元以上通用设备0台（套），单位价值100万元以上专用设备0台（套）。</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（五）专项转移支付项目情况</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我部门负责管理的专项转移支付项目共有0项。</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（六）关于预算部门构成说明</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年我部门按照区财政预算公开要求，将所属预算单位全部纳入预算公开范围。</w:t>
      </w: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overflowPunct w:val="0"/>
        <w:autoSpaceDE w:val="0"/>
        <w:autoSpaceDN w:val="0"/>
        <w:adjustRightInd w:val="0"/>
        <w:snapToGrid w:val="0"/>
        <w:spacing w:line="574" w:lineRule="exact"/>
        <w:jc w:val="center"/>
        <w:rPr>
          <w:rFonts w:hint="default" w:ascii="Times New Roman" w:hAnsi="Times New Roman" w:eastAsia="黑体" w:cs="Times New Roman"/>
          <w:bCs/>
          <w:sz w:val="36"/>
          <w:szCs w:val="36"/>
        </w:rPr>
      </w:pP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50" w:lineRule="exact"/>
        <w:jc w:val="center"/>
        <w:textAlignment w:val="auto"/>
        <w:rPr>
          <w:rFonts w:hint="default" w:ascii="Times New Roman" w:hAnsi="Times New Roman" w:eastAsia="黑体" w:cs="Times New Roman"/>
          <w:b/>
          <w:bCs w:val="0"/>
          <w:color w:val="000000"/>
          <w:sz w:val="36"/>
          <w:szCs w:val="36"/>
          <w:lang w:eastAsia="zh-CN"/>
        </w:rPr>
      </w:pPr>
      <w:r>
        <w:rPr>
          <w:rFonts w:hint="default" w:ascii="Times New Roman" w:hAnsi="Times New Roman" w:eastAsia="黑体" w:cs="Times New Roman"/>
          <w:b/>
          <w:bCs w:val="0"/>
          <w:color w:val="000000"/>
          <w:sz w:val="36"/>
          <w:szCs w:val="36"/>
          <w:lang w:eastAsia="zh-CN"/>
        </w:rPr>
        <w:t>第三部分  名词解释</w:t>
      </w:r>
    </w:p>
    <w:p>
      <w:pPr>
        <w:overflowPunct w:val="0"/>
        <w:autoSpaceDE w:val="0"/>
        <w:autoSpaceDN w:val="0"/>
        <w:adjustRightInd w:val="0"/>
        <w:snapToGrid w:val="0"/>
        <w:spacing w:line="574" w:lineRule="exact"/>
        <w:ind w:firstLine="624"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一、财政拨款收入：是指区级财政当年拨付的资金。</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二、事业收入：是指事业单位开展专业活动及辅助活动所取得的收入。</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三、其他收入：是指部门取得的除“财政拨款”、“事业收入”、“事业单位经营收入”等以外的收入。</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四、基本支出：是指为保障机构正常运转、完成日常工作任务所必需的开支，其内容包括人员经费和日常公用经费两部分。</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五、项目支出：是指在基本支出之外，为完成特定的行政工作任务或事业发展目标所发生的支出。</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三公”经费：是指纳入区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七、工会经费：工会依法组织开展各项活动所需要的费用。来源于：（1）会员按照中华全国总工会的规定交纳的会费。（2）工会举办的事业的收入。（3）行政方面根据工会法的规定拨交的经费。（4）各项政府和企业、事业单位行政的补助。</w:t>
      </w:r>
    </w:p>
    <w:p>
      <w:pPr>
        <w:overflowPunct w:val="0"/>
        <w:autoSpaceDE w:val="0"/>
        <w:autoSpaceDN w:val="0"/>
        <w:adjustRightInd w:val="0"/>
        <w:snapToGrid w:val="0"/>
        <w:spacing w:line="574" w:lineRule="exact"/>
        <w:ind w:firstLine="624" w:firstLineChars="200"/>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ind w:firstLine="624" w:firstLineChars="200"/>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ind w:firstLine="624" w:firstLineChars="200"/>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ind w:firstLine="624"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24"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附件：</w:t>
      </w:r>
      <w:r>
        <w:rPr>
          <w:rFonts w:hint="default" w:ascii="Times New Roman" w:hAnsi="Times New Roman" w:eastAsia="仿宋_GB2312" w:cs="Times New Roman"/>
          <w:b/>
          <w:bCs/>
          <w:color w:val="000000"/>
          <w:sz w:val="32"/>
          <w:szCs w:val="32"/>
          <w:lang w:eastAsia="zh-CN"/>
        </w:rPr>
        <w:t>焦作市马村区总工会部门</w:t>
      </w:r>
      <w:r>
        <w:rPr>
          <w:rFonts w:hint="default" w:ascii="Times New Roman" w:hAnsi="Times New Roman" w:eastAsia="仿宋_GB2312" w:cs="Times New Roman"/>
          <w:b/>
          <w:bCs/>
          <w:color w:val="000000"/>
          <w:sz w:val="32"/>
          <w:szCs w:val="32"/>
        </w:rPr>
        <w:t>202</w:t>
      </w:r>
      <w:r>
        <w:rPr>
          <w:rFonts w:hint="eastAsia" w:ascii="Times New Roman" w:hAnsi="Times New Roman" w:eastAsia="仿宋_GB2312" w:cs="Times New Roman"/>
          <w:b/>
          <w:bCs/>
          <w:color w:val="000000"/>
          <w:sz w:val="32"/>
          <w:szCs w:val="32"/>
          <w:lang w:val="en-US" w:eastAsia="zh-CN"/>
        </w:rPr>
        <w:t>4</w:t>
      </w:r>
      <w:r>
        <w:rPr>
          <w:rFonts w:hint="default" w:ascii="Times New Roman" w:hAnsi="Times New Roman" w:eastAsia="仿宋_GB2312" w:cs="Times New Roman"/>
          <w:b/>
          <w:bCs/>
          <w:color w:val="000000"/>
          <w:sz w:val="32"/>
          <w:szCs w:val="32"/>
        </w:rPr>
        <w:t>年度预算表</w:t>
      </w:r>
    </w:p>
    <w:p>
      <w:pPr>
        <w:overflowPunct w:val="0"/>
        <w:autoSpaceDE w:val="0"/>
        <w:autoSpaceDN w:val="0"/>
        <w:adjustRightInd w:val="0"/>
        <w:snapToGrid w:val="0"/>
        <w:spacing w:line="574" w:lineRule="exact"/>
        <w:jc w:val="left"/>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rPr>
          <w:rFonts w:hint="default" w:ascii="Times New Roman" w:hAnsi="Times New Roman" w:eastAsia="仿宋_GB2312" w:cs="Times New Roman"/>
          <w:sz w:val="32"/>
          <w:szCs w:val="32"/>
        </w:rPr>
      </w:pPr>
    </w:p>
    <w:p>
      <w:pPr>
        <w:overflowPunct w:val="0"/>
        <w:autoSpaceDE w:val="0"/>
        <w:autoSpaceDN w:val="0"/>
        <w:adjustRightInd w:val="0"/>
        <w:snapToGrid w:val="0"/>
        <w:spacing w:line="574" w:lineRule="exact"/>
        <w:jc w:val="right"/>
        <w:rPr>
          <w:rFonts w:hint="default" w:ascii="Times New Roman" w:hAnsi="Times New Roman" w:eastAsia="仿宋_GB2312" w:cs="Times New Roman"/>
          <w:sz w:val="32"/>
          <w:szCs w:val="32"/>
          <w:lang w:val="en-US" w:eastAsia="zh-CN"/>
        </w:rPr>
      </w:pPr>
    </w:p>
    <w:p>
      <w:pPr>
        <w:overflowPunct w:val="0"/>
        <w:autoSpaceDE w:val="0"/>
        <w:autoSpaceDN w:val="0"/>
        <w:adjustRightInd w:val="0"/>
        <w:snapToGrid w:val="0"/>
        <w:spacing w:line="574" w:lineRule="exact"/>
        <w:rPr>
          <w:rFonts w:hint="default" w:ascii="Times New Roman" w:hAnsi="Times New Roman" w:eastAsia="仿宋_GB2312" w:cs="Times New Roman"/>
          <w:sz w:val="32"/>
          <w:szCs w:val="32"/>
        </w:rPr>
        <w:sectPr>
          <w:headerReference r:id="rId3" w:type="default"/>
          <w:footerReference r:id="rId4" w:type="even"/>
          <w:pgSz w:w="11906" w:h="16838"/>
          <w:pgMar w:top="2098" w:right="1531" w:bottom="1984" w:left="1531" w:header="851" w:footer="1531" w:gutter="0"/>
          <w:cols w:space="720" w:num="1"/>
          <w:titlePg/>
          <w:docGrid w:type="linesAndChars" w:linePitch="312" w:charSpace="-1839"/>
        </w:sectPr>
      </w:pPr>
      <w:r>
        <w:rPr>
          <w:rFonts w:hint="default" w:ascii="Times New Roman" w:hAnsi="Times New Roman" w:eastAsia="仿宋_GB2312" w:cs="Times New Roman"/>
          <w:sz w:val="32"/>
          <w:szCs w:val="32"/>
        </w:rPr>
        <w:t xml:space="preserve">      </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预算01表</w:t>
      </w:r>
    </w:p>
    <w:p>
      <w:pPr>
        <w:adjustRightInd w:val="0"/>
        <w:snapToGrid w:val="0"/>
        <w:spacing w:line="580" w:lineRule="exact"/>
        <w:jc w:val="center"/>
        <w:rPr>
          <w:rFonts w:hint="default" w:ascii="Times New Roman" w:hAnsi="Times New Roman" w:eastAsia="CESI黑体-GB13000" w:cs="Times New Roman"/>
          <w:kern w:val="0"/>
          <w:sz w:val="44"/>
          <w:szCs w:val="44"/>
        </w:rPr>
      </w:pPr>
      <w:r>
        <w:rPr>
          <w:rFonts w:hint="default" w:ascii="Times New Roman" w:hAnsi="Times New Roman" w:eastAsia="CESI黑体-GB13000" w:cs="Times New Roman"/>
          <w:kern w:val="0"/>
          <w:sz w:val="44"/>
          <w:szCs w:val="44"/>
        </w:rPr>
        <w:t>202</w:t>
      </w:r>
      <w:r>
        <w:rPr>
          <w:rFonts w:hint="eastAsia" w:ascii="Times New Roman" w:hAnsi="Times New Roman" w:eastAsia="CESI黑体-GB13000" w:cs="Times New Roman"/>
          <w:color w:val="auto"/>
          <w:kern w:val="0"/>
          <w:sz w:val="44"/>
          <w:szCs w:val="44"/>
          <w:lang w:val="en-US" w:eastAsia="zh-CN"/>
        </w:rPr>
        <w:t>4</w:t>
      </w:r>
      <w:r>
        <w:rPr>
          <w:rFonts w:hint="default" w:ascii="Times New Roman" w:hAnsi="Times New Roman" w:eastAsia="CESI黑体-GB13000" w:cs="Times New Roman"/>
          <w:kern w:val="0"/>
          <w:sz w:val="44"/>
          <w:szCs w:val="44"/>
        </w:rPr>
        <w:t>年部门收支预算表</w:t>
      </w:r>
    </w:p>
    <w:p>
      <w:pPr>
        <w:adjustRightInd w:val="0"/>
        <w:snapToGrid w:val="0"/>
        <w:spacing w:line="580" w:lineRule="exact"/>
        <w:jc w:val="left"/>
        <w:rPr>
          <w:rFonts w:hint="default" w:ascii="Times New Roman" w:hAnsi="Times New Roman" w:eastAsia="CESI黑体-GB13000" w:cs="Times New Roman"/>
          <w:b/>
          <w:bCs/>
          <w:kern w:val="0"/>
          <w:szCs w:val="21"/>
        </w:rPr>
      </w:pPr>
      <w:r>
        <w:rPr>
          <w:rFonts w:hint="default" w:ascii="Times New Roman" w:hAnsi="Times New Roman" w:eastAsia="CESI黑体-GB13000" w:cs="Times New Roman"/>
          <w:kern w:val="0"/>
          <w:szCs w:val="21"/>
        </w:rPr>
        <w:t>部门名称：焦作市马村区</w:t>
      </w:r>
      <w:r>
        <w:rPr>
          <w:rFonts w:hint="default" w:ascii="Times New Roman" w:hAnsi="Times New Roman" w:eastAsia="CESI黑体-GB13000" w:cs="Times New Roman"/>
          <w:kern w:val="0"/>
          <w:szCs w:val="21"/>
          <w:lang w:eastAsia="zh-CN"/>
        </w:rPr>
        <w:t>总工会</w:t>
      </w:r>
      <w:r>
        <w:rPr>
          <w:rFonts w:hint="default" w:ascii="Times New Roman" w:hAnsi="Times New Roman" w:eastAsia="CESI黑体-GB13000" w:cs="Times New Roman"/>
          <w:kern w:val="0"/>
          <w:szCs w:val="21"/>
        </w:rPr>
        <w:t xml:space="preserve">                                            单位：万元</w:t>
      </w:r>
    </w:p>
    <w:tbl>
      <w:tblPr>
        <w:tblStyle w:val="6"/>
        <w:tblW w:w="9058" w:type="dxa"/>
        <w:jc w:val="center"/>
        <w:tblInd w:w="0" w:type="dxa"/>
        <w:tblLayout w:type="fixed"/>
        <w:tblCellMar>
          <w:top w:w="0" w:type="dxa"/>
          <w:left w:w="108" w:type="dxa"/>
          <w:bottom w:w="0" w:type="dxa"/>
          <w:right w:w="108" w:type="dxa"/>
        </w:tblCellMar>
      </w:tblPr>
      <w:tblGrid>
        <w:gridCol w:w="3010"/>
        <w:gridCol w:w="1518"/>
        <w:gridCol w:w="3155"/>
        <w:gridCol w:w="1375"/>
      </w:tblGrid>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 xml:space="preserve"> 收入</w:t>
            </w:r>
          </w:p>
        </w:tc>
        <w:tc>
          <w:tcPr>
            <w:tcW w:w="453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支出</w:t>
            </w: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 xml:space="preserve"> 项目  </w:t>
            </w:r>
          </w:p>
        </w:tc>
        <w:tc>
          <w:tcPr>
            <w:tcW w:w="15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 xml:space="preserve"> 金额  </w:t>
            </w: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 xml:space="preserve">项目  </w:t>
            </w:r>
          </w:p>
        </w:tc>
        <w:tc>
          <w:tcPr>
            <w:tcW w:w="13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金额</w:t>
            </w:r>
          </w:p>
        </w:tc>
      </w:tr>
      <w:tr>
        <w:tblPrEx>
          <w:tblLayout w:type="fixed"/>
          <w:tblCellMar>
            <w:top w:w="0" w:type="dxa"/>
            <w:left w:w="108" w:type="dxa"/>
            <w:bottom w:w="0" w:type="dxa"/>
            <w:right w:w="108" w:type="dxa"/>
          </w:tblCellMar>
        </w:tblPrEx>
        <w:trPr>
          <w:trHeight w:val="32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一、一般公共预算</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color w:val="auto"/>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一、一般公共服务</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sz w:val="18"/>
                <w:szCs w:val="18"/>
                <w:lang w:val="en-US" w:eastAsia="zh-CN"/>
              </w:rPr>
              <w:t>488.62</w:t>
            </w: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其中：财政拨款</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color w:val="auto"/>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二、外交</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二、政府性基金预算拨款收入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三、国防</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三、国有资本经营预算拨款收入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四、公共安全</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四、财政专户管理资金收入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五、教育</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五、事业收入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六、科学技术</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六、事业单位经营收入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七、文化旅游体育与传媒</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七、上级补助收入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八、社会保障和就业</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sz w:val="18"/>
                <w:szCs w:val="18"/>
                <w:lang w:val="en-US" w:eastAsia="zh-CN"/>
              </w:rPr>
              <w:t>7.08</w:t>
            </w: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八、附属单位上缴收入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九、社会保险基金支出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九、其他收入</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十、卫生健康</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sz w:val="18"/>
                <w:szCs w:val="18"/>
                <w:lang w:val="en-US" w:eastAsia="zh-CN"/>
              </w:rPr>
              <w:t>1.44</w:t>
            </w: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十一、节能环保</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十二、城乡社区事务</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十三、农林水事务</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十四、交通运输</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十五、资源勘探信息等</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十六、商业服务业等</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十七、金融支出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十九、援助其他地区支出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二十、自然资源海洋气象等支出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二十一、住房保障支出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sz w:val="18"/>
                <w:szCs w:val="18"/>
                <w:lang w:val="en-US" w:eastAsia="zh-CN"/>
              </w:rPr>
              <w:t>2.37</w:t>
            </w: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二十二、粮油物资储备支出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二十三、国有资本经营预算</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二十四、灾害防治及应急管理</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二十七、预备费</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二十九、其他支出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三十、转移性支出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三十一、债务还本支出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三十二、债务付息支出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17"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三十三、债务发行费用支出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339" w:hRule="exact"/>
          <w:jc w:val="center"/>
        </w:trPr>
        <w:tc>
          <w:tcPr>
            <w:tcW w:w="4528" w:type="dxa"/>
            <w:gridSpan w:val="2"/>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spacing w:val="-6"/>
                <w:kern w:val="0"/>
                <w:sz w:val="18"/>
                <w:szCs w:val="18"/>
              </w:rPr>
              <w:t>三十四、抗疫特别国债安排的支出出</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265"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本 年 收 入 合 计</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本 年 支 出 合 计</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r>
      <w:tr>
        <w:tblPrEx>
          <w:tblLayout w:type="fixed"/>
          <w:tblCellMar>
            <w:top w:w="0" w:type="dxa"/>
            <w:left w:w="108" w:type="dxa"/>
            <w:bottom w:w="0" w:type="dxa"/>
            <w:right w:w="108" w:type="dxa"/>
          </w:tblCellMar>
        </w:tblPrEx>
        <w:trPr>
          <w:trHeight w:val="270"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上年结转结余</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3155" w:type="dxa"/>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CESI黑体-GB13000" w:cs="Times New Roman"/>
                <w:sz w:val="18"/>
                <w:szCs w:val="18"/>
              </w:rPr>
            </w:pP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108" w:type="dxa"/>
            <w:bottom w:w="0" w:type="dxa"/>
            <w:right w:w="108" w:type="dxa"/>
          </w:tblCellMar>
        </w:tblPrEx>
        <w:trPr>
          <w:trHeight w:val="269" w:hRule="exact"/>
          <w:jc w:val="center"/>
        </w:trPr>
        <w:tc>
          <w:tcPr>
            <w:tcW w:w="30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收 入 总 计</w:t>
            </w:r>
          </w:p>
        </w:tc>
        <w:tc>
          <w:tcPr>
            <w:tcW w:w="151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31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支 出 总 计</w:t>
            </w:r>
          </w:p>
        </w:tc>
        <w:tc>
          <w:tcPr>
            <w:tcW w:w="137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r>
    </w:tbl>
    <w:p>
      <w:pPr>
        <w:adjustRightInd w:val="0"/>
        <w:snapToGrid w:val="0"/>
        <w:spacing w:line="580" w:lineRule="exact"/>
        <w:rPr>
          <w:rFonts w:hint="default" w:ascii="Times New Roman" w:hAnsi="Times New Roman" w:eastAsia="CESI黑体-GB13000" w:cs="Times New Roman"/>
          <w:sz w:val="32"/>
          <w:szCs w:val="32"/>
          <w:highlight w:val="yellow"/>
        </w:rPr>
        <w:sectPr>
          <w:pgSz w:w="11906" w:h="16838"/>
          <w:pgMar w:top="2098" w:right="1531" w:bottom="1984" w:left="1531" w:header="851" w:footer="1531" w:gutter="0"/>
          <w:cols w:space="720" w:num="1"/>
          <w:docGrid w:type="linesAndChars" w:linePitch="312" w:charSpace="-1839"/>
        </w:sect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预算02表</w:t>
      </w:r>
    </w:p>
    <w:p>
      <w:pPr>
        <w:adjustRightInd w:val="0"/>
        <w:snapToGrid w:val="0"/>
        <w:spacing w:line="580" w:lineRule="exact"/>
        <w:jc w:val="center"/>
        <w:rPr>
          <w:rFonts w:hint="default" w:ascii="Times New Roman" w:hAnsi="Times New Roman" w:eastAsia="CESI黑体-GB13000" w:cs="Times New Roman"/>
          <w:kern w:val="0"/>
          <w:sz w:val="44"/>
          <w:szCs w:val="44"/>
        </w:rPr>
      </w:pPr>
      <w:r>
        <w:rPr>
          <w:rFonts w:hint="default" w:ascii="Times New Roman" w:hAnsi="Times New Roman" w:eastAsia="CESI黑体-GB13000" w:cs="Times New Roman"/>
          <w:kern w:val="0"/>
          <w:sz w:val="44"/>
          <w:szCs w:val="44"/>
        </w:rPr>
        <w:t>202</w:t>
      </w:r>
      <w:r>
        <w:rPr>
          <w:rFonts w:hint="eastAsia" w:ascii="Times New Roman" w:hAnsi="Times New Roman" w:eastAsia="CESI黑体-GB13000" w:cs="Times New Roman"/>
          <w:color w:val="auto"/>
          <w:kern w:val="0"/>
          <w:sz w:val="44"/>
          <w:szCs w:val="44"/>
          <w:lang w:val="en-US" w:eastAsia="zh-CN"/>
        </w:rPr>
        <w:t>4</w:t>
      </w:r>
      <w:r>
        <w:rPr>
          <w:rFonts w:hint="default" w:ascii="Times New Roman" w:hAnsi="Times New Roman" w:eastAsia="CESI黑体-GB13000" w:cs="Times New Roman"/>
          <w:kern w:val="0"/>
          <w:sz w:val="44"/>
          <w:szCs w:val="44"/>
        </w:rPr>
        <w:t>年部门收入预算表</w:t>
      </w:r>
    </w:p>
    <w:p>
      <w:pPr>
        <w:adjustRightInd w:val="0"/>
        <w:snapToGrid w:val="0"/>
        <w:spacing w:line="580" w:lineRule="exact"/>
        <w:rPr>
          <w:rFonts w:hint="default" w:ascii="Times New Roman" w:hAnsi="Times New Roman" w:eastAsia="CESI黑体-GB13000" w:cs="Times New Roman"/>
          <w:b/>
          <w:bCs/>
          <w:kern w:val="0"/>
          <w:sz w:val="38"/>
          <w:szCs w:val="38"/>
        </w:rPr>
      </w:pPr>
      <w:r>
        <w:rPr>
          <w:rFonts w:hint="default" w:ascii="Times New Roman" w:hAnsi="Times New Roman" w:eastAsia="CESI黑体-GB13000" w:cs="Times New Roman"/>
          <w:kern w:val="0"/>
          <w:sz w:val="18"/>
          <w:szCs w:val="18"/>
        </w:rPr>
        <w:t>部门名称：</w:t>
      </w:r>
      <w:r>
        <w:rPr>
          <w:rFonts w:hint="default" w:ascii="Times New Roman" w:hAnsi="Times New Roman" w:eastAsia="CESI黑体-GB13000" w:cs="Times New Roman"/>
          <w:kern w:val="0"/>
          <w:szCs w:val="21"/>
        </w:rPr>
        <w:t>焦作市马村区</w:t>
      </w:r>
      <w:r>
        <w:rPr>
          <w:rFonts w:hint="default" w:ascii="Times New Roman" w:hAnsi="Times New Roman" w:eastAsia="CESI黑体-GB13000" w:cs="Times New Roman"/>
          <w:kern w:val="0"/>
          <w:szCs w:val="21"/>
          <w:lang w:eastAsia="zh-CN"/>
        </w:rPr>
        <w:t>总工会</w:t>
      </w:r>
      <w:r>
        <w:rPr>
          <w:rFonts w:hint="default" w:ascii="Times New Roman" w:hAnsi="Times New Roman" w:eastAsia="CESI黑体-GB13000" w:cs="Times New Roman"/>
          <w:kern w:val="0"/>
          <w:szCs w:val="21"/>
        </w:rPr>
        <w:t xml:space="preserve">          </w:t>
      </w:r>
      <w:r>
        <w:rPr>
          <w:rFonts w:hint="default" w:ascii="Times New Roman" w:hAnsi="Times New Roman" w:eastAsia="CESI黑体-GB13000" w:cs="Times New Roman"/>
          <w:kern w:val="0"/>
          <w:sz w:val="18"/>
          <w:szCs w:val="18"/>
        </w:rPr>
        <w:t xml:space="preserve">                                                                                                 单位：万元</w:t>
      </w:r>
    </w:p>
    <w:tbl>
      <w:tblPr>
        <w:tblStyle w:val="6"/>
        <w:tblW w:w="13661" w:type="dxa"/>
        <w:jc w:val="center"/>
        <w:tblInd w:w="0" w:type="dxa"/>
        <w:tblLayout w:type="fixed"/>
        <w:tblCellMar>
          <w:top w:w="0" w:type="dxa"/>
          <w:left w:w="57" w:type="dxa"/>
          <w:bottom w:w="0" w:type="dxa"/>
          <w:right w:w="57" w:type="dxa"/>
        </w:tblCellMar>
      </w:tblPr>
      <w:tblGrid>
        <w:gridCol w:w="726"/>
        <w:gridCol w:w="698"/>
        <w:gridCol w:w="583"/>
        <w:gridCol w:w="583"/>
        <w:gridCol w:w="466"/>
        <w:gridCol w:w="488"/>
        <w:gridCol w:w="677"/>
        <w:gridCol w:w="583"/>
        <w:gridCol w:w="583"/>
        <w:gridCol w:w="633"/>
        <w:gridCol w:w="458"/>
        <w:gridCol w:w="477"/>
        <w:gridCol w:w="707"/>
        <w:gridCol w:w="431"/>
        <w:gridCol w:w="543"/>
        <w:gridCol w:w="534"/>
        <w:gridCol w:w="488"/>
        <w:gridCol w:w="734"/>
        <w:gridCol w:w="485"/>
        <w:gridCol w:w="450"/>
        <w:gridCol w:w="500"/>
        <w:gridCol w:w="637"/>
        <w:gridCol w:w="615"/>
        <w:gridCol w:w="582"/>
      </w:tblGrid>
      <w:tr>
        <w:tblPrEx>
          <w:tblLayout w:type="fixed"/>
          <w:tblCellMar>
            <w:top w:w="0" w:type="dxa"/>
            <w:left w:w="57" w:type="dxa"/>
            <w:bottom w:w="0" w:type="dxa"/>
            <w:right w:w="57" w:type="dxa"/>
          </w:tblCellMar>
        </w:tblPrEx>
        <w:trPr>
          <w:trHeight w:val="90" w:hRule="atLeast"/>
          <w:jc w:val="center"/>
        </w:trPr>
        <w:tc>
          <w:tcPr>
            <w:tcW w:w="72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eastAsia" w:ascii="Times New Roman" w:hAnsi="Times New Roman" w:eastAsia="CESI黑体-GB13000" w:cs="Times New Roman"/>
                <w:kern w:val="0"/>
                <w:sz w:val="18"/>
                <w:szCs w:val="18"/>
                <w:lang w:eastAsia="zh-CN"/>
              </w:rPr>
              <w:t>部门</w:t>
            </w:r>
            <w:r>
              <w:rPr>
                <w:rFonts w:hint="default" w:ascii="Times New Roman" w:hAnsi="Times New Roman" w:eastAsia="CESI黑体-GB13000" w:cs="Times New Roman"/>
                <w:kern w:val="0"/>
                <w:sz w:val="18"/>
                <w:szCs w:val="18"/>
              </w:rPr>
              <w:t>代码</w:t>
            </w:r>
          </w:p>
        </w:tc>
        <w:tc>
          <w:tcPr>
            <w:tcW w:w="69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eastAsia" w:ascii="Times New Roman" w:hAnsi="Times New Roman" w:eastAsia="CESI黑体-GB13000" w:cs="Times New Roman"/>
                <w:kern w:val="0"/>
                <w:sz w:val="18"/>
                <w:szCs w:val="18"/>
                <w:lang w:eastAsia="zh-CN"/>
              </w:rPr>
              <w:t>部门</w:t>
            </w:r>
            <w:r>
              <w:rPr>
                <w:rFonts w:hint="default" w:ascii="Times New Roman" w:hAnsi="Times New Roman" w:eastAsia="CESI黑体-GB13000" w:cs="Times New Roman"/>
                <w:kern w:val="0"/>
                <w:sz w:val="18"/>
                <w:szCs w:val="18"/>
              </w:rPr>
              <w:t>名称</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总计</w:t>
            </w:r>
          </w:p>
        </w:tc>
        <w:tc>
          <w:tcPr>
            <w:tcW w:w="2214"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合计</w:t>
            </w:r>
          </w:p>
        </w:tc>
        <w:tc>
          <w:tcPr>
            <w:tcW w:w="6171" w:type="dxa"/>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本年收入</w:t>
            </w:r>
          </w:p>
        </w:tc>
        <w:tc>
          <w:tcPr>
            <w:tcW w:w="3269"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上年结转结余</w:t>
            </w:r>
          </w:p>
        </w:tc>
      </w:tr>
      <w:tr>
        <w:tblPrEx>
          <w:tblLayout w:type="fixed"/>
          <w:tblCellMar>
            <w:top w:w="0" w:type="dxa"/>
            <w:left w:w="57" w:type="dxa"/>
            <w:bottom w:w="0" w:type="dxa"/>
            <w:right w:w="57" w:type="dxa"/>
          </w:tblCellMar>
        </w:tblPrEx>
        <w:trPr>
          <w:trHeight w:val="90" w:hRule="atLeast"/>
          <w:jc w:val="center"/>
        </w:trPr>
        <w:tc>
          <w:tcPr>
            <w:tcW w:w="7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一般公共预算</w:t>
            </w:r>
          </w:p>
        </w:tc>
        <w:tc>
          <w:tcPr>
            <w:tcW w:w="46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政府性基金</w:t>
            </w:r>
          </w:p>
        </w:tc>
        <w:tc>
          <w:tcPr>
            <w:tcW w:w="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国有资本经营预算</w:t>
            </w:r>
          </w:p>
        </w:tc>
        <w:tc>
          <w:tcPr>
            <w:tcW w:w="67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财政</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专户</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管理</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资金</w:t>
            </w:r>
          </w:p>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收入</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合计</w:t>
            </w:r>
          </w:p>
        </w:tc>
        <w:tc>
          <w:tcPr>
            <w:tcW w:w="121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一般公共预算</w:t>
            </w:r>
          </w:p>
        </w:tc>
        <w:tc>
          <w:tcPr>
            <w:tcW w:w="4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政府性基金</w:t>
            </w:r>
          </w:p>
        </w:tc>
        <w:tc>
          <w:tcPr>
            <w:tcW w:w="47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国有资本经营预算</w:t>
            </w:r>
          </w:p>
        </w:tc>
        <w:tc>
          <w:tcPr>
            <w:tcW w:w="70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财政</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专户</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管理</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资金</w:t>
            </w:r>
          </w:p>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收入</w:t>
            </w:r>
          </w:p>
        </w:tc>
        <w:tc>
          <w:tcPr>
            <w:tcW w:w="43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事业收入</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事业单位经营收入</w:t>
            </w:r>
          </w:p>
        </w:tc>
        <w:tc>
          <w:tcPr>
            <w:tcW w:w="5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上级补助收入</w:t>
            </w:r>
          </w:p>
        </w:tc>
        <w:tc>
          <w:tcPr>
            <w:tcW w:w="4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附属单位上缴收入</w:t>
            </w:r>
          </w:p>
        </w:tc>
        <w:tc>
          <w:tcPr>
            <w:tcW w:w="7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 xml:space="preserve"> 其他收入  </w:t>
            </w:r>
          </w:p>
        </w:tc>
        <w:tc>
          <w:tcPr>
            <w:tcW w:w="48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合计</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一般公共预算</w:t>
            </w:r>
          </w:p>
        </w:tc>
        <w:tc>
          <w:tcPr>
            <w:tcW w:w="5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政府性基金</w:t>
            </w:r>
          </w:p>
        </w:tc>
        <w:tc>
          <w:tcPr>
            <w:tcW w:w="63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国有</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资本</w:t>
            </w:r>
          </w:p>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经营</w:t>
            </w:r>
          </w:p>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预算</w:t>
            </w:r>
          </w:p>
        </w:tc>
        <w:tc>
          <w:tcPr>
            <w:tcW w:w="6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财政专户管理资金</w:t>
            </w:r>
          </w:p>
        </w:tc>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单位</w:t>
            </w:r>
          </w:p>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资金</w:t>
            </w:r>
          </w:p>
        </w:tc>
      </w:tr>
      <w:tr>
        <w:tblPrEx>
          <w:tblLayout w:type="fixed"/>
          <w:tblCellMar>
            <w:top w:w="0" w:type="dxa"/>
            <w:left w:w="57" w:type="dxa"/>
            <w:bottom w:w="0" w:type="dxa"/>
            <w:right w:w="57" w:type="dxa"/>
          </w:tblCellMar>
        </w:tblPrEx>
        <w:trPr>
          <w:trHeight w:val="90" w:hRule="atLeast"/>
          <w:jc w:val="center"/>
        </w:trPr>
        <w:tc>
          <w:tcPr>
            <w:tcW w:w="7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69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67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小计</w:t>
            </w:r>
          </w:p>
        </w:tc>
        <w:tc>
          <w:tcPr>
            <w:tcW w:w="6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kern w:val="0"/>
                <w:sz w:val="18"/>
                <w:szCs w:val="18"/>
              </w:rPr>
            </w:pPr>
            <w:r>
              <w:rPr>
                <w:rFonts w:hint="default" w:ascii="Times New Roman" w:hAnsi="Times New Roman" w:eastAsia="CESI黑体-GB13000" w:cs="Times New Roman"/>
                <w:kern w:val="0"/>
                <w:sz w:val="18"/>
                <w:szCs w:val="18"/>
              </w:rPr>
              <w:t>其中：财政</w:t>
            </w:r>
          </w:p>
          <w:p>
            <w:pPr>
              <w:widowControl/>
              <w:jc w:val="center"/>
              <w:textAlignment w:val="center"/>
              <w:rPr>
                <w:rFonts w:hint="default" w:ascii="Times New Roman" w:hAnsi="Times New Roman" w:eastAsia="CESI黑体-GB13000" w:cs="Times New Roman"/>
                <w:sz w:val="18"/>
                <w:szCs w:val="18"/>
              </w:rPr>
            </w:pPr>
            <w:r>
              <w:rPr>
                <w:rFonts w:hint="default" w:ascii="Times New Roman" w:hAnsi="Times New Roman" w:eastAsia="CESI黑体-GB13000" w:cs="Times New Roman"/>
                <w:kern w:val="0"/>
                <w:sz w:val="18"/>
                <w:szCs w:val="18"/>
              </w:rPr>
              <w:t>拨款</w:t>
            </w:r>
          </w:p>
        </w:tc>
        <w:tc>
          <w:tcPr>
            <w:tcW w:w="4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7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70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7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6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CESI黑体-GB13000" w:cs="Times New Roman"/>
                <w:sz w:val="18"/>
                <w:szCs w:val="18"/>
              </w:rPr>
            </w:pPr>
          </w:p>
        </w:tc>
      </w:tr>
      <w:tr>
        <w:tblPrEx>
          <w:tblLayout w:type="fixed"/>
          <w:tblCellMar>
            <w:top w:w="0" w:type="dxa"/>
            <w:left w:w="57" w:type="dxa"/>
            <w:bottom w:w="0" w:type="dxa"/>
            <w:right w:w="57" w:type="dxa"/>
          </w:tblCellMar>
        </w:tblPrEx>
        <w:trPr>
          <w:trHeight w:val="90" w:hRule="atLeast"/>
          <w:jc w:val="center"/>
        </w:trPr>
        <w:tc>
          <w:tcPr>
            <w:tcW w:w="7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p>
        </w:tc>
        <w:tc>
          <w:tcPr>
            <w:tcW w:w="6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CESI黑体-GB13000" w:cs="Times New Roman"/>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466"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6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63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45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0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31"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4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0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3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82"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57" w:type="dxa"/>
            <w:bottom w:w="0" w:type="dxa"/>
            <w:right w:w="57" w:type="dxa"/>
          </w:tblCellMar>
        </w:tblPrEx>
        <w:trPr>
          <w:trHeight w:val="90" w:hRule="atLeast"/>
          <w:jc w:val="center"/>
        </w:trPr>
        <w:tc>
          <w:tcPr>
            <w:tcW w:w="726" w:type="dxa"/>
            <w:tcBorders>
              <w:top w:val="single" w:color="000000" w:sz="4" w:space="0"/>
              <w:left w:val="single" w:color="000000" w:sz="4" w:space="0"/>
              <w:bottom w:val="single" w:color="000000" w:sz="4" w:space="0"/>
              <w:right w:val="single" w:color="000000" w:sz="4" w:space="0"/>
            </w:tcBorders>
            <w:vAlign w:val="center"/>
          </w:tcPr>
          <w:p>
            <w:pPr>
              <w:jc w:val="lef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924</w:t>
            </w:r>
          </w:p>
        </w:tc>
        <w:tc>
          <w:tcPr>
            <w:tcW w:w="698" w:type="dxa"/>
            <w:tcBorders>
              <w:top w:val="single" w:color="000000" w:sz="4" w:space="0"/>
              <w:left w:val="single" w:color="000000" w:sz="4" w:space="0"/>
              <w:bottom w:val="single" w:color="000000" w:sz="4" w:space="0"/>
              <w:right w:val="single" w:color="000000" w:sz="4" w:space="0"/>
            </w:tcBorders>
            <w:vAlign w:val="center"/>
          </w:tcPr>
          <w:p>
            <w:pPr>
              <w:jc w:val="left"/>
              <w:rPr>
                <w:rFonts w:hint="default" w:ascii="Times New Roman" w:hAnsi="Times New Roman" w:eastAsia="CESI黑体-GB13000" w:cs="Times New Roman"/>
                <w:sz w:val="18"/>
                <w:szCs w:val="18"/>
                <w:lang w:eastAsia="zh-CN"/>
              </w:rPr>
            </w:pPr>
            <w:r>
              <w:rPr>
                <w:rFonts w:hint="default" w:ascii="Times New Roman" w:hAnsi="Times New Roman" w:eastAsia="CESI黑体-GB13000" w:cs="Times New Roman"/>
                <w:sz w:val="18"/>
                <w:szCs w:val="18"/>
              </w:rPr>
              <w:t>焦作市马村区</w:t>
            </w:r>
            <w:r>
              <w:rPr>
                <w:rFonts w:hint="default" w:ascii="Times New Roman" w:hAnsi="Times New Roman" w:eastAsia="CESI黑体-GB13000" w:cs="Times New Roman"/>
                <w:sz w:val="18"/>
                <w:szCs w:val="18"/>
                <w:lang w:eastAsia="zh-CN"/>
              </w:rPr>
              <w:t>总工会</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kern w:val="2"/>
                <w:sz w:val="18"/>
                <w:szCs w:val="18"/>
                <w:lang w:val="en-US" w:eastAsia="zh-CN" w:bidi="ar-SA"/>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kern w:val="2"/>
                <w:sz w:val="18"/>
                <w:szCs w:val="18"/>
                <w:lang w:val="en-US" w:eastAsia="zh-CN" w:bidi="ar-SA"/>
              </w:rPr>
            </w:pPr>
            <w:r>
              <w:rPr>
                <w:rFonts w:hint="eastAsia" w:ascii="Times New Roman" w:hAnsi="Times New Roman" w:eastAsia="CESI黑体-GB13000" w:cs="Times New Roman"/>
                <w:color w:val="auto"/>
                <w:sz w:val="18"/>
                <w:szCs w:val="18"/>
                <w:lang w:val="en-US" w:eastAsia="zh-CN"/>
              </w:rPr>
              <w:t>499.51</w:t>
            </w:r>
          </w:p>
        </w:tc>
        <w:tc>
          <w:tcPr>
            <w:tcW w:w="466"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6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lang w:val="en-US" w:eastAsia="zh-CN"/>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63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45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0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31"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4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0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3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82"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r>
        <w:tblPrEx>
          <w:tblLayout w:type="fixed"/>
          <w:tblCellMar>
            <w:top w:w="0" w:type="dxa"/>
            <w:left w:w="57" w:type="dxa"/>
            <w:bottom w:w="0" w:type="dxa"/>
            <w:right w:w="57" w:type="dxa"/>
          </w:tblCellMar>
        </w:tblPrEx>
        <w:trPr>
          <w:trHeight w:val="90" w:hRule="atLeast"/>
          <w:jc w:val="center"/>
        </w:trPr>
        <w:tc>
          <w:tcPr>
            <w:tcW w:w="726" w:type="dxa"/>
            <w:tcBorders>
              <w:top w:val="single" w:color="000000" w:sz="4" w:space="0"/>
              <w:left w:val="single" w:color="000000" w:sz="4" w:space="0"/>
              <w:bottom w:val="single" w:color="000000" w:sz="4" w:space="0"/>
              <w:right w:val="single" w:color="000000" w:sz="4" w:space="0"/>
            </w:tcBorders>
            <w:vAlign w:val="center"/>
          </w:tcPr>
          <w:p>
            <w:pPr>
              <w:jc w:val="lef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924001</w:t>
            </w:r>
          </w:p>
        </w:tc>
        <w:tc>
          <w:tcPr>
            <w:tcW w:w="698" w:type="dxa"/>
            <w:tcBorders>
              <w:top w:val="single" w:color="000000" w:sz="4" w:space="0"/>
              <w:left w:val="single" w:color="000000" w:sz="4" w:space="0"/>
              <w:bottom w:val="single" w:color="000000" w:sz="4" w:space="0"/>
              <w:right w:val="single" w:color="000000" w:sz="4" w:space="0"/>
            </w:tcBorders>
            <w:vAlign w:val="center"/>
          </w:tcPr>
          <w:p>
            <w:pPr>
              <w:jc w:val="left"/>
              <w:rPr>
                <w:rFonts w:hint="default" w:ascii="Times New Roman" w:hAnsi="Times New Roman" w:eastAsia="CESI黑体-GB13000" w:cs="Times New Roman"/>
                <w:sz w:val="18"/>
                <w:szCs w:val="18"/>
                <w:lang w:eastAsia="zh-CN"/>
              </w:rPr>
            </w:pPr>
            <w:r>
              <w:rPr>
                <w:rFonts w:hint="default" w:ascii="Times New Roman" w:hAnsi="Times New Roman" w:eastAsia="CESI黑体-GB13000" w:cs="Times New Roman"/>
                <w:sz w:val="18"/>
                <w:szCs w:val="18"/>
              </w:rPr>
              <w:t>焦作市马村区</w:t>
            </w:r>
            <w:r>
              <w:rPr>
                <w:rFonts w:hint="default" w:ascii="Times New Roman" w:hAnsi="Times New Roman" w:eastAsia="CESI黑体-GB13000" w:cs="Times New Roman"/>
                <w:sz w:val="18"/>
                <w:szCs w:val="18"/>
                <w:lang w:eastAsia="zh-CN"/>
              </w:rPr>
              <w:t>总工会</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466"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6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default" w:ascii="Times New Roman" w:hAnsi="Times New Roman" w:eastAsia="CESI黑体-GB13000" w:cs="Times New Roman"/>
                <w:sz w:val="18"/>
                <w:szCs w:val="18"/>
              </w:rPr>
              <w:t>0.00</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58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63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r>
              <w:rPr>
                <w:rFonts w:hint="eastAsia" w:ascii="Times New Roman" w:hAnsi="Times New Roman" w:eastAsia="CESI黑体-GB13000" w:cs="Times New Roman"/>
                <w:color w:val="auto"/>
                <w:sz w:val="18"/>
                <w:szCs w:val="18"/>
                <w:lang w:val="en-US" w:eastAsia="zh-CN"/>
              </w:rPr>
              <w:t>499.51</w:t>
            </w:r>
          </w:p>
        </w:tc>
        <w:tc>
          <w:tcPr>
            <w:tcW w:w="45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7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0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31"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43"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8"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734"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8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00"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37"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615"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c>
          <w:tcPr>
            <w:tcW w:w="582" w:type="dxa"/>
            <w:tcBorders>
              <w:top w:val="single" w:color="000000" w:sz="4" w:space="0"/>
              <w:left w:val="single" w:color="000000" w:sz="4" w:space="0"/>
              <w:bottom w:val="single" w:color="000000" w:sz="4" w:space="0"/>
              <w:right w:val="single" w:color="000000" w:sz="4" w:space="0"/>
            </w:tcBorders>
            <w:vAlign w:val="center"/>
          </w:tcPr>
          <w:p>
            <w:pPr>
              <w:jc w:val="right"/>
              <w:rPr>
                <w:rFonts w:hint="default" w:ascii="Times New Roman" w:hAnsi="Times New Roman" w:eastAsia="CESI黑体-GB13000" w:cs="Times New Roman"/>
                <w:sz w:val="18"/>
                <w:szCs w:val="18"/>
              </w:rPr>
            </w:pPr>
          </w:p>
        </w:tc>
      </w:tr>
    </w:tbl>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 xml:space="preserve"> </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预算03表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pPr w:leftFromText="180" w:rightFromText="180" w:vertAnchor="text" w:horzAnchor="page" w:tblpX="709" w:tblpY="1902"/>
        <w:tblOverlap w:val="never"/>
        <w:tblW w:w="15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427"/>
        <w:gridCol w:w="429"/>
        <w:gridCol w:w="734"/>
        <w:gridCol w:w="2182"/>
        <w:gridCol w:w="1280"/>
        <w:gridCol w:w="1279"/>
        <w:gridCol w:w="1015"/>
        <w:gridCol w:w="1100"/>
        <w:gridCol w:w="1074"/>
        <w:gridCol w:w="1014"/>
        <w:gridCol w:w="1014"/>
        <w:gridCol w:w="893"/>
        <w:gridCol w:w="1066"/>
        <w:gridCol w:w="909"/>
        <w:gridCol w:w="9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2" w:hRule="atLeast"/>
        </w:trPr>
        <w:tc>
          <w:tcPr>
            <w:tcW w:w="15800" w:type="dxa"/>
            <w:gridSpan w:val="1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2024年部门支出预算表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8" w:hRule="atLeast"/>
        </w:trPr>
        <w:tc>
          <w:tcPr>
            <w:tcW w:w="1329"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356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11"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9" w:hRule="atLeast"/>
        </w:trPr>
        <w:tc>
          <w:tcPr>
            <w:tcW w:w="132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2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总计</w:t>
            </w:r>
          </w:p>
        </w:tc>
        <w:tc>
          <w:tcPr>
            <w:tcW w:w="73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2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9" w:hRule="atLeast"/>
        </w:trPr>
        <w:tc>
          <w:tcPr>
            <w:tcW w:w="132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9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6"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27.69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27.69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行政运行</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488.62</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25.62</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22.96</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其他行政事业单位养老支出</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行政单位医疗</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4"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580" w:lineRule="exact"/>
        <w:jc w:val="center"/>
        <w:rPr>
          <w:rFonts w:hint="default" w:ascii="Times New Roman" w:hAnsi="Times New Roman" w:eastAsia="CESI黑体-GB13000" w:cs="Times New Roman"/>
          <w:kern w:val="0"/>
          <w:sz w:val="44"/>
          <w:szCs w:val="44"/>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4</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44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13"/>
        <w:gridCol w:w="1208"/>
        <w:gridCol w:w="2580"/>
        <w:gridCol w:w="1207"/>
        <w:gridCol w:w="1207"/>
        <w:gridCol w:w="1125"/>
        <w:gridCol w:w="1266"/>
        <w:gridCol w:w="818"/>
        <w:gridCol w:w="767"/>
        <w:gridCol w:w="958"/>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1" w:hRule="atLeast"/>
        </w:trPr>
        <w:tc>
          <w:tcPr>
            <w:tcW w:w="14420"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2024年财政拨款收支预算表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41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9411"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焦作市马村区总工会</w:t>
            </w:r>
          </w:p>
        </w:tc>
        <w:tc>
          <w:tcPr>
            <w:tcW w:w="76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5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71"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3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收入  </w:t>
            </w:r>
          </w:p>
        </w:tc>
        <w:tc>
          <w:tcPr>
            <w:tcW w:w="1079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支出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4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 目  </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　额</w:t>
            </w: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 目  </w:t>
            </w:r>
          </w:p>
        </w:tc>
        <w:tc>
          <w:tcPr>
            <w:tcW w:w="12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5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一般公共预算  </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w:t>
            </w:r>
          </w:p>
        </w:tc>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财政专户管理资金收入</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6" w:hRule="atLeast"/>
        </w:trPr>
        <w:tc>
          <w:tcPr>
            <w:tcW w:w="24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小计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其中：财政拨款</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其中：上级专项转移支付安排支出</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收入合计</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支出合计</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一、本年收入</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一、本年支出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（一）一般公共服务支出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488.62</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488.62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488.62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其中：财政拨款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（二）外交支出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（二）政府性基金预算拨款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（三）国防支出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（三）国有资本经营预算拨款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（四）公共安全支出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（四）财政专户管理资金收入</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（五）教育支出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（五）单位资金</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（六）科学技术支出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二、上年结转</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（七）文化体育旅游与传媒支出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（八）社会保障和就业支出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（二）政府性基金预算拨款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（九）医疗卫生与计划生育支出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（三）国有资本经营预算拨款</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（十）卫生健康支出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（四）财政专户管理资金收入</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（十一）节能环保支出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（十二）城乡社区事务支出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（十三）农林水事务支出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（十四）交通运输支出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（十五）资源勘探信息等支出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（十六）商业服务业等支出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（十七）金融支出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（十九）援助其他地区支出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（二十）自然资源海洋气象等支出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（二十一）住房保障支出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（二十二）粮油物资储备支出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（二十三）国有资本经营预算</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（二十四）灾害防治及应急管理</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（二十七）预备费</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（二十九）其他支出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（三十）转移性支出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（三十一）债务还本支出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（三十二）债务付息支出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（三十三）债务发行费用支出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（三十四）抗疫特别国债安排的支出</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trPr>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二、年终结转结余</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bl>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5</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44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444"/>
        <w:gridCol w:w="445"/>
        <w:gridCol w:w="780"/>
        <w:gridCol w:w="2225"/>
        <w:gridCol w:w="1504"/>
        <w:gridCol w:w="1503"/>
        <w:gridCol w:w="1150"/>
        <w:gridCol w:w="1061"/>
        <w:gridCol w:w="1060"/>
        <w:gridCol w:w="948"/>
        <w:gridCol w:w="948"/>
        <w:gridCol w:w="949"/>
        <w:gridCol w:w="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7" w:hRule="atLeast"/>
        </w:trPr>
        <w:tc>
          <w:tcPr>
            <w:tcW w:w="1444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1362"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部门名称：</w:t>
            </w:r>
          </w:p>
        </w:tc>
        <w:tc>
          <w:tcPr>
            <w:tcW w:w="12128"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5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13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2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1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28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13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2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27.69</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27.69</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行政运行</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488.62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其他行政事业单位养老支出</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行政单位医疗</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w:t>
            </w:r>
          </w:p>
        </w:tc>
        <w:tc>
          <w:tcPr>
            <w:tcW w:w="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6</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38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34"/>
        <w:gridCol w:w="2603"/>
        <w:gridCol w:w="1734"/>
        <w:gridCol w:w="2603"/>
        <w:gridCol w:w="1734"/>
        <w:gridCol w:w="1735"/>
        <w:gridCol w:w="1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2" w:hRule="atLeast"/>
        </w:trPr>
        <w:tc>
          <w:tcPr>
            <w:tcW w:w="138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17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0409"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737"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4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部门预算支出经济分类科目</w:t>
            </w:r>
          </w:p>
        </w:tc>
        <w:tc>
          <w:tcPr>
            <w:tcW w:w="4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政府预算支出经济分类科目</w:t>
            </w:r>
          </w:p>
        </w:tc>
        <w:tc>
          <w:tcPr>
            <w:tcW w:w="52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33.85</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30103</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7.68</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7.68</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30302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50905</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离退休费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30239</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其他交通费用</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30229</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福利费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3"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30108</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30110</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2" w:hRule="atLeast"/>
        </w:trPr>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30113</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50103</w:t>
            </w:r>
          </w:p>
        </w:tc>
        <w:tc>
          <w:tcPr>
            <w:tcW w:w="2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7</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33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6"/>
        <w:gridCol w:w="846"/>
        <w:gridCol w:w="2821"/>
        <w:gridCol w:w="1072"/>
        <w:gridCol w:w="1128"/>
        <w:gridCol w:w="959"/>
        <w:gridCol w:w="846"/>
        <w:gridCol w:w="1128"/>
        <w:gridCol w:w="959"/>
        <w:gridCol w:w="846"/>
        <w:gridCol w:w="790"/>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1" w:hRule="atLeast"/>
        </w:trPr>
        <w:tc>
          <w:tcPr>
            <w:tcW w:w="1337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2024年一般公共预算基本支出明细表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101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139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59"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类型</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财政拨款结转结余</w:t>
            </w:r>
          </w:p>
        </w:tc>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人员类</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行政人员及机关技术工人年基本工资</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年终一次性奖金（行政）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工伤保险费（行政）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在职人员采暖补贴（行政）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在职人员全国文明城市奖（行政）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在职人员物业服务补贴（行政）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规范性津贴补贴</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国家保留津贴（行政）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基础绩效奖（行政）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在职人员公务通讯补贴</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奖励性绩效（行政）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0.47</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0.47</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退休人员补贴</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养老保险金（行政）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退休人员采暖补贴（行政）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退休人员年健康休养费（行政）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2.27</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2.27</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退休人员物业服务补贴（行政）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医疗保险金（行政）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在职人员定额公用经费（行政）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在职人员公用经费公务交通补贴（行政）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福利费（行政）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退休干部活动费（行政）</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8</w:t>
      </w:r>
      <w:r>
        <w:rPr>
          <w:rFonts w:hint="default" w:ascii="Times New Roman" w:hAnsi="Times New Roman" w:eastAsia="CESI黑体-GB13000" w:cs="Times New Roman"/>
          <w:i w:val="0"/>
          <w:iCs w:val="0"/>
          <w:color w:val="000000"/>
          <w:kern w:val="0"/>
          <w:sz w:val="32"/>
          <w:szCs w:val="32"/>
          <w:u w:val="none"/>
          <w:lang w:val="en-US" w:eastAsia="zh-CN" w:bidi="ar"/>
        </w:rPr>
        <w:t>表</w:t>
      </w:r>
    </w:p>
    <w:tbl>
      <w:tblPr>
        <w:tblStyle w:val="6"/>
        <w:tblW w:w="142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388"/>
        <w:gridCol w:w="1749"/>
        <w:gridCol w:w="473"/>
        <w:gridCol w:w="388"/>
        <w:gridCol w:w="1749"/>
        <w:gridCol w:w="1063"/>
        <w:gridCol w:w="985"/>
        <w:gridCol w:w="986"/>
        <w:gridCol w:w="690"/>
        <w:gridCol w:w="611"/>
        <w:gridCol w:w="807"/>
        <w:gridCol w:w="690"/>
        <w:gridCol w:w="611"/>
        <w:gridCol w:w="611"/>
        <w:gridCol w:w="611"/>
        <w:gridCol w:w="614"/>
        <w:gridCol w:w="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14200"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2024年支出经济分类汇总表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610"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部门名称：  </w:t>
            </w:r>
          </w:p>
        </w:tc>
        <w:tc>
          <w:tcPr>
            <w:tcW w:w="10889" w:type="dxa"/>
            <w:gridSpan w:val="1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701"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部门预算经济分类  </w:t>
            </w:r>
          </w:p>
        </w:tc>
        <w:tc>
          <w:tcPr>
            <w:tcW w:w="2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政府预算经济分类</w:t>
            </w: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总计</w:t>
            </w:r>
          </w:p>
        </w:tc>
        <w:tc>
          <w:tcPr>
            <w:tcW w:w="1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上年结转结余</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财政专户管理资金收入</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事业收入</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上级补助收入</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附属单位上缴收入</w:t>
            </w:r>
          </w:p>
        </w:tc>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事业单位经营收入</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类</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类</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其中：财政拨款</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工会经费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福利费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其他交通费用</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离退休费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救济费</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社会福利和救助</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预算0</w:t>
      </w:r>
      <w:r>
        <w:rPr>
          <w:rFonts w:hint="eastAsia" w:ascii="Times New Roman" w:hAnsi="Times New Roman" w:eastAsia="CESI黑体-GB13000" w:cs="Times New Roman"/>
          <w:i w:val="0"/>
          <w:iCs w:val="0"/>
          <w:color w:val="000000"/>
          <w:kern w:val="0"/>
          <w:sz w:val="32"/>
          <w:szCs w:val="32"/>
          <w:u w:val="none"/>
          <w:lang w:val="en-US" w:eastAsia="zh-CN" w:bidi="ar"/>
        </w:rPr>
        <w:t>9</w:t>
      </w:r>
      <w:r>
        <w:rPr>
          <w:rFonts w:hint="default" w:ascii="Times New Roman" w:hAnsi="Times New Roman" w:eastAsia="CESI黑体-GB13000" w:cs="Times New Roman"/>
          <w:i w:val="0"/>
          <w:iCs w:val="0"/>
          <w:color w:val="000000"/>
          <w:kern w:val="0"/>
          <w:sz w:val="32"/>
          <w:szCs w:val="32"/>
          <w:u w:val="none"/>
          <w:lang w:val="en-US" w:eastAsia="zh-CN" w:bidi="ar"/>
        </w:rPr>
        <w:t>表</w:t>
      </w:r>
    </w:p>
    <w:tbl>
      <w:tblPr>
        <w:tblStyle w:val="6"/>
        <w:tblW w:w="12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3"/>
        <w:gridCol w:w="2143"/>
        <w:gridCol w:w="2143"/>
        <w:gridCol w:w="2143"/>
        <w:gridCol w:w="2144"/>
        <w:gridCol w:w="2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1" w:hRule="atLeast"/>
        </w:trPr>
        <w:tc>
          <w:tcPr>
            <w:tcW w:w="12860" w:type="dxa"/>
            <w:gridSpan w:val="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2024年一般公共预算“三公”经费预算表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143"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8573"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焦作市马村区总工会</w:t>
            </w:r>
          </w:p>
        </w:tc>
        <w:tc>
          <w:tcPr>
            <w:tcW w:w="2144"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“三公”经费合计</w:t>
            </w:r>
          </w:p>
        </w:tc>
        <w:tc>
          <w:tcPr>
            <w:tcW w:w="2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因公出国（境）费</w:t>
            </w:r>
          </w:p>
        </w:tc>
        <w:tc>
          <w:tcPr>
            <w:tcW w:w="6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公务用车购置及运行费</w:t>
            </w:r>
          </w:p>
        </w:tc>
        <w:tc>
          <w:tcPr>
            <w:tcW w:w="21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公务用车购置费</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公务用车运行费</w:t>
            </w:r>
          </w:p>
        </w:tc>
        <w:tc>
          <w:tcPr>
            <w:tcW w:w="21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6" w:hRule="atLeast"/>
        </w:trPr>
        <w:tc>
          <w:tcPr>
            <w:tcW w:w="1286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按照党中央、国务院有关规定及部门预算管理有关规定，“三公”经费包括因公出国（境）费、公务用车购置及运行费和公务接待费。（1）因公出国（境）费，指单位工作人员公务出国（境）的住宿费、差旅费、伙食补助费、杂费、培训费等支出。（2）公务用车购置及运行费，指单位公务用车购置费及租用费、燃料费、维修费、过路过桥费、保险费、安全奖励费用等支出，公务用车指用于履行公务的机动车辆，包括一般公务用车和执法执勤用车。（3）公务接待费，指单位按规定开支的各类公务接待（含外宾接待）支出。</w:t>
            </w:r>
          </w:p>
        </w:tc>
      </w:tr>
    </w:tbl>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w:t>
      </w:r>
      <w:r>
        <w:rPr>
          <w:rFonts w:hint="default" w:ascii="Times New Roman" w:hAnsi="Times New Roman" w:eastAsia="CESI黑体-GB13000" w:cs="Times New Roman"/>
          <w:i w:val="0"/>
          <w:iCs w:val="0"/>
          <w:color w:val="000000"/>
          <w:kern w:val="0"/>
          <w:sz w:val="32"/>
          <w:szCs w:val="32"/>
          <w:u w:val="none"/>
          <w:lang w:val="en-US" w:eastAsia="zh-CN" w:bidi="ar"/>
        </w:rPr>
        <w:t>0表</w:t>
      </w:r>
    </w:p>
    <w:tbl>
      <w:tblPr>
        <w:tblStyle w:val="6"/>
        <w:tblW w:w="143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1"/>
        <w:gridCol w:w="451"/>
        <w:gridCol w:w="451"/>
        <w:gridCol w:w="846"/>
        <w:gridCol w:w="3608"/>
        <w:gridCol w:w="958"/>
        <w:gridCol w:w="958"/>
        <w:gridCol w:w="846"/>
        <w:gridCol w:w="958"/>
        <w:gridCol w:w="958"/>
        <w:gridCol w:w="958"/>
        <w:gridCol w:w="958"/>
        <w:gridCol w:w="959"/>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1" w:hRule="atLeast"/>
        </w:trPr>
        <w:tc>
          <w:tcPr>
            <w:tcW w:w="1432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2024年政府性基金支出预算表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1353"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2007"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6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13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3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6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28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13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6"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11</w:t>
      </w:r>
      <w:r>
        <w:rPr>
          <w:rFonts w:hint="default" w:ascii="Times New Roman" w:hAnsi="Times New Roman" w:eastAsia="CESI黑体-GB13000" w:cs="Times New Roman"/>
          <w:i w:val="0"/>
          <w:iCs w:val="0"/>
          <w:color w:val="000000"/>
          <w:kern w:val="0"/>
          <w:sz w:val="32"/>
          <w:szCs w:val="32"/>
          <w:u w:val="none"/>
          <w:lang w:val="en-US" w:eastAsia="zh-CN" w:bidi="ar"/>
        </w:rPr>
        <w:t>表</w:t>
      </w:r>
    </w:p>
    <w:tbl>
      <w:tblPr>
        <w:tblStyle w:val="6"/>
        <w:tblW w:w="146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
        <w:gridCol w:w="401"/>
        <w:gridCol w:w="401"/>
        <w:gridCol w:w="1473"/>
        <w:gridCol w:w="3210"/>
        <w:gridCol w:w="853"/>
        <w:gridCol w:w="1180"/>
        <w:gridCol w:w="1009"/>
        <w:gridCol w:w="854"/>
        <w:gridCol w:w="853"/>
        <w:gridCol w:w="854"/>
        <w:gridCol w:w="853"/>
        <w:gridCol w:w="1156"/>
        <w:gridCol w:w="1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2" w:hRule="atLeast"/>
        </w:trPr>
        <w:tc>
          <w:tcPr>
            <w:tcW w:w="1460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2024年国有资本经营支出预算表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atLeast"/>
        </w:trPr>
        <w:tc>
          <w:tcPr>
            <w:tcW w:w="1202"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229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103"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trPr>
        <w:tc>
          <w:tcPr>
            <w:tcW w:w="12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trPr>
        <w:tc>
          <w:tcPr>
            <w:tcW w:w="12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11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1"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4"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12</w:t>
      </w:r>
      <w:r>
        <w:rPr>
          <w:rFonts w:hint="default" w:ascii="Times New Roman" w:hAnsi="Times New Roman" w:eastAsia="CESI黑体-GB13000" w:cs="Times New Roman"/>
          <w:i w:val="0"/>
          <w:iCs w:val="0"/>
          <w:color w:val="000000"/>
          <w:kern w:val="0"/>
          <w:sz w:val="32"/>
          <w:szCs w:val="32"/>
          <w:u w:val="none"/>
          <w:lang w:val="en-US" w:eastAsia="zh-CN" w:bidi="ar"/>
        </w:rPr>
        <w:t>表</w:t>
      </w:r>
    </w:p>
    <w:tbl>
      <w:tblPr>
        <w:tblStyle w:val="6"/>
        <w:tblW w:w="1365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9"/>
        <w:gridCol w:w="2538"/>
        <w:gridCol w:w="1410"/>
        <w:gridCol w:w="1072"/>
        <w:gridCol w:w="1128"/>
        <w:gridCol w:w="959"/>
        <w:gridCol w:w="846"/>
        <w:gridCol w:w="1128"/>
        <w:gridCol w:w="959"/>
        <w:gridCol w:w="846"/>
        <w:gridCol w:w="846"/>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1" w:hRule="atLeast"/>
        </w:trPr>
        <w:tc>
          <w:tcPr>
            <w:tcW w:w="1365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95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1732"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59"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类型</w:t>
            </w:r>
          </w:p>
        </w:tc>
        <w:tc>
          <w:tcPr>
            <w:tcW w:w="2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财政拨款结转结余</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2024年度救助金及送温暖资金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2024年度工会经费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13</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23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39"/>
        <w:gridCol w:w="4487"/>
        <w:gridCol w:w="4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30" w:hRule="atLeast"/>
        </w:trPr>
        <w:tc>
          <w:tcPr>
            <w:tcW w:w="12340" w:type="dxa"/>
            <w:gridSpan w:val="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2024年机关（机构）运行经费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trPr>
        <w:tc>
          <w:tcPr>
            <w:tcW w:w="373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448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4114"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trPr>
        <w:tc>
          <w:tcPr>
            <w:tcW w:w="82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部门预算支出经济分类科目</w:t>
            </w:r>
          </w:p>
        </w:tc>
        <w:tc>
          <w:tcPr>
            <w:tcW w:w="4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机关（机构）运行经费支出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trPr>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4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4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trPr>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4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9" w:hRule="atLeast"/>
        </w:trPr>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30201</w:t>
            </w:r>
          </w:p>
        </w:tc>
        <w:tc>
          <w:tcPr>
            <w:tcW w:w="4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4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r>
    </w:tbl>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400" w:lineRule="exact"/>
        <w:rPr>
          <w:rFonts w:hint="default" w:ascii="Times New Roman" w:hAnsi="Times New Roman" w:eastAsia="仿宋_GB2312" w:cs="Times New Roman"/>
          <w:sz w:val="32"/>
          <w:szCs w:val="32"/>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14</w:t>
      </w:r>
      <w:r>
        <w:rPr>
          <w:rFonts w:hint="default" w:ascii="Times New Roman" w:hAnsi="Times New Roman" w:eastAsia="CESI黑体-GB13000" w:cs="Times New Roman"/>
          <w:i w:val="0"/>
          <w:iCs w:val="0"/>
          <w:color w:val="000000"/>
          <w:kern w:val="0"/>
          <w:sz w:val="32"/>
          <w:szCs w:val="32"/>
          <w:u w:val="none"/>
          <w:lang w:val="en-US" w:eastAsia="zh-CN" w:bidi="ar"/>
        </w:rPr>
        <w:t>表</w:t>
      </w: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tbl>
      <w:tblPr>
        <w:tblStyle w:val="6"/>
        <w:tblW w:w="129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8"/>
        <w:gridCol w:w="1778"/>
        <w:gridCol w:w="3701"/>
        <w:gridCol w:w="1777"/>
        <w:gridCol w:w="3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8" w:hRule="atLeast"/>
        </w:trPr>
        <w:tc>
          <w:tcPr>
            <w:tcW w:w="1290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本级部门(单位)整体绩效目标表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trPr>
        <w:tc>
          <w:tcPr>
            <w:tcW w:w="1290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3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部门（单位）名称  </w:t>
            </w:r>
          </w:p>
        </w:tc>
        <w:tc>
          <w:tcPr>
            <w:tcW w:w="94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7" w:hRule="atLeast"/>
        </w:trPr>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年度履职目标</w:t>
            </w:r>
          </w:p>
        </w:tc>
        <w:tc>
          <w:tcPr>
            <w:tcW w:w="112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目标1：履行工会的维护、建设、参与、教育等社会职能</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目标2:对有关职工的合法权益重大问题进行调查研究</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目标3：研究制定工会组织制度和民主制度</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目标4：参与劳动模范的推荐、评选工作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任务1：保证本单位经济运行正常运转</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保证本单位经济运行正常运转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任务2：参与涉及职工切身利益的政策、措施、制度的制定</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参与涉及职工切身利益的政策、措施、制度的制定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任务3：推动建立平等协商、集体合同制度和督促保证机制的工作</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推动建立平等协商、集体合同制度和督促保证机制的工作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任务4：参与全国劳动模范、省劳动模范、市劳动模范的推荐、评选工作</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参与全国劳动模范、省劳动模范、市劳动模范的推荐、评选工作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预算情况  </w:t>
            </w: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部门预算总额（万元）</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1、资金来源：（1）政府预算资金</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（2）财政专户管理资金</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（3）单位资金</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2、资金结构：（1）基本支出</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（2）项目支出</w:t>
            </w:r>
          </w:p>
        </w:tc>
        <w:tc>
          <w:tcPr>
            <w:tcW w:w="5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投入管理指标  </w:t>
            </w: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工作目标管理  </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年度履职目标相关性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相关</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85"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工作任务科学性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科学</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6"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绩效指标合理性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合理</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工作任务、预算项目绩效指标设置是否准确反映部门绩效完成情况；2.工作任务、预算项目绩效指标是否清晰、细化、可评价、可衡量；3.工作任务、预算项目绩效指标的评价标准是否清晰、可衡量；4.是否与部门年度数或计划数相对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预算和财务管理  </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预算编制完整性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完整</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1.部门所有收入是否全部纳入部门预算；2.部门支出预算是否统筹各类资金来源，全部纳入部门预算管理。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专项资金细化率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专项资金细化率=（已细化到具体市县和承担单位的资金数/部门参与分配资金总数）×100%。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预算执行率=（预算完成数/预算数）×100%。预算完成数指部门实际执行的预算数；预算数指财政部门批复的本年度部门的（调整）预算数。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6"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预算调整率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结转结余率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结转结余率=结转结余总额/预算数*100%。结转结余总额是指部门本年度的结转结余资金之和。预算数是指财政部门批复的本年度部门的（调整）预算数。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“三公经费”控制率=本年度“三公经费”实际支出数/“三公经费”预算数*100%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7"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政府采购执行率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政府采购执行率=（实际政府采购金额/政府采购预算数）×100%。政府采购预算：采购机关根据事业发展计划和行政任务编制的、并经过规定程序批准的年度政府采购计划。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决算真实性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真实</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反映本部门决算工作情况。决算编制数据是否账表一致，即决算报表数据与会计账簿数据是否一致。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2"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资金使用合规性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合规</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85"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管理制度健全性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健全</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6"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预决算信息公开性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公开</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2"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资产管理规范性</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7"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绩效管理  </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绩效监控完成率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部门（单位）按要求编制绩效目标的项目数量占应编制绩效目标项目总数的比重。部门目标编制完成率=已完成绩效目标编制项目数量/部门应编制绩效目标项目总数*100%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7"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绩效自评完成率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部门（单位）按要求编制绩效目标的项目数量占应编制绩效目标项目总数的比重。部门目标编制完成率=已完成绩效目标编制项目数量/部门应编制绩效目标项目总数*100%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部门绩效评价完成率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部门重点绩效评价项目评价完成情况。部门绩效评价完成率=已完成评价项目数量/部门重点绩效评价项目数*100%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评价结果应用率</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绩效监控、单位自评、部门绩效评价、财政重点绩效评价结果应用情况。评价结果应用率=评价提出的意见建议采纳数/提出的意见建议总数*100%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产出指标  </w:t>
            </w: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重点工作任务完成</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服务辖区职工数</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≥4500人</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反映本部门负责的重点工作任务进展情况。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帮扶困难职工</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≥2名</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反映本部门负责的重点工作任务进展情况。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完成了评选先进工作者</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≥170人</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反映本部门负责的重点工作任务进展情况。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履职目标实现</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参与涉及职工切身利益的政策、措施的制定</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反映本部门制定的年度工作达成情况。分项具体列示本部门年度工作目标达成情况，相关情况应予以细化、量化表述。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工会工作完成度</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做好工会对职工服务等的工作。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效益指标  </w:t>
            </w: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履职效益</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经济效益</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反映部门履职对经济社会发展等所带来的直接或间接影响。可根据部门实际情况有选择的进行设置，并将三级指标细化为相应的个性化指标。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56"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社会效益</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部门履职对经济社会发展等所带来的直接或间接影响。可根据部门实际情况有选择的进行设置，并将三级指标细化为相应的个性化指标。维护了职工权益方面，积极开展法律法规宣传，提高了职工的法律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9"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服务对象满意度</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职工对工会工作的满意度。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社会公众满意度</w:t>
            </w: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社会公众人员满意度。</w:t>
            </w:r>
          </w:p>
        </w:tc>
      </w:tr>
    </w:tbl>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p>
    <w:p>
      <w:pPr>
        <w:adjustRightInd w:val="0"/>
        <w:snapToGrid w:val="0"/>
        <w:spacing w:line="580" w:lineRule="exact"/>
        <w:jc w:val="left"/>
        <w:rPr>
          <w:rFonts w:hint="default" w:ascii="Times New Roman" w:hAnsi="Times New Roman" w:eastAsia="CESI黑体-GB13000" w:cs="Times New Roman"/>
          <w:i w:val="0"/>
          <w:iCs w:val="0"/>
          <w:color w:val="000000"/>
          <w:kern w:val="0"/>
          <w:sz w:val="32"/>
          <w:szCs w:val="32"/>
          <w:u w:val="none"/>
          <w:lang w:val="en-US" w:eastAsia="zh-CN" w:bidi="ar"/>
        </w:rPr>
      </w:pPr>
      <w:r>
        <w:rPr>
          <w:rFonts w:hint="default" w:ascii="Times New Roman" w:hAnsi="Times New Roman" w:eastAsia="CESI黑体-GB13000" w:cs="Times New Roman"/>
          <w:i w:val="0"/>
          <w:iCs w:val="0"/>
          <w:color w:val="000000"/>
          <w:kern w:val="0"/>
          <w:sz w:val="32"/>
          <w:szCs w:val="32"/>
          <w:u w:val="none"/>
          <w:lang w:val="en-US" w:eastAsia="zh-CN" w:bidi="ar"/>
        </w:rPr>
        <w:t>预算</w:t>
      </w:r>
      <w:r>
        <w:rPr>
          <w:rFonts w:hint="eastAsia" w:ascii="Times New Roman" w:hAnsi="Times New Roman" w:eastAsia="CESI黑体-GB13000" w:cs="Times New Roman"/>
          <w:i w:val="0"/>
          <w:iCs w:val="0"/>
          <w:color w:val="000000"/>
          <w:kern w:val="0"/>
          <w:sz w:val="32"/>
          <w:szCs w:val="32"/>
          <w:u w:val="none"/>
          <w:lang w:val="en-US" w:eastAsia="zh-CN" w:bidi="ar"/>
        </w:rPr>
        <w:t>15</w:t>
      </w:r>
      <w:r>
        <w:rPr>
          <w:rFonts w:hint="default" w:ascii="Times New Roman" w:hAnsi="Times New Roman" w:eastAsia="CESI黑体-GB13000" w:cs="Times New Roman"/>
          <w:i w:val="0"/>
          <w:iCs w:val="0"/>
          <w:color w:val="000000"/>
          <w:kern w:val="0"/>
          <w:sz w:val="32"/>
          <w:szCs w:val="32"/>
          <w:u w:val="none"/>
          <w:lang w:val="en-US" w:eastAsia="zh-CN" w:bidi="ar"/>
        </w:rPr>
        <w:t>表</w:t>
      </w:r>
    </w:p>
    <w:tbl>
      <w:tblPr>
        <w:tblStyle w:val="6"/>
        <w:tblW w:w="141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12"/>
        <w:gridCol w:w="1483"/>
        <w:gridCol w:w="903"/>
        <w:gridCol w:w="807"/>
        <w:gridCol w:w="991"/>
        <w:gridCol w:w="714"/>
        <w:gridCol w:w="991"/>
        <w:gridCol w:w="798"/>
        <w:gridCol w:w="991"/>
        <w:gridCol w:w="810"/>
        <w:gridCol w:w="991"/>
        <w:gridCol w:w="811"/>
        <w:gridCol w:w="992"/>
        <w:gridCol w:w="8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59" w:hRule="atLeast"/>
        </w:trPr>
        <w:tc>
          <w:tcPr>
            <w:tcW w:w="1410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2024年部门预算项目绩效目标表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1" w:hRule="atLeast"/>
        </w:trPr>
        <w:tc>
          <w:tcPr>
            <w:tcW w:w="2012" w:type="dxa"/>
            <w:vMerge w:val="restart"/>
            <w:tcBorders>
              <w:top w:val="single" w:color="000000" w:sz="4" w:space="0"/>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单位编码</w:t>
            </w:r>
          </w:p>
        </w:tc>
        <w:tc>
          <w:tcPr>
            <w:tcW w:w="1483" w:type="dxa"/>
            <w:vMerge w:val="restart"/>
            <w:tcBorders>
              <w:top w:val="single" w:color="000000" w:sz="4" w:space="0"/>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341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项目金额（万元）</w:t>
            </w:r>
          </w:p>
        </w:tc>
        <w:tc>
          <w:tcPr>
            <w:tcW w:w="71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1" w:hRule="atLeast"/>
        </w:trPr>
        <w:tc>
          <w:tcPr>
            <w:tcW w:w="2012"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nil"/>
              <w:right w:val="single" w:color="000000" w:sz="4" w:space="0"/>
            </w:tcBorders>
            <w:shd w:val="clear" w:color="auto" w:fill="auto"/>
            <w:vAlign w:val="bottom"/>
          </w:tcPr>
          <w:p>
            <w:pPr>
              <w:jc w:val="center"/>
              <w:rPr>
                <w:rFonts w:hint="eastAsia" w:ascii="宋体" w:hAnsi="宋体" w:eastAsia="宋体" w:cs="宋体"/>
                <w:i w:val="0"/>
                <w:iCs w:val="0"/>
                <w:color w:val="000000"/>
                <w:sz w:val="18"/>
                <w:szCs w:val="18"/>
                <w:u w:val="none"/>
              </w:rPr>
            </w:pPr>
          </w:p>
        </w:tc>
        <w:tc>
          <w:tcPr>
            <w:tcW w:w="341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成本指标  </w:t>
            </w:r>
          </w:p>
        </w:tc>
        <w:tc>
          <w:tcPr>
            <w:tcW w:w="18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产出指标  </w:t>
            </w:r>
          </w:p>
        </w:tc>
        <w:tc>
          <w:tcPr>
            <w:tcW w:w="18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效益指标  </w:t>
            </w: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满意度指标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012" w:type="dxa"/>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（项目编码）</w:t>
            </w:r>
          </w:p>
        </w:tc>
        <w:tc>
          <w:tcPr>
            <w:tcW w:w="1483" w:type="dxa"/>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152001</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焦作市马村区总工会</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463.00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8" w:hRule="atLeast"/>
        </w:trPr>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410804240000000005225</w:t>
            </w: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2024年度救助金及送温暖资金</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全区困难职工总经费</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≥3万元</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及时拨付及救助职工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≥1人</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慰问职工人均收益</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99-180元|人</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受保障职工满意度</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4"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救助及慰问职工政策符合率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保证全区所有困难职工工会权益</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春节慰问职工人数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≥101人</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8"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完成救助及慰问工作及时率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58" w:hRule="atLeast"/>
        </w:trPr>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410804240000000005226</w:t>
            </w: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2024年度工会经费</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460.00</w:t>
            </w:r>
          </w:p>
        </w:tc>
        <w:tc>
          <w:tcPr>
            <w:tcW w:w="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财政拨入全区工会总经费</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≥460万元</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全区全部工会人员数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≥2644人</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保障工会人员人均收益</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≥1700元|人</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全区所有受益职工满意度</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4"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准确核定并拨付工会全体人员经费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保障全区所有工会职工权益</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4"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及时拨付各单位工会人员经费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8" w:hRule="atLeast"/>
        </w:trPr>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工会成员身份政策符合率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bl>
    <w:p>
      <w:pPr>
        <w:adjustRightInd w:val="0"/>
        <w:snapToGrid w:val="0"/>
        <w:spacing w:line="400" w:lineRule="exact"/>
        <w:rPr>
          <w:rFonts w:hint="default" w:ascii="Times New Roman" w:hAnsi="Times New Roman" w:eastAsia="仿宋_GB2312" w:cs="Times New Roman"/>
          <w:sz w:val="32"/>
          <w:szCs w:val="32"/>
        </w:rPr>
      </w:pPr>
    </w:p>
    <w:sectPr>
      <w:pgSz w:w="16838" w:h="11906" w:orient="landscape"/>
      <w:pgMar w:top="1531" w:right="1417" w:bottom="1531" w:left="1871" w:header="851" w:footer="1531" w:gutter="0"/>
      <w:cols w:space="720" w:num="1"/>
      <w:docGrid w:type="linesAndChars" w:linePitch="312"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微软雅黑"/>
    <w:panose1 w:val="02010609030101010101"/>
    <w:charset w:val="86"/>
    <w:family w:val="modern"/>
    <w:pitch w:val="default"/>
    <w:sig w:usb0="00000000" w:usb1="0000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CESI黑体-GB13000">
    <w:altName w:val="宋体"/>
    <w:panose1 w:val="020005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IwNzAyNjU3NDQ4YzU4NGE4ODhkMjI4OTgyOTgzY2QifQ=="/>
  </w:docVars>
  <w:rsids>
    <w:rsidRoot w:val="00172A27"/>
    <w:rsid w:val="00012DD0"/>
    <w:rsid w:val="000325D0"/>
    <w:rsid w:val="00050FF8"/>
    <w:rsid w:val="0006321E"/>
    <w:rsid w:val="00083915"/>
    <w:rsid w:val="00085622"/>
    <w:rsid w:val="000960D7"/>
    <w:rsid w:val="000B30AE"/>
    <w:rsid w:val="000D2CB5"/>
    <w:rsid w:val="000D4722"/>
    <w:rsid w:val="000E501C"/>
    <w:rsid w:val="000F7118"/>
    <w:rsid w:val="00102979"/>
    <w:rsid w:val="00140663"/>
    <w:rsid w:val="001467AE"/>
    <w:rsid w:val="00153011"/>
    <w:rsid w:val="00155296"/>
    <w:rsid w:val="00185084"/>
    <w:rsid w:val="00187168"/>
    <w:rsid w:val="00195306"/>
    <w:rsid w:val="001A04DC"/>
    <w:rsid w:val="001C1DA6"/>
    <w:rsid w:val="001D2D16"/>
    <w:rsid w:val="0023592D"/>
    <w:rsid w:val="00280F47"/>
    <w:rsid w:val="002832A3"/>
    <w:rsid w:val="002B6F4B"/>
    <w:rsid w:val="002F6808"/>
    <w:rsid w:val="00302BCA"/>
    <w:rsid w:val="00322174"/>
    <w:rsid w:val="00326FFF"/>
    <w:rsid w:val="00335CF1"/>
    <w:rsid w:val="0036425D"/>
    <w:rsid w:val="00376E4C"/>
    <w:rsid w:val="00383238"/>
    <w:rsid w:val="003C2AF2"/>
    <w:rsid w:val="003C56E2"/>
    <w:rsid w:val="003E49E0"/>
    <w:rsid w:val="00413C1F"/>
    <w:rsid w:val="00420843"/>
    <w:rsid w:val="0045785C"/>
    <w:rsid w:val="004621AB"/>
    <w:rsid w:val="0047541F"/>
    <w:rsid w:val="00481D9F"/>
    <w:rsid w:val="004851FA"/>
    <w:rsid w:val="00496DA9"/>
    <w:rsid w:val="004B74D2"/>
    <w:rsid w:val="004D2EEF"/>
    <w:rsid w:val="005132C7"/>
    <w:rsid w:val="0051470F"/>
    <w:rsid w:val="00544AF1"/>
    <w:rsid w:val="00545E39"/>
    <w:rsid w:val="00555EE3"/>
    <w:rsid w:val="00563274"/>
    <w:rsid w:val="005765D8"/>
    <w:rsid w:val="0059090E"/>
    <w:rsid w:val="005978D4"/>
    <w:rsid w:val="005B45A6"/>
    <w:rsid w:val="005C5045"/>
    <w:rsid w:val="005E32FA"/>
    <w:rsid w:val="005E4D5A"/>
    <w:rsid w:val="00600826"/>
    <w:rsid w:val="006036DB"/>
    <w:rsid w:val="0063076A"/>
    <w:rsid w:val="006343DB"/>
    <w:rsid w:val="006522D5"/>
    <w:rsid w:val="00652957"/>
    <w:rsid w:val="00685943"/>
    <w:rsid w:val="00693F17"/>
    <w:rsid w:val="006A19A0"/>
    <w:rsid w:val="006C66AC"/>
    <w:rsid w:val="006D7940"/>
    <w:rsid w:val="006E658D"/>
    <w:rsid w:val="006F4B73"/>
    <w:rsid w:val="007039B5"/>
    <w:rsid w:val="00735B7B"/>
    <w:rsid w:val="00736EB3"/>
    <w:rsid w:val="007549D1"/>
    <w:rsid w:val="007728A0"/>
    <w:rsid w:val="007774A6"/>
    <w:rsid w:val="00782AF4"/>
    <w:rsid w:val="007A3406"/>
    <w:rsid w:val="007A4A02"/>
    <w:rsid w:val="007B1BD3"/>
    <w:rsid w:val="007F60C0"/>
    <w:rsid w:val="00817094"/>
    <w:rsid w:val="00830F27"/>
    <w:rsid w:val="00832735"/>
    <w:rsid w:val="0086348E"/>
    <w:rsid w:val="008803DA"/>
    <w:rsid w:val="008C12C4"/>
    <w:rsid w:val="008C44AE"/>
    <w:rsid w:val="00927D19"/>
    <w:rsid w:val="00971F81"/>
    <w:rsid w:val="009B2339"/>
    <w:rsid w:val="009D15B2"/>
    <w:rsid w:val="009D71D7"/>
    <w:rsid w:val="00A03F7D"/>
    <w:rsid w:val="00A11C9B"/>
    <w:rsid w:val="00A35AB6"/>
    <w:rsid w:val="00A36850"/>
    <w:rsid w:val="00A37171"/>
    <w:rsid w:val="00A52AEE"/>
    <w:rsid w:val="00A65CCC"/>
    <w:rsid w:val="00AD20AA"/>
    <w:rsid w:val="00AD348A"/>
    <w:rsid w:val="00AE6AFF"/>
    <w:rsid w:val="00B32A7F"/>
    <w:rsid w:val="00B37FCF"/>
    <w:rsid w:val="00B5289D"/>
    <w:rsid w:val="00B775E3"/>
    <w:rsid w:val="00B84D47"/>
    <w:rsid w:val="00B93B89"/>
    <w:rsid w:val="00BD16F6"/>
    <w:rsid w:val="00BD4CD1"/>
    <w:rsid w:val="00C10405"/>
    <w:rsid w:val="00C13035"/>
    <w:rsid w:val="00C13F16"/>
    <w:rsid w:val="00C2060F"/>
    <w:rsid w:val="00C3004B"/>
    <w:rsid w:val="00C54365"/>
    <w:rsid w:val="00C64436"/>
    <w:rsid w:val="00C65540"/>
    <w:rsid w:val="00C844B1"/>
    <w:rsid w:val="00CB5156"/>
    <w:rsid w:val="00CC2EE5"/>
    <w:rsid w:val="00CE1C2A"/>
    <w:rsid w:val="00CF3E16"/>
    <w:rsid w:val="00D00994"/>
    <w:rsid w:val="00D179EE"/>
    <w:rsid w:val="00D54DB6"/>
    <w:rsid w:val="00D9434A"/>
    <w:rsid w:val="00DE3B0D"/>
    <w:rsid w:val="00DF475B"/>
    <w:rsid w:val="00DF59B0"/>
    <w:rsid w:val="00DF754A"/>
    <w:rsid w:val="00E24BED"/>
    <w:rsid w:val="00E7454F"/>
    <w:rsid w:val="00E91292"/>
    <w:rsid w:val="00EA7D7B"/>
    <w:rsid w:val="00EB108A"/>
    <w:rsid w:val="00ED590F"/>
    <w:rsid w:val="00F052F0"/>
    <w:rsid w:val="00F07B12"/>
    <w:rsid w:val="00F146EF"/>
    <w:rsid w:val="00F16897"/>
    <w:rsid w:val="00F30561"/>
    <w:rsid w:val="00F4636E"/>
    <w:rsid w:val="00F84AD8"/>
    <w:rsid w:val="00FB7D4D"/>
    <w:rsid w:val="00FC3CA6"/>
    <w:rsid w:val="00FD5576"/>
    <w:rsid w:val="011D7AA7"/>
    <w:rsid w:val="01282E62"/>
    <w:rsid w:val="02094A42"/>
    <w:rsid w:val="02493090"/>
    <w:rsid w:val="02816755"/>
    <w:rsid w:val="02FD00AE"/>
    <w:rsid w:val="03357EA2"/>
    <w:rsid w:val="036BFF7B"/>
    <w:rsid w:val="036C0CCD"/>
    <w:rsid w:val="039842CF"/>
    <w:rsid w:val="03B15391"/>
    <w:rsid w:val="03DE5A5A"/>
    <w:rsid w:val="043812A4"/>
    <w:rsid w:val="044E2BE0"/>
    <w:rsid w:val="04695DF9"/>
    <w:rsid w:val="047563BF"/>
    <w:rsid w:val="048963B9"/>
    <w:rsid w:val="049A5E25"/>
    <w:rsid w:val="04C251E7"/>
    <w:rsid w:val="05B42F17"/>
    <w:rsid w:val="062F6A41"/>
    <w:rsid w:val="063B3638"/>
    <w:rsid w:val="063C0430"/>
    <w:rsid w:val="063F6C84"/>
    <w:rsid w:val="0648365F"/>
    <w:rsid w:val="0693237D"/>
    <w:rsid w:val="06A75856"/>
    <w:rsid w:val="0731588A"/>
    <w:rsid w:val="07707311"/>
    <w:rsid w:val="07D258D6"/>
    <w:rsid w:val="07E01DA1"/>
    <w:rsid w:val="07FB31A0"/>
    <w:rsid w:val="08964B56"/>
    <w:rsid w:val="08B9674C"/>
    <w:rsid w:val="09023F99"/>
    <w:rsid w:val="095C5D9F"/>
    <w:rsid w:val="09842C00"/>
    <w:rsid w:val="09F94067"/>
    <w:rsid w:val="0A27134E"/>
    <w:rsid w:val="0A2C751F"/>
    <w:rsid w:val="0A3463D4"/>
    <w:rsid w:val="0A6749FB"/>
    <w:rsid w:val="0A7453E7"/>
    <w:rsid w:val="0A981059"/>
    <w:rsid w:val="0A9E127F"/>
    <w:rsid w:val="0AAF1EFF"/>
    <w:rsid w:val="0AC57974"/>
    <w:rsid w:val="0B0D14A7"/>
    <w:rsid w:val="0B24469B"/>
    <w:rsid w:val="0B50743B"/>
    <w:rsid w:val="0B7C0033"/>
    <w:rsid w:val="0B7D1FFD"/>
    <w:rsid w:val="0BC33EB3"/>
    <w:rsid w:val="0BCD6AE0"/>
    <w:rsid w:val="0BD0037E"/>
    <w:rsid w:val="0C6822B7"/>
    <w:rsid w:val="0C6D64C3"/>
    <w:rsid w:val="0C7156BE"/>
    <w:rsid w:val="0C7C4062"/>
    <w:rsid w:val="0CAD06C0"/>
    <w:rsid w:val="0D1150F2"/>
    <w:rsid w:val="0D314E4D"/>
    <w:rsid w:val="0D63248D"/>
    <w:rsid w:val="0D725B91"/>
    <w:rsid w:val="0D8D7197"/>
    <w:rsid w:val="0D9A50E8"/>
    <w:rsid w:val="0DEF71E2"/>
    <w:rsid w:val="0DFF05B4"/>
    <w:rsid w:val="0E602301"/>
    <w:rsid w:val="0E796AAB"/>
    <w:rsid w:val="0ECA37AB"/>
    <w:rsid w:val="0EFD148A"/>
    <w:rsid w:val="0F423341"/>
    <w:rsid w:val="0F543075"/>
    <w:rsid w:val="0F6E05DA"/>
    <w:rsid w:val="0F917E25"/>
    <w:rsid w:val="0F955B67"/>
    <w:rsid w:val="0FFF1754"/>
    <w:rsid w:val="10A342B4"/>
    <w:rsid w:val="10CF32FA"/>
    <w:rsid w:val="10D26947"/>
    <w:rsid w:val="11056D1C"/>
    <w:rsid w:val="110A465B"/>
    <w:rsid w:val="119B4F8B"/>
    <w:rsid w:val="11B322D4"/>
    <w:rsid w:val="11BB0259"/>
    <w:rsid w:val="11E967EA"/>
    <w:rsid w:val="11EB4164"/>
    <w:rsid w:val="120D40DA"/>
    <w:rsid w:val="122830A7"/>
    <w:rsid w:val="123478B9"/>
    <w:rsid w:val="124E024F"/>
    <w:rsid w:val="12655CC4"/>
    <w:rsid w:val="130F79DE"/>
    <w:rsid w:val="13203999"/>
    <w:rsid w:val="13250FB0"/>
    <w:rsid w:val="135DD37E"/>
    <w:rsid w:val="13AE5CE2"/>
    <w:rsid w:val="152A6D51"/>
    <w:rsid w:val="152E2381"/>
    <w:rsid w:val="15632263"/>
    <w:rsid w:val="15836462"/>
    <w:rsid w:val="15C416FE"/>
    <w:rsid w:val="16041350"/>
    <w:rsid w:val="162437A1"/>
    <w:rsid w:val="16EA49EA"/>
    <w:rsid w:val="16F231A3"/>
    <w:rsid w:val="1770017D"/>
    <w:rsid w:val="17DA4766"/>
    <w:rsid w:val="17DD18F4"/>
    <w:rsid w:val="17F04282"/>
    <w:rsid w:val="18101B28"/>
    <w:rsid w:val="183F48C2"/>
    <w:rsid w:val="189260C2"/>
    <w:rsid w:val="18FA2EDF"/>
    <w:rsid w:val="1912647A"/>
    <w:rsid w:val="19DC4392"/>
    <w:rsid w:val="1A424B3D"/>
    <w:rsid w:val="1A5A3C35"/>
    <w:rsid w:val="1A6B28D6"/>
    <w:rsid w:val="1A7D7923"/>
    <w:rsid w:val="1B4548E5"/>
    <w:rsid w:val="1B4F12C0"/>
    <w:rsid w:val="1B9118D8"/>
    <w:rsid w:val="1BB83309"/>
    <w:rsid w:val="1C8054A9"/>
    <w:rsid w:val="1CBB47DD"/>
    <w:rsid w:val="1D1E53EE"/>
    <w:rsid w:val="1D59189E"/>
    <w:rsid w:val="1DE95C62"/>
    <w:rsid w:val="1E544E3F"/>
    <w:rsid w:val="1EE7180F"/>
    <w:rsid w:val="1F1840BF"/>
    <w:rsid w:val="1F244811"/>
    <w:rsid w:val="1F354C71"/>
    <w:rsid w:val="1F494278"/>
    <w:rsid w:val="1FA7EF9D"/>
    <w:rsid w:val="1FB150DC"/>
    <w:rsid w:val="1FCBC95E"/>
    <w:rsid w:val="202820DF"/>
    <w:rsid w:val="20382A18"/>
    <w:rsid w:val="20623843"/>
    <w:rsid w:val="21063FD5"/>
    <w:rsid w:val="210A7A37"/>
    <w:rsid w:val="211D3C0E"/>
    <w:rsid w:val="212E5E1B"/>
    <w:rsid w:val="21D274AF"/>
    <w:rsid w:val="22057778"/>
    <w:rsid w:val="222B4109"/>
    <w:rsid w:val="22317971"/>
    <w:rsid w:val="22851F9A"/>
    <w:rsid w:val="22916662"/>
    <w:rsid w:val="22920C74"/>
    <w:rsid w:val="229B4DEB"/>
    <w:rsid w:val="22C30EB3"/>
    <w:rsid w:val="22ED2041"/>
    <w:rsid w:val="232F3A88"/>
    <w:rsid w:val="23503E27"/>
    <w:rsid w:val="236B0C61"/>
    <w:rsid w:val="23B95E70"/>
    <w:rsid w:val="23BC14BC"/>
    <w:rsid w:val="23BC326A"/>
    <w:rsid w:val="23DD2F5C"/>
    <w:rsid w:val="23E42927"/>
    <w:rsid w:val="23E7405F"/>
    <w:rsid w:val="240D3AC6"/>
    <w:rsid w:val="241237D2"/>
    <w:rsid w:val="241A2687"/>
    <w:rsid w:val="24D26ABE"/>
    <w:rsid w:val="24F061BA"/>
    <w:rsid w:val="257F27A2"/>
    <w:rsid w:val="259721E1"/>
    <w:rsid w:val="25D7082F"/>
    <w:rsid w:val="25EB6089"/>
    <w:rsid w:val="25F767DC"/>
    <w:rsid w:val="2681079B"/>
    <w:rsid w:val="268E595B"/>
    <w:rsid w:val="26A050C5"/>
    <w:rsid w:val="26A5092E"/>
    <w:rsid w:val="26EC030B"/>
    <w:rsid w:val="270C62B7"/>
    <w:rsid w:val="274F2647"/>
    <w:rsid w:val="278F268C"/>
    <w:rsid w:val="280B47C0"/>
    <w:rsid w:val="285576A9"/>
    <w:rsid w:val="28991DCC"/>
    <w:rsid w:val="289C366A"/>
    <w:rsid w:val="28E04BC8"/>
    <w:rsid w:val="28F96D0F"/>
    <w:rsid w:val="290E2EC2"/>
    <w:rsid w:val="29227D6A"/>
    <w:rsid w:val="2939710B"/>
    <w:rsid w:val="295E6B72"/>
    <w:rsid w:val="29774921"/>
    <w:rsid w:val="29D3130E"/>
    <w:rsid w:val="29EF1C3C"/>
    <w:rsid w:val="2A080EE0"/>
    <w:rsid w:val="2A0866B3"/>
    <w:rsid w:val="2A6A3185"/>
    <w:rsid w:val="2ABC4498"/>
    <w:rsid w:val="2AF14141"/>
    <w:rsid w:val="2B05199B"/>
    <w:rsid w:val="2B4C55C0"/>
    <w:rsid w:val="2B626DED"/>
    <w:rsid w:val="2BA47406"/>
    <w:rsid w:val="2BD94E99"/>
    <w:rsid w:val="2BFEC182"/>
    <w:rsid w:val="2C491D5B"/>
    <w:rsid w:val="2C5D5807"/>
    <w:rsid w:val="2C853268"/>
    <w:rsid w:val="2CAD22EA"/>
    <w:rsid w:val="2CB82A3D"/>
    <w:rsid w:val="2CBA67B5"/>
    <w:rsid w:val="2CBC2566"/>
    <w:rsid w:val="2D214A86"/>
    <w:rsid w:val="2D314472"/>
    <w:rsid w:val="2D6D7CCB"/>
    <w:rsid w:val="2DB94CBF"/>
    <w:rsid w:val="2DDA79DD"/>
    <w:rsid w:val="2DEDB576"/>
    <w:rsid w:val="2E0E6DB8"/>
    <w:rsid w:val="2E8E1CA7"/>
    <w:rsid w:val="2E975000"/>
    <w:rsid w:val="2EA80FBB"/>
    <w:rsid w:val="2EB723BB"/>
    <w:rsid w:val="2F407445"/>
    <w:rsid w:val="2F5702EB"/>
    <w:rsid w:val="2F905BBA"/>
    <w:rsid w:val="2F950E14"/>
    <w:rsid w:val="2FB0122A"/>
    <w:rsid w:val="2FB41CFE"/>
    <w:rsid w:val="2FD9787D"/>
    <w:rsid w:val="2FFB336C"/>
    <w:rsid w:val="2FFF5310"/>
    <w:rsid w:val="2FFF948A"/>
    <w:rsid w:val="2FFFB796"/>
    <w:rsid w:val="302F77B0"/>
    <w:rsid w:val="30A12166"/>
    <w:rsid w:val="30AF56CD"/>
    <w:rsid w:val="30B265DE"/>
    <w:rsid w:val="30E343D4"/>
    <w:rsid w:val="30EB33E1"/>
    <w:rsid w:val="31224929"/>
    <w:rsid w:val="313916CE"/>
    <w:rsid w:val="318F0210"/>
    <w:rsid w:val="321E77E6"/>
    <w:rsid w:val="322272D6"/>
    <w:rsid w:val="32285F6F"/>
    <w:rsid w:val="322D17D7"/>
    <w:rsid w:val="32640229"/>
    <w:rsid w:val="32C65F33"/>
    <w:rsid w:val="32D700C1"/>
    <w:rsid w:val="32E54A5A"/>
    <w:rsid w:val="331C5AD4"/>
    <w:rsid w:val="33546F65"/>
    <w:rsid w:val="337376BE"/>
    <w:rsid w:val="33BE4DDD"/>
    <w:rsid w:val="33CA19D4"/>
    <w:rsid w:val="33DC3A13"/>
    <w:rsid w:val="340B0FC8"/>
    <w:rsid w:val="34162035"/>
    <w:rsid w:val="341E7AB1"/>
    <w:rsid w:val="344352E2"/>
    <w:rsid w:val="3445105A"/>
    <w:rsid w:val="344C4197"/>
    <w:rsid w:val="34735BC7"/>
    <w:rsid w:val="34797431"/>
    <w:rsid w:val="347DBB4A"/>
    <w:rsid w:val="34D643A8"/>
    <w:rsid w:val="34DB19BE"/>
    <w:rsid w:val="34DD4BDA"/>
    <w:rsid w:val="34E6C3E6"/>
    <w:rsid w:val="34F45B10"/>
    <w:rsid w:val="34F92AFA"/>
    <w:rsid w:val="35D32C21"/>
    <w:rsid w:val="35ED3757"/>
    <w:rsid w:val="35FFCD6E"/>
    <w:rsid w:val="3600792F"/>
    <w:rsid w:val="36545584"/>
    <w:rsid w:val="36723C5D"/>
    <w:rsid w:val="369B1405"/>
    <w:rsid w:val="36A91D74"/>
    <w:rsid w:val="36E56B24"/>
    <w:rsid w:val="36F64764"/>
    <w:rsid w:val="36F7B0B2"/>
    <w:rsid w:val="373F4487"/>
    <w:rsid w:val="374C2700"/>
    <w:rsid w:val="375515B4"/>
    <w:rsid w:val="37FF3DEB"/>
    <w:rsid w:val="382673F4"/>
    <w:rsid w:val="385458E0"/>
    <w:rsid w:val="38710670"/>
    <w:rsid w:val="38933854"/>
    <w:rsid w:val="391A2AB5"/>
    <w:rsid w:val="394E0993"/>
    <w:rsid w:val="39FB7F3D"/>
    <w:rsid w:val="3AAA1C17"/>
    <w:rsid w:val="3AAA60BB"/>
    <w:rsid w:val="3AFDB30C"/>
    <w:rsid w:val="3B3D3FF1"/>
    <w:rsid w:val="3B7E1A7B"/>
    <w:rsid w:val="3BD18155"/>
    <w:rsid w:val="3BD258C9"/>
    <w:rsid w:val="3BFFC0B5"/>
    <w:rsid w:val="3C22676D"/>
    <w:rsid w:val="3C634773"/>
    <w:rsid w:val="3C683B38"/>
    <w:rsid w:val="3D211F38"/>
    <w:rsid w:val="3D6AF2E5"/>
    <w:rsid w:val="3D7D2A58"/>
    <w:rsid w:val="3D8250CD"/>
    <w:rsid w:val="3D9F86A5"/>
    <w:rsid w:val="3DAA4179"/>
    <w:rsid w:val="3DD0408A"/>
    <w:rsid w:val="3DD1570D"/>
    <w:rsid w:val="3E776D91"/>
    <w:rsid w:val="3E9C3F6D"/>
    <w:rsid w:val="3EFE1EF3"/>
    <w:rsid w:val="3F1C090D"/>
    <w:rsid w:val="3F303CBF"/>
    <w:rsid w:val="3FAA26B9"/>
    <w:rsid w:val="3FAE7B1C"/>
    <w:rsid w:val="3FD9050D"/>
    <w:rsid w:val="3FF759C6"/>
    <w:rsid w:val="3FF95B29"/>
    <w:rsid w:val="402B1A4C"/>
    <w:rsid w:val="4041301D"/>
    <w:rsid w:val="40416B7A"/>
    <w:rsid w:val="404C1989"/>
    <w:rsid w:val="4070745F"/>
    <w:rsid w:val="40771C5D"/>
    <w:rsid w:val="40BC4452"/>
    <w:rsid w:val="40DD3A07"/>
    <w:rsid w:val="41597EF3"/>
    <w:rsid w:val="41720FB5"/>
    <w:rsid w:val="41EF1626"/>
    <w:rsid w:val="429512AB"/>
    <w:rsid w:val="42C817D4"/>
    <w:rsid w:val="42E0110B"/>
    <w:rsid w:val="431247FD"/>
    <w:rsid w:val="43506DC1"/>
    <w:rsid w:val="43792928"/>
    <w:rsid w:val="439436B1"/>
    <w:rsid w:val="43AF4A2B"/>
    <w:rsid w:val="43C7383A"/>
    <w:rsid w:val="441909AD"/>
    <w:rsid w:val="442944F4"/>
    <w:rsid w:val="445D7CFA"/>
    <w:rsid w:val="44703ED1"/>
    <w:rsid w:val="44D73F50"/>
    <w:rsid w:val="45264590"/>
    <w:rsid w:val="45480448"/>
    <w:rsid w:val="4550160D"/>
    <w:rsid w:val="457C0654"/>
    <w:rsid w:val="45C51F02"/>
    <w:rsid w:val="45FB3C6E"/>
    <w:rsid w:val="464510D9"/>
    <w:rsid w:val="46513E38"/>
    <w:rsid w:val="469579A6"/>
    <w:rsid w:val="469B2D5C"/>
    <w:rsid w:val="46D63D94"/>
    <w:rsid w:val="47680E90"/>
    <w:rsid w:val="481D611E"/>
    <w:rsid w:val="484C255F"/>
    <w:rsid w:val="48575552"/>
    <w:rsid w:val="487C41DD"/>
    <w:rsid w:val="48D330EA"/>
    <w:rsid w:val="496D09DF"/>
    <w:rsid w:val="49AE2DA6"/>
    <w:rsid w:val="49B122F4"/>
    <w:rsid w:val="49E71DBD"/>
    <w:rsid w:val="49EB5DA8"/>
    <w:rsid w:val="4A425A30"/>
    <w:rsid w:val="4A4C4A99"/>
    <w:rsid w:val="4ABA5679"/>
    <w:rsid w:val="4AD103B4"/>
    <w:rsid w:val="4AEE0BDC"/>
    <w:rsid w:val="4B427C4A"/>
    <w:rsid w:val="4B837148"/>
    <w:rsid w:val="4B92472D"/>
    <w:rsid w:val="4BBD5522"/>
    <w:rsid w:val="4BFE6267"/>
    <w:rsid w:val="4C2A7AC5"/>
    <w:rsid w:val="4C7B3413"/>
    <w:rsid w:val="4CC50B32"/>
    <w:rsid w:val="4CD82614"/>
    <w:rsid w:val="4CF65190"/>
    <w:rsid w:val="4D2A470F"/>
    <w:rsid w:val="4D671BE9"/>
    <w:rsid w:val="4D810EFD"/>
    <w:rsid w:val="4E0B4C6B"/>
    <w:rsid w:val="4E217FEA"/>
    <w:rsid w:val="4E4F3B28"/>
    <w:rsid w:val="4E561042"/>
    <w:rsid w:val="4E916F1E"/>
    <w:rsid w:val="4EAFB92B"/>
    <w:rsid w:val="4ECC43FA"/>
    <w:rsid w:val="4F2C6C47"/>
    <w:rsid w:val="4F3F4BCC"/>
    <w:rsid w:val="4F72FCC1"/>
    <w:rsid w:val="4F7C5E20"/>
    <w:rsid w:val="4F8D1DDB"/>
    <w:rsid w:val="4FA233AD"/>
    <w:rsid w:val="4FE87012"/>
    <w:rsid w:val="501144F9"/>
    <w:rsid w:val="508A40F0"/>
    <w:rsid w:val="50A3118B"/>
    <w:rsid w:val="50D5051C"/>
    <w:rsid w:val="50EA0B67"/>
    <w:rsid w:val="51204589"/>
    <w:rsid w:val="51453FF0"/>
    <w:rsid w:val="5151643C"/>
    <w:rsid w:val="51E27A91"/>
    <w:rsid w:val="51EC4E24"/>
    <w:rsid w:val="51ED3F97"/>
    <w:rsid w:val="52412A09"/>
    <w:rsid w:val="52495D62"/>
    <w:rsid w:val="526BE8BB"/>
    <w:rsid w:val="52D23FA9"/>
    <w:rsid w:val="533B387E"/>
    <w:rsid w:val="53476745"/>
    <w:rsid w:val="536E5A80"/>
    <w:rsid w:val="536F364E"/>
    <w:rsid w:val="537EFEBA"/>
    <w:rsid w:val="53F7D135"/>
    <w:rsid w:val="53F80911"/>
    <w:rsid w:val="53FFD93C"/>
    <w:rsid w:val="54005A0A"/>
    <w:rsid w:val="54E4541F"/>
    <w:rsid w:val="55012924"/>
    <w:rsid w:val="55A35789"/>
    <w:rsid w:val="55CE14B2"/>
    <w:rsid w:val="561D3144"/>
    <w:rsid w:val="56586573"/>
    <w:rsid w:val="565C2507"/>
    <w:rsid w:val="567F7FA4"/>
    <w:rsid w:val="578C2978"/>
    <w:rsid w:val="57BB14B0"/>
    <w:rsid w:val="57EA6360"/>
    <w:rsid w:val="583B14F2"/>
    <w:rsid w:val="584B45E2"/>
    <w:rsid w:val="58564D34"/>
    <w:rsid w:val="5889510A"/>
    <w:rsid w:val="588A6E70"/>
    <w:rsid w:val="58BF3FBF"/>
    <w:rsid w:val="58D10D1C"/>
    <w:rsid w:val="58F97309"/>
    <w:rsid w:val="590E560F"/>
    <w:rsid w:val="5915699E"/>
    <w:rsid w:val="59883613"/>
    <w:rsid w:val="5999312B"/>
    <w:rsid w:val="59B75989"/>
    <w:rsid w:val="59D95C1D"/>
    <w:rsid w:val="59F82547"/>
    <w:rsid w:val="5A2C21F1"/>
    <w:rsid w:val="5A45729B"/>
    <w:rsid w:val="5A9B1124"/>
    <w:rsid w:val="5ABFF70B"/>
    <w:rsid w:val="5B1A64ED"/>
    <w:rsid w:val="5B2302CB"/>
    <w:rsid w:val="5B266C40"/>
    <w:rsid w:val="5B5AEB30"/>
    <w:rsid w:val="5BAF30D9"/>
    <w:rsid w:val="5BD13050"/>
    <w:rsid w:val="5BED714E"/>
    <w:rsid w:val="5BF2A41B"/>
    <w:rsid w:val="5C113345"/>
    <w:rsid w:val="5CBB31A8"/>
    <w:rsid w:val="5D6A375C"/>
    <w:rsid w:val="5DAF0817"/>
    <w:rsid w:val="5DC80482"/>
    <w:rsid w:val="5DCC5D64"/>
    <w:rsid w:val="5E4915C3"/>
    <w:rsid w:val="5EE38317"/>
    <w:rsid w:val="5EF76817"/>
    <w:rsid w:val="5EFAD61D"/>
    <w:rsid w:val="5EFDCF68"/>
    <w:rsid w:val="5F013C4C"/>
    <w:rsid w:val="5F180F96"/>
    <w:rsid w:val="5F357D99"/>
    <w:rsid w:val="5F3758C0"/>
    <w:rsid w:val="5F6E6D21"/>
    <w:rsid w:val="5F8623A3"/>
    <w:rsid w:val="5F97983C"/>
    <w:rsid w:val="5FAD5B82"/>
    <w:rsid w:val="5FEB7F61"/>
    <w:rsid w:val="5FF7C8E6"/>
    <w:rsid w:val="5FFB015B"/>
    <w:rsid w:val="5FFD2145"/>
    <w:rsid w:val="600F05EB"/>
    <w:rsid w:val="60122426"/>
    <w:rsid w:val="601835E6"/>
    <w:rsid w:val="603040BD"/>
    <w:rsid w:val="60327E35"/>
    <w:rsid w:val="60501DB9"/>
    <w:rsid w:val="60651FB9"/>
    <w:rsid w:val="613A23A5"/>
    <w:rsid w:val="616C23A2"/>
    <w:rsid w:val="61C96577"/>
    <w:rsid w:val="62326812"/>
    <w:rsid w:val="626B762E"/>
    <w:rsid w:val="62B93FBA"/>
    <w:rsid w:val="62DD78E6"/>
    <w:rsid w:val="62F92E8C"/>
    <w:rsid w:val="63343EC4"/>
    <w:rsid w:val="634B4280"/>
    <w:rsid w:val="635E5868"/>
    <w:rsid w:val="637FF9C2"/>
    <w:rsid w:val="63BED164"/>
    <w:rsid w:val="63C34965"/>
    <w:rsid w:val="63C67F9D"/>
    <w:rsid w:val="63CE2A65"/>
    <w:rsid w:val="63E2206E"/>
    <w:rsid w:val="63ED4B36"/>
    <w:rsid w:val="64041AE8"/>
    <w:rsid w:val="644041B0"/>
    <w:rsid w:val="6457430E"/>
    <w:rsid w:val="646B7DB9"/>
    <w:rsid w:val="647C5B23"/>
    <w:rsid w:val="6593581A"/>
    <w:rsid w:val="659B022A"/>
    <w:rsid w:val="65E73470"/>
    <w:rsid w:val="661F70AE"/>
    <w:rsid w:val="66AA2E1B"/>
    <w:rsid w:val="66CD2666"/>
    <w:rsid w:val="66E856F1"/>
    <w:rsid w:val="6725452A"/>
    <w:rsid w:val="6770121C"/>
    <w:rsid w:val="677B27A1"/>
    <w:rsid w:val="67DF6AF4"/>
    <w:rsid w:val="67E024AA"/>
    <w:rsid w:val="67EFC001"/>
    <w:rsid w:val="681216A1"/>
    <w:rsid w:val="6813679E"/>
    <w:rsid w:val="686B482C"/>
    <w:rsid w:val="68D75A1D"/>
    <w:rsid w:val="692A0243"/>
    <w:rsid w:val="694D7A8E"/>
    <w:rsid w:val="69603C65"/>
    <w:rsid w:val="699851AD"/>
    <w:rsid w:val="69C67F6C"/>
    <w:rsid w:val="69DD0793"/>
    <w:rsid w:val="6A2B4D5A"/>
    <w:rsid w:val="6A6F0C42"/>
    <w:rsid w:val="6A844578"/>
    <w:rsid w:val="6A8D2838"/>
    <w:rsid w:val="6AC975E8"/>
    <w:rsid w:val="6AED1528"/>
    <w:rsid w:val="6B3B04E6"/>
    <w:rsid w:val="6B5E41D4"/>
    <w:rsid w:val="6B6C68F1"/>
    <w:rsid w:val="6B862DC4"/>
    <w:rsid w:val="6B8F0831"/>
    <w:rsid w:val="6BA73DCD"/>
    <w:rsid w:val="6BD9385B"/>
    <w:rsid w:val="6BF5004C"/>
    <w:rsid w:val="6BFB8508"/>
    <w:rsid w:val="6BFD39ED"/>
    <w:rsid w:val="6C2F0FB9"/>
    <w:rsid w:val="6C3C09C7"/>
    <w:rsid w:val="6C5D623A"/>
    <w:rsid w:val="6C6E48EB"/>
    <w:rsid w:val="6C702411"/>
    <w:rsid w:val="6C780E2F"/>
    <w:rsid w:val="6C8B2DA7"/>
    <w:rsid w:val="6C9500C9"/>
    <w:rsid w:val="6CAE6A95"/>
    <w:rsid w:val="6CAF118B"/>
    <w:rsid w:val="6CE60925"/>
    <w:rsid w:val="6D2246ED"/>
    <w:rsid w:val="6D4713C4"/>
    <w:rsid w:val="6D543AE1"/>
    <w:rsid w:val="6D8855EB"/>
    <w:rsid w:val="6D9C0FE4"/>
    <w:rsid w:val="6DD32C57"/>
    <w:rsid w:val="6DDD0111"/>
    <w:rsid w:val="6E0F17B6"/>
    <w:rsid w:val="6E173E2A"/>
    <w:rsid w:val="6E2B2A93"/>
    <w:rsid w:val="6E2FDD2D"/>
    <w:rsid w:val="6E3D247F"/>
    <w:rsid w:val="6E6FD490"/>
    <w:rsid w:val="6E7361E8"/>
    <w:rsid w:val="6E9323E7"/>
    <w:rsid w:val="6EC06789"/>
    <w:rsid w:val="6EC425A0"/>
    <w:rsid w:val="6EF2710D"/>
    <w:rsid w:val="6EF87904"/>
    <w:rsid w:val="6F1FA934"/>
    <w:rsid w:val="6F2F65B3"/>
    <w:rsid w:val="6F3EB8AF"/>
    <w:rsid w:val="6F5F177E"/>
    <w:rsid w:val="6F702D31"/>
    <w:rsid w:val="6F9F4171"/>
    <w:rsid w:val="6FCED52E"/>
    <w:rsid w:val="6FDFF27D"/>
    <w:rsid w:val="6FE0165C"/>
    <w:rsid w:val="6FE703AA"/>
    <w:rsid w:val="6FEF1665"/>
    <w:rsid w:val="6FFA6968"/>
    <w:rsid w:val="6FFD678B"/>
    <w:rsid w:val="6FFDFE84"/>
    <w:rsid w:val="6FFEBDBE"/>
    <w:rsid w:val="702A28D7"/>
    <w:rsid w:val="702F7E08"/>
    <w:rsid w:val="7040659E"/>
    <w:rsid w:val="706F478E"/>
    <w:rsid w:val="70DF524A"/>
    <w:rsid w:val="71211F2C"/>
    <w:rsid w:val="71241F8D"/>
    <w:rsid w:val="7140106E"/>
    <w:rsid w:val="71AF7537"/>
    <w:rsid w:val="71BB3977"/>
    <w:rsid w:val="71E01DE7"/>
    <w:rsid w:val="71EF5B86"/>
    <w:rsid w:val="72565C05"/>
    <w:rsid w:val="72AD3336"/>
    <w:rsid w:val="72EB27F1"/>
    <w:rsid w:val="730D6C0C"/>
    <w:rsid w:val="73106242"/>
    <w:rsid w:val="73551727"/>
    <w:rsid w:val="735C549D"/>
    <w:rsid w:val="73610C8C"/>
    <w:rsid w:val="739509AF"/>
    <w:rsid w:val="73A0182E"/>
    <w:rsid w:val="73BE3A62"/>
    <w:rsid w:val="73E90F05"/>
    <w:rsid w:val="73FA15DD"/>
    <w:rsid w:val="744228E5"/>
    <w:rsid w:val="74451FF1"/>
    <w:rsid w:val="744C5512"/>
    <w:rsid w:val="745A02C6"/>
    <w:rsid w:val="74A0585D"/>
    <w:rsid w:val="74D3353D"/>
    <w:rsid w:val="74DA2B1D"/>
    <w:rsid w:val="752B15CB"/>
    <w:rsid w:val="753105B4"/>
    <w:rsid w:val="75907680"/>
    <w:rsid w:val="75E33C54"/>
    <w:rsid w:val="75F4DA17"/>
    <w:rsid w:val="75F74C2A"/>
    <w:rsid w:val="76796366"/>
    <w:rsid w:val="768E0063"/>
    <w:rsid w:val="769510D8"/>
    <w:rsid w:val="76966F18"/>
    <w:rsid w:val="769A6A08"/>
    <w:rsid w:val="76BFABE7"/>
    <w:rsid w:val="76C7414E"/>
    <w:rsid w:val="76EA5000"/>
    <w:rsid w:val="77370A39"/>
    <w:rsid w:val="7757B3D2"/>
    <w:rsid w:val="776F3827"/>
    <w:rsid w:val="778D12F3"/>
    <w:rsid w:val="779E42D6"/>
    <w:rsid w:val="77B27D81"/>
    <w:rsid w:val="77D01FB6"/>
    <w:rsid w:val="77E15F71"/>
    <w:rsid w:val="77E9F954"/>
    <w:rsid w:val="77EB8FE9"/>
    <w:rsid w:val="77FE8493"/>
    <w:rsid w:val="78362761"/>
    <w:rsid w:val="785F3EDF"/>
    <w:rsid w:val="788A529E"/>
    <w:rsid w:val="78B74F24"/>
    <w:rsid w:val="78D855C6"/>
    <w:rsid w:val="79167E9C"/>
    <w:rsid w:val="795409C4"/>
    <w:rsid w:val="795FC422"/>
    <w:rsid w:val="797E1DD7"/>
    <w:rsid w:val="79BF8B69"/>
    <w:rsid w:val="79C93A24"/>
    <w:rsid w:val="7AB4324C"/>
    <w:rsid w:val="7AC312C2"/>
    <w:rsid w:val="7AFBE6D5"/>
    <w:rsid w:val="7B022DCE"/>
    <w:rsid w:val="7B0E767C"/>
    <w:rsid w:val="7B19A8FC"/>
    <w:rsid w:val="7B30793B"/>
    <w:rsid w:val="7B38234C"/>
    <w:rsid w:val="7B445194"/>
    <w:rsid w:val="7B5723D3"/>
    <w:rsid w:val="7BA14395"/>
    <w:rsid w:val="7BB40812"/>
    <w:rsid w:val="7BBF3687"/>
    <w:rsid w:val="7BC934AC"/>
    <w:rsid w:val="7BFF79F0"/>
    <w:rsid w:val="7C2844C2"/>
    <w:rsid w:val="7C8141C6"/>
    <w:rsid w:val="7C920181"/>
    <w:rsid w:val="7CAEA18C"/>
    <w:rsid w:val="7CE3793A"/>
    <w:rsid w:val="7DB2FB18"/>
    <w:rsid w:val="7DD520D4"/>
    <w:rsid w:val="7DF2C9DE"/>
    <w:rsid w:val="7DFF080E"/>
    <w:rsid w:val="7DFFAA29"/>
    <w:rsid w:val="7E865AC4"/>
    <w:rsid w:val="7EC30AC6"/>
    <w:rsid w:val="7EE30582"/>
    <w:rsid w:val="7EF38C20"/>
    <w:rsid w:val="7EF59ECB"/>
    <w:rsid w:val="7EFD9990"/>
    <w:rsid w:val="7EFFACD9"/>
    <w:rsid w:val="7EFFD17F"/>
    <w:rsid w:val="7F2D7CEE"/>
    <w:rsid w:val="7F2F49E0"/>
    <w:rsid w:val="7F5D18F7"/>
    <w:rsid w:val="7F686F78"/>
    <w:rsid w:val="7F76157C"/>
    <w:rsid w:val="7F7BBFE5"/>
    <w:rsid w:val="7F89B0D8"/>
    <w:rsid w:val="7F930C85"/>
    <w:rsid w:val="7FAF9BB4"/>
    <w:rsid w:val="7FBAFDF8"/>
    <w:rsid w:val="7FBF66AE"/>
    <w:rsid w:val="7FC31A7C"/>
    <w:rsid w:val="7FEFB5A3"/>
    <w:rsid w:val="7FF2C6B8"/>
    <w:rsid w:val="7FFEB95A"/>
    <w:rsid w:val="7FFF168A"/>
    <w:rsid w:val="7FFF1ABC"/>
    <w:rsid w:val="7FFF8D79"/>
    <w:rsid w:val="7FFFE068"/>
    <w:rsid w:val="8CFA15C4"/>
    <w:rsid w:val="8FFFD84E"/>
    <w:rsid w:val="97DD1BD4"/>
    <w:rsid w:val="97F412FC"/>
    <w:rsid w:val="9B74B849"/>
    <w:rsid w:val="9EDEC7BE"/>
    <w:rsid w:val="9F13838E"/>
    <w:rsid w:val="A3FDD1C4"/>
    <w:rsid w:val="A5ED888C"/>
    <w:rsid w:val="AD3860AF"/>
    <w:rsid w:val="AECDD563"/>
    <w:rsid w:val="AF53AC77"/>
    <w:rsid w:val="AF5F1C12"/>
    <w:rsid w:val="AF6F3F9B"/>
    <w:rsid w:val="AFCF01BE"/>
    <w:rsid w:val="B57B215B"/>
    <w:rsid w:val="B6EEFC75"/>
    <w:rsid w:val="B7EB592C"/>
    <w:rsid w:val="B7EE7E6B"/>
    <w:rsid w:val="B7FE1F9F"/>
    <w:rsid w:val="B9EBECB9"/>
    <w:rsid w:val="BBDFC28C"/>
    <w:rsid w:val="BC3F8205"/>
    <w:rsid w:val="BC6EE700"/>
    <w:rsid w:val="BDA327F4"/>
    <w:rsid w:val="BDB2F709"/>
    <w:rsid w:val="BEEF7F42"/>
    <w:rsid w:val="BF674379"/>
    <w:rsid w:val="BFBFF01A"/>
    <w:rsid w:val="BFCFE9CD"/>
    <w:rsid w:val="BFE5CC56"/>
    <w:rsid w:val="BFFB7E23"/>
    <w:rsid w:val="BFFF7556"/>
    <w:rsid w:val="BFFF84EA"/>
    <w:rsid w:val="C67722F2"/>
    <w:rsid w:val="C72F5FF2"/>
    <w:rsid w:val="C9D7F758"/>
    <w:rsid w:val="CD5F3452"/>
    <w:rsid w:val="CEBD1EAE"/>
    <w:rsid w:val="CF65F75A"/>
    <w:rsid w:val="D3DC9A34"/>
    <w:rsid w:val="D67F43DA"/>
    <w:rsid w:val="D7B7833D"/>
    <w:rsid w:val="DBBEEC96"/>
    <w:rsid w:val="DBDD1971"/>
    <w:rsid w:val="DBDFC01B"/>
    <w:rsid w:val="DDD7D6F4"/>
    <w:rsid w:val="DDDBFF0B"/>
    <w:rsid w:val="DDFF0641"/>
    <w:rsid w:val="DDFFA2C4"/>
    <w:rsid w:val="DDFFF91B"/>
    <w:rsid w:val="DE790BC7"/>
    <w:rsid w:val="DE9AC1C4"/>
    <w:rsid w:val="DF1D378A"/>
    <w:rsid w:val="DF9F9AB1"/>
    <w:rsid w:val="DFBD361B"/>
    <w:rsid w:val="DFBFBE3F"/>
    <w:rsid w:val="DFDDA970"/>
    <w:rsid w:val="DFDFAF2B"/>
    <w:rsid w:val="DFF9EFAE"/>
    <w:rsid w:val="DFFE6280"/>
    <w:rsid w:val="E7596422"/>
    <w:rsid w:val="E9AE9A9E"/>
    <w:rsid w:val="EAC791CC"/>
    <w:rsid w:val="EB4F2D62"/>
    <w:rsid w:val="EBE54CEE"/>
    <w:rsid w:val="EBEE5B70"/>
    <w:rsid w:val="EBEECD1A"/>
    <w:rsid w:val="EBEF8EFB"/>
    <w:rsid w:val="ED79E97F"/>
    <w:rsid w:val="ED7BCD5A"/>
    <w:rsid w:val="EDD7057B"/>
    <w:rsid w:val="EEDD97B8"/>
    <w:rsid w:val="EEF96E19"/>
    <w:rsid w:val="EEFF560B"/>
    <w:rsid w:val="EF151884"/>
    <w:rsid w:val="EF3765EF"/>
    <w:rsid w:val="EF3FC512"/>
    <w:rsid w:val="EF5F0FD0"/>
    <w:rsid w:val="EFEFF0F0"/>
    <w:rsid w:val="EFF7AC1E"/>
    <w:rsid w:val="EFFD2F80"/>
    <w:rsid w:val="EFFF4ACD"/>
    <w:rsid w:val="EFFF50B8"/>
    <w:rsid w:val="F3B1FC06"/>
    <w:rsid w:val="F65BC8EB"/>
    <w:rsid w:val="F69FD700"/>
    <w:rsid w:val="F6C31AC6"/>
    <w:rsid w:val="F6F680D3"/>
    <w:rsid w:val="F6F9575C"/>
    <w:rsid w:val="F74FBDAD"/>
    <w:rsid w:val="F7576D88"/>
    <w:rsid w:val="F75E5AEA"/>
    <w:rsid w:val="F77F91A3"/>
    <w:rsid w:val="F7B97034"/>
    <w:rsid w:val="F7BFA10D"/>
    <w:rsid w:val="F7BFADBA"/>
    <w:rsid w:val="F7E66458"/>
    <w:rsid w:val="F7F51C91"/>
    <w:rsid w:val="F7FEC8C1"/>
    <w:rsid w:val="F8E975EA"/>
    <w:rsid w:val="F9F66BE1"/>
    <w:rsid w:val="FAFF7671"/>
    <w:rsid w:val="FBFF1785"/>
    <w:rsid w:val="FCB9ED01"/>
    <w:rsid w:val="FCDFEA6D"/>
    <w:rsid w:val="FCFFA17B"/>
    <w:rsid w:val="FDCF544A"/>
    <w:rsid w:val="FDD9D14E"/>
    <w:rsid w:val="FDDDF5B1"/>
    <w:rsid w:val="FDDF88D2"/>
    <w:rsid w:val="FDEF4F56"/>
    <w:rsid w:val="FDF7726C"/>
    <w:rsid w:val="FDFF52D8"/>
    <w:rsid w:val="FE3F29DE"/>
    <w:rsid w:val="FEE68533"/>
    <w:rsid w:val="FEED93F1"/>
    <w:rsid w:val="FEEDCCED"/>
    <w:rsid w:val="FEFF6CF1"/>
    <w:rsid w:val="FF1F85AF"/>
    <w:rsid w:val="FF4E36FA"/>
    <w:rsid w:val="FF7E6417"/>
    <w:rsid w:val="FF9CE9F1"/>
    <w:rsid w:val="FFAAAC72"/>
    <w:rsid w:val="FFB460B2"/>
    <w:rsid w:val="FFBE2DFB"/>
    <w:rsid w:val="FFBE3DED"/>
    <w:rsid w:val="FFBECF1B"/>
    <w:rsid w:val="FFDDF821"/>
    <w:rsid w:val="FFEB34B9"/>
    <w:rsid w:val="FFEF2052"/>
    <w:rsid w:val="FFFD848B"/>
    <w:rsid w:val="FFFDCA4A"/>
    <w:rsid w:val="FFFE21CD"/>
    <w:rsid w:val="FFFEDA1A"/>
    <w:rsid w:val="FFFF601C"/>
    <w:rsid w:val="FFFFD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font81"/>
    <w:basedOn w:val="7"/>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3934</Words>
  <Characters>4235</Characters>
  <Lines>111</Lines>
  <Paragraphs>31</Paragraphs>
  <TotalTime>22</TotalTime>
  <ScaleCrop>false</ScaleCrop>
  <LinksUpToDate>false</LinksUpToDate>
  <CharactersWithSpaces>4428</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2023-05-15T10:55:00Z</dcterms:created>
  <dc:creator>Administrator</dc:creator>
  <cp:lastModifiedBy>Administrator</cp:lastModifiedBy>
  <cp:lastPrinted>2022-05-17T01:47:00Z</cp:lastPrinted>
  <dcterms:modified xsi:type="dcterms:W3CDTF">2025-04-07T01:12:16Z</dcterms:modified>
  <dc:title>焦作市财政局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2EFD0EAAA83D4AE6B6EE94A3811EAE48</vt:lpwstr>
  </property>
  <property fmtid="{D5CDD505-2E9C-101B-9397-08002B2CF9AE}" pid="4" name="KSOTemplateDocerSaveRecord">
    <vt:lpwstr>eyJoZGlkIjoiMzFmN2YxOGVjMzY4ZjdmMWUxMTUxMmUzNTg2YmI0NTQiLCJ1c2VySWQiOiIzNTc2NjY0NzIifQ==</vt:lpwstr>
  </property>
</Properties>
</file>