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52"/>
          <w:szCs w:val="52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</w:p>
    <w:p>
      <w:pPr>
        <w:jc w:val="center"/>
        <w:rPr>
          <w:rFonts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焦作市马村区</w:t>
      </w:r>
    </w:p>
    <w:p>
      <w:pPr>
        <w:jc w:val="center"/>
        <w:rPr>
          <w:rFonts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教育局</w:t>
      </w:r>
    </w:p>
    <w:p>
      <w:pPr>
        <w:jc w:val="center"/>
        <w:rPr>
          <w:rFonts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20</w:t>
      </w: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24</w:t>
      </w:r>
      <w:r>
        <w:rPr>
          <w:rFonts w:hint="eastAsia" w:ascii="黑体" w:hAnsi="黑体" w:eastAsia="黑体" w:cs="黑体"/>
          <w:sz w:val="52"/>
          <w:szCs w:val="52"/>
        </w:rPr>
        <w:t>年度</w:t>
      </w:r>
      <w:r>
        <w:rPr>
          <w:rFonts w:hint="eastAsia" w:ascii="黑体" w:hAnsi="黑体" w:eastAsia="黑体" w:cs="黑体"/>
          <w:sz w:val="52"/>
          <w:szCs w:val="52"/>
          <w:lang w:eastAsia="zh-CN"/>
        </w:rPr>
        <w:t>单位</w:t>
      </w:r>
      <w:r>
        <w:rPr>
          <w:rFonts w:hint="eastAsia" w:ascii="黑体" w:hAnsi="黑体" w:eastAsia="黑体" w:cs="黑体"/>
          <w:sz w:val="52"/>
          <w:szCs w:val="52"/>
        </w:rPr>
        <w:t>预算</w:t>
      </w:r>
    </w:p>
    <w:p>
      <w:pPr>
        <w:jc w:val="center"/>
        <w:rPr>
          <w:rFonts w:ascii="黑体" w:hAnsi="黑体" w:eastAsia="黑体" w:cs="黑体"/>
          <w:sz w:val="52"/>
          <w:szCs w:val="52"/>
        </w:rPr>
      </w:pPr>
    </w:p>
    <w:p>
      <w:pPr>
        <w:jc w:val="center"/>
        <w:rPr>
          <w:rFonts w:ascii="黑体" w:hAnsi="黑体" w:eastAsia="黑体" w:cs="黑体"/>
          <w:sz w:val="52"/>
          <w:szCs w:val="52"/>
        </w:rPr>
      </w:pPr>
    </w:p>
    <w:p>
      <w:pPr>
        <w:jc w:val="center"/>
        <w:rPr>
          <w:rFonts w:ascii="黑体" w:hAnsi="黑体" w:eastAsia="黑体" w:cs="黑体"/>
          <w:sz w:val="52"/>
          <w:szCs w:val="52"/>
        </w:rPr>
      </w:pPr>
    </w:p>
    <w:p>
      <w:pPr>
        <w:jc w:val="center"/>
        <w:rPr>
          <w:rFonts w:hint="default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2024年</w:t>
      </w:r>
      <w:r>
        <w:rPr>
          <w:rFonts w:hint="default" w:ascii="黑体" w:hAnsi="黑体" w:eastAsia="黑体" w:cs="黑体"/>
          <w:sz w:val="52"/>
          <w:szCs w:val="52"/>
          <w:lang w:val="en-US" w:eastAsia="zh-CN"/>
        </w:rPr>
        <w:t>3</w:t>
      </w: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月</w:t>
      </w:r>
    </w:p>
    <w:p>
      <w:pPr>
        <w:jc w:val="center"/>
        <w:rPr>
          <w:rFonts w:ascii="黑体" w:hAnsi="黑体" w:eastAsia="黑体" w:cs="黑体"/>
          <w:sz w:val="52"/>
          <w:szCs w:val="52"/>
        </w:rPr>
      </w:pPr>
    </w:p>
    <w:p>
      <w:pPr>
        <w:adjustRightInd w:val="0"/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adjustRightInd w:val="0"/>
        <w:snapToGrid w:val="0"/>
        <w:spacing w:line="360" w:lineRule="auto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kinsoku w:val="0"/>
        <w:overflowPunct w:val="0"/>
        <w:adjustRightInd w:val="0"/>
        <w:snapToGrid w:val="0"/>
        <w:spacing w:line="360" w:lineRule="auto"/>
        <w:ind w:left="-142" w:right="51" w:firstLine="30" w:firstLineChars="7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目录</w:t>
      </w:r>
    </w:p>
    <w:p>
      <w:pPr>
        <w:kinsoku w:val="0"/>
        <w:overflowPunct w:val="0"/>
        <w:adjustRightInd w:val="0"/>
        <w:snapToGrid w:val="0"/>
        <w:spacing w:line="360" w:lineRule="auto"/>
        <w:ind w:right="3569" w:firstLine="643" w:firstLineChars="200"/>
        <w:rPr>
          <w:rFonts w:ascii="仿宋_GB2312" w:hAnsi="仿宋_GB2312" w:eastAsia="仿宋_GB2312" w:cs="仿宋_GB2312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第一部分  概况</w:t>
      </w:r>
    </w:p>
    <w:p>
      <w:pPr>
        <w:kinsoku w:val="0"/>
        <w:overflowPunct w:val="0"/>
        <w:adjustRightInd w:val="0"/>
        <w:snapToGrid w:val="0"/>
        <w:spacing w:line="360" w:lineRule="auto"/>
        <w:ind w:right="3569" w:firstLine="960" w:firstLineChars="3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一、主要职能</w:t>
      </w:r>
    </w:p>
    <w:p>
      <w:pPr>
        <w:kinsoku w:val="0"/>
        <w:overflowPunct w:val="0"/>
        <w:adjustRightInd w:val="0"/>
        <w:snapToGrid w:val="0"/>
        <w:spacing w:line="360" w:lineRule="auto"/>
        <w:ind w:right="3569" w:firstLine="960" w:firstLineChars="3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预算单位构成</w:t>
      </w:r>
    </w:p>
    <w:p>
      <w:pPr>
        <w:kinsoku w:val="0"/>
        <w:overflowPunct w:val="0"/>
        <w:adjustRightInd w:val="0"/>
        <w:snapToGrid w:val="0"/>
        <w:spacing w:line="360" w:lineRule="auto"/>
        <w:ind w:right="521"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第二部门 焦作市马村区教育局20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预算情况说明</w:t>
      </w:r>
    </w:p>
    <w:p>
      <w:pPr>
        <w:kinsoku w:val="0"/>
        <w:overflowPunct w:val="0"/>
        <w:adjustRightInd w:val="0"/>
        <w:snapToGrid w:val="0"/>
        <w:spacing w:line="360" w:lineRule="auto"/>
        <w:ind w:right="521"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第三部分 名词解释</w:t>
      </w:r>
    </w:p>
    <w:p>
      <w:pPr>
        <w:kinsoku w:val="0"/>
        <w:overflowPunct w:val="0"/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附件：焦作市马村区教育局20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一、部门收支预算表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二、部门收入预算表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三、部门支出预算表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四、财政拨款收支预算表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五、一般公共预算支出预算表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六、一般公共预算基本支出预算表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七、一般公共预算基本支出明细表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八、支出经济分类汇总表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九、一般公共预算“三公”经费预算表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十、政府性基金支出预算表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十一、国有资本经营支出预算表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十二、项目支出预算表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十三、行政（事业）单位机构运行经费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right="51" w:firstLine="960" w:firstLineChars="3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十四、本级部门预算项目绩效目标表</w:t>
      </w:r>
    </w:p>
    <w:p>
      <w:pPr>
        <w:kinsoku w:val="0"/>
        <w:overflowPunct w:val="0"/>
        <w:adjustRightInd w:val="0"/>
        <w:snapToGrid w:val="0"/>
        <w:spacing w:line="360" w:lineRule="auto"/>
        <w:ind w:right="51" w:firstLine="1920" w:firstLineChars="6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3855" w:firstLineChars="1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3855" w:firstLineChars="1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3855" w:firstLineChars="1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第一部分</w:t>
      </w:r>
    </w:p>
    <w:p>
      <w:pPr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焦作市马村区教育局概况</w:t>
      </w:r>
    </w:p>
    <w:p>
      <w:pPr>
        <w:adjustRightInd w:val="0"/>
        <w:snapToGrid w:val="0"/>
        <w:spacing w:line="360" w:lineRule="auto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outlineLvl w:val="0"/>
        <w:rPr>
          <w:rFonts w:hint="eastAsia" w:ascii="Times New Roman" w:hAnsi="Times New Roman" w:eastAsia="黑体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color w:val="000000"/>
          <w:sz w:val="32"/>
          <w:szCs w:val="32"/>
        </w:rPr>
        <w:t>主要职能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楷体_GB2312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仿宋_GB2312"/>
          <w:color w:val="000000"/>
          <w:sz w:val="32"/>
          <w:szCs w:val="32"/>
        </w:rPr>
        <w:t>（一）</w:t>
      </w:r>
      <w:r>
        <w:rPr>
          <w:rFonts w:hint="eastAsia" w:ascii="Times New Roman" w:hAnsi="Times New Roman" w:eastAsia="楷体_GB2312" w:cs="仿宋_GB2312"/>
          <w:color w:val="000000"/>
          <w:sz w:val="32"/>
          <w:szCs w:val="32"/>
          <w:lang w:eastAsia="zh-CN"/>
        </w:rPr>
        <w:t>机构设置情况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办公室</w:t>
      </w:r>
      <w:r>
        <w:rPr>
          <w:rFonts w:hint="eastAsia" w:ascii="仿宋_GB2312" w:eastAsia="仿宋_GB2312"/>
          <w:sz w:val="32"/>
          <w:szCs w:val="32"/>
          <w:lang w:eastAsia="zh-CN"/>
        </w:rPr>
        <w:t>（党的建设工作办公室）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拟订全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事业发展规划，指导规划的实施及落实；综合协调机关政务；负责机关国有资产管理；负责重要会议的组织安排和督办查办工作；承办行政复议和行政应诉工作；负责教育法规的宣传贯彻及执法监督工作；负责机关文秘、保密、信息、宣传、档案、计划生育、保卫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负责协调、指导、检查、督促全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教育系统信访工作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负责全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教育系统全面从严治党、意识形态、思想政治建设和精神文明建设工作；承担机关和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全区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教育系统党的建设、纪检监察、宣传、意识形态、宗教、统一战线及群团等工作；负责全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中小学校政治稳定工作，及时反映和处理重大政治问题和突发事件；负责全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中小学校网络文化建设与管理。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统筹全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教育系统安全稳定工作；指导各级各类学校安全教育、安全防范、消防安全等工作；配合有关部门指导学校及周边社会治安综合治理、平安建设和安全保卫工作；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统筹全区教育系统反恐怖工作；</w:t>
      </w:r>
      <w:r>
        <w:rPr>
          <w:rFonts w:hint="eastAsia" w:ascii="仿宋_GB2312" w:hAnsi="仿宋_GB2312" w:eastAsia="仿宋_GB2312" w:cs="仿宋_GB2312"/>
          <w:sz w:val="32"/>
          <w:szCs w:val="32"/>
        </w:rPr>
        <w:t>会同有关部门依法负责校车管理、防溺水、校园欺凌、防灾减灾、食品安全等相关工作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及时反映和处理有关重大问题和突发事件。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_GB2312" w:eastAsia="仿宋_GB2312"/>
          <w:sz w:val="32"/>
          <w:szCs w:val="32"/>
        </w:rPr>
        <w:t>人事股</w:t>
      </w:r>
      <w:r>
        <w:rPr>
          <w:rFonts w:hint="eastAsia" w:ascii="仿宋_GB2312" w:hAnsi="仿宋_GB2312" w:eastAsia="仿宋_GB2312" w:cs="仿宋_GB2312"/>
          <w:sz w:val="32"/>
          <w:szCs w:val="32"/>
        </w:rPr>
        <w:t>。负责机关及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32"/>
          <w:szCs w:val="32"/>
          <w:u w:val="none"/>
          <w:lang w:eastAsia="zh-CN"/>
        </w:rPr>
        <w:t>所</w:t>
      </w:r>
      <w:r>
        <w:rPr>
          <w:rFonts w:hint="eastAsia" w:ascii="仿宋_GB2312" w:hAnsi="仿宋_GB2312" w:eastAsia="仿宋_GB2312" w:cs="仿宋_GB2312"/>
          <w:sz w:val="32"/>
          <w:szCs w:val="32"/>
        </w:rPr>
        <w:t>属单位干部人事和机构编制管理工作；负责全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教育系统的表彰奖励工作；承担教师资格制度的组织实施工作；负责全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中小学教师职称评审工作；规划并指导教育行政管理人员及教师队伍建设；承担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委授权范围内机关及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所</w:t>
      </w:r>
      <w:r>
        <w:rPr>
          <w:rFonts w:hint="eastAsia" w:ascii="仿宋_GB2312" w:hAnsi="仿宋_GB2312" w:eastAsia="仿宋_GB2312" w:cs="仿宋_GB2312"/>
          <w:sz w:val="32"/>
          <w:szCs w:val="32"/>
        </w:rPr>
        <w:t>属学校干部队伍建设；配合有关部门研究提出各级各类学校的编制标准；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指导各级各类学校内部人事与分配制度改革；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教育系统人才队伍建设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负责离退休干部工作。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eastAsia="仿宋_GB2312"/>
          <w:sz w:val="32"/>
          <w:szCs w:val="32"/>
        </w:rPr>
        <w:t>计划财务股</w:t>
      </w:r>
      <w:r>
        <w:rPr>
          <w:rFonts w:hint="eastAsia" w:ascii="仿宋_GB2312" w:hAnsi="仿宋_GB2312" w:eastAsia="仿宋_GB2312" w:cs="仿宋_GB2312"/>
          <w:sz w:val="32"/>
          <w:szCs w:val="32"/>
        </w:rPr>
        <w:t>。拟订全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教育事业发展及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所</w:t>
      </w:r>
      <w:r>
        <w:rPr>
          <w:rFonts w:hint="eastAsia" w:ascii="仿宋_GB2312" w:hAnsi="仿宋_GB2312" w:eastAsia="仿宋_GB2312" w:cs="仿宋_GB2312"/>
          <w:sz w:val="32"/>
          <w:szCs w:val="32"/>
        </w:rPr>
        <w:t>属单位基本建设的中长期规划和年度计划；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会同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有关部门制定教育拨款、教育基建投资等多渠道筹措教育经费的具体意见和措施；统筹管理教育经费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教育财政资金的监督管理工作，负责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本级教育专项资金的统筹、监管和使用；编制本单位教育事业费预决算，负责全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教育经费统计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分析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工作，负责对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所</w:t>
      </w:r>
      <w:r>
        <w:rPr>
          <w:rFonts w:hint="eastAsia" w:ascii="仿宋_GB2312" w:hAnsi="仿宋_GB2312" w:eastAsia="仿宋_GB2312" w:cs="仿宋_GB2312"/>
          <w:sz w:val="32"/>
          <w:szCs w:val="32"/>
        </w:rPr>
        <w:t>属单位的国有资产实施监督管理；负责财政、审计、发展改革、税务等有关部门的协调工作；负责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级基本建设项目及教育基建投资；负责全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教育事业基本信息统计分析工作；负责机关财务及教育系统内部审计工作，规范教育收费工作。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39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基础教育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股（</w:t>
      </w:r>
      <w:r>
        <w:rPr>
          <w:rFonts w:hint="eastAsia" w:ascii="仿宋_GB2312" w:eastAsia="仿宋_GB2312"/>
          <w:sz w:val="32"/>
          <w:szCs w:val="32"/>
          <w:lang w:eastAsia="zh-CN"/>
        </w:rPr>
        <w:t>行政事项服务股）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。承担全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义务教育、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学前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教育和特殊教育的宏观管理工作；拟订推进义务教育均衡发展的政策；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32"/>
          <w:szCs w:val="32"/>
          <w:u w:val="none"/>
          <w:lang w:eastAsia="zh-CN"/>
        </w:rPr>
        <w:t>会同有关部门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提出保障学生平等接受义务教育的政策措施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32"/>
          <w:szCs w:val="32"/>
          <w:u w:val="none"/>
          <w:lang w:eastAsia="zh-CN"/>
        </w:rPr>
        <w:t>会同有关部门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拟订义务教育、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学前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教育和特殊教育的发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展政策和基本教学文件，负责教材和教学管理，规范办学行为，推进教学改革和课程改革；负责指导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全区义务教育阶段学校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招生录取、学生学籍档案管理和毕业证书审验发放工作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，负责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属义务教育阶段学校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招生、学籍管理和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学生毕业证书审验发放工作；指导义务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学前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教育、特殊教育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教学信息化、图书馆、实验设备配备工作；指导全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义务教育阶段学校的德育和校外教育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所</w:t>
      </w:r>
      <w:r>
        <w:rPr>
          <w:rFonts w:hint="eastAsia" w:ascii="仿宋_GB2312" w:hAnsi="仿宋_GB2312" w:eastAsia="仿宋_GB2312" w:cs="仿宋_GB2312"/>
          <w:sz w:val="32"/>
          <w:szCs w:val="32"/>
        </w:rPr>
        <w:t>属义务教育、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学前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教育、特殊教育的德育和校外教育。</w:t>
      </w:r>
      <w:r>
        <w:rPr>
          <w:rFonts w:hint="eastAsia" w:ascii="仿宋_GB2312" w:eastAsia="仿宋_GB2312"/>
          <w:sz w:val="32"/>
          <w:szCs w:val="32"/>
        </w:rPr>
        <w:t>负责全区农村中小学现代远程教育工作；承担全区幼儿教育的宏观管理工作；负责落实国家和省有关民办教育的方针、政策；负责全区民办教育的综合协调和学校相关管理工作；拟订全区发展民办教育、幼儿教育的长远规划和政策并组织实施；负责全区民办中小学校、幼儿园的教育教学改革工作；指导全区社会力量举办的各类基础教育机构的备案、管理工作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依据法律、法规和规章规定，承担对下列事项的审批：民办中小学、幼儿园设置审批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拟订全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教师培训工作计划和长远规划；综合管理全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中小学教师培训工作，指导全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教师培训基地建设；负责中小学教师师德师风建设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39"/>
        <w:outlineLvl w:val="9"/>
        <w:rPr>
          <w:rFonts w:hint="eastAsia" w:ascii="仿宋_GB2312" w:eastAsia="仿宋_GB2312"/>
          <w:spacing w:val="-11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体育卫生艺术教育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股</w:t>
      </w:r>
      <w:r>
        <w:rPr>
          <w:rFonts w:hint="eastAsia" w:ascii="仿宋_GB2312" w:hAnsi="仿宋_GB2312" w:eastAsia="仿宋_GB2312" w:cs="仿宋_GB2312"/>
          <w:sz w:val="32"/>
          <w:szCs w:val="32"/>
        </w:rPr>
        <w:t>。拟订体育、卫生、艺术教育教学的指导性文件；指导学校体育、卫生健康教育、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心理健康教育、</w:t>
      </w:r>
      <w:r>
        <w:rPr>
          <w:rFonts w:hint="eastAsia" w:ascii="仿宋_GB2312" w:hAnsi="仿宋_GB2312" w:eastAsia="仿宋_GB2312" w:cs="仿宋_GB2312"/>
          <w:sz w:val="32"/>
          <w:szCs w:val="32"/>
        </w:rPr>
        <w:t>艺术教育工作；协调学校组团参加重大体育竞赛和艺术活动；负责中招体育加试工作；指导学生的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军事训练</w:t>
      </w:r>
      <w:r>
        <w:rPr>
          <w:rFonts w:hint="eastAsia" w:ascii="仿宋_GB2312" w:hAnsi="仿宋_GB2312" w:eastAsia="仿宋_GB2312" w:cs="仿宋_GB2312"/>
          <w:sz w:val="32"/>
          <w:szCs w:val="32"/>
        </w:rPr>
        <w:t>和国防教育工作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640" w:firstLineChars="20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6、</w:t>
      </w:r>
      <w:r>
        <w:rPr>
          <w:rFonts w:hint="eastAsia" w:ascii="仿宋_GB2312" w:eastAsia="仿宋_GB2312"/>
          <w:sz w:val="32"/>
          <w:szCs w:val="32"/>
          <w:lang w:eastAsia="zh-CN"/>
        </w:rPr>
        <w:t>马村区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人民政府教育督导委员会办公室。落实教育督导的规章制度和标准，指导全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教育督导工作；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承担上级教育督导相关协调工作；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组织对县级人民政府落实教育法律、法规、规章和国家教育方针、政策的督导评估；组织对本行政辖区内学校和其他教育机构教育教学工作的督导评估；开展对教育工作热点问题专项督导检查；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起草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马村区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教育督导报告；组织开展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马村区</w:t>
      </w:r>
      <w:r>
        <w:rPr>
          <w:rFonts w:hint="eastAsia" w:ascii="仿宋_GB2312" w:hAnsi="仿宋_GB2312" w:eastAsia="仿宋_GB2312" w:cs="仿宋_GB2312"/>
          <w:sz w:val="32"/>
          <w:szCs w:val="32"/>
        </w:rPr>
        <w:t>基础教育发展水平和质量监测；承担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马村区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人民政府教育督导委员会具体工作。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楷体_GB2312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仿宋_GB2312"/>
          <w:color w:val="000000"/>
          <w:sz w:val="32"/>
          <w:szCs w:val="32"/>
        </w:rPr>
        <w:t>（二）</w:t>
      </w:r>
      <w:r>
        <w:rPr>
          <w:rFonts w:hint="eastAsia" w:ascii="Times New Roman" w:hAnsi="Times New Roman" w:eastAsia="楷体_GB2312" w:cs="仿宋_GB2312"/>
          <w:color w:val="000000"/>
          <w:sz w:val="32"/>
          <w:szCs w:val="32"/>
          <w:lang w:eastAsia="zh-CN"/>
        </w:rPr>
        <w:t>部门职责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贯彻落实党和国家的教育方针政策，有关法律法规，起草有关教育的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规范性文件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并监督实施；负责教育理论研究和宣传工作。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研究提出在全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教育系统坚持党的领导、加强党的建设政策措施并组织实施；统筹全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教育工作的总体布局并负责协调推进和督促落实；管理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委授权范围内的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教育局机关及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所</w:t>
      </w:r>
      <w:r>
        <w:rPr>
          <w:rFonts w:hint="eastAsia" w:ascii="仿宋_GB2312" w:hAnsi="仿宋_GB2312" w:eastAsia="仿宋_GB2312" w:cs="仿宋_GB2312"/>
          <w:sz w:val="32"/>
          <w:szCs w:val="32"/>
        </w:rPr>
        <w:t>属学校领导人员。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各级各类教育的统筹规划和协调管理；拟订全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教育改革和教育事业发展规划；指导各级各类学校的教育教学改革；负责全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教育基本信息的统计、分析和发布。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负责本部门教育经费的统筹管理，参与拟订教育经费筹措、教育拨款、教育基建投资的政策；负责统计全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教育经费收支情况；指导教育系统内部审计工作。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负责推进全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义务教育均衡发展和促进教育公平；负责义务教育的宏观指导与协调；指导普通高中教育、学前教育和特殊教育工作；落实基础教育教学基本要求，全面实施素质教育；指导全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教育督导工作，组织对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中小学、幼儿园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教育督导检查和评估验收工作；负责基础教育发展水平、质量的监测工作。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教育系统思想政治、意识形态工作；指导各级各类学校的德育、体育、卫生、艺术教育、劳动教育及国防教育工作；指导全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教育系统落实好党的民族宗教政策；负责教育系统安全稳定与信访工作。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主管全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教师工作。负责全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区中小学、幼儿园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教师资格制度实施；负责全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教育系统的表彰奖励，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归口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管理教师和教育管理人员继续教育；配合有关部门研究提出各级各类学校编制标准；指导各级各类学校内部人事与分配制度改革；指导全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教育系统人才队伍建设。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拟订全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各级各类教育招生计划。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负责管理全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教育系统科研工作；指导全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教育系统信息化建设。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组织指导全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教育系统的对外交流与合作。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落实国家语言文字工作的方针政策，拟订全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语言文字工作规划；负责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全区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普通话推广工作和普通话师资培训工作。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12、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委、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政府交办的其他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任务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6"/>
        <w:numPr>
          <w:ilvl w:val="0"/>
          <w:numId w:val="1"/>
        </w:numPr>
        <w:spacing w:line="360" w:lineRule="auto"/>
        <w:ind w:left="0" w:firstLine="640"/>
        <w:rPr>
          <w:rFonts w:hint="default" w:ascii="Times New Roman" w:hAnsi="Times New Roman" w:eastAsia="黑体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仿宋_GB2312"/>
          <w:color w:val="000000"/>
          <w:kern w:val="2"/>
          <w:sz w:val="32"/>
          <w:szCs w:val="32"/>
          <w:lang w:val="en-US" w:eastAsia="zh-CN" w:bidi="ar-SA"/>
        </w:rPr>
        <w:t>部门预算单位构成</w:t>
      </w:r>
    </w:p>
    <w:p>
      <w:pPr>
        <w:pStyle w:val="6"/>
        <w:numPr>
          <w:ilvl w:val="0"/>
          <w:numId w:val="0"/>
        </w:numPr>
        <w:spacing w:line="360" w:lineRule="auto"/>
        <w:ind w:left="640" w:leftChars="0"/>
        <w:rPr>
          <w:rFonts w:hint="eastAsia" w:ascii="仿宋_GB2312" w:eastAsia="仿宋_GB2312"/>
          <w:color w:val="000000"/>
          <w:sz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lang w:eastAsia="zh-CN"/>
        </w:rPr>
        <w:t>本预算为焦作市马村区教育局本级预算。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6"/>
        <w:widowControl w:val="0"/>
        <w:numPr>
          <w:ilvl w:val="0"/>
          <w:numId w:val="0"/>
        </w:numPr>
        <w:spacing w:line="360" w:lineRule="auto"/>
        <w:jc w:val="both"/>
        <w:rPr>
          <w:rFonts w:hint="default" w:ascii="仿宋_GB2312" w:eastAsia="仿宋_GB2312"/>
          <w:color w:val="000000"/>
          <w:sz w:val="32"/>
        </w:rPr>
      </w:pPr>
    </w:p>
    <w:p>
      <w:pPr>
        <w:kinsoku w:val="0"/>
        <w:overflowPunct w:val="0"/>
        <w:adjustRightInd w:val="0"/>
        <w:snapToGrid w:val="0"/>
        <w:spacing w:line="360" w:lineRule="auto"/>
        <w:ind w:right="3569"/>
        <w:jc w:val="left"/>
        <w:outlineLvl w:val="0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/>
        <w:jc w:val="center"/>
        <w:textAlignment w:val="auto"/>
        <w:rPr>
          <w:rFonts w:hint="eastAsia" w:ascii="Times New Roman" w:hAnsi="Times New Roman" w:eastAsia="黑体" w:cs="仿宋_GB2312"/>
          <w:bCs/>
          <w:color w:val="000000"/>
          <w:sz w:val="36"/>
          <w:szCs w:val="36"/>
        </w:rPr>
      </w:pPr>
      <w:r>
        <w:rPr>
          <w:rFonts w:hint="eastAsia" w:ascii="Times New Roman" w:hAnsi="Times New Roman" w:eastAsia="黑体" w:cs="仿宋_GB2312"/>
          <w:bCs/>
          <w:color w:val="000000"/>
          <w:sz w:val="36"/>
          <w:szCs w:val="36"/>
        </w:rPr>
        <w:t>第二部分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6"/>
          <w:szCs w:val="36"/>
        </w:rPr>
        <w:t>焦作市马村区教育局20</w:t>
      </w:r>
      <w:r>
        <w:rPr>
          <w:rFonts w:hint="eastAsia" w:ascii="Times New Roman" w:hAnsi="Times New Roman" w:eastAsia="黑体" w:cs="仿宋_GB2312"/>
          <w:bCs/>
          <w:color w:val="000000"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黑体" w:cs="仿宋_GB2312"/>
          <w:bCs/>
          <w:color w:val="000000"/>
          <w:sz w:val="36"/>
          <w:szCs w:val="36"/>
          <w:lang w:val="en-US" w:eastAsia="zh-CN"/>
        </w:rPr>
        <w:t>3</w:t>
      </w:r>
      <w:r>
        <w:rPr>
          <w:rFonts w:hint="eastAsia" w:ascii="Times New Roman" w:hAnsi="Times New Roman" w:eastAsia="黑体" w:cs="仿宋_GB2312"/>
          <w:bCs/>
          <w:color w:val="000000"/>
          <w:sz w:val="36"/>
          <w:szCs w:val="36"/>
        </w:rPr>
        <w:t>年度</w:t>
      </w:r>
      <w:r>
        <w:rPr>
          <w:rFonts w:hint="eastAsia" w:ascii="Times New Roman" w:hAnsi="Times New Roman" w:eastAsia="黑体" w:cs="仿宋_GB2312"/>
          <w:bCs/>
          <w:color w:val="000000"/>
          <w:sz w:val="36"/>
          <w:szCs w:val="36"/>
          <w:lang w:eastAsia="zh-CN"/>
        </w:rPr>
        <w:t>单位</w:t>
      </w:r>
      <w:r>
        <w:rPr>
          <w:rFonts w:hint="eastAsia" w:ascii="Times New Roman" w:hAnsi="Times New Roman" w:eastAsia="黑体" w:cs="仿宋_GB2312"/>
          <w:bCs/>
          <w:color w:val="000000"/>
          <w:sz w:val="36"/>
          <w:szCs w:val="36"/>
        </w:rPr>
        <w:t>预算情况说明</w:t>
      </w:r>
    </w:p>
    <w:p>
      <w:pPr>
        <w:spacing w:line="560" w:lineRule="exact"/>
        <w:ind w:firstLine="640" w:firstLineChars="200"/>
        <w:outlineLvl w:val="0"/>
        <w:rPr>
          <w:rFonts w:hint="eastAsia" w:ascii="Times New Roman" w:hAnsi="Times New Roman" w:eastAsia="黑体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一、收入支出预算总体情况说明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Arial" w:hAnsi="Arial" w:eastAsia="仿宋_GB2312" w:cs="Arial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焦作市马村区教育局20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1479.17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万元，支出总计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1479.17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万元，与20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年相比，收、支总计各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增加98.65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增长7.15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%</w:t>
      </w:r>
      <w:r>
        <w:rPr>
          <w:rFonts w:hint="eastAsia" w:ascii="Arial" w:hAnsi="Arial" w:eastAsia="仿宋_GB2312" w:cs="Arial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主要原因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工资标准调整以及增加配套社保支出，二是增加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助学金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故20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年收、支总计较20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增长7.15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="640" w:firstLineChars="200"/>
        <w:outlineLvl w:val="0"/>
        <w:rPr>
          <w:rFonts w:hint="eastAsia" w:ascii="Times New Roman" w:hAnsi="Times New Roman" w:eastAsia="黑体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二、收入预算总体情况说明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焦作市马村区教育局20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年收入合计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1479.17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万元，其中：一般公共预算收入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1479.17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万元; 政府性基金预算收入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万元；国有资本经营预算收入0</w:t>
      </w:r>
      <w:r>
        <w:rPr>
          <w:rFonts w:hint="eastAsia" w:ascii="Arial" w:hAnsi="Arial" w:eastAsia="仿宋_GB2312" w:cs="Arial"/>
          <w:color w:val="auto"/>
          <w:sz w:val="32"/>
          <w:szCs w:val="32"/>
        </w:rPr>
        <w:t>万元；其他收入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</w:t>
      </w:r>
      <w:r>
        <w:rPr>
          <w:rFonts w:hint="eastAsia" w:ascii="Arial" w:hAnsi="Arial" w:eastAsia="仿宋_GB2312" w:cs="Arial"/>
          <w:color w:val="auto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outlineLvl w:val="0"/>
        <w:rPr>
          <w:rFonts w:hint="eastAsia" w:ascii="Times New Roman" w:hAnsi="Times New Roman" w:eastAsia="黑体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三、支出预算总体情况说明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焦作市马村区教育局20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年支出合计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1479.17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万元，其中：基本支出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527.52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35.66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%；项目支出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951.65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64.34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</w:t>
      </w:r>
    </w:p>
    <w:p>
      <w:pPr>
        <w:spacing w:line="560" w:lineRule="exact"/>
        <w:ind w:firstLine="640" w:firstLineChars="200"/>
        <w:outlineLvl w:val="0"/>
        <w:rPr>
          <w:rFonts w:hint="eastAsia" w:ascii="Times New Roman" w:hAnsi="Times New Roman" w:eastAsia="黑体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四、财政拨款收入支出预算总体情况说明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Arial" w:hAnsi="Arial" w:eastAsia="仿宋_GB2312" w:cs="Arial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焦作市马村区教育局20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年一般公共预算收支预算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1479.17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万元。政府性基金收支预算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Arial" w:hAnsi="Arial" w:eastAsia="仿宋_GB2312" w:cs="Arial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与20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年相比，一般公共预算收支预算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98.65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增长7.15</w:t>
      </w:r>
      <w:r>
        <w:rPr>
          <w:rFonts w:hint="eastAsia" w:ascii="Arial" w:hAnsi="Arial" w:eastAsia="仿宋_GB2312" w:cs="Arial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%，主要原因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：一是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工资标准调整以及增加配套社保支出，二是增加实验学校奖励金支出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故20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年收、支总计较20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增长7.15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</w:t>
      </w:r>
    </w:p>
    <w:p>
      <w:pPr>
        <w:spacing w:line="560" w:lineRule="exact"/>
        <w:ind w:firstLine="640" w:firstLineChars="200"/>
        <w:outlineLvl w:val="0"/>
        <w:rPr>
          <w:rFonts w:hint="eastAsia" w:ascii="Times New Roman" w:hAnsi="Times New Roman" w:eastAsia="黑体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val="en-US" w:eastAsia="zh-CN"/>
        </w:rPr>
        <w:t>五、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一般公共预算支出预算情况说明</w:t>
      </w:r>
    </w:p>
    <w:p>
      <w:pPr>
        <w:widowControl/>
        <w:ind w:firstLine="622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焦作市马村区教育局20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年一般公共预算支出年初预算为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1479.17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万元。主要用于以下方面：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教育支出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1318.08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89.11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%；社会保障和就业支出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94.79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6.41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%；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卫生健康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支出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25.08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1.70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%；住房保障支出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41.22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2.79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六、一般公共预算基本支出预算情况说明</w:t>
      </w:r>
    </w:p>
    <w:p>
      <w:pPr>
        <w:widowControl/>
        <w:ind w:firstLine="622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焦作市马村区教育局20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年一般公共预算基本支出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527.52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万元，其中：</w:t>
      </w:r>
      <w:r>
        <w:rPr>
          <w:rFonts w:hint="eastAsia" w:ascii="仿宋_GB2312" w:hAnsi="仿宋_GB2312" w:eastAsia="仿宋_GB2312" w:cs="仿宋_GB2312"/>
          <w:b/>
          <w:color w:val="auto"/>
          <w:spacing w:val="-1"/>
          <w:kern w:val="0"/>
          <w:sz w:val="32"/>
          <w:szCs w:val="32"/>
        </w:rPr>
        <w:t>人员经费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/>
        </w:rPr>
        <w:t>505.8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主要包括：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基本工资、津贴补贴、奖金、绩效工资、机关事业单位基本养老保险缴费、医疗保险缴费、其他社会保障缴费、住房公积金、退休费；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公用经费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21.71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，主要包括：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办公费、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水费、电费、劳务费、其他交通费用、其他商品和服务支出。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outlineLvl w:val="0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七、政府性基金预算支出预算情况说明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焦作市马村区教育局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年政府性基金预算支出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我单位202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年没有使用政府性基金预算拨款安排的支出。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Times New Roman" w:hAnsi="Times New Roman" w:eastAsia="黑体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sz w:val="32"/>
          <w:szCs w:val="32"/>
        </w:rPr>
        <w:t>八、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国有资本经营预算支出预算情况说明</w:t>
      </w:r>
    </w:p>
    <w:p>
      <w:pPr>
        <w:widowControl/>
        <w:ind w:firstLine="622"/>
        <w:jc w:val="left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焦作市马村区教育局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年国有资金经营预算支出 0万元，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主要原因是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年没有使用国有资本经营预算拨款安排的支出。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九、“三公”经费支出预算情况说明</w:t>
      </w:r>
    </w:p>
    <w:p>
      <w:pPr>
        <w:keepNext w:val="0"/>
        <w:keepLines w:val="0"/>
        <w:pageBreakBefore w:val="0"/>
        <w:widowControl w:val="0"/>
        <w:wordWrap/>
        <w:topLinePunct w:val="0"/>
        <w:bidi w:val="0"/>
        <w:spacing w:line="560" w:lineRule="atLeast"/>
        <w:ind w:firstLine="640" w:firstLineChars="200"/>
        <w:textAlignment w:val="auto"/>
        <w:outlineLvl w:val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焦作市马村区教育局20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年“三公”经费预算为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黑体"/>
          <w:color w:val="auto"/>
          <w:sz w:val="32"/>
          <w:szCs w:val="32"/>
          <w:lang w:val="en-US" w:eastAsia="zh-CN"/>
        </w:rPr>
        <w:t>2024年预算数比2023年增加</w:t>
      </w:r>
      <w:r>
        <w:rPr>
          <w:rFonts w:hint="default" w:ascii="仿宋_GB2312" w:hAnsi="仿宋_GB2312" w:eastAsia="仿宋_GB2312" w:cs="黑体"/>
          <w:color w:val="auto"/>
          <w:sz w:val="32"/>
          <w:szCs w:val="32"/>
          <w:lang w:val="en-US" w:eastAsia="zh-CN"/>
        </w:rPr>
        <w:t>0.</w:t>
      </w:r>
      <w:r>
        <w:rPr>
          <w:rFonts w:hint="eastAsia" w:ascii="仿宋_GB2312" w:hAnsi="仿宋_GB2312" w:eastAsia="仿宋_GB2312" w:cs="黑体"/>
          <w:color w:val="auto"/>
          <w:sz w:val="32"/>
          <w:szCs w:val="32"/>
          <w:lang w:val="en-US" w:eastAsia="zh-CN"/>
        </w:rPr>
        <w:t>3万元,增长30%。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具体支出情况如下：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firstLine="636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spacing w:val="-1"/>
          <w:kern w:val="0"/>
          <w:sz w:val="32"/>
          <w:szCs w:val="32"/>
        </w:rPr>
        <w:t>因公出国（境）费0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万元。主要用于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单位因公出国（境）费，指单位工作人员公务出国（境）的住宿费、旅费、伙食补助费、杂费、培训费等支出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。预算数与20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年持平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，主要原因：我单位20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年未安排因公出国（境）的支出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636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仿宋_GB2312"/>
          <w:color w:val="000000"/>
          <w:spacing w:val="-1"/>
          <w:kern w:val="0"/>
          <w:sz w:val="32"/>
          <w:szCs w:val="32"/>
        </w:rPr>
        <w:t>公务用车购置及运行费</w:t>
      </w:r>
      <w:r>
        <w:rPr>
          <w:rFonts w:hint="default" w:ascii="Times New Roman" w:hAnsi="Times New Roman" w:eastAsia="楷体_GB2312" w:cs="仿宋_GB2312"/>
          <w:color w:val="000000"/>
          <w:spacing w:val="-1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楷体_GB2312" w:cs="仿宋_GB2312"/>
          <w:color w:val="000000"/>
          <w:spacing w:val="-1"/>
          <w:kern w:val="0"/>
          <w:sz w:val="32"/>
          <w:szCs w:val="32"/>
          <w:lang w:val="en-US" w:eastAsia="zh-CN"/>
        </w:rPr>
        <w:t>.3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元。其中公务车辆购置费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万元，主要用于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公务车辆购置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,与20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年持平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，主要原因：我单位20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年未安排公务用车购置费；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公务用车运行维护费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，主要</w:t>
      </w:r>
      <w:r>
        <w:rPr>
          <w:rFonts w:hint="eastAsia" w:ascii="仿宋_GB2312" w:hAnsi="仿宋_GB2312" w:eastAsia="仿宋_GB2312" w:cs="黑体"/>
          <w:color w:val="auto"/>
          <w:sz w:val="32"/>
          <w:szCs w:val="32"/>
          <w:lang w:eastAsia="zh-CN"/>
        </w:rPr>
        <w:t>用于</w:t>
      </w:r>
      <w:r>
        <w:rPr>
          <w:rFonts w:hint="eastAsia" w:ascii="仿宋_GB2312" w:hAnsi="仿宋_GB2312" w:eastAsia="仿宋_GB2312" w:cs="黑体"/>
          <w:color w:val="auto"/>
          <w:sz w:val="32"/>
          <w:szCs w:val="32"/>
        </w:rPr>
        <w:t>公务用车燃料费、维修费、过路过桥费、保险费等支出</w:t>
      </w:r>
      <w:r>
        <w:rPr>
          <w:rFonts w:hint="eastAsia" w:ascii="仿宋_GB2312" w:hAnsi="仿宋_GB2312" w:eastAsia="仿宋_GB2312" w:cs="黑体"/>
          <w:color w:val="auto"/>
          <w:sz w:val="32"/>
          <w:szCs w:val="32"/>
          <w:lang w:eastAsia="zh-CN"/>
        </w:rPr>
        <w:t>，比</w:t>
      </w:r>
      <w:r>
        <w:rPr>
          <w:rFonts w:hint="eastAsia" w:ascii="仿宋_GB2312" w:hAnsi="仿宋_GB2312" w:eastAsia="仿宋_GB2312" w:cs="黑体"/>
          <w:color w:val="auto"/>
          <w:sz w:val="32"/>
          <w:szCs w:val="32"/>
          <w:lang w:val="en-US" w:eastAsia="zh-CN"/>
        </w:rPr>
        <w:t>2023年增加</w:t>
      </w:r>
      <w:r>
        <w:rPr>
          <w:rFonts w:hint="default" w:ascii="仿宋_GB2312" w:hAnsi="仿宋_GB2312" w:eastAsia="仿宋_GB2312" w:cs="黑体"/>
          <w:color w:val="auto"/>
          <w:sz w:val="32"/>
          <w:szCs w:val="32"/>
          <w:lang w:val="en-US" w:eastAsia="zh-CN"/>
        </w:rPr>
        <w:t>0.</w:t>
      </w:r>
      <w:r>
        <w:rPr>
          <w:rFonts w:hint="eastAsia" w:ascii="仿宋_GB2312" w:hAnsi="仿宋_GB2312" w:eastAsia="仿宋_GB2312" w:cs="黑体"/>
          <w:color w:val="auto"/>
          <w:sz w:val="32"/>
          <w:szCs w:val="32"/>
          <w:lang w:val="en-US" w:eastAsia="zh-CN"/>
        </w:rPr>
        <w:t>3万元，较上年增长30%，主要原因：</w:t>
      </w:r>
      <w:r>
        <w:rPr>
          <w:rFonts w:hint="eastAsia" w:ascii="仿宋_GB2312" w:hAnsi="仿宋_GB2312" w:eastAsia="仿宋_GB2312" w:cs="黑体"/>
          <w:color w:val="auto"/>
          <w:sz w:val="32"/>
          <w:szCs w:val="32"/>
          <w:highlight w:val="none"/>
          <w:lang w:val="en-US" w:eastAsia="zh-CN"/>
        </w:rPr>
        <w:t>一是下乡扶贫和各项督导工作增加，二是车辆维修维护费增加。故</w:t>
      </w:r>
      <w:r>
        <w:rPr>
          <w:rFonts w:hint="default" w:ascii="仿宋_GB2312" w:hAnsi="仿宋_GB2312" w:eastAsia="仿宋_GB2312" w:cs="黑体"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_GB2312" w:hAnsi="仿宋_GB2312" w:eastAsia="仿宋_GB2312" w:cs="黑体"/>
          <w:color w:val="auto"/>
          <w:sz w:val="32"/>
          <w:szCs w:val="32"/>
          <w:highlight w:val="none"/>
          <w:lang w:val="en-US" w:eastAsia="zh-CN"/>
        </w:rPr>
        <w:t>4年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公务用车运行维护费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3年增长</w:t>
      </w:r>
      <w:r>
        <w:rPr>
          <w:rFonts w:hint="eastAsia" w:ascii="仿宋_GB2312" w:hAnsi="仿宋_GB2312" w:eastAsia="仿宋_GB2312" w:cs="黑体"/>
          <w:color w:val="auto"/>
          <w:sz w:val="32"/>
          <w:szCs w:val="32"/>
          <w:highlight w:val="none"/>
          <w:lang w:val="en-US" w:eastAsia="zh-CN"/>
        </w:rPr>
        <w:t>30%。</w:t>
      </w:r>
    </w:p>
    <w:p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636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spacing w:val="-1"/>
          <w:kern w:val="0"/>
          <w:sz w:val="32"/>
          <w:szCs w:val="32"/>
        </w:rPr>
        <w:t>公务接待费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万元，主要用于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单位按规定开支的各类公务接待（含外宾接待）支出，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与20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年持平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主要原因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我单位20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年未安排公务接待费。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36" w:firstLineChars="200"/>
        <w:textAlignment w:val="auto"/>
        <w:outlineLvl w:val="0"/>
        <w:rPr>
          <w:rFonts w:hint="eastAsia" w:ascii="Times New Roman" w:hAnsi="Times New Roman" w:eastAsia="黑体" w:cs="黑体"/>
          <w:color w:val="000000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color w:val="000000"/>
          <w:spacing w:val="-1"/>
          <w:kern w:val="0"/>
          <w:sz w:val="32"/>
          <w:szCs w:val="32"/>
        </w:rPr>
        <w:t>十、其他重要事项的情况说明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（一）机关运行经费支出情况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焦作市马村区教育局20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年机关运行经费支出预算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10.54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万元，主要保障机关机构正常运转及正常履职需要的办公费、水电费、物业费、维修费、差旅费等支出，比20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增加2.5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增长31.0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%，主要原因：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人员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故致使20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年机关运行经费较去年有所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640" w:firstLineChars="200"/>
        <w:outlineLvl w:val="0"/>
        <w:rPr>
          <w:rFonts w:ascii="仿宋_GB2312" w:hAnsi="仿宋_GB2312" w:eastAsia="仿宋_GB2312" w:cs="仿宋_GB2312"/>
          <w:b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（二）政府采购支出情况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年政府采购预算安排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万元，其中：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政府采购货物预算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万元、政府采购工程预算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万元、政府采购服务预算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万元。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640" w:firstLineChars="200"/>
        <w:outlineLvl w:val="0"/>
        <w:rPr>
          <w:rFonts w:ascii="仿宋_GB2312" w:hAnsi="仿宋_GB2312" w:eastAsia="仿宋_GB2312" w:cs="仿宋_GB2312"/>
          <w:b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（三）关于预算绩效管理工作开展情况说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eastAsia="zh-CN"/>
        </w:rPr>
        <w:t>焦作市马村区教育局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按要求编制了绩效目标，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包括单位整体绩效目标和项目支出绩效目标，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综合反映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了单位及各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项目预期完成的数量、实效、质量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，产生的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社会经济效益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和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服务对象满意度等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情况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年，我单位纳入预算绩效管理的支出总额为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/>
        </w:rPr>
        <w:t>951.66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万元。其中：人员经费支出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万元；公用经费支出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万元；项目支出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/>
        </w:rPr>
        <w:t>951.66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万元，涉及项目</w:t>
      </w:r>
      <w:r>
        <w:rPr>
          <w:rFonts w:hint="default" w:ascii="Times New Roman" w:hAnsi="Times New Roman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个。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640" w:firstLineChars="200"/>
        <w:outlineLvl w:val="0"/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国有资产占用情况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年期末，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焦作市马村区教育局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资产总额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471.32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万元，其中，房屋建筑物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158.95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万元，车辆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，办公设备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116.53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万元，专用设备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3.59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万元，其他资产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193.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702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万元。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车辆共有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辆，其中：一般公务用车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辆，执法执勤车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辆；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单价50万元以上通用设备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台（套），单位价值100万元以上专用设备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台（套）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Times New Roman" w:hAnsi="Times New Roman" w:eastAsia="楷体_GB2312" w:cs="仿宋_GB2312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kern w:val="0"/>
          <w:sz w:val="32"/>
          <w:szCs w:val="32"/>
        </w:rPr>
        <w:t>（五）专项转移支付项目情况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default" w:ascii="仿宋_GB2312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我部门负责管理的专项转移支付项目共有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项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Times New Roman" w:hAnsi="Times New Roman" w:eastAsia="楷体_GB2312" w:cs="仿宋_GB2312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kern w:val="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auto"/>
          <w:kern w:val="0"/>
          <w:sz w:val="32"/>
          <w:szCs w:val="32"/>
          <w:lang w:eastAsia="zh-CN"/>
        </w:rPr>
        <w:t>六</w:t>
      </w:r>
      <w:r>
        <w:rPr>
          <w:rFonts w:hint="eastAsia" w:ascii="Times New Roman" w:hAnsi="Times New Roman" w:eastAsia="楷体_GB2312" w:cs="仿宋_GB2312"/>
          <w:color w:val="auto"/>
          <w:kern w:val="0"/>
          <w:sz w:val="32"/>
          <w:szCs w:val="32"/>
        </w:rPr>
        <w:t>）关于预算</w:t>
      </w:r>
      <w:r>
        <w:rPr>
          <w:rFonts w:hint="eastAsia" w:ascii="Times New Roman" w:hAnsi="Times New Roman" w:eastAsia="楷体_GB2312" w:cs="仿宋_GB2312"/>
          <w:color w:val="auto"/>
          <w:kern w:val="0"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楷体_GB2312" w:cs="仿宋_GB2312"/>
          <w:color w:val="auto"/>
          <w:kern w:val="0"/>
          <w:sz w:val="32"/>
          <w:szCs w:val="32"/>
        </w:rPr>
        <w:t>构成说明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年我单位按照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财政预算公开要求，将所属预算单位全部纳入预算公开范围。</w:t>
      </w: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/>
        <w:jc w:val="center"/>
        <w:textAlignment w:val="auto"/>
        <w:rPr>
          <w:rFonts w:hint="eastAsia" w:ascii="Times New Roman" w:hAnsi="Times New Roman" w:eastAsia="黑体" w:cs="黑体"/>
          <w:bCs/>
          <w:color w:val="000000"/>
          <w:sz w:val="36"/>
          <w:szCs w:val="36"/>
        </w:rPr>
      </w:pPr>
      <w:r>
        <w:rPr>
          <w:rFonts w:hint="eastAsia" w:ascii="Times New Roman" w:hAnsi="Times New Roman" w:eastAsia="黑体" w:cs="黑体"/>
          <w:bCs/>
          <w:color w:val="000000"/>
          <w:sz w:val="36"/>
          <w:szCs w:val="36"/>
        </w:rPr>
        <w:t>第三部分 名词解释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一、财政拨款收入：是指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级财政当年拨付的资金。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二、事业收入：是指事业单位开展专业活动及辅助活动所取 得的收入。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 xml:space="preserve">三、其他收入：是指部门取得的除“财政拨款”、“事业收入”、“事业单位经营收入”等以外的收入。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四、基本支出：是指为保障机构正常运转、完成日常工作任务所必需的开支，其内容包括人员经费和日常公用经费两部分。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五、项目支出：是指在基本支出之外，为完成特定的行政工作任务或事业发展目标所发生的支出。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六、“三公”经费：是指纳入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级财政预算管理，部门使用财政拨款安排的因公出国（境）费、公务用车购置及运行费和公务接待费。其中，因公出国（境）费反映单位公务出国（境）的住宿费、旅费、伙食补助费、杂费、培训费等支出；公务用车购置及运行费反映单位公务用车购置费及租用费、燃料费、维修费、过路过桥费、保险费、安全奖励费用等支出；公务接待费反映单位按规定开支的各类公务接待（含外宾接待）支出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Courier New"/>
          <w:color w:val="000000"/>
          <w:sz w:val="32"/>
          <w:szCs w:val="32"/>
        </w:rPr>
        <w:t>七、行政（事业）单位机构运行经费：是指为保障行政（事业）单位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机构正常运转及正常履职需要的办公费、水电费、日常维修、物业费、维修费、差旅费、</w:t>
      </w:r>
      <w:r>
        <w:rPr>
          <w:rFonts w:hint="eastAsia" w:ascii="Times New Roman" w:hAnsi="Times New Roman" w:eastAsia="仿宋_GB2312" w:cs="Courier New"/>
          <w:color w:val="000000"/>
          <w:sz w:val="32"/>
          <w:szCs w:val="32"/>
        </w:rPr>
        <w:t>公务用车运行维护费以及其他费用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等支出。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八、教育支出：反映政府教育事务支出。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附件：焦作市马村区教育局20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预算表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10455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82"/>
        <w:gridCol w:w="1845"/>
        <w:gridCol w:w="3382"/>
        <w:gridCol w:w="184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预算01表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2024年单位收支预算表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5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焦作市马村区教育局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收入</w:t>
            </w:r>
          </w:p>
        </w:tc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项目  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金额  </w:t>
            </w: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项目  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一、一般公共预算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一、一般公共服务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1291.83</w:t>
            </w: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二、外交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二、政府性基金预算拨款收入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三、国防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三、国有资本经营预算拨款收入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四、公共安全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四、财政专户管理资金收入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五、教育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1318.08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五、事业收入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六、科学技术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六、事业单位经营收入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七、文化旅游体育与传媒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七、上级补助收入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八、社会保障和就业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八、附属单位上缴收入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九、社会保险基金支出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九、其他收入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十、卫生健康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十一、节能环保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十二、城乡社区事务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十三、农林水事务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十四、交通运输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十五、资源勘探信息等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十六、商业服务业等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十七、金融支出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十九、援助其他地区支出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二十、自然资源海洋气象等支出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二十一、住房保障支出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二十二、粮油物资储备支出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二十三、国有资本经营预算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二十四、灾害防治及应急管理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二十七、预备费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二十九、其他支出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三十、转移性支出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三十一、债务还本支出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三十二、债务付息支出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三十三、债务发行费用支出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三十四、抗疫特别国债安排的支出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 年 收 入 合 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 年 支 出 合 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上年结转结余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 入 总 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 出 总 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4"/>
        <w:tblW w:w="1570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956"/>
        <w:gridCol w:w="908"/>
        <w:gridCol w:w="933"/>
        <w:gridCol w:w="576"/>
        <w:gridCol w:w="634"/>
        <w:gridCol w:w="593"/>
        <w:gridCol w:w="846"/>
        <w:gridCol w:w="916"/>
        <w:gridCol w:w="982"/>
        <w:gridCol w:w="413"/>
        <w:gridCol w:w="437"/>
        <w:gridCol w:w="491"/>
        <w:gridCol w:w="444"/>
        <w:gridCol w:w="492"/>
        <w:gridCol w:w="528"/>
        <w:gridCol w:w="564"/>
        <w:gridCol w:w="528"/>
        <w:gridCol w:w="708"/>
        <w:gridCol w:w="648"/>
        <w:gridCol w:w="612"/>
        <w:gridCol w:w="588"/>
        <w:gridCol w:w="576"/>
        <w:gridCol w:w="5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570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预算02表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70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4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年单位收入预算表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单位名称：焦作市马村区教育局</w:t>
            </w:r>
          </w:p>
        </w:tc>
        <w:tc>
          <w:tcPr>
            <w:tcW w:w="98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部门（单位）代码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部门（单位）名称</w:t>
            </w:r>
          </w:p>
        </w:tc>
        <w:tc>
          <w:tcPr>
            <w:tcW w:w="9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总计</w:t>
            </w:r>
          </w:p>
        </w:tc>
        <w:tc>
          <w:tcPr>
            <w:tcW w:w="27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664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本年收入</w:t>
            </w:r>
          </w:p>
        </w:tc>
        <w:tc>
          <w:tcPr>
            <w:tcW w:w="36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上年结转结余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政府性基金</w:t>
            </w:r>
          </w:p>
        </w:tc>
        <w:tc>
          <w:tcPr>
            <w:tcW w:w="6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5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财政专户管理资金收入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4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政府性基金</w:t>
            </w:r>
          </w:p>
        </w:tc>
        <w:tc>
          <w:tcPr>
            <w:tcW w:w="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财政专户管理资金收入</w:t>
            </w:r>
          </w:p>
        </w:tc>
        <w:tc>
          <w:tcPr>
            <w:tcW w:w="4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附属单位上缴收入</w:t>
            </w:r>
          </w:p>
        </w:tc>
        <w:tc>
          <w:tcPr>
            <w:tcW w:w="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政府性基金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1291.83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923001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焦作市马村区教育局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1291.83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4"/>
        <w:tblW w:w="1539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42"/>
        <w:gridCol w:w="443"/>
        <w:gridCol w:w="761"/>
        <w:gridCol w:w="3338"/>
        <w:gridCol w:w="1260"/>
        <w:gridCol w:w="1332"/>
        <w:gridCol w:w="1104"/>
        <w:gridCol w:w="1176"/>
        <w:gridCol w:w="1140"/>
        <w:gridCol w:w="864"/>
        <w:gridCol w:w="1080"/>
        <w:gridCol w:w="924"/>
        <w:gridCol w:w="10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539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预算03表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39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4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年单位支出预算表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单位名称：焦作市马村区教育局</w:t>
            </w:r>
          </w:p>
        </w:tc>
        <w:tc>
          <w:tcPr>
            <w:tcW w:w="6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37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33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单位（科目名称）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56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基本支出  </w:t>
            </w:r>
          </w:p>
        </w:tc>
        <w:tc>
          <w:tcPr>
            <w:tcW w:w="30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3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公用经费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其他运转类</w:t>
            </w:r>
          </w:p>
        </w:tc>
        <w:tc>
          <w:tcPr>
            <w:tcW w:w="10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特定目标类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款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资本性支出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527.52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505.81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460.97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44.84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21.71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951.65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923001</w:t>
            </w: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焦作市马村区教育局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527.52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505.81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460.97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44.84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21.71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951.65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374.10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366.43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344.72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341.16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3.56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21.71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其他教育管理事务支出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59.91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79.82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284.48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初中教育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73.00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高中教育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其他普通教育支出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436.17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其他行政事业单位养老支出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41.28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41.28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4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7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</w:t>
            </w:r>
          </w:p>
        </w:tc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</w:t>
            </w:r>
          </w:p>
        </w:tc>
        <w:tc>
          <w:tcPr>
            <w:tcW w:w="11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</w:t>
            </w:r>
          </w:p>
        </w:tc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</w:t>
            </w:r>
          </w:p>
        </w:tc>
        <w:tc>
          <w:tcPr>
            <w:tcW w:w="11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23.02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23.02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23.02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23.02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4"/>
        <w:tblpPr w:leftFromText="180" w:rightFromText="180" w:vertAnchor="text" w:horzAnchor="page" w:tblpX="706" w:tblpY="128"/>
        <w:tblOverlap w:val="never"/>
        <w:tblW w:w="156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43"/>
        <w:gridCol w:w="443"/>
        <w:gridCol w:w="776"/>
        <w:gridCol w:w="186"/>
        <w:gridCol w:w="1212"/>
        <w:gridCol w:w="1870"/>
        <w:gridCol w:w="1090"/>
        <w:gridCol w:w="198"/>
        <w:gridCol w:w="1208"/>
        <w:gridCol w:w="288"/>
        <w:gridCol w:w="1044"/>
        <w:gridCol w:w="11"/>
        <w:gridCol w:w="1055"/>
        <w:gridCol w:w="458"/>
        <w:gridCol w:w="597"/>
        <w:gridCol w:w="699"/>
        <w:gridCol w:w="242"/>
        <w:gridCol w:w="538"/>
        <w:gridCol w:w="403"/>
        <w:gridCol w:w="533"/>
        <w:gridCol w:w="408"/>
        <w:gridCol w:w="480"/>
        <w:gridCol w:w="461"/>
        <w:gridCol w:w="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564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预算04表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64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4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年财政拨款收支预算表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3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单位名称：焦作市马村区教育局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36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收入  </w:t>
            </w:r>
          </w:p>
        </w:tc>
        <w:tc>
          <w:tcPr>
            <w:tcW w:w="1201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支出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242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项 目  </w:t>
            </w:r>
          </w:p>
        </w:tc>
        <w:tc>
          <w:tcPr>
            <w:tcW w:w="1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　额</w:t>
            </w:r>
          </w:p>
        </w:tc>
        <w:tc>
          <w:tcPr>
            <w:tcW w:w="29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项 目  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41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一般公共预算  </w:t>
            </w:r>
          </w:p>
        </w:tc>
        <w:tc>
          <w:tcPr>
            <w:tcW w:w="7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政府性基金</w:t>
            </w:r>
          </w:p>
        </w:tc>
        <w:tc>
          <w:tcPr>
            <w:tcW w:w="93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8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财政专户管理资金收入</w:t>
            </w:r>
          </w:p>
        </w:tc>
        <w:tc>
          <w:tcPr>
            <w:tcW w:w="8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42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小计  </w:t>
            </w: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其中：上级专项转移支付安排支出</w:t>
            </w:r>
          </w:p>
        </w:tc>
        <w:tc>
          <w:tcPr>
            <w:tcW w:w="7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收入合计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1380.52</w:t>
            </w: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支出合计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1291.83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一、本年收入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1380.52</w:t>
            </w: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一、本年支出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1291.83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（一）一般公共预算拨款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1380.52</w:t>
            </w: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（一）一般公共服务支出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其中：财政拨款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1199.44</w:t>
            </w: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（二）外交支出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（二）政府性基金预算拨款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（三）国防支出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（三）国有资本经营预算拨款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（四）公共安全支出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（四）财政专户管理资金收入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（五）教育支出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1318.08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1318.08</w:t>
            </w: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1130.74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（五）单位资金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（六）科学技术支出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二、上年结转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（七）文化体育旅游与传媒支出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（一）一般公共预算拨款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（八）社会保障和就业支出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94.79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94.79</w:t>
            </w: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94.79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（二）政府性基金预算拨款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（九）医疗卫生与计划生育支出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（三）国有资本经营预算拨款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（十）卫生健康支出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25.08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25.08</w:t>
            </w: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25.08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（十一）节能环保支出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（十二）城乡社区事务支出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（十三）农林水事务支出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（十四）交通运输支出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（十五）资源勘探信息等支出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（十六）商业服务业等支出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（十七）金融支出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（十九）援助其他地区支出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（二十）自然资源海洋气象等支出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（二十一）住房保障支出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41.22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41.22</w:t>
            </w: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41.22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（二十二）粮油物资储备支出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（二十三）国有资本经营预算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（二十四）灾害防治及应急管理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（二十七）预备费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（二十九）其他支出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（三十）转移性支出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（三十一）债务还本支出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（三十二）债务付息支出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（三十三）债务发行费用支出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（三十四）抗疫特别国债安排的支出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二、年终结转结余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6" w:hRule="atLeast"/>
        </w:trPr>
        <w:tc>
          <w:tcPr>
            <w:tcW w:w="1521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预算05表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569" w:hRule="atLeast"/>
        </w:trPr>
        <w:tc>
          <w:tcPr>
            <w:tcW w:w="1521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4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年一般公共预算支出预算表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5" w:hRule="atLeast"/>
        </w:trPr>
        <w:tc>
          <w:tcPr>
            <w:tcW w:w="55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单位名称：焦作市马村区教育局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6" w:hRule="atLeast"/>
        </w:trPr>
        <w:tc>
          <w:tcPr>
            <w:tcW w:w="146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326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单位（科目名称）</w:t>
            </w:r>
          </w:p>
        </w:tc>
        <w:tc>
          <w:tcPr>
            <w:tcW w:w="12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56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基本支出  </w:t>
            </w:r>
          </w:p>
        </w:tc>
        <w:tc>
          <w:tcPr>
            <w:tcW w:w="28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6" w:hRule="atLeast"/>
        </w:trPr>
        <w:tc>
          <w:tcPr>
            <w:tcW w:w="146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2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公用经费</w:t>
            </w:r>
          </w:p>
        </w:tc>
        <w:tc>
          <w:tcPr>
            <w:tcW w:w="9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9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其他运转类</w:t>
            </w:r>
          </w:p>
        </w:tc>
        <w:tc>
          <w:tcPr>
            <w:tcW w:w="9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特定目标类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678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款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资本性支出</w:t>
            </w:r>
          </w:p>
        </w:tc>
        <w:tc>
          <w:tcPr>
            <w:tcW w:w="9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527.52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460.97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44.84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21.71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951.65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28.31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923.34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923001</w:t>
            </w: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焦作市马村区教育局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1479.17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527.52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460.97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44.84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21.71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951.65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28.31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923.34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374.10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366.43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341.16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3.56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21.71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7.67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其他教育管理事务支出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59.91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59.91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28.31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79.82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79.82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284.48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284.48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初中教育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73.00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73.00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高中教育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10.60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10.60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其他普通教育支出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436.17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436.17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53.51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53.51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53.51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其他行政事业单位养老支出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41.28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41.28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41.28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23.02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23.02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23.02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7" w:type="dxa"/>
          <w:trHeight w:val="284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41.22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41.22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41.22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4"/>
        <w:tblW w:w="1479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79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1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tbl>
            <w:tblPr>
              <w:tblStyle w:val="4"/>
              <w:tblW w:w="14760" w:type="dxa"/>
              <w:jc w:val="right"/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"/>
              <w:gridCol w:w="1839"/>
              <w:gridCol w:w="5"/>
              <w:gridCol w:w="2761"/>
              <w:gridCol w:w="1844"/>
              <w:gridCol w:w="2766"/>
              <w:gridCol w:w="1845"/>
              <w:gridCol w:w="1845"/>
              <w:gridCol w:w="5"/>
              <w:gridCol w:w="1839"/>
              <w:gridCol w:w="6"/>
            </w:tblGrid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1"/>
                <w:wBefore w:w="5" w:type="dxa"/>
                <w:trHeight w:val="300" w:hRule="atLeast"/>
                <w:jc w:val="right"/>
              </w:trPr>
              <w:tc>
                <w:tcPr>
                  <w:tcW w:w="14768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预算06表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1"/>
                <w:wBefore w:w="5" w:type="dxa"/>
                <w:trHeight w:val="500" w:hRule="atLeast"/>
                <w:jc w:val="right"/>
              </w:trPr>
              <w:tc>
                <w:tcPr>
                  <w:tcW w:w="14768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sz w:val="38"/>
                      <w:szCs w:val="3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  <w:t>2024年一般公共预算基本支出预算表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1"/>
                <w:wBefore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单位名称：</w:t>
                  </w:r>
                </w:p>
              </w:tc>
              <w:tc>
                <w:tcPr>
                  <w:tcW w:w="1107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焦作市马村区教育局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单位：万元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4615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部门预算支出经济分类科目</w:t>
                  </w:r>
                </w:p>
              </w:tc>
              <w:tc>
                <w:tcPr>
                  <w:tcW w:w="461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政府预算支出经济分类科目</w:t>
                  </w:r>
                </w:p>
              </w:tc>
              <w:tc>
                <w:tcPr>
                  <w:tcW w:w="5538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本年一般公共预算基本支出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科目编码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科目名称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科目编码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科目名称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人员经费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公用经费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527.52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505.81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21.71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30101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基本工资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50101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工资奖金津补贴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14.81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14.81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30101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基本工资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50501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工资福利支出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165.13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165.13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30107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绩效工资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50501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工资福利支出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67.90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67.90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30103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奖金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50101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工资奖金津补贴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3.78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3.78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30103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奖金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50501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工资福利支出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58.62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58.62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30112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其他社会保障缴费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50102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社会保障缴费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2.26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2.26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30112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其他社会保障缴费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50501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工资福利支出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0.61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0.61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30102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津贴补贴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50101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工资奖金津补贴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12.71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12.71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30102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津贴补贴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50501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工资福利支出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15.34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15.34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30302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退休费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50905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离退休费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44.84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44.84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30206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电费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50201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办公经费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1.91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1.91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30299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其他商品和服务支出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50299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其他商品和服务支出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3.50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3.50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30231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公务用车运行维护费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50208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公务用车运行维护费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0.50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0.50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30226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劳务费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50205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委托业务费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2.30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2.30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30213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维修(护)费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50209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维修（护）费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1.00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1.00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30207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邮电费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50201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办公经费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0.27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0.27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30205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水费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50201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办公经费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0.06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0.06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30201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办公费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50201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办公经费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1.00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1.00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30239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其他交通费用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50201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办公经费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2.81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2.81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30229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福利费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50201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办公经费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0.69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0.69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30229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福利费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50502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商品和服务支出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7.67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7.67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30108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机关事业单位基本养老保险缴费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50102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社会保障缴费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4.40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4.40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30108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机关事业单位基本养老保险缴费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50501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工资福利支出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49.11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49.11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30110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职工基本医疗保险缴费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50102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社会保障缴费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2.06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2.06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30110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职工基本医疗保险缴费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50501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工资福利支出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23.02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23.02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30113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住房公积金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50103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住房公积金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3.40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3.40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5" w:type="dxa"/>
                <w:trHeight w:val="280" w:hRule="atLeast"/>
                <w:jc w:val="right"/>
              </w:trPr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30113</w:t>
                  </w:r>
                </w:p>
              </w:tc>
              <w:tc>
                <w:tcPr>
                  <w:tcW w:w="276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住房公积金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50501</w:t>
                  </w:r>
                </w:p>
              </w:tc>
              <w:tc>
                <w:tcPr>
                  <w:tcW w:w="27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工资福利支出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37.82</w:t>
                  </w:r>
                </w:p>
              </w:tc>
              <w:tc>
                <w:tcPr>
                  <w:tcW w:w="18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37.82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宋体" w:hAnsi="宋体" w:eastAsia="宋体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38"/>
                <w:szCs w:val="38"/>
                <w:u w:val="none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4"/>
        <w:tblW w:w="1559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4"/>
        <w:tblpPr w:leftFromText="180" w:rightFromText="180" w:vertAnchor="text" w:horzAnchor="page" w:tblpX="1261" w:tblpY="77"/>
        <w:tblOverlap w:val="never"/>
        <w:tblW w:w="151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9" w:hRule="atLeast"/>
        </w:trPr>
        <w:tc>
          <w:tcPr>
            <w:tcW w:w="15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4"/>
              <w:tblW w:w="15001" w:type="dxa"/>
              <w:tblInd w:w="-15" w:type="dxa"/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001"/>
            </w:tblGrid>
            <w:tr>
              <w:tblPrEx>
                <w:shd w:val="clear" w:color="auto" w:fill="auto"/>
              </w:tblPrEx>
              <w:trPr>
                <w:trHeight w:val="651" w:hRule="atLeast"/>
              </w:trPr>
              <w:tc>
                <w:tcPr>
                  <w:tcW w:w="150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tbl>
                  <w:tblPr>
                    <w:tblStyle w:val="4"/>
                    <w:tblW w:w="14640" w:type="dxa"/>
                    <w:tblInd w:w="-20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"/>
                    <w:gridCol w:w="1102"/>
                    <w:gridCol w:w="5"/>
                    <w:gridCol w:w="918"/>
                    <w:gridCol w:w="3074"/>
                    <w:gridCol w:w="1168"/>
                    <w:gridCol w:w="1230"/>
                    <w:gridCol w:w="1045"/>
                    <w:gridCol w:w="922"/>
                    <w:gridCol w:w="1230"/>
                    <w:gridCol w:w="1045"/>
                    <w:gridCol w:w="922"/>
                    <w:gridCol w:w="922"/>
                    <w:gridCol w:w="5"/>
                    <w:gridCol w:w="1041"/>
                    <w:gridCol w:w="6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</w:trPr>
                    <w:tc>
                      <w:tcPr>
                        <w:tcW w:w="1464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预算07表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651" w:hRule="atLeast"/>
                    </w:trPr>
                    <w:tc>
                      <w:tcPr>
                        <w:tcW w:w="1464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sz w:val="38"/>
                            <w:szCs w:val="3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8"/>
                            <w:szCs w:val="38"/>
                            <w:u w:val="none"/>
                            <w:lang w:val="en-US" w:eastAsia="zh-CN" w:bidi="ar"/>
                          </w:rPr>
                          <w:t>2024年一般公共预算基本支出明细表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</w:trPr>
                    <w:tc>
                      <w:tcPr>
                        <w:tcW w:w="110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单位名称：</w:t>
                        </w:r>
                      </w:p>
                    </w:tc>
                    <w:tc>
                      <w:tcPr>
                        <w:tcW w:w="12492" w:type="dxa"/>
                        <w:gridSpan w:val="1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单位：万元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1108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项目单位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类型</w:t>
                        </w:r>
                      </w:p>
                    </w:tc>
                    <w:tc>
                      <w:tcPr>
                        <w:tcW w:w="3077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项目名称</w:t>
                        </w:r>
                      </w:p>
                    </w:tc>
                    <w:tc>
                      <w:tcPr>
                        <w:tcW w:w="116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合计</w:t>
                        </w:r>
                      </w:p>
                    </w:tc>
                    <w:tc>
                      <w:tcPr>
                        <w:tcW w:w="3200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本年拨款</w:t>
                        </w:r>
                      </w:p>
                    </w:tc>
                    <w:tc>
                      <w:tcPr>
                        <w:tcW w:w="3200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财政拨款结转结余</w:t>
                        </w:r>
                      </w:p>
                    </w:tc>
                    <w:tc>
                      <w:tcPr>
                        <w:tcW w:w="923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财政专户管理资金</w:t>
                        </w:r>
                      </w:p>
                    </w:tc>
                    <w:tc>
                      <w:tcPr>
                        <w:tcW w:w="1046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单位资金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17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16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一般公共预算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政府性基金预算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国有资本经营预算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一般公共预算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政府性基金预算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国有资本经营预算</w:t>
                        </w:r>
                      </w:p>
                    </w:tc>
                    <w:tc>
                      <w:tcPr>
                        <w:tcW w:w="923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527.52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527.52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923001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527.52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527.52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108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人员类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行政人员及机关技术工人年基本工资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14.81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14.81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事业人员及事业技术工人年基本工资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165.13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165.13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70%基础性绩效工资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47.53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47.53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30%奖励性绩效工资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20.37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20.37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年终一次性奖金（行政）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1.89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1.89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年终一次性奖金（事业）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19.54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19.54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工伤保险费（行政）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0.05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0.05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工伤保险费（事业）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0.61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0.61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在职人员采暖补贴（行政）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0.56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0.56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在职人员采暖补贴（事业）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5.41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5.41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年度目标考核奖（事业）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19.54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19.54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其他人员支出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1.80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1.80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在职人员全国文明城市奖（行政）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1.89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1.89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在职人员全国文明城市奖（事业）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19.54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19.54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其他特岗津贴补贴（事业）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0.22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0.22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在职人员物业服务补贴（行政）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0.67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0.67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在职人员物业服务补贴（事业）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8.22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8.22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规范性津贴补贴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7.02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7.02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国家保留津贴（行政）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0.14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0.14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国家保留津贴（事业）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1.49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1.49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失业保险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2.21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2.21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基础绩效奖（行政）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1.64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1.64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在职人员公务通讯补贴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0.53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0.53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奖励性绩效（行政）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0.35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0.35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退休人员补贴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2.06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2.06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养老保险金（行政）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4.40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4.40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养老保险金（事业）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49.11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49.11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退休人员采暖补贴（事业）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4.17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4.17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退休人员年健康休养费（事业）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16.06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16.06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退休人员全国文明城市奖（事业）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16.06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16.06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退休人员物业服务补贴（事业）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4.99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4.99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医疗保险金（行政）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2.06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2.06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医疗保险金（事业）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23.02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23.02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住房公积金（行政）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3.40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3.40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住房公积金（事业）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37.82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37.82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公用经费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在职人员定额公用经费（行政）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0.93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0.93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在职人员定额公用经费（事业）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9.61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9.61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在职人员公用经费公务交通补贴（行政）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2.81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2.81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福利费（行政）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0.69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0.69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福利费（事业）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7.67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7.67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5" w:hRule="atLeast"/>
                    </w:trPr>
                    <w:tc>
                      <w:tcPr>
                        <w:tcW w:w="1108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退休干部活动费（事业）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1.50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1.50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tbl>
                  <w:tblPr>
                    <w:tblStyle w:val="4"/>
                    <w:tblpPr w:leftFromText="180" w:rightFromText="180" w:vertAnchor="text" w:horzAnchor="page" w:tblpX="-302" w:tblpY="-103"/>
                    <w:tblOverlap w:val="never"/>
                    <w:tblW w:w="14914" w:type="dxa"/>
                    <w:tblInd w:w="0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"/>
                    <w:gridCol w:w="565"/>
                    <w:gridCol w:w="489"/>
                    <w:gridCol w:w="2277"/>
                    <w:gridCol w:w="5"/>
                    <w:gridCol w:w="485"/>
                    <w:gridCol w:w="489"/>
                    <w:gridCol w:w="1803"/>
                    <w:gridCol w:w="779"/>
                    <w:gridCol w:w="1269"/>
                    <w:gridCol w:w="1269"/>
                    <w:gridCol w:w="745"/>
                    <w:gridCol w:w="507"/>
                    <w:gridCol w:w="582"/>
                    <w:gridCol w:w="641"/>
                    <w:gridCol w:w="492"/>
                    <w:gridCol w:w="507"/>
                    <w:gridCol w:w="507"/>
                    <w:gridCol w:w="508"/>
                    <w:gridCol w:w="4"/>
                    <w:gridCol w:w="982"/>
                    <w:gridCol w:w="4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</w:trPr>
                    <w:tc>
                      <w:tcPr>
                        <w:tcW w:w="14909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预算08表</w:t>
                        </w:r>
                      </w:p>
                    </w:tc>
                  </w:tr>
                  <w:tr>
                    <w:trPr>
                      <w:gridBefore w:val="1"/>
                      <w:wBefore w:w="5" w:type="dxa"/>
                      <w:trHeight w:val="651" w:hRule="atLeast"/>
                    </w:trPr>
                    <w:tc>
                      <w:tcPr>
                        <w:tcW w:w="14909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sz w:val="38"/>
                            <w:szCs w:val="3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8"/>
                            <w:szCs w:val="38"/>
                            <w:u w:val="none"/>
                            <w:lang w:val="en-US" w:eastAsia="zh-CN" w:bidi="ar"/>
                          </w:rPr>
                          <w:t>2024年支出经济分类汇总表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</w:trPr>
                    <w:tc>
                      <w:tcPr>
                        <w:tcW w:w="333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单位名称：  </w:t>
                        </w:r>
                      </w:p>
                    </w:tc>
                    <w:tc>
                      <w:tcPr>
                        <w:tcW w:w="10587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单位：万元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27" w:hRule="atLeast"/>
                    </w:trPr>
                    <w:tc>
                      <w:tcPr>
                        <w:tcW w:w="3336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部门预算经济分类  </w:t>
                        </w:r>
                      </w:p>
                    </w:tc>
                    <w:tc>
                      <w:tcPr>
                        <w:tcW w:w="2782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政府预算经济分类</w:t>
                        </w:r>
                      </w:p>
                    </w:tc>
                    <w:tc>
                      <w:tcPr>
                        <w:tcW w:w="77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总计</w:t>
                        </w:r>
                      </w:p>
                    </w:tc>
                    <w:tc>
                      <w:tcPr>
                        <w:tcW w:w="2538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一般公共预算</w:t>
                        </w:r>
                      </w:p>
                    </w:tc>
                    <w:tc>
                      <w:tcPr>
                        <w:tcW w:w="745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政府性基金</w:t>
                        </w:r>
                      </w:p>
                    </w:tc>
                    <w:tc>
                      <w:tcPr>
                        <w:tcW w:w="507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国有资本经营预算</w:t>
                        </w:r>
                      </w:p>
                    </w:tc>
                    <w:tc>
                      <w:tcPr>
                        <w:tcW w:w="582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上年结转结余</w:t>
                        </w:r>
                      </w:p>
                    </w:tc>
                    <w:tc>
                      <w:tcPr>
                        <w:tcW w:w="64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财政专户管理资金收入</w:t>
                        </w:r>
                      </w:p>
                    </w:tc>
                    <w:tc>
                      <w:tcPr>
                        <w:tcW w:w="492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事业收入</w:t>
                        </w:r>
                      </w:p>
                    </w:tc>
                    <w:tc>
                      <w:tcPr>
                        <w:tcW w:w="507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上级补助收入</w:t>
                        </w:r>
                      </w:p>
                    </w:tc>
                    <w:tc>
                      <w:tcPr>
                        <w:tcW w:w="507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附属单位上缴收入</w:t>
                        </w:r>
                      </w:p>
                    </w:tc>
                    <w:tc>
                      <w:tcPr>
                        <w:tcW w:w="508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事业单位经营收入</w:t>
                        </w:r>
                      </w:p>
                    </w:tc>
                    <w:tc>
                      <w:tcPr>
                        <w:tcW w:w="986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其他收入</w:t>
                        </w:r>
                      </w:p>
                    </w:tc>
                  </w:tr>
                  <w:tr>
                    <w:trPr>
                      <w:gridAfter w:val="1"/>
                      <w:wAfter w:w="4" w:type="dxa"/>
                      <w:trHeight w:val="880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类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款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科目名称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类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款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科目名称</w:t>
                        </w:r>
                      </w:p>
                    </w:tc>
                    <w:tc>
                      <w:tcPr>
                        <w:tcW w:w="77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小计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其中：财政拨款</w:t>
                        </w:r>
                      </w:p>
                    </w:tc>
                    <w:tc>
                      <w:tcPr>
                        <w:tcW w:w="745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合计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1479.17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1479.17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1291.83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500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923001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1479.17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1479.17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1291.83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基本工资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工资奖金津补贴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14.81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14.81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14.81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基本工资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工资福利支出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165.13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165.13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165.13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津贴补贴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工资奖金津补贴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20.38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20.38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20.38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津贴补贴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工资福利支出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15.34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15.34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15.34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03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奖金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工资奖金津补贴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3.78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3.78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3.78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03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奖金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工资福利支出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58.62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58.62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58.62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07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绩效工资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工资福利支出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67.90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67.90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67.90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4" w:type="dxa"/>
                      <w:trHeight w:val="500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08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机关事业单位基本养老保险缴费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社会保障缴费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4.40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4.40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4.40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500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08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机关事业单位基本养老保险缴费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工资福利支出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49.11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49.11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49.11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职工基本医疗保险缴费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社会保障缴费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2.06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2.06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2.06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职工基本医疗保险缴费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工资福利支出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23.02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23.02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23.02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其他社会保障缴费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社会保障缴费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2.26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2.26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2.26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其他社会保障缴费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工资福利支出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0.61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0.61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0.61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13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住房公积金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03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住房公积金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3.40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3.40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3.40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301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13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住房公积金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工资福利支出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37.82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37.82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37.82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办公费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办公经费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1.00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办公费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商品和服务支出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22.46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22.46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2.00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05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水费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办公经费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0.06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0.06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0.06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06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电费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办公经费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1.91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1.91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1.91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06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电费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商品和服务支出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3.40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3.40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3.40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07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邮电费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办公经费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0.27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0.27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0.27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13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维修(护)费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09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维修（护）费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1.00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13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维修(护)费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商品和服务支出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2.90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2.90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0.40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租赁费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商品和服务支出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180.00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180.00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180.00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培训费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03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培训费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150.00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150.00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26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劳务费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05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委托业务费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2.30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2.30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2.30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26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劳务费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商品和服务支出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7.05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7.05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0.25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27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委托业务费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05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委托业务费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29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福利费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办公经费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0.69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0.69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0.69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29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福利费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商品和服务支出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7.67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7.67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7.67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31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公务用车运行维护费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08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公务用车运行维护费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31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公务用车运行维护费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商品和服务支出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0.80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0.80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0.80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39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其他交通费用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办公经费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2.81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2.81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2.81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39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其他交通费用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商品和服务支出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99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其他商品和服务支出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99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其他商品和服务支出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3.50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3.50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3.50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99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其他商品和服务支出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505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商品和服务支出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10.53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10.53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3.15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303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退休费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509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05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离退休费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44.84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44.84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44.84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303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05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生活补助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509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社会福利和救助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68.74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68.74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68.74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303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08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助学金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509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02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助学金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348.18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348.18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348.18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303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99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其他对个人和家庭的补助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509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99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其他对个人和家庭的补助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4" w:type="dxa"/>
                      <w:trHeight w:val="372" w:hRule="atLeast"/>
                    </w:trPr>
                    <w:tc>
                      <w:tcPr>
                        <w:tcW w:w="57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312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04</w:t>
                        </w:r>
                      </w:p>
                    </w:tc>
                    <w:tc>
                      <w:tcPr>
                        <w:tcW w:w="227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费用补贴</w:t>
                        </w:r>
                      </w:p>
                    </w:tc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507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01</w:t>
                        </w:r>
                      </w:p>
                    </w:tc>
                    <w:tc>
                      <w:tcPr>
                        <w:tcW w:w="180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费用补贴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99.72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99.72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99.72</w:t>
                        </w:r>
                      </w:p>
                    </w:tc>
                    <w:tc>
                      <w:tcPr>
                        <w:tcW w:w="74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50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8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tbl>
                  <w:tblPr>
                    <w:tblStyle w:val="4"/>
                    <w:tblW w:w="14025" w:type="dxa"/>
                    <w:tblInd w:w="-20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"/>
                    <w:gridCol w:w="2332"/>
                    <w:gridCol w:w="5"/>
                    <w:gridCol w:w="2332"/>
                    <w:gridCol w:w="2337"/>
                    <w:gridCol w:w="2336"/>
                    <w:gridCol w:w="2337"/>
                    <w:gridCol w:w="5"/>
                    <w:gridCol w:w="2332"/>
                    <w:gridCol w:w="5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</w:trPr>
                    <w:tc>
                      <w:tcPr>
                        <w:tcW w:w="14034" w:type="dxa"/>
                        <w:gridSpan w:val="9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预算09表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651" w:hRule="atLeast"/>
                    </w:trPr>
                    <w:tc>
                      <w:tcPr>
                        <w:tcW w:w="14034" w:type="dxa"/>
                        <w:gridSpan w:val="9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sz w:val="38"/>
                            <w:szCs w:val="3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8"/>
                            <w:szCs w:val="38"/>
                            <w:u w:val="none"/>
                            <w:lang w:val="en-US" w:eastAsia="zh-CN" w:bidi="ar"/>
                          </w:rPr>
                          <w:t>2024年一般公共预算“三公”经费预算表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</w:trPr>
                    <w:tc>
                      <w:tcPr>
                        <w:tcW w:w="23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单位名称:</w:t>
                        </w:r>
                      </w:p>
                    </w:tc>
                    <w:tc>
                      <w:tcPr>
                        <w:tcW w:w="9356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hint="default" w:ascii="Times New Roman" w:hAnsi="Times New Roman" w:eastAsia="宋体" w:cs="Times New Roman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单位：万元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2339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“三公”经费合计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因公出国（境）费</w:t>
                        </w:r>
                      </w:p>
                    </w:tc>
                    <w:tc>
                      <w:tcPr>
                        <w:tcW w:w="701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公务用车购置及运行费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公务接待费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2339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339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33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小计</w:t>
                        </w:r>
                      </w:p>
                    </w:tc>
                    <w:tc>
                      <w:tcPr>
                        <w:tcW w:w="233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公务用车购置费</w:t>
                        </w:r>
                      </w:p>
                    </w:tc>
                    <w:tc>
                      <w:tcPr>
                        <w:tcW w:w="233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公务用车运行费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233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1.30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33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1.30</w:t>
                        </w:r>
                      </w:p>
                    </w:tc>
                    <w:tc>
                      <w:tcPr>
                        <w:tcW w:w="233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33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1.30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1656" w:hRule="atLeast"/>
                    </w:trPr>
                    <w:tc>
                      <w:tcPr>
                        <w:tcW w:w="14034" w:type="dxa"/>
                        <w:gridSpan w:val="9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hint="default" w:ascii="Times New Roman" w:hAnsi="Times New Roman" w:eastAsia="宋体" w:cs="Times New Roman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注：按照党中央、国务院有关规定及部门预算管理有关规定，“三公”经费包括因公出国（境）费、公务用车购置及运行费和公务接待费。（1）因公出国（境）费，指单位工作人员公务出国（境）的住宿费、差旅费、伙食补助费、杂费、培训费等支出。（2）公务用车购置及运行费，指单位公务用车购置费及租用费、燃料费、维修费、过路过桥费、保险费、安全奖励费用等支出，公务用车指用于履行公务的机动车辆，包括一般公务用车和执法执勤用车。（3）公务接待费，指单位按规定开支的各类公务接待（含外宾接待）支出。</w:t>
                        </w: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tbl>
                  <w:tblPr>
                    <w:tblStyle w:val="4"/>
                    <w:tblW w:w="14405" w:type="dxa"/>
                    <w:tblInd w:w="-20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"/>
                    <w:gridCol w:w="486"/>
                    <w:gridCol w:w="491"/>
                    <w:gridCol w:w="491"/>
                    <w:gridCol w:w="5"/>
                    <w:gridCol w:w="918"/>
                    <w:gridCol w:w="2714"/>
                    <w:gridCol w:w="1046"/>
                    <w:gridCol w:w="1046"/>
                    <w:gridCol w:w="923"/>
                    <w:gridCol w:w="1046"/>
                    <w:gridCol w:w="1046"/>
                    <w:gridCol w:w="1046"/>
                    <w:gridCol w:w="1046"/>
                    <w:gridCol w:w="1046"/>
                    <w:gridCol w:w="5"/>
                    <w:gridCol w:w="1041"/>
                    <w:gridCol w:w="5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4" w:type="dxa"/>
                      <w:trHeight w:val="327" w:hRule="atLeast"/>
                    </w:trPr>
                    <w:tc>
                      <w:tcPr>
                        <w:tcW w:w="14401" w:type="dxa"/>
                        <w:gridSpan w:val="1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预算10表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4" w:type="dxa"/>
                      <w:trHeight w:val="651" w:hRule="atLeast"/>
                    </w:trPr>
                    <w:tc>
                      <w:tcPr>
                        <w:tcW w:w="14401" w:type="dxa"/>
                        <w:gridSpan w:val="1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sz w:val="38"/>
                            <w:szCs w:val="3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8"/>
                            <w:szCs w:val="38"/>
                            <w:u w:val="none"/>
                            <w:lang w:val="en-US" w:eastAsia="zh-CN" w:bidi="ar"/>
                          </w:rPr>
                          <w:t>2024年政府性基金支出预算表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4" w:type="dxa"/>
                      <w:trHeight w:val="327" w:hRule="atLeast"/>
                    </w:trPr>
                    <w:tc>
                      <w:tcPr>
                        <w:tcW w:w="1473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单位名称：</w:t>
                        </w:r>
                      </w:p>
                    </w:tc>
                    <w:tc>
                      <w:tcPr>
                        <w:tcW w:w="11882" w:type="dxa"/>
                        <w:gridSpan w:val="1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单位：万元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1472" w:type="dxa"/>
                        <w:gridSpan w:val="4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科目编码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单位代码</w:t>
                        </w:r>
                      </w:p>
                    </w:tc>
                    <w:tc>
                      <w:tcPr>
                        <w:tcW w:w="2714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单位（科目名称）</w:t>
                        </w:r>
                      </w:p>
                    </w:tc>
                    <w:tc>
                      <w:tcPr>
                        <w:tcW w:w="1046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合计</w:t>
                        </w:r>
                      </w:p>
                    </w:tc>
                    <w:tc>
                      <w:tcPr>
                        <w:tcW w:w="5107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基本支出  </w:t>
                        </w:r>
                      </w:p>
                    </w:tc>
                    <w:tc>
                      <w:tcPr>
                        <w:tcW w:w="3138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项目支出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1472" w:type="dxa"/>
                        <w:gridSpan w:val="4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714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小计</w:t>
                        </w:r>
                      </w:p>
                    </w:tc>
                    <w:tc>
                      <w:tcPr>
                        <w:tcW w:w="19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人员经费</w:t>
                        </w:r>
                      </w:p>
                    </w:tc>
                    <w:tc>
                      <w:tcPr>
                        <w:tcW w:w="2092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公用经费</w:t>
                        </w:r>
                      </w:p>
                    </w:tc>
                    <w:tc>
                      <w:tcPr>
                        <w:tcW w:w="1046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小计</w:t>
                        </w:r>
                      </w:p>
                    </w:tc>
                    <w:tc>
                      <w:tcPr>
                        <w:tcW w:w="1046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其他运转类</w:t>
                        </w:r>
                      </w:p>
                    </w:tc>
                    <w:tc>
                      <w:tcPr>
                        <w:tcW w:w="1046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76" w:hRule="atLeast"/>
                    </w:trPr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类</w:t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款</w:t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项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714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工资福利支出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对个人和家庭的补助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商品和服务支出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资本性支出</w:t>
                        </w:r>
                      </w:p>
                    </w:tc>
                    <w:tc>
                      <w:tcPr>
                        <w:tcW w:w="104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71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合计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71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4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71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rPr>
                      <w:rFonts w:hint="eastAsia" w:ascii="仿宋_GB2312" w:hAnsi="仿宋_GB2312" w:eastAsia="仿宋_GB2312" w:cs="仿宋_GB2312"/>
                      <w:color w:val="auto"/>
                      <w:sz w:val="32"/>
                      <w:szCs w:val="32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sz w:val="32"/>
                      <w:szCs w:val="32"/>
                    </w:rPr>
                    <w:t>备注：</w:t>
                  </w:r>
                  <w:r>
                    <w:rPr>
                      <w:rFonts w:ascii="仿宋_GB2312" w:hAnsi="仿宋_GB2312" w:eastAsia="仿宋_GB2312" w:cs="仿宋_GB2312"/>
                      <w:color w:val="auto"/>
                      <w:sz w:val="32"/>
                      <w:szCs w:val="32"/>
                    </w:rPr>
                    <w:t>20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sz w:val="32"/>
                      <w:szCs w:val="32"/>
                      <w:lang w:val="en-US" w:eastAsia="zh-CN"/>
                    </w:rPr>
                    <w:t>24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sz w:val="32"/>
                      <w:szCs w:val="32"/>
                    </w:rPr>
                    <w:t>年我单位没有政府性基金支出预算，故该表为空。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tbl>
                  <w:tblPr>
                    <w:tblStyle w:val="4"/>
                    <w:tblW w:w="14535" w:type="dxa"/>
                    <w:tblInd w:w="-20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"/>
                    <w:gridCol w:w="487"/>
                    <w:gridCol w:w="492"/>
                    <w:gridCol w:w="492"/>
                    <w:gridCol w:w="5"/>
                    <w:gridCol w:w="917"/>
                    <w:gridCol w:w="2848"/>
                    <w:gridCol w:w="1045"/>
                    <w:gridCol w:w="1045"/>
                    <w:gridCol w:w="922"/>
                    <w:gridCol w:w="1045"/>
                    <w:gridCol w:w="1045"/>
                    <w:gridCol w:w="1045"/>
                    <w:gridCol w:w="1045"/>
                    <w:gridCol w:w="1045"/>
                    <w:gridCol w:w="5"/>
                    <w:gridCol w:w="1041"/>
                    <w:gridCol w:w="6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</w:trPr>
                    <w:tc>
                      <w:tcPr>
                        <w:tcW w:w="14540" w:type="dxa"/>
                        <w:gridSpan w:val="1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预算11表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651" w:hRule="atLeast"/>
                    </w:trPr>
                    <w:tc>
                      <w:tcPr>
                        <w:tcW w:w="14540" w:type="dxa"/>
                        <w:gridSpan w:val="1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sz w:val="38"/>
                            <w:szCs w:val="3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8"/>
                            <w:szCs w:val="38"/>
                            <w:u w:val="none"/>
                            <w:lang w:val="en-US" w:eastAsia="zh-CN" w:bidi="ar"/>
                          </w:rPr>
                          <w:t>2024年国有资本经营支出预算表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</w:trPr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单位名称：</w:t>
                        </w:r>
                      </w:p>
                    </w:tc>
                    <w:tc>
                      <w:tcPr>
                        <w:tcW w:w="12018" w:type="dxa"/>
                        <w:gridSpan w:val="1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单位：万元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1476" w:type="dxa"/>
                        <w:gridSpan w:val="4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科目编码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单位代码</w:t>
                        </w:r>
                      </w:p>
                    </w:tc>
                    <w:tc>
                      <w:tcPr>
                        <w:tcW w:w="2850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单位（科目名称）</w:t>
                        </w:r>
                      </w:p>
                    </w:tc>
                    <w:tc>
                      <w:tcPr>
                        <w:tcW w:w="1046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合计</w:t>
                        </w:r>
                      </w:p>
                    </w:tc>
                    <w:tc>
                      <w:tcPr>
                        <w:tcW w:w="5107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基本支出  </w:t>
                        </w:r>
                      </w:p>
                    </w:tc>
                    <w:tc>
                      <w:tcPr>
                        <w:tcW w:w="3138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项目支出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1476" w:type="dxa"/>
                        <w:gridSpan w:val="4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850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小计</w:t>
                        </w:r>
                      </w:p>
                    </w:tc>
                    <w:tc>
                      <w:tcPr>
                        <w:tcW w:w="19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人员经费</w:t>
                        </w:r>
                      </w:p>
                    </w:tc>
                    <w:tc>
                      <w:tcPr>
                        <w:tcW w:w="2092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公用经费</w:t>
                        </w:r>
                      </w:p>
                    </w:tc>
                    <w:tc>
                      <w:tcPr>
                        <w:tcW w:w="1046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小计</w:t>
                        </w:r>
                      </w:p>
                    </w:tc>
                    <w:tc>
                      <w:tcPr>
                        <w:tcW w:w="1046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其他运转类</w:t>
                        </w:r>
                      </w:p>
                    </w:tc>
                    <w:tc>
                      <w:tcPr>
                        <w:tcW w:w="1046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76" w:hRule="atLeast"/>
                    </w:trPr>
                    <w:tc>
                      <w:tcPr>
                        <w:tcW w:w="492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类</w:t>
                        </w: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款</w:t>
                        </w: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项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850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工资福利支出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对个人和家庭的补助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商品和服务支出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资本性支出</w:t>
                        </w:r>
                      </w:p>
                    </w:tc>
                    <w:tc>
                      <w:tcPr>
                        <w:tcW w:w="104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492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85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合计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492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85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492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49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85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sz w:val="32"/>
                      <w:szCs w:val="32"/>
                    </w:rPr>
                    <w:t>备注：</w:t>
                  </w:r>
                  <w:r>
                    <w:rPr>
                      <w:rFonts w:ascii="仿宋_GB2312" w:hAnsi="仿宋_GB2312" w:eastAsia="仿宋_GB2312" w:cs="仿宋_GB2312"/>
                      <w:color w:val="auto"/>
                      <w:sz w:val="32"/>
                      <w:szCs w:val="32"/>
                    </w:rPr>
                    <w:t>20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sz w:val="32"/>
                      <w:szCs w:val="32"/>
                      <w:lang w:val="en-US" w:eastAsia="zh-CN"/>
                    </w:rPr>
                    <w:t>24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sz w:val="32"/>
                      <w:szCs w:val="32"/>
                    </w:rPr>
                    <w:t>年我单位没有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sz w:val="32"/>
                      <w:szCs w:val="32"/>
                      <w:lang w:val="en-US" w:eastAsia="zh-CN"/>
                    </w:rPr>
                    <w:t>国有资本经营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sz w:val="32"/>
                      <w:szCs w:val="32"/>
                    </w:rPr>
                    <w:t>支出预算，故该表为空。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tbl>
                  <w:tblPr>
                    <w:tblStyle w:val="4"/>
                    <w:tblW w:w="14400" w:type="dxa"/>
                    <w:tblInd w:w="-20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"/>
                    <w:gridCol w:w="1040"/>
                    <w:gridCol w:w="5"/>
                    <w:gridCol w:w="2762"/>
                    <w:gridCol w:w="1536"/>
                    <w:gridCol w:w="1230"/>
                    <w:gridCol w:w="1230"/>
                    <w:gridCol w:w="839"/>
                    <w:gridCol w:w="794"/>
                    <w:gridCol w:w="1019"/>
                    <w:gridCol w:w="1045"/>
                    <w:gridCol w:w="922"/>
                    <w:gridCol w:w="922"/>
                    <w:gridCol w:w="5"/>
                    <w:gridCol w:w="1040"/>
                    <w:gridCol w:w="6"/>
                  </w:tblGrid>
                  <w:tr>
                    <w:tblPrEx>
                      <w:shd w:val="clear" w:color="auto" w:fill="auto"/>
                    </w:tblPrEx>
                    <w:trPr>
                      <w:gridBefore w:val="1"/>
                      <w:wBefore w:w="5" w:type="dxa"/>
                      <w:trHeight w:val="327" w:hRule="atLeast"/>
                    </w:trPr>
                    <w:tc>
                      <w:tcPr>
                        <w:tcW w:w="14408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预算12表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651" w:hRule="atLeast"/>
                    </w:trPr>
                    <w:tc>
                      <w:tcPr>
                        <w:tcW w:w="14408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sz w:val="38"/>
                            <w:szCs w:val="3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8"/>
                            <w:szCs w:val="38"/>
                            <w:u w:val="none"/>
                            <w:lang w:val="en-US" w:eastAsia="zh-CN" w:bidi="ar"/>
                          </w:rPr>
                          <w:t>2024年项目支出预算表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单位名称：</w:t>
                        </w:r>
                      </w:p>
                    </w:tc>
                    <w:tc>
                      <w:tcPr>
                        <w:tcW w:w="12316" w:type="dxa"/>
                        <w:gridSpan w:val="1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单位：万元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1046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类型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项目名称</w:t>
                        </w:r>
                      </w:p>
                    </w:tc>
                    <w:tc>
                      <w:tcPr>
                        <w:tcW w:w="1538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项目单位</w:t>
                        </w:r>
                      </w:p>
                    </w:tc>
                    <w:tc>
                      <w:tcPr>
                        <w:tcW w:w="123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合计</w:t>
                        </w:r>
                      </w:p>
                    </w:tc>
                    <w:tc>
                      <w:tcPr>
                        <w:tcW w:w="2866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本年拨款</w:t>
                        </w:r>
                      </w:p>
                    </w:tc>
                    <w:tc>
                      <w:tcPr>
                        <w:tcW w:w="2989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财政拨款结转结余</w:t>
                        </w:r>
                      </w:p>
                    </w:tc>
                    <w:tc>
                      <w:tcPr>
                        <w:tcW w:w="923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财政专户管理资金</w:t>
                        </w:r>
                      </w:p>
                    </w:tc>
                    <w:tc>
                      <w:tcPr>
                        <w:tcW w:w="1046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单位资金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17" w:hRule="atLeast"/>
                    </w:trPr>
                    <w:tc>
                      <w:tcPr>
                        <w:tcW w:w="1046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769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3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一般公共预算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政府性基金预算</w:t>
                        </w: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国有资本经营预算</w:t>
                        </w: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一般公共预算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政府性基金预算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国有资本经营预算</w:t>
                        </w:r>
                      </w:p>
                    </w:tc>
                    <w:tc>
                      <w:tcPr>
                        <w:tcW w:w="923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951.65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951.65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923001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951.65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951.65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2024教育局教师三项津贴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7.67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7.67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其他运转类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临时工工资、报刊费、维修费等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28.31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28.31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2024区级教育质量奖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2024督导工作经费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6.60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6.60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2024普惠性民办幼儿园生均公用经费(中央资金  焦财预[2023]485号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19.72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19.72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2024年建档立卡贫困家庭学生资助省级补助资金（学前教育保教费 焦财预[2023]480号）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2024年支持学前教育发展补助中央资金（学前资助  焦财预[2023]485号)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16.10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16.10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10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2024年支持学前教育发展补助中央资金（支持学前中心幼儿园、实验附属幼儿园发展经费 焦财预[2023]485号)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40.00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40.00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2024马村实验学校奖励金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40.00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40.00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2024年免费教科书中央资金（焦财预[2023]488号）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163.20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163.20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2024年免费教科书省级资金 （焦财预[2023]488号）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16.60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16.60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10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2024年城乡义务教育经费保障机制补助中央资金（小学家庭经济困难生活补助 焦财预[2023]488号）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28.00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28.00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10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2024年城乡义务教育经费保障机制补助省级资金（小学家庭经济困难生活补助  焦财预[2023]488号）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2024年义务教育营养改善计划区级配套资金（小学）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2024年城乡义务教育家庭经济困难生活补助区级配资金（小学）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10.68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10.68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10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2024年建档立卡贫困家庭学生资助省级补助资金（中学义务教育省定营养改善计划 焦财预[2023]480号）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12.81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12.81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10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2024年城乡义务教育经费保障机制补助中央资金（中学家庭经济困难生活补助  焦财预[2023]488号）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32.90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32.90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5" w:type="dxa"/>
                      <w:trHeight w:val="10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2024年城乡义务教育经费保障机制补助省级资金（中学家庭经济困难生活补助  焦财预[2023]488号）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10.10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10.10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2024年义务教育营养改善计划区级配套资金（中学）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3.19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3.19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2024年城乡义务教育家庭经济困难生活补助区级配资金（中学）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2024年普通高中学生资助中央资金（助学金  焦财预[2023]489号）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2024年普通高中学生资助省级资金（助学金  焦财预[2023]489号）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2024年普通高中学生资助中央资金（免学费 焦财预[2023]489号)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0.70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0.70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2024年普通高中学生资助省级资金（免学费  焦财预[2023]489号）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2024年普通高中学生资助省级资金（免住宿费 焦财预[2023]489号)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0.10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0.10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2024年高中免住宿费区级配套资金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1.20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1.20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2024年高中免学费区级配套资金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1.10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1.10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2024年高中助学金区级配套资金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2.80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2.80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2024教师体检费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2024实验学校租金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180.00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180.00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2024教师继续教育培训费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150.00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150.00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2024援疆教师补贴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2.10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2.10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2024中招考试费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12.43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12.43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5" w:type="dxa"/>
                      <w:trHeight w:val="500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2024原民办教师养老补贴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44.04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44.04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2024年原民办教师养老补贴省级包干补助资金(焦财预[2023]491号)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17.20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17.20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2024年“三区”人才支持计划教师专项计划补助中央资金(焦财预[2023]483号)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2.70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2.70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759" w:hRule="atLeast"/>
                    </w:trPr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特定目标类</w:t>
                        </w:r>
                      </w:p>
                    </w:tc>
                    <w:tc>
                      <w:tcPr>
                        <w:tcW w:w="276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2024年“三区”人才支持计划教师专项计划补助省级资金(焦财预[2023]483号)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2.70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2.70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04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tbl>
                  <w:tblPr>
                    <w:tblStyle w:val="4"/>
                    <w:tblW w:w="10155" w:type="dxa"/>
                    <w:jc w:val="center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"/>
                    <w:gridCol w:w="3071"/>
                    <w:gridCol w:w="5"/>
                    <w:gridCol w:w="3686"/>
                    <w:gridCol w:w="5"/>
                    <w:gridCol w:w="3378"/>
                    <w:gridCol w:w="5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default" w:ascii="Times New Roman" w:hAnsi="Times New Roman" w:eastAsia="宋体" w:cs="Times New Roman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default" w:ascii="Times New Roman" w:hAnsi="Times New Roman" w:eastAsia="宋体" w:cs="Times New Roman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预算13表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651" w:hRule="atLeast"/>
                      <w:jc w:val="center"/>
                    </w:trPr>
                    <w:tc>
                      <w:tcPr>
                        <w:tcW w:w="10155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sz w:val="38"/>
                            <w:szCs w:val="3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8"/>
                            <w:szCs w:val="38"/>
                            <w:u w:val="none"/>
                            <w:lang w:val="en-US" w:eastAsia="zh-CN" w:bidi="ar"/>
                          </w:rPr>
                          <w:t>2024年机关（机构）运行经费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单位名称：</w:t>
                        </w: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单位：万元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  <w:jc w:val="center"/>
                    </w:trPr>
                    <w:tc>
                      <w:tcPr>
                        <w:tcW w:w="6770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部门预算支出经济分类科目</w:t>
                        </w: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机关（机构）运行经费支出</w:t>
                        </w:r>
                      </w:p>
                    </w:tc>
                  </w:tr>
                  <w:tr>
                    <w:trPr>
                      <w:gridAfter w:val="1"/>
                      <w:wAfter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科目编码</w:t>
                        </w: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科目名称</w:t>
                        </w: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合计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合计</w:t>
                        </w: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10.54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30201</w:t>
                        </w: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办公费</w:t>
                        </w: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1.00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30205</w:t>
                        </w: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水费</w:t>
                        </w: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0.06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30206</w:t>
                        </w: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电费</w:t>
                        </w: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1.91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30207</w:t>
                        </w: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邮电费</w:t>
                        </w: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0.27</w:t>
                        </w: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30213</w:t>
                        </w: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维修(护)费</w:t>
                        </w: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1.00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30226</w:t>
                        </w: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劳务费</w:t>
                        </w: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2.30</w:t>
                        </w: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gridAfter w:val="1"/>
                      <w:wAfter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30231</w:t>
                        </w: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公务用车运行维护费</w:t>
                        </w: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5" w:type="dxa"/>
                      <w:trHeight w:val="327" w:hRule="atLeast"/>
                      <w:jc w:val="center"/>
                    </w:trPr>
                    <w:tc>
                      <w:tcPr>
                        <w:tcW w:w="307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30299</w:t>
                        </w:r>
                      </w:p>
                    </w:tc>
                    <w:tc>
                      <w:tcPr>
                        <w:tcW w:w="369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其他商品和服务支出</w:t>
                        </w:r>
                      </w:p>
                    </w:tc>
                    <w:tc>
                      <w:tcPr>
                        <w:tcW w:w="338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3.50</w:t>
                        </w: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tbl>
                  <w:tblPr>
                    <w:tblStyle w:val="4"/>
                    <w:tblW w:w="14685" w:type="dxa"/>
                    <w:tblInd w:w="-20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"/>
                    <w:gridCol w:w="1915"/>
                    <w:gridCol w:w="5"/>
                    <w:gridCol w:w="1585"/>
                    <w:gridCol w:w="5"/>
                    <w:gridCol w:w="700"/>
                    <w:gridCol w:w="5"/>
                    <w:gridCol w:w="918"/>
                    <w:gridCol w:w="5"/>
                    <w:gridCol w:w="955"/>
                    <w:gridCol w:w="5"/>
                    <w:gridCol w:w="655"/>
                    <w:gridCol w:w="5"/>
                    <w:gridCol w:w="1226"/>
                    <w:gridCol w:w="5"/>
                    <w:gridCol w:w="918"/>
                    <w:gridCol w:w="5"/>
                    <w:gridCol w:w="1226"/>
                    <w:gridCol w:w="5"/>
                    <w:gridCol w:w="918"/>
                    <w:gridCol w:w="5"/>
                    <w:gridCol w:w="1226"/>
                    <w:gridCol w:w="5"/>
                    <w:gridCol w:w="918"/>
                    <w:gridCol w:w="5"/>
                    <w:gridCol w:w="1226"/>
                    <w:gridCol w:w="5"/>
                    <w:gridCol w:w="475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327" w:hRule="atLeast"/>
                    </w:trPr>
                    <w:tc>
                      <w:tcPr>
                        <w:tcW w:w="123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22"/>
                            <w:szCs w:val="22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预算14表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5" w:type="dxa"/>
                      <w:trHeight w:val="651" w:hRule="atLeast"/>
                    </w:trPr>
                    <w:tc>
                      <w:tcPr>
                        <w:tcW w:w="14685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sz w:val="38"/>
                            <w:szCs w:val="3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i w:val="0"/>
                            <w:color w:val="000000"/>
                            <w:kern w:val="0"/>
                            <w:sz w:val="38"/>
                            <w:szCs w:val="38"/>
                            <w:u w:val="none"/>
                            <w:lang w:val="en-US" w:eastAsia="zh-CN" w:bidi="ar"/>
                          </w:rPr>
                          <w:t>2024年单位预算项目绩效目标表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27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bottom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bottom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单位编码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bottom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bottom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项目单位</w:t>
                        </w:r>
                      </w:p>
                    </w:tc>
                    <w:tc>
                      <w:tcPr>
                        <w:tcW w:w="3248" w:type="dxa"/>
                        <w:gridSpan w:val="8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项目金额（万元）</w:t>
                        </w:r>
                      </w:p>
                    </w:tc>
                    <w:tc>
                      <w:tcPr>
                        <w:tcW w:w="8616" w:type="dxa"/>
                        <w:gridSpan w:val="1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绩效目标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27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bottom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bottom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3248" w:type="dxa"/>
                        <w:gridSpan w:val="8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2154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成本指标  </w:t>
                        </w:r>
                      </w:p>
                    </w:tc>
                    <w:tc>
                      <w:tcPr>
                        <w:tcW w:w="2154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产出指标  </w:t>
                        </w:r>
                      </w:p>
                    </w:tc>
                    <w:tc>
                      <w:tcPr>
                        <w:tcW w:w="2154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效益指标  </w:t>
                        </w:r>
                      </w:p>
                    </w:tc>
                    <w:tc>
                      <w:tcPr>
                        <w:tcW w:w="2154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满意度指标  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69" w:hRule="atLeast"/>
                    </w:trPr>
                    <w:tc>
                      <w:tcPr>
                        <w:tcW w:w="1231" w:type="dxa"/>
                        <w:gridSpan w:val="2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top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（项目编码）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top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（项目名称）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资金总额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政府预算资金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财政专户管理资金</w:t>
                        </w:r>
                      </w:p>
                    </w:tc>
                    <w:tc>
                      <w:tcPr>
                        <w:tcW w:w="66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单位资金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三级指标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指标值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三级指标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指标值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三级指标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指标值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三级指标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指标值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27" w:hRule="atLeast"/>
                    </w:trPr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923001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焦作市马村区教育局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951.66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951.66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410804240000000026811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临时工工资、报刊费、维修费等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28.31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28.31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临时工资、报刊及维修等总金额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≥283100元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保障运转科室数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≥40间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保障运转改善工作环境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单位员工满意度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27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临时工工人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≥3人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维修质量合格率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临时工工资质量合格率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27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维修及时率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27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工资发放率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410804240000000018002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2024教师体检费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教师体检费总资金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≥25万元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参加体检教师人数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≥1300人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保障关爱教师队伍身心健康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参加教师满意度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≥98%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参加体检教师符合政策率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体检完成及时率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410804240000000018003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2024区级教育质量奖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25.00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教育质量将总金额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≥25万元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奖励教育质量先进学校陆村学校等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≥10所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提高教师工作积极性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提高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奖励学校满意度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≥98%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奖励优秀教师标准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奖励优秀教师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≥30人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评审标准执行率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奖励先进学校及个人完成及时率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410804240000000018801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2024督导工作经费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6.60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6.60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支出总金额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≥6.6万元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督导次数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≥15次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保障学校良好发展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督导学校满意度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督导成本预算执行率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≥98%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督导活动完成率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    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督导活动及时性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410804240000000018802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2024教育局教师三项津贴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7.67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7.67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支出总金额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≥76680元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享受教龄津贴人数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≥19人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三项津贴覆盖率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教师满意度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≥98%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教龄津贴标准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10元/月/人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补助对象合格率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资金发放及时率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410804240000000018803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2024实验学校租金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180.00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180.00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租金总额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180万元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完成及时率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保障正常教育教学开展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服务学生满意度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≥98%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服务学生人数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≥3000人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改善教育教学环境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学校内各教学楼实验楼等符合使用状况 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410804240000000018804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2024马村实验学校奖励金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40.00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40.00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实验学校奖励金总金额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40万元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奖励教师人数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≥138人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提高派遣人员收入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提高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派遣人员满意度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发放奖励金人员符合率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及时发放派遣人员奖金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410804240000000018805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2024教师继续教育培训费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150.00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150.00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培训费总金额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≥150万元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人均培训时长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≥72学时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提高教师教学技能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提高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培训教师满意度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培训人员数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≥1500人/次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培训人员合格率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培训课时完成及时率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410804240000000019606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2024援疆教师补贴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2.10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2.10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援疆工作补助总金额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18000元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生活补助标准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3000元/月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保障援疆教师生活水平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援疆教师生活满意度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生活补助时长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6月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援疆工作政策符合率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援疆工作任务完成率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援疆工作任务完成及时率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410804240000000022459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2024普惠性民办幼儿园生均公用经费(中央资金  焦财预[2023]485号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19.72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19.72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经费总金额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197200元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补助学生数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≥1000人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保证普惠幼儿园运转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普惠性幼儿园满意度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生均公用经费标准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≥200元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适龄儿童符合率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33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410804240000000026802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2024中招考试费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12.44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12.44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中招考试项目总额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199746元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考试服务人数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≥3000人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保障考务工作按期举办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参加考试人员满意度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人均考务费用标准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200元\人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考务工作合格率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考务工作按期举办率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410804240000000034026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2024原民办教师养老补贴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44.04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44.04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原民办教师养老补贴总资金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≥440440元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原民办教师养老补贴涉及学校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≥14所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保障民办教师养老补贴权益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原民办教师抽样调查满意度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执行省定补助标准符合率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27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410804240000000035660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2024年建档立卡贫困家庭学生资助省级补助资金（学前教育保教费 焦财预[2023]480号）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学前保教费总金额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≥40000元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资助学生人数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≥66人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保障档立卡贫困家庭学生顺利就学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资助对象满意度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资助标准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419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补助完成率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6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410804240000000035662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2024年建档立卡贫困家庭学生资助省级补助资金（中学义务教育省定营养改善计划 焦财预[2023]480号）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12.81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12.81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营养改善总金额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≥128100元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资助人数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≥160人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改善困难学生生活质量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资助学生满意度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6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资助标准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800元/人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6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按时发放完成及时率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410804240000000035664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2024年支持学前教育发展补助中央资金（学前资助  焦财预[2023]485号)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16.10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16.10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资助总金额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161000元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资助学生人数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≥180人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保障档立卡贫困家庭学生顺利就学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资助对象满意度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保教费资助标准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经济困难资助标准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800元/人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补助完成率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410804240000000035668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2024年支持学前教育发展补助中央资金（支持学前中心幼儿园、实验附属幼儿园发展经费 焦财预[2023]485号)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40.00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40.00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支持总金额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400000元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支持幼儿园数量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2所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保障各园提升办园及教育教学质量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各园师生满意度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6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支持政策符合率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6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支持资金发放及时率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410804240000000035672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2024年免费教科书中央资金（焦财预[2023]488号）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163.20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163.20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免费教科书项目总金额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163.2万元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免费教科书使用学生人数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≥1.91万人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有效减轻学生家长经济负担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有效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全区学生家长满意度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免费教科书单价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10-20元/本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免费教科书发放总本数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≥19万册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免费教科书使用学校数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≥17所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全区学校使用免费教科书覆盖率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免费教科书使用学生符合率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免费教科书及时发放率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410804240000000035676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2024年免费教科书省级资金 （焦财预[2023]488号）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16.60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16.60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免费教科书项目总金额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16.6万元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免费教科书使用总人数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≥1.91万人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有效减轻学生家长经济负担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有效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全区学生家长等满意度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免费教科书单价成本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10-20元/本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免费教科书发放总本数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≥19万册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免费使用教科书学校数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≥17所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全区学校使用免费教科书覆盖率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免费教科书使用学生符合率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免费教科书及时发放率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410804240000000035680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2024年城乡义务教育经费保障机制补助中央资金（小学家庭经济困难生活补助 焦财预[2023]488号）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28.00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28.00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困难学生项目总金额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28万元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家庭经济困难学生覆盖率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保障家庭经济困难学生正常接受教育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家庭经济困难学生满意度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补助困难学生人数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≥560人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家庭经济困难学生政策符合率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困难补助发放及时率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410804240000000035682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2024年城乡义务教育经费保障机制补助中央资金（中学家庭经济困难生活补助  焦财预[2023]488号）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32.90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32.90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困难学生项目总金额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32.9万元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家庭经济困难学生覆盖率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保障家庭经济困难学生正常接受教育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困难学生补助标准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1250元/人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补助困难学生人数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≥263人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困难补助发放及时率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410804240000000035686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2024年城乡义务教育经费保障机制补助省级资金（小学家庭经济困难生活补助  焦财预[2023]488号）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困难学生项目总金额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家庭经济困难学生覆盖率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保障家庭经济困难学生正常接受教育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困难学生补助标准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困难补助发放及时率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补助困难学生人数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≥60人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410804240000000035688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2024年城乡义务教育经费保障机制补助省级资金（中学家庭经济困难生活补助  焦财预[2023]488号）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10.10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10.10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困难学生项目总金额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10.1万元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补助困难学生人数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≥161人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保障家庭经济困难学生正常接受教育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家庭经济困难学生满意度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困难学生补助标准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625元/人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家庭经济困难学生覆盖率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困难补助发放完成率及时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410804240000000035691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2024年普通高中学生资助中央资金（助学金  焦财预[2023]489号）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助学金总金额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≥20人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改善困难学生生活质量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受资助学生满意度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助学金标准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助学金发放及时率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410804240000000035695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2024年普通高中学生资助省级资金（助学金  焦财预[2023]489号）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0.50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助学金资金总额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≥2人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改善困难学生生活质量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受资助学生满意度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助学金发放及时率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410804240000000035699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2024年普通高中学生资助中央资金（免学费 焦财预[2023]489号)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0.70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0.70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免学费总金额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7000元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免学费发放人数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≥7人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改善困难学生生活质量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受资助学生满意度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33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410804240000000035701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2024年普通高中学生资助省级资金（免学费  焦财预[2023]489号）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0.20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免学费资金总额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改善困难学生生活质量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受资助学生满意度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补助补助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33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410804240000000035703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2024年普通高中学生资助省级资金（免住宿费 焦财预[2023]489号)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0.10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0.10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免住宿费总金额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改善困难学生生活质量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受资助学生满意度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资助学生政策符合率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33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410804240000000038032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2024年原民办教师养老补贴省级包干补助资金(焦财预[2023]491号)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17.20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17.20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原民办教师养老补贴总资金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17.2万元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原民办教师养老补贴涉及学校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≥14所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保障民办教师养老补贴权益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原民办教师抽样调查满意度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执行省定补助标准符合率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33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410804240000000038034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2024年“三区”人才支持计划教师专项计划补助中央资金(焦财预[2023]483号)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2.70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2.70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支教补贴发放标准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1万元/人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支教教师人数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有效提高三区教育质量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有效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补助人员满意度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2.7万元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补助人员符合率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410804240000000038403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2024年“三区”人才支持计划教师专项计划补助省级资金(焦财预[2023]483号)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2.70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2.70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2.7万元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有效提高三区教育质量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有效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补助人员满意度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1万元/人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补助人员符合率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410804240000000038468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2024年义务教育营养改善计划区级配套资金（小学）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营养改善资金总额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营养改善补助学生人数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≥250人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减少学生家庭负担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减少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受资助学生满意度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800元/人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资助学生政策符合率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改善困难学生生活质量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410804240000000038469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2024年义务教育营养改善计划区级配套资金（中学）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3.19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3.19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营养改善资金总额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31900元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营养改善补助学生人数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≥39人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减轻学生家庭负担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减轻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受资助学生满意度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800元/人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资助学生政策符合率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改善困难学生生活质量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27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410804240000000038470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2024年高中免住宿费区级配套资金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1.20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1.20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免住宿费总金额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免住宿费补助学生人数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≥24人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改善困难学生生活质量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受资助学生满意度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资助学生政策符合率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减少学生家庭负担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减少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27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410804240000000038471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2024年高中免学费区级配套资金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1.10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1.10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免学费总金额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11000元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免学费发放人数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≥11人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改善困难学生生活质量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受资助学生满意度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327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410804240000000038472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2024年高中助学金区级配套资金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2.80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2.80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助学金标准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≥14人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改善困难学生生活质量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改善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受资助学生满意度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助学金总金额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28000元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助学金发放及时率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410804240000000046401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2024年城乡义务教育家庭经济困难生活补助区级配资金（小学）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10.68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10.68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500元/人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家庭经济困难学生覆盖率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保障家庭经济困难学生正常接受教育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困难学生项目总金额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106750元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补助困难学生人数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≥213人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困难补助发放及时率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410804240000000046402</w:t>
                        </w:r>
                      </w:p>
                    </w:tc>
                    <w:tc>
                      <w:tcPr>
                        <w:tcW w:w="159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2024年城乡义务教育家庭经济困难生活补助区级配资金（中学）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14.00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14.00</w:t>
                        </w:r>
                      </w:p>
                    </w:tc>
                    <w:tc>
                      <w:tcPr>
                        <w:tcW w:w="9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 xml:space="preserve">  困难学生补助标准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1250元/人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家庭经济困难学生覆盖率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保障家庭经济困难学生正常接受教育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保障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家庭经济困难学生满意度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≥95%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困难学生项目总金额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14万元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补助困难学生人数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≥112人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759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家庭经济困难学生政策符合率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5" w:type="dxa"/>
                      <w:trHeight w:val="500" w:hRule="atLeast"/>
                    </w:trPr>
                    <w:tc>
                      <w:tcPr>
                        <w:tcW w:w="1231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59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660" w:type="dxa"/>
                        <w:gridSpan w:val="2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right"/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困难补助发放及时率</w:t>
                        </w: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textAlignment w:val="center"/>
                          <w:rPr>
                            <w:rFonts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  <w:r>
                          <w:rPr>
                            <w:rFonts w:ascii="宋体" w:hAnsi="宋体" w:eastAsia="宋体" w:cs="宋体"/>
                            <w:i w:val="0"/>
                            <w:color w:val="0000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1231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  <w:tc>
                      <w:tcPr>
                        <w:tcW w:w="92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rPr>
                            <w:rFonts w:hint="eastAsia" w:ascii="宋体" w:hAnsi="宋体" w:eastAsia="宋体" w:cs="宋体"/>
                            <w:i w:val="0"/>
                            <w:color w:val="000000"/>
                            <w:sz w:val="18"/>
                            <w:szCs w:val="18"/>
                            <w:u w:val="none"/>
                          </w:rPr>
                        </w:pP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i w:val="0"/>
                      <w:color w:val="000000"/>
                      <w:kern w:val="0"/>
                      <w:sz w:val="38"/>
                      <w:szCs w:val="38"/>
                      <w:u w:val="none"/>
                      <w:lang w:val="en-US" w:eastAsia="zh-CN" w:bidi="ar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pgSz w:w="16838" w:h="11906" w:orient="landscape"/>
      <w:pgMar w:top="1701" w:right="567" w:bottom="1701" w:left="56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F2DAA"/>
    <w:multiLevelType w:val="singleLevel"/>
    <w:tmpl w:val="5A4F2DAA"/>
    <w:lvl w:ilvl="0" w:tentative="0">
      <w:start w:val="1"/>
      <w:numFmt w:val="chineseCounting"/>
      <w:suff w:val="nothing"/>
      <w:lvlText w:val="（%1）"/>
      <w:lvlJc w:val="left"/>
    </w:lvl>
  </w:abstractNum>
  <w:abstractNum w:abstractNumId="1">
    <w:nsid w:val="5A796DEC"/>
    <w:multiLevelType w:val="singleLevel"/>
    <w:tmpl w:val="5A796DE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NDdiNmQ2ZDhiY2JjMTNjY2FhNzk4MDY5ZTg3NDUifQ=="/>
  </w:docVars>
  <w:rsids>
    <w:rsidRoot w:val="00172A27"/>
    <w:rsid w:val="00617C79"/>
    <w:rsid w:val="00663F24"/>
    <w:rsid w:val="00834324"/>
    <w:rsid w:val="011E36A5"/>
    <w:rsid w:val="013858FE"/>
    <w:rsid w:val="025D0F7E"/>
    <w:rsid w:val="03025867"/>
    <w:rsid w:val="03636986"/>
    <w:rsid w:val="0392450E"/>
    <w:rsid w:val="03A05167"/>
    <w:rsid w:val="03A52548"/>
    <w:rsid w:val="04057BC3"/>
    <w:rsid w:val="04323D99"/>
    <w:rsid w:val="043F4BC6"/>
    <w:rsid w:val="04587423"/>
    <w:rsid w:val="046F540D"/>
    <w:rsid w:val="05385B1E"/>
    <w:rsid w:val="05BA4302"/>
    <w:rsid w:val="05D660C6"/>
    <w:rsid w:val="060535E0"/>
    <w:rsid w:val="06A95833"/>
    <w:rsid w:val="06C52125"/>
    <w:rsid w:val="06FD3CF3"/>
    <w:rsid w:val="08112823"/>
    <w:rsid w:val="08393BA7"/>
    <w:rsid w:val="08491912"/>
    <w:rsid w:val="09395053"/>
    <w:rsid w:val="093A1985"/>
    <w:rsid w:val="094740C8"/>
    <w:rsid w:val="096B59F6"/>
    <w:rsid w:val="099A6FFA"/>
    <w:rsid w:val="09D81095"/>
    <w:rsid w:val="09FE6864"/>
    <w:rsid w:val="0A092C69"/>
    <w:rsid w:val="0A3B5CF9"/>
    <w:rsid w:val="0AB063FC"/>
    <w:rsid w:val="0B7539F1"/>
    <w:rsid w:val="0C2B3807"/>
    <w:rsid w:val="0C56796D"/>
    <w:rsid w:val="0C5A7001"/>
    <w:rsid w:val="0CC269AB"/>
    <w:rsid w:val="0D2A7F34"/>
    <w:rsid w:val="0D9B59C1"/>
    <w:rsid w:val="0DAC268A"/>
    <w:rsid w:val="0E2D61B4"/>
    <w:rsid w:val="0E5C7754"/>
    <w:rsid w:val="0E8D451A"/>
    <w:rsid w:val="0EBC18E1"/>
    <w:rsid w:val="0EC14BD3"/>
    <w:rsid w:val="0EF03085"/>
    <w:rsid w:val="10270FEE"/>
    <w:rsid w:val="10B514DD"/>
    <w:rsid w:val="11CE3434"/>
    <w:rsid w:val="11FA64D0"/>
    <w:rsid w:val="12045226"/>
    <w:rsid w:val="12B82197"/>
    <w:rsid w:val="12C15C0C"/>
    <w:rsid w:val="12F826E3"/>
    <w:rsid w:val="1322453E"/>
    <w:rsid w:val="13C45A8B"/>
    <w:rsid w:val="1417191D"/>
    <w:rsid w:val="141A2A11"/>
    <w:rsid w:val="14470667"/>
    <w:rsid w:val="14AF76CB"/>
    <w:rsid w:val="1553464E"/>
    <w:rsid w:val="15582C8C"/>
    <w:rsid w:val="155D291E"/>
    <w:rsid w:val="15FB7E00"/>
    <w:rsid w:val="162271A1"/>
    <w:rsid w:val="162C08A7"/>
    <w:rsid w:val="174475D1"/>
    <w:rsid w:val="17567711"/>
    <w:rsid w:val="178D4857"/>
    <w:rsid w:val="18055791"/>
    <w:rsid w:val="18A4075D"/>
    <w:rsid w:val="19443558"/>
    <w:rsid w:val="19AB4512"/>
    <w:rsid w:val="1A9E21D9"/>
    <w:rsid w:val="1BDE0896"/>
    <w:rsid w:val="1BE675CB"/>
    <w:rsid w:val="1BEF6068"/>
    <w:rsid w:val="1CCB63E0"/>
    <w:rsid w:val="1D175E0D"/>
    <w:rsid w:val="1D3F6869"/>
    <w:rsid w:val="1D5515E5"/>
    <w:rsid w:val="1DFC00D3"/>
    <w:rsid w:val="1E8A6402"/>
    <w:rsid w:val="1F2B27BB"/>
    <w:rsid w:val="20452BFE"/>
    <w:rsid w:val="20781741"/>
    <w:rsid w:val="20BC3742"/>
    <w:rsid w:val="21072DAA"/>
    <w:rsid w:val="222E6087"/>
    <w:rsid w:val="223910F0"/>
    <w:rsid w:val="22767183"/>
    <w:rsid w:val="227F0FB2"/>
    <w:rsid w:val="2321777E"/>
    <w:rsid w:val="2372082D"/>
    <w:rsid w:val="2509649D"/>
    <w:rsid w:val="25112ED5"/>
    <w:rsid w:val="263A7166"/>
    <w:rsid w:val="266306C6"/>
    <w:rsid w:val="26B17179"/>
    <w:rsid w:val="26F01761"/>
    <w:rsid w:val="27602AA7"/>
    <w:rsid w:val="277D7BBD"/>
    <w:rsid w:val="279F071E"/>
    <w:rsid w:val="27C10039"/>
    <w:rsid w:val="28051D1B"/>
    <w:rsid w:val="29787C34"/>
    <w:rsid w:val="2A9269D9"/>
    <w:rsid w:val="2B617B7A"/>
    <w:rsid w:val="2BA14AE3"/>
    <w:rsid w:val="2BC213DD"/>
    <w:rsid w:val="2BD4042A"/>
    <w:rsid w:val="2C262AF8"/>
    <w:rsid w:val="2C8D07A6"/>
    <w:rsid w:val="2CCB6A37"/>
    <w:rsid w:val="2CF04D5F"/>
    <w:rsid w:val="2DB84482"/>
    <w:rsid w:val="2E79513B"/>
    <w:rsid w:val="2E795807"/>
    <w:rsid w:val="2E92569B"/>
    <w:rsid w:val="2F140124"/>
    <w:rsid w:val="2F161EC3"/>
    <w:rsid w:val="2F2467DD"/>
    <w:rsid w:val="2F950E14"/>
    <w:rsid w:val="300246FB"/>
    <w:rsid w:val="301A46CA"/>
    <w:rsid w:val="314D725B"/>
    <w:rsid w:val="31504309"/>
    <w:rsid w:val="32B17EA2"/>
    <w:rsid w:val="336F00FD"/>
    <w:rsid w:val="3372070C"/>
    <w:rsid w:val="338866DE"/>
    <w:rsid w:val="339D8AC5"/>
    <w:rsid w:val="33AA73B1"/>
    <w:rsid w:val="341858FD"/>
    <w:rsid w:val="342017E7"/>
    <w:rsid w:val="34692F9B"/>
    <w:rsid w:val="34F95113"/>
    <w:rsid w:val="35BC534C"/>
    <w:rsid w:val="35CC460D"/>
    <w:rsid w:val="36064819"/>
    <w:rsid w:val="36107387"/>
    <w:rsid w:val="36260A17"/>
    <w:rsid w:val="37940074"/>
    <w:rsid w:val="37AF5EF2"/>
    <w:rsid w:val="38622511"/>
    <w:rsid w:val="387737AC"/>
    <w:rsid w:val="38A55611"/>
    <w:rsid w:val="38EB1AB2"/>
    <w:rsid w:val="38F6194F"/>
    <w:rsid w:val="3929719C"/>
    <w:rsid w:val="39385E8A"/>
    <w:rsid w:val="39EA3A3D"/>
    <w:rsid w:val="3A2931EA"/>
    <w:rsid w:val="3AE158FD"/>
    <w:rsid w:val="3B4910AD"/>
    <w:rsid w:val="3BAB598D"/>
    <w:rsid w:val="3C18007B"/>
    <w:rsid w:val="3C931B0A"/>
    <w:rsid w:val="3D2B758E"/>
    <w:rsid w:val="3D3603B3"/>
    <w:rsid w:val="3D96658B"/>
    <w:rsid w:val="3D9C2FA3"/>
    <w:rsid w:val="3D9F4068"/>
    <w:rsid w:val="3E0151D6"/>
    <w:rsid w:val="3E086777"/>
    <w:rsid w:val="3E2913B0"/>
    <w:rsid w:val="3E9230EE"/>
    <w:rsid w:val="3EB23BD9"/>
    <w:rsid w:val="3EB9218E"/>
    <w:rsid w:val="3EE53B65"/>
    <w:rsid w:val="3FBE0ACE"/>
    <w:rsid w:val="400476F4"/>
    <w:rsid w:val="412B60E7"/>
    <w:rsid w:val="418E7A7B"/>
    <w:rsid w:val="420838BC"/>
    <w:rsid w:val="425624FF"/>
    <w:rsid w:val="437048E9"/>
    <w:rsid w:val="43777121"/>
    <w:rsid w:val="43A37C2A"/>
    <w:rsid w:val="43D22387"/>
    <w:rsid w:val="443D392B"/>
    <w:rsid w:val="44737E08"/>
    <w:rsid w:val="44CB1108"/>
    <w:rsid w:val="495A6EFE"/>
    <w:rsid w:val="49A7102C"/>
    <w:rsid w:val="49E41887"/>
    <w:rsid w:val="4A0433EF"/>
    <w:rsid w:val="4A27476B"/>
    <w:rsid w:val="4B9C5590"/>
    <w:rsid w:val="4C177816"/>
    <w:rsid w:val="4C45599B"/>
    <w:rsid w:val="4C7C718B"/>
    <w:rsid w:val="4C837F15"/>
    <w:rsid w:val="4D6515A2"/>
    <w:rsid w:val="4DA94137"/>
    <w:rsid w:val="4DC9018A"/>
    <w:rsid w:val="4E073661"/>
    <w:rsid w:val="4ED7654F"/>
    <w:rsid w:val="4FC21437"/>
    <w:rsid w:val="4FD56582"/>
    <w:rsid w:val="506672FB"/>
    <w:rsid w:val="509E7036"/>
    <w:rsid w:val="50FC17D6"/>
    <w:rsid w:val="51295566"/>
    <w:rsid w:val="517171DD"/>
    <w:rsid w:val="51847411"/>
    <w:rsid w:val="51E62653"/>
    <w:rsid w:val="52546BE0"/>
    <w:rsid w:val="52AA6EBE"/>
    <w:rsid w:val="52C637B6"/>
    <w:rsid w:val="52D6256E"/>
    <w:rsid w:val="540E2A33"/>
    <w:rsid w:val="54B121FA"/>
    <w:rsid w:val="57106E4E"/>
    <w:rsid w:val="577D0B9E"/>
    <w:rsid w:val="585D2567"/>
    <w:rsid w:val="58C56562"/>
    <w:rsid w:val="59596E08"/>
    <w:rsid w:val="595F35D0"/>
    <w:rsid w:val="5A0F6763"/>
    <w:rsid w:val="5ACF7A89"/>
    <w:rsid w:val="5B3021ED"/>
    <w:rsid w:val="5B4C6F12"/>
    <w:rsid w:val="5C782DB6"/>
    <w:rsid w:val="5CF324F9"/>
    <w:rsid w:val="5DB46E56"/>
    <w:rsid w:val="5DE30AAA"/>
    <w:rsid w:val="5DFD637E"/>
    <w:rsid w:val="5E1444C9"/>
    <w:rsid w:val="5E3C51E1"/>
    <w:rsid w:val="5EC03B99"/>
    <w:rsid w:val="5F021049"/>
    <w:rsid w:val="5FDF2981"/>
    <w:rsid w:val="61771A0B"/>
    <w:rsid w:val="61C96925"/>
    <w:rsid w:val="62157A0E"/>
    <w:rsid w:val="62176B64"/>
    <w:rsid w:val="625536DB"/>
    <w:rsid w:val="627B5AC3"/>
    <w:rsid w:val="62DF61BB"/>
    <w:rsid w:val="62EA6888"/>
    <w:rsid w:val="65520B92"/>
    <w:rsid w:val="66861648"/>
    <w:rsid w:val="66D13B15"/>
    <w:rsid w:val="66DC3BD9"/>
    <w:rsid w:val="66E04B3F"/>
    <w:rsid w:val="671461FB"/>
    <w:rsid w:val="67612CD8"/>
    <w:rsid w:val="678039E0"/>
    <w:rsid w:val="67C633D9"/>
    <w:rsid w:val="67CF069A"/>
    <w:rsid w:val="67FC72E0"/>
    <w:rsid w:val="68785ACC"/>
    <w:rsid w:val="688D2B5D"/>
    <w:rsid w:val="68AB3869"/>
    <w:rsid w:val="68D66149"/>
    <w:rsid w:val="693E79D1"/>
    <w:rsid w:val="69943613"/>
    <w:rsid w:val="69973361"/>
    <w:rsid w:val="69973B69"/>
    <w:rsid w:val="69C42446"/>
    <w:rsid w:val="6A177692"/>
    <w:rsid w:val="6A6F5BF0"/>
    <w:rsid w:val="6BC1642B"/>
    <w:rsid w:val="6C206ACD"/>
    <w:rsid w:val="6C2471CC"/>
    <w:rsid w:val="6CDA5ADC"/>
    <w:rsid w:val="6DD158CA"/>
    <w:rsid w:val="6DEA1D4F"/>
    <w:rsid w:val="6DEB1E88"/>
    <w:rsid w:val="6EB27D0E"/>
    <w:rsid w:val="6F4D07E7"/>
    <w:rsid w:val="6FC32969"/>
    <w:rsid w:val="6FE5643F"/>
    <w:rsid w:val="701F0C3F"/>
    <w:rsid w:val="704D7A12"/>
    <w:rsid w:val="70C5375B"/>
    <w:rsid w:val="71995F66"/>
    <w:rsid w:val="72AC57F5"/>
    <w:rsid w:val="72C33C9C"/>
    <w:rsid w:val="72D856BC"/>
    <w:rsid w:val="73A525D5"/>
    <w:rsid w:val="73B104B4"/>
    <w:rsid w:val="74845134"/>
    <w:rsid w:val="74C06496"/>
    <w:rsid w:val="74DE3871"/>
    <w:rsid w:val="7567364B"/>
    <w:rsid w:val="75963D2B"/>
    <w:rsid w:val="75C8568D"/>
    <w:rsid w:val="75C9070F"/>
    <w:rsid w:val="75CB2679"/>
    <w:rsid w:val="765C2D96"/>
    <w:rsid w:val="77465C26"/>
    <w:rsid w:val="7753395A"/>
    <w:rsid w:val="78950D90"/>
    <w:rsid w:val="78B81B81"/>
    <w:rsid w:val="79145035"/>
    <w:rsid w:val="79202AC9"/>
    <w:rsid w:val="792508A3"/>
    <w:rsid w:val="797157C7"/>
    <w:rsid w:val="7A41672D"/>
    <w:rsid w:val="7A4555AB"/>
    <w:rsid w:val="7AED565B"/>
    <w:rsid w:val="7B976A64"/>
    <w:rsid w:val="7C140DD9"/>
    <w:rsid w:val="7C3B560C"/>
    <w:rsid w:val="7CD267D0"/>
    <w:rsid w:val="7CF20F16"/>
    <w:rsid w:val="7D920AEC"/>
    <w:rsid w:val="7EE11930"/>
    <w:rsid w:val="7EE500EF"/>
    <w:rsid w:val="7EEB22D2"/>
    <w:rsid w:val="7F0D103E"/>
    <w:rsid w:val="7F63B39D"/>
    <w:rsid w:val="7F9C702E"/>
    <w:rsid w:val="7FBF1673"/>
    <w:rsid w:val="7FEF07C9"/>
    <w:rsid w:val="7FFD5E4D"/>
    <w:rsid w:val="9F7FA2A1"/>
    <w:rsid w:val="CF7E79AE"/>
    <w:rsid w:val="D192DA38"/>
    <w:rsid w:val="E7FFB9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p0"/>
    <w:basedOn w:val="1"/>
    <w:unhideWhenUsed/>
    <w:qFormat/>
    <w:uiPriority w:val="99"/>
    <w:pPr>
      <w:spacing w:line="365" w:lineRule="atLeast"/>
      <w:ind w:left="1"/>
    </w:pPr>
    <w:rPr>
      <w:rFonts w:hint="eastAsia" w:eastAsia="宋体" w:cs="Times New Roman"/>
      <w:sz w:val="20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12897</Words>
  <Characters>16788</Characters>
  <Lines>0</Lines>
  <Paragraphs>0</Paragraphs>
  <TotalTime>66</TotalTime>
  <ScaleCrop>false</ScaleCrop>
  <LinksUpToDate>false</LinksUpToDate>
  <CharactersWithSpaces>17056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2019-03-26T01:00:00Z</dcterms:created>
  <dc:creator>lenovo9</dc:creator>
  <cp:lastModifiedBy>Administrator</cp:lastModifiedBy>
  <dcterms:modified xsi:type="dcterms:W3CDTF">2025-04-03T02:04:06Z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1A2E279BAEA8491A8C22E89012AFB68C</vt:lpwstr>
  </property>
</Properties>
</file>