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561D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880" w:firstLineChars="200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p w14:paraId="4CD6E9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马村区农业农村局</w:t>
      </w:r>
    </w:p>
    <w:p w14:paraId="01A06D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2025年度法治政府建设工作报告</w:t>
      </w:r>
    </w:p>
    <w:p w14:paraId="4CE10A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</w:p>
    <w:p w14:paraId="0A35E9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马村区农业农村局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070000" w:fill="FFFFFF"/>
        </w:rPr>
        <w:t>在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070000" w:fill="FFFFFF"/>
          <w:lang w:eastAsia="zh-CN"/>
        </w:rPr>
        <w:t>区委、区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070000" w:fill="FFFFFF"/>
        </w:rPr>
        <w:t>政府的正确领导下，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坚持以习近平新时代中国特色社会主义思想为指导，深入学习贯彻习近平总书记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法治思想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紧紧围绕法治政府建设目标，扎实推进农业农村法治建设，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为推动我区农业农村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高质量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发展和实现乡村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全面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振兴提供有力的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法治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保障。现将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本年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度法治政府建设工作情况报告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如下。</w:t>
      </w:r>
    </w:p>
    <w:p w14:paraId="7C28E984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法治政府建设履职情况</w:t>
      </w:r>
    </w:p>
    <w:p w14:paraId="6A34D97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（一）加强组织领导，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夯实法治基础。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一是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将法治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政府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建设纳入本单位发展总体规划和年度工作计划，与本单位的重点工作同部署、同推进、同督促、同考核、同奖惩。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单位主要负责人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定期听取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法治建设工作情况汇报，及时研究解决法治建设中的有关重大问题。坚持全面从严治党，健全完善党内法规制度，做到制度治党、依规治党，加强督促检查，提高党内法规制度的执行力。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二是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把依法办事、依法行政作为班子民主生活会的重要内容，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定期开展批评与自我批评，查找在法治工作方面存在的不足并及时整改。要求班子成员严格执行防止干预司法“三个规定”，严禁出现利用职权干预司法活动、插手具体案件处理等行为，一经发现严肃处理。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三是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加强内部监督检查，发现问题及时纠正，严肃追究相关人员责任，确保单位行政行为合法合规、高效有序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奋力推进农业法治建设，为建设现代农业强区提供坚强有力的法治保障。</w:t>
      </w:r>
    </w:p>
    <w:p w14:paraId="2AA6FA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（二）强化法治教育，提高法律素养。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法治建设作为班子理论学习及机关全体干部职工学习的重要内容。每次党组会议开展班子成员轮流学法讲法会议议程，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深入学习习近平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总书记关于法治建设的重要论述、重要法律法规和党内法规，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参加各类法治培训和学习研讨活动，不断提高法治素养和依法履职能力。同时，组织单位全体干部职工开展常态化的法治理论学习活动，制定学习计划，明确学习内容和要求，通过集中学习、个人自学、交流研讨等多种方式，确保学习效果。逐步把领导干部学法用法各项要求落到实处，切实增强全局干部职工的法治理念和依法行政能力。</w:t>
      </w:r>
    </w:p>
    <w:p w14:paraId="5DFA24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（三）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坚持民主集中，依法决策重大事项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070000" w:fill="FFFFFF"/>
        </w:rPr>
        <w:t>严格贯彻落实上级有关文件精神，以“把权力关进制度的笼子里”为要求，加强干部队伍建设，提高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070000" w:fill="FFFFFF"/>
          <w:lang w:eastAsia="zh-CN"/>
        </w:rPr>
        <w:t>全局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070000" w:fill="FFFFFF"/>
        </w:rPr>
        <w:t>干部职工依法行政、依法办事水平。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sz w:val="32"/>
          <w:szCs w:val="32"/>
          <w:shd w:val="clear" w:color="070000" w:fill="FFFFFF"/>
        </w:rPr>
        <w:t>一是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070000" w:fill="FFFFFF"/>
          <w:lang w:eastAsia="zh-CN"/>
        </w:rPr>
        <w:t>全面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070000" w:fill="FFFFFF"/>
        </w:rPr>
        <w:t>落实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shd w:val="clear" w:color="070000" w:fill="FFFFFF"/>
          <w:lang w:eastAsia="zh-CN"/>
        </w:rPr>
        <w:t>重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070000" w:fill="FFFFFF"/>
          <w:lang w:eastAsia="zh-CN"/>
        </w:rPr>
        <w:t>大行政决策合法性审查、风险评估、集体讨论等制度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070000" w:fill="FFFFFF"/>
        </w:rPr>
        <w:t>，对列入重大行政决策范围的事项，严格按照规定程序决策；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sz w:val="32"/>
          <w:szCs w:val="32"/>
          <w:shd w:val="clear" w:color="070000" w:fill="FFFFFF"/>
        </w:rPr>
        <w:t>二是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070000" w:fill="FFFFFF"/>
        </w:rPr>
        <w:t>健全领导班子分工负责机制，对班子成员职能、职责进行了分工，严格执行民主集中制；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sz w:val="32"/>
          <w:szCs w:val="32"/>
          <w:shd w:val="clear" w:color="070000" w:fill="FFFFFF"/>
          <w:lang w:eastAsia="zh-CN"/>
        </w:rPr>
        <w:t>三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sz w:val="32"/>
          <w:szCs w:val="32"/>
          <w:shd w:val="clear" w:color="070000" w:fill="FFFFFF"/>
        </w:rPr>
        <w:t>是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070000" w:fill="FFFFFF"/>
        </w:rPr>
        <w:t>健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070000" w:fill="FFFFFF"/>
          <w:lang w:eastAsia="zh-CN"/>
        </w:rPr>
        <w:t>全党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070000" w:fill="FFFFFF"/>
        </w:rPr>
        <w:t>组重大事项议事决策机制，保证“三重一大”事项经集体讨论决定，严格执行“一把手”末位表态制度，注重听取吸收不同意见，防止“正职+分管领导”完全主导决策；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sz w:val="32"/>
          <w:szCs w:val="32"/>
          <w:shd w:val="clear" w:color="070000" w:fill="FFFFFF"/>
          <w:lang w:eastAsia="zh-CN"/>
        </w:rPr>
        <w:t>四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sz w:val="32"/>
          <w:szCs w:val="32"/>
          <w:shd w:val="clear" w:color="070000" w:fill="FFFFFF"/>
        </w:rPr>
        <w:t>是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070000" w:fill="FFFFFF"/>
        </w:rPr>
        <w:t>进一步规范行政许可审批服务程序，进一步深化“放管服”改革，优化营商环境，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实行行政许可和行政处罚信息“双公示”，做到权力清单与责任清单“双公开”、“两单衔接”相互对应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做到农业部门多服务、农民和企业少跑路，进一步简化办事操作流程。</w:t>
      </w:r>
    </w:p>
    <w:p w14:paraId="4634F4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（四）严格行政执法，加强行政执法规范化建设。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制定《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0A0000" w:fill="FFFFFF"/>
          <w:lang w:eastAsia="zh-CN"/>
        </w:rPr>
        <w:t>马村区农业农村局关于印发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0A0000" w:fill="FFFFFF"/>
          <w:lang w:val="en-US" w:eastAsia="zh-CN"/>
        </w:rPr>
        <w:t>&lt;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0A0000" w:fill="FFFFFF"/>
          <w:lang w:eastAsia="zh-CN"/>
        </w:rPr>
        <w:t>农业综合行政执法工作职责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0A0000" w:fill="FFFFFF"/>
          <w:lang w:val="en-US" w:eastAsia="zh-CN"/>
        </w:rPr>
        <w:t>&gt;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0A0000" w:fill="FFFFFF"/>
          <w:lang w:eastAsia="zh-CN"/>
        </w:rPr>
        <w:t>的通知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》，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明确执法人员的执法职责和权限，规范执法程序和行为。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二是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加强执法人员培训，提高执法人员的业务素质和执法水平。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三是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严格执行行政执法公示制度、执法全过程记录制度、重大执法决定法制审核制度，确保行政执法行为合法、规范、公正、文明。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四是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积极探索柔性执法，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面落实新修订的柔性执法“四张清单”，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切实提升执法温度，不断增强群众的法治获得感和执法满意度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070000" w:fill="FFFFFF"/>
          <w:lang w:eastAsia="zh-CN"/>
        </w:rPr>
        <w:t>一年来，出动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070000" w:fill="FFFFFF"/>
        </w:rPr>
        <w:t>执法人员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070000" w:fill="FFFFFF"/>
          <w:lang w:val="en-US" w:eastAsia="zh-CN"/>
        </w:rPr>
        <w:t>140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070000" w:fill="FFFFFF"/>
          <w:lang w:val="en-US" w:eastAsia="zh-CN"/>
        </w:rPr>
        <w:t>余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070000" w:fill="FFFFFF"/>
        </w:rPr>
        <w:t>人次，检查农药、肥料、兽药、饲料、种子经营店和养殖场（户）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070000" w:fill="FFFFFF"/>
          <w:lang w:val="en-US" w:eastAsia="zh-CN"/>
        </w:rPr>
        <w:t>75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070000" w:fill="FFFFFF"/>
        </w:rPr>
        <w:t>家次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070000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070000" w:fill="FFFFFF"/>
        </w:rPr>
        <w:t>办理一般程序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070000" w:fill="FFFFFF"/>
          <w:lang w:eastAsia="zh-CN"/>
        </w:rPr>
        <w:t>行政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070000" w:fill="FFFFFF"/>
        </w:rPr>
        <w:t>案件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070000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070000" w:fill="FFFFFF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070000" w:fill="FFFFFF"/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070000" w:fill="FFFFFF"/>
          <w:lang w:eastAsia="zh-CN"/>
        </w:rPr>
        <w:t>开展行政指导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shd w:val="clear" w:color="070000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070000" w:fill="FFFFFF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564A87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（五）履行普法职责，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深入推进法治宣传教育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一是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sz w:val="32"/>
          <w:szCs w:val="32"/>
          <w:lang w:eastAsia="zh-CN"/>
        </w:rPr>
        <w:t>紧扣“三农”实际，开展普法宣传。局执法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  <w:t>人员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深入分包义庄村、养殖场、种植农户、农资门店等，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070000" w:fill="FFFFFF"/>
        </w:rPr>
        <w:t>开展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070000" w:fill="FFFFFF"/>
          <w:lang w:eastAsia="zh-CN"/>
        </w:rPr>
        <w:t>“民法典宣传月”、“宪法宣传周”等各项法律法规集中宣传活动。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向群众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  <w:t>发放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宪法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  <w:t>宣传资料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，并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  <w:t>现场讲解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农业法律知识，深入解读乡村振兴促进法、农村集体经济组织法、粮食安全保障法、农村土地承包法、农产品质量安全法等与农民生产生活密切相关的法律法规，聚焦土地承包流转、宅基地纠纷、农产品质量安全、农资打假、权益保障等热点问题，用“法言法语+家常话”的方式让法律条文落地生根。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sz w:val="32"/>
          <w:szCs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sz w:val="32"/>
          <w:szCs w:val="32"/>
          <w:shd w:val="clear" w:color="070000" w:fill="FFFFFF"/>
        </w:rPr>
        <w:t>是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070000" w:fill="FFFFFF"/>
        </w:rPr>
        <w:t>组织召开“以案促改”警示教育会议、党组理论中心组学习会议、全体党员大会等会议，用违法案例对本单位职工开展以案释法教育工作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070000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</w:p>
    <w:p w14:paraId="4A8CD2BF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存在问题</w:t>
      </w:r>
    </w:p>
    <w:p w14:paraId="4CC795E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在肯定成绩的同时，我们也清醒认识到法治政府建设仍存在薄弱环节：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一是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部分执法人员的业务素质和执法水平还有待提升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，用法治方式解决复杂问题的能力不足。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二是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行政执法队伍专业化水平不高，法治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理论学习的系统性有待进一步增强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273DEBC9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下一步工作打算</w:t>
      </w:r>
    </w:p>
    <w:p w14:paraId="7822A0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马村区农业农村局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坚持以习近平法治思想为指引，以“十五五”规划为遵循，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深入学习贯彻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党的二十届四中全会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精神，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补短板、强弱项、创特色，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进一步发挥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党员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干部示范带头作用，高质量完成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委、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政府制定的目标任务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21E9C3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(一)认真开展普法宣传、不断提高法治意识</w:t>
      </w:r>
    </w:p>
    <w:p w14:paraId="7445B8BC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一方面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继续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组织领导班子深入学习习近平总书记关于法治建设的重要论述、重要法律法规和党内法规；加强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执法人员业务知识培训和执法实践操作，加强执法队伍素质的提高，提升执法水平和工作能力。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另一方面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采取灵活多样的宣传形式，充分利用各种宣传手段，加大农业法律法规的学习宣传力度，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提高行业法规知晓度，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为农业生产发展创造良好的舆论氛围和法治环境。</w:t>
      </w:r>
    </w:p>
    <w:p w14:paraId="0B77F9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(二)规农业执法行为，提高农业执法能力</w:t>
      </w:r>
    </w:p>
    <w:p w14:paraId="016C0D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一是突出案件查处力度。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对日常监督检查、投诉举报、媒体披露等途径发现的问题，予以认真查处，对已立案查处的案件进行跟踪关注，及时结案，对已处理的违规单位或个人要开展“回头看”，督促整改提高。</w:t>
      </w:r>
    </w:p>
    <w:p w14:paraId="263023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二是突出源头监管。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加强对农产品质量、农资市场的日常监管力度。对农产品质量安全进行监测，要对查获的情况进行严厉处罚，进一步规农业投入品的经营和使用行为。着重开展对农资门店经营证件、进货渠道、包装标签、产品质量、违禁农药销售、农资新产品销售、经营行为等七个方面的检查。</w:t>
      </w:r>
    </w:p>
    <w:p w14:paraId="35D851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三是继续健全完善相关制度，规执法行为。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通过规执法运行机制，提高行政执法的效率和公正，确保执法人员廉洁自律，秉公执法，落实行政执法责任制，实行执法、和谐执法，努力调动执法人员的积极性和创造性，促使执法工作有章可循，有据可依。</w:t>
      </w:r>
    </w:p>
    <w:p w14:paraId="39DE9BE3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</w:p>
    <w:p w14:paraId="739CDFEC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</w:p>
    <w:p w14:paraId="5781E225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 xml:space="preserve">                             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202</w:t>
      </w:r>
      <w:r>
        <w:rPr>
          <w:rFonts w:hint="eastAsia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年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月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日</w:t>
      </w:r>
    </w:p>
    <w:p w14:paraId="185A79E4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420" w:firstLineChars="200"/>
        <w:jc w:val="both"/>
        <w:textAlignment w:val="auto"/>
        <w:rPr>
          <w:rFonts w:hint="eastAsia"/>
          <w:color w:val="auto"/>
          <w:lang w:val="en-US" w:eastAsia="zh-CN"/>
        </w:rPr>
      </w:pPr>
    </w:p>
    <w:p w14:paraId="24D66AD2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60" w:lineRule="exact"/>
        <w:ind w:firstLine="420" w:firstLineChars="200"/>
        <w:jc w:val="both"/>
        <w:textAlignment w:val="auto"/>
        <w:rPr>
          <w:color w:val="auto"/>
        </w:rPr>
      </w:pPr>
    </w:p>
    <w:p w14:paraId="09439425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after="0" w:afterLines="0" w:line="560" w:lineRule="exact"/>
        <w:ind w:firstLine="420" w:firstLineChars="200"/>
        <w:jc w:val="both"/>
        <w:textAlignment w:val="auto"/>
        <w:rPr>
          <w:color w:val="auto"/>
        </w:rPr>
      </w:pPr>
    </w:p>
    <w:p w14:paraId="796921EF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bidi w:val="0"/>
        <w:spacing w:before="0" w:beforeLines="0" w:line="560" w:lineRule="exact"/>
        <w:jc w:val="both"/>
        <w:textAlignment w:val="auto"/>
        <w:rPr>
          <w:color w:val="auto"/>
        </w:rPr>
      </w:pPr>
      <w:bookmarkStart w:id="0" w:name="_GoBack"/>
      <w:bookmarkEnd w:id="0"/>
    </w:p>
    <w:sectPr>
      <w:footerReference r:id="rId3" w:type="default"/>
      <w:pgSz w:w="11906" w:h="16838"/>
      <w:pgMar w:top="2211" w:right="1531" w:bottom="1871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378EDA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C357117">
                          <w:pPr>
                            <w:pStyle w:val="5"/>
                          </w:pPr>
                          <w: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C357117">
                    <w:pPr>
                      <w:pStyle w:val="5"/>
                    </w:pPr>
                    <w: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7D5191"/>
    <w:multiLevelType w:val="singleLevel"/>
    <w:tmpl w:val="D87D519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DA216F0"/>
    <w:multiLevelType w:val="multilevel"/>
    <w:tmpl w:val="1DA216F0"/>
    <w:lvl w:ilvl="0" w:tentative="0">
      <w:start w:val="1"/>
      <w:numFmt w:val="chineseCountingThousand"/>
      <w:pStyle w:val="3"/>
      <w:lvlText w:val="第%1章　"/>
      <w:lvlJc w:val="left"/>
      <w:pPr>
        <w:tabs>
          <w:tab w:val="left" w:pos="1440"/>
        </w:tabs>
        <w:ind w:left="720" w:hanging="720"/>
      </w:pPr>
      <w:rPr>
        <w:rFonts w:hint="eastAsia"/>
        <w:sz w:val="32"/>
      </w:rPr>
    </w:lvl>
    <w:lvl w:ilvl="1" w:tentative="0">
      <w:start w:val="1"/>
      <w:numFmt w:val="lowerRoman"/>
      <w:lvlText w:val="(%2)"/>
      <w:lvlJc w:val="left"/>
      <w:pPr>
        <w:tabs>
          <w:tab w:val="left" w:pos="861"/>
        </w:tabs>
        <w:ind w:left="861" w:hanging="720"/>
      </w:pPr>
      <w:rPr>
        <w:rFonts w:hint="eastAsia"/>
      </w:rPr>
    </w:lvl>
    <w:lvl w:ilvl="2" w:tentative="0">
      <w:start w:val="1"/>
      <w:numFmt w:val="lowerLetter"/>
      <w:lvlText w:val="(%3)"/>
      <w:lvlJc w:val="left"/>
      <w:pPr>
        <w:tabs>
          <w:tab w:val="left" w:pos="1335"/>
        </w:tabs>
        <w:ind w:left="1335" w:hanging="495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FkZjM4NzkyZmM1MzY5YWNjNGZiNWUyM2I3NTBhYTYifQ=="/>
  </w:docVars>
  <w:rsids>
    <w:rsidRoot w:val="4E9E4C3D"/>
    <w:rsid w:val="09095983"/>
    <w:rsid w:val="125552AB"/>
    <w:rsid w:val="2BB07497"/>
    <w:rsid w:val="335A4683"/>
    <w:rsid w:val="4E9E4C3D"/>
    <w:rsid w:val="592E428B"/>
    <w:rsid w:val="728A2C34"/>
    <w:rsid w:val="73951C73"/>
    <w:rsid w:val="74393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after="120" w:afterLines="0"/>
    </w:pPr>
  </w:style>
  <w:style w:type="paragraph" w:styleId="3">
    <w:name w:val="Body Text 2"/>
    <w:basedOn w:val="1"/>
    <w:unhideWhenUsed/>
    <w:qFormat/>
    <w:uiPriority w:val="99"/>
    <w:pPr>
      <w:widowControl/>
      <w:numPr>
        <w:ilvl w:val="0"/>
        <w:numId w:val="1"/>
      </w:numPr>
      <w:spacing w:before="156" w:beforeLines="50" w:line="336" w:lineRule="auto"/>
      <w:ind w:left="0" w:firstLine="0"/>
    </w:pPr>
    <w:rPr>
      <w:rFonts w:ascii="Times New Roman" w:hAnsi="Times New Roman" w:eastAsia="仿宋_GB2312" w:cs="仿宋"/>
      <w:kern w:val="0"/>
      <w:szCs w:val="20"/>
      <w:lang w:eastAsia="en-US"/>
    </w:rPr>
  </w:style>
  <w:style w:type="paragraph" w:styleId="4">
    <w:name w:val="Normal Indent"/>
    <w:basedOn w:val="1"/>
    <w:unhideWhenUsed/>
    <w:qFormat/>
    <w:uiPriority w:val="99"/>
    <w:pPr>
      <w:spacing w:line="600" w:lineRule="exact"/>
      <w:ind w:firstLine="200" w:firstLineChars="200"/>
      <w:jc w:val="center"/>
    </w:pPr>
    <w:rPr>
      <w:rFonts w:ascii="Times New Roman" w:hAnsi="Times New Roman"/>
    </w:rPr>
  </w:style>
  <w:style w:type="paragraph" w:styleId="5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9">
    <w:name w:val="p0"/>
    <w:basedOn w:val="1"/>
    <w:qFormat/>
    <w:uiPriority w:val="0"/>
    <w:pPr>
      <w:widowControl/>
      <w:spacing w:line="2517" w:lineRule="atLeast"/>
    </w:pPr>
    <w:rPr>
      <w:rFonts w:ascii="Times New Roman" w:hAnsi="Times New Roman" w:cs="Times New Roman"/>
      <w:color w:val="000000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2575</Words>
  <Characters>2599</Characters>
  <Lines>0</Lines>
  <Paragraphs>0</Paragraphs>
  <TotalTime>20</TotalTime>
  <ScaleCrop>false</ScaleCrop>
  <LinksUpToDate>false</LinksUpToDate>
  <CharactersWithSpaces>2673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2025-01-13T01:55:00Z</dcterms:created>
  <dc:creator>流珠贝影</dc:creator>
  <cp:lastModifiedBy>毋</cp:lastModifiedBy>
  <cp:lastPrinted>2026-01-27T03:22:00Z</cp:lastPrinted>
  <dcterms:modified xsi:type="dcterms:W3CDTF">2026-03-10T07:32:44Z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B21E2C44B7CB4B3AB1288F10189F8752_11</vt:lpwstr>
  </property>
  <property fmtid="{D5CDD505-2E9C-101B-9397-08002B2CF9AE}" pid="4" name="KSOTemplateDocerSaveRecord">
    <vt:lpwstr>eyJoZGlkIjoiNTNlN2UyM2I1NTBiZjRhZGE3YzgyM2ZmNDhiYzBhNGYiLCJ1c2VySWQiOiI0OTk2MTY2NjYifQ==</vt:lpwstr>
  </property>
</Properties>
</file>