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79B0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default" w:ascii="Times New Roman" w:hAnsi="Times New Roman" w:eastAsia="方正小标宋简体" w:cs="Times New Roman"/>
          <w:sz w:val="44"/>
          <w:szCs w:val="36"/>
        </w:rPr>
      </w:pPr>
      <w:r>
        <w:rPr>
          <w:rFonts w:hint="eastAsia" w:eastAsia="方正小标宋简体" w:cs="Times New Roman"/>
          <w:sz w:val="44"/>
          <w:szCs w:val="36"/>
          <w:lang w:eastAsia="zh-CN"/>
        </w:rPr>
        <w:t>马村区</w:t>
      </w:r>
      <w:r>
        <w:rPr>
          <w:rFonts w:hint="eastAsia" w:ascii="Times New Roman" w:hAnsi="Times New Roman" w:eastAsia="方正小标宋简体" w:cs="Times New Roman"/>
          <w:sz w:val="44"/>
          <w:szCs w:val="36"/>
        </w:rPr>
        <w:t>人社局</w:t>
      </w:r>
      <w:r>
        <w:rPr>
          <w:rFonts w:hint="default" w:ascii="Times New Roman" w:hAnsi="Times New Roman" w:eastAsia="方正小标宋简体" w:cs="Times New Roman"/>
          <w:sz w:val="44"/>
          <w:szCs w:val="36"/>
        </w:rPr>
        <w:t>2025年度</w:t>
      </w:r>
    </w:p>
    <w:p w14:paraId="683A5EF7">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default" w:ascii="Times New Roman" w:hAnsi="Times New Roman" w:eastAsia="方正小标宋简体" w:cs="Times New Roman"/>
          <w:sz w:val="44"/>
          <w:szCs w:val="36"/>
        </w:rPr>
      </w:pPr>
      <w:r>
        <w:rPr>
          <w:rFonts w:hint="eastAsia" w:eastAsia="方正小标宋简体" w:cs="Times New Roman"/>
          <w:sz w:val="44"/>
          <w:szCs w:val="36"/>
          <w:lang w:eastAsia="zh-CN"/>
        </w:rPr>
        <w:t>法治政府建设工作</w:t>
      </w:r>
      <w:r>
        <w:rPr>
          <w:rFonts w:hint="default" w:ascii="Times New Roman" w:hAnsi="Times New Roman" w:eastAsia="方正小标宋简体" w:cs="Times New Roman"/>
          <w:sz w:val="44"/>
          <w:szCs w:val="36"/>
        </w:rPr>
        <w:t>报告</w:t>
      </w:r>
    </w:p>
    <w:p w14:paraId="5E84770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楷体_GB2312" w:hAnsi="楷体_GB2312" w:eastAsia="楷体_GB2312" w:cs="楷体_GB2312"/>
          <w:sz w:val="32"/>
          <w:szCs w:val="32"/>
        </w:rPr>
      </w:pPr>
    </w:p>
    <w:p w14:paraId="36EA7A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rPr>
        <w:t>2025年，在区委、区政府的坚强领导下，区人社局坚持以习近平新时代中国特色社会主义思想为指导，深入学习贯彻党的二十大及二十届三中、四中全会精神，紧紧围绕全面依法治区总目标，充分发挥党组在推进法治建设中的领导核心作用，将法治思维贯穿于就业创业、社会保障、人才人事、劳动关系等人社业务全过程，扎实推进法治政府建设。现将2025年度履行法治建设职责情况报告如下：</w:t>
      </w:r>
    </w:p>
    <w:p w14:paraId="22FAF3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一、主要举措及成效</w:t>
      </w:r>
    </w:p>
    <w:p w14:paraId="30995E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default" w:ascii="Times New Roman" w:hAnsi="Times New Roman" w:eastAsia="楷体_GB2312" w:cs="Times New Roman"/>
        </w:rPr>
        <w:t>（一）</w:t>
      </w:r>
      <w:r>
        <w:rPr>
          <w:rFonts w:hint="eastAsia" w:ascii="Times New Roman" w:hAnsi="Times New Roman" w:eastAsia="楷体_GB2312" w:cs="Times New Roman"/>
          <w:lang w:val="en-US" w:eastAsia="zh-CN"/>
        </w:rPr>
        <w:t>坚持政治统领，发挥</w:t>
      </w:r>
      <w:r>
        <w:rPr>
          <w:rFonts w:hint="eastAsia" w:eastAsia="楷体_GB2312" w:cs="Times New Roman"/>
          <w:lang w:val="en-US" w:eastAsia="zh-CN"/>
        </w:rPr>
        <w:t>领导班子</w:t>
      </w:r>
      <w:r>
        <w:rPr>
          <w:rFonts w:hint="eastAsia" w:ascii="Times New Roman" w:hAnsi="Times New Roman" w:eastAsia="楷体_GB2312" w:cs="Times New Roman"/>
          <w:lang w:val="en-US" w:eastAsia="zh-CN"/>
        </w:rPr>
        <w:t>“关键少数”作用</w:t>
      </w:r>
      <w:r>
        <w:rPr>
          <w:rFonts w:hint="eastAsia" w:eastAsia="楷体_GB2312" w:cs="Times New Roman"/>
          <w:lang w:val="en-US" w:eastAsia="zh-CN"/>
        </w:rPr>
        <w:t>。</w:t>
      </w:r>
      <w:r>
        <w:rPr>
          <w:rFonts w:hint="eastAsia"/>
          <w:lang w:val="en-US" w:eastAsia="zh-CN"/>
        </w:rPr>
        <w:t>一是带头深化理论武装。局领导班子坚持把学习贯彻习近平法治思想作为重大政治任务，将其纳入党组理论学习中心组学习计划。其间，重点学习了《宪法》《社会保险法》等法律法规，切实提高运用法治思维和法治方式深化改革、推动发展、化解矛盾、维护稳定的能力。二是认真履行主体责任。局党组坚决落实党政主要负责人履行推进法治建设第一责任人职责规定，将法治建设纳入人社事业发展总体规划和年度工作计划，与业务工作同部署、同推进、同督促、同奖惩。坚持召开专题会议研究法治建设工作，听取依法行政、劳动监察、争议仲裁等工作汇报，及时解决法治建设中的难点、堵点问题。</w:t>
      </w:r>
      <w:bookmarkStart w:id="0" w:name="_GoBack"/>
      <w:bookmarkEnd w:id="0"/>
      <w:r>
        <w:rPr>
          <w:rFonts w:hint="eastAsia"/>
          <w:lang w:val="en-US" w:eastAsia="zh-CN"/>
        </w:rPr>
        <w:t>三是健全依法决策机制。局领导班子坚持民主集中制，落实“三重一大”事项集体决策制度，严格履行规范性文件审查程序，确保在河南省行政规范性文件管理系统中，规范性文件应备尽备，确保决策权依法依规行使。</w:t>
      </w:r>
    </w:p>
    <w:p w14:paraId="154A05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Times New Roman" w:hAnsi="Times New Roman" w:eastAsia="楷体_GB2312" w:cs="Times New Roman"/>
          <w:lang w:val="en-US" w:eastAsia="zh-CN"/>
        </w:rPr>
        <w:t>（二）聚焦主责主业，提升依法行政“</w:t>
      </w:r>
      <w:r>
        <w:rPr>
          <w:rFonts w:hint="eastAsia" w:eastAsia="楷体_GB2312" w:cs="Times New Roman"/>
          <w:lang w:val="en-US" w:eastAsia="zh-CN"/>
        </w:rPr>
        <w:t>整体</w:t>
      </w:r>
      <w:r>
        <w:rPr>
          <w:rFonts w:hint="eastAsia" w:ascii="Times New Roman" w:hAnsi="Times New Roman" w:eastAsia="楷体_GB2312" w:cs="Times New Roman"/>
          <w:lang w:val="en-US" w:eastAsia="zh-CN"/>
        </w:rPr>
        <w:t>效能”</w:t>
      </w:r>
      <w:r>
        <w:rPr>
          <w:rFonts w:hint="eastAsia" w:eastAsia="楷体_GB2312" w:cs="Times New Roman"/>
          <w:lang w:val="en-US" w:eastAsia="zh-CN"/>
        </w:rPr>
        <w:t>。</w:t>
      </w:r>
      <w:r>
        <w:rPr>
          <w:rFonts w:hint="eastAsia"/>
          <w:lang w:val="en-US" w:eastAsia="zh-CN"/>
        </w:rPr>
        <w:t>一是深化“放管服”改革。局领导班子大力推进人社服务快办行动，持续优化营商环境。牵头梳理政务服务事项，推动“一网通办”提质增效，2025年我局政务服务事项网上可办率达100%。全面推行证明事项告知承诺制，最大限度减轻企业和群众办事负担。二是构建和谐劳动关系。针对劳动关系领域的新情况、新问题，统筹推进劳动关系“和谐同行”行动，加强监察执法，协调解决欠薪线索及投诉169件，结案率100%。提升仲裁效能，坚持调解为主，接收并结案劳动争议50起，调解率98%，涉及标的308.13万余元，法定时效内结案率100%，有力维护了社会大局稳定。三是筑牢社保基金防线。局党组高度重视社保基金安全，常态化开展基金管理风险防控专项整治。班子成员带队开展基金安全专项检查，严厉打击欺诈骗保、套保或挪用贪占社保基金的违法行为，确保各项社保基金安全平稳运行。</w:t>
      </w:r>
    </w:p>
    <w:p w14:paraId="363916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Times New Roman" w:hAnsi="Times New Roman" w:eastAsia="楷体_GB2312" w:cs="Times New Roman"/>
          <w:lang w:val="en-US" w:eastAsia="zh-CN"/>
        </w:rPr>
        <w:t>（三）严格公正执法，树立行政执法“法治公信”</w:t>
      </w:r>
      <w:r>
        <w:rPr>
          <w:rFonts w:hint="eastAsia" w:eastAsia="楷体_GB2312" w:cs="Times New Roman"/>
          <w:lang w:val="en-US" w:eastAsia="zh-CN"/>
        </w:rPr>
        <w:t>。</w:t>
      </w:r>
      <w:r>
        <w:rPr>
          <w:rFonts w:hint="eastAsia"/>
          <w:lang w:val="en-US" w:eastAsia="zh-CN"/>
        </w:rPr>
        <w:t>一是全面落实“三项制度”。局领导班子督促执法科室全面推行行政执法公示制度、执法全过程记录制度、重大执法决定法制审核制度，主动接受社会监督，让权力在阳光下运行。二是规范执法行为。严格执行“双随机、一公开”监管，科学制定抽查计划，避免多头执法、重复检查。加强执法队伍建设，组织全局8名行政执法人员参加年度培训和资格考试，确保持证上岗、亮证执法，不断提升执法规范化水平。三是做好争议化解工作。尊重司法权威，支持法院依法受理和审理行政案件。严格落实行政机关负责人出庭应诉制度，2025年局领导班子成员出庭应诉率达100%。认真执行法院生效判决，及时回应司法建议，切实维护行政相对人的合法权益。</w:t>
      </w:r>
    </w:p>
    <w:p w14:paraId="0EE443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Times New Roman" w:hAnsi="Times New Roman" w:eastAsia="楷体_GB2312" w:cs="Times New Roman"/>
          <w:lang w:val="en-US" w:eastAsia="zh-CN"/>
        </w:rPr>
        <w:t>（四）深化普法宣传，营造尊法学法“浓厚氛围”</w:t>
      </w:r>
      <w:r>
        <w:rPr>
          <w:rFonts w:hint="eastAsia" w:eastAsia="楷体_GB2312" w:cs="Times New Roman"/>
          <w:lang w:val="en-US" w:eastAsia="zh-CN"/>
        </w:rPr>
        <w:t>。</w:t>
      </w:r>
      <w:r>
        <w:rPr>
          <w:rFonts w:hint="eastAsia"/>
          <w:lang w:val="en-US" w:eastAsia="zh-CN"/>
        </w:rPr>
        <w:t>一是落实“谁执法谁普法”责任制。局领导班子研究制定年度普法责任清单，将普法责任落实到各股室。坚持普法与执法相结合，在劳动监察日常巡查、仲裁办案等过程中，向企业和群众精准解读法律法规。二是创新普法宣传载体。充分利用微信公众号、视频号等新媒体平台，发布政策解读。结合“春风行动”“12·4”国家宪法日等重要节点，组织干部职工深入社区、工地、企业开展送法活动</w:t>
      </w:r>
      <w:r>
        <w:rPr>
          <w:rFonts w:hint="default" w:ascii="Times New Roman" w:hAnsi="Times New Roman" w:cs="Times New Roman"/>
          <w:lang w:val="en-US" w:eastAsia="zh-CN"/>
        </w:rPr>
        <w:t>6</w:t>
      </w:r>
      <w:r>
        <w:rPr>
          <w:rFonts w:hint="eastAsia"/>
          <w:lang w:val="en-US" w:eastAsia="zh-CN"/>
        </w:rPr>
        <w:t>场，发放宣传资料400余份，</w:t>
      </w:r>
      <w:r>
        <w:rPr>
          <w:rFonts w:hint="eastAsia" w:ascii="仿宋_GB2312" w:hAnsi="仿宋_GB2312" w:eastAsia="仿宋_GB2312" w:cs="仿宋_GB2312"/>
          <w:sz w:val="32"/>
          <w:szCs w:val="32"/>
        </w:rPr>
        <w:t>接受群众咨询</w:t>
      </w:r>
      <w:r>
        <w:rPr>
          <w:rFonts w:hint="default" w:ascii="Times New Roman" w:hAnsi="Times New Roman" w:eastAsia="仿宋_GB2312" w:cs="Times New Roman"/>
          <w:sz w:val="32"/>
          <w:szCs w:val="32"/>
        </w:rPr>
        <w:t>350</w:t>
      </w:r>
      <w:r>
        <w:rPr>
          <w:rFonts w:hint="eastAsia" w:ascii="仿宋_GB2312" w:hAnsi="仿宋_GB2312" w:eastAsia="仿宋_GB2312" w:cs="仿宋_GB2312"/>
          <w:sz w:val="32"/>
          <w:szCs w:val="32"/>
        </w:rPr>
        <w:t>余人次</w:t>
      </w:r>
      <w:r>
        <w:rPr>
          <w:rFonts w:hint="eastAsia"/>
          <w:lang w:val="en-US" w:eastAsia="zh-CN"/>
        </w:rPr>
        <w:t>有效提升了人社法律法规的社会知晓度。</w:t>
      </w:r>
    </w:p>
    <w:p w14:paraId="5CAC18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二、存在的问题与不足</w:t>
      </w:r>
    </w:p>
    <w:p w14:paraId="5A1B65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eastAsia="楷体_GB2312" w:cs="Times New Roman"/>
          <w:lang w:eastAsia="zh-CN"/>
        </w:rPr>
        <w:t>（</w:t>
      </w:r>
      <w:r>
        <w:rPr>
          <w:rFonts w:hint="eastAsia" w:eastAsia="楷体_GB2312" w:cs="Times New Roman"/>
          <w:lang w:val="en-US" w:eastAsia="zh-CN"/>
        </w:rPr>
        <w:t>一</w:t>
      </w:r>
      <w:r>
        <w:rPr>
          <w:rFonts w:hint="eastAsia" w:eastAsia="楷体_GB2312" w:cs="Times New Roman"/>
          <w:lang w:eastAsia="zh-CN"/>
        </w:rPr>
        <w:t>）</w:t>
      </w:r>
      <w:r>
        <w:rPr>
          <w:rFonts w:hint="eastAsia" w:ascii="Times New Roman" w:hAnsi="Times New Roman" w:eastAsia="楷体_GB2312" w:cs="Times New Roman"/>
        </w:rPr>
        <w:t>学用结合还不够紧密。</w:t>
      </w:r>
      <w:r>
        <w:rPr>
          <w:rFonts w:hint="eastAsia"/>
        </w:rPr>
        <w:t>部分班子成员在运用法治思维破解人社事业改革发展难题</w:t>
      </w:r>
      <w:r>
        <w:rPr>
          <w:rFonts w:hint="eastAsia"/>
          <w:lang w:val="en-US" w:eastAsia="zh-CN"/>
        </w:rPr>
        <w:t>等</w:t>
      </w:r>
      <w:r>
        <w:rPr>
          <w:rFonts w:hint="eastAsia"/>
        </w:rPr>
        <w:t>方面，办法还不够多。</w:t>
      </w:r>
    </w:p>
    <w:p w14:paraId="5551B3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eastAsia="楷体_GB2312" w:cs="Times New Roman"/>
          <w:lang w:eastAsia="zh-CN"/>
        </w:rPr>
        <w:t>（</w:t>
      </w:r>
      <w:r>
        <w:rPr>
          <w:rFonts w:hint="eastAsia" w:eastAsia="楷体_GB2312" w:cs="Times New Roman"/>
          <w:lang w:val="en-US" w:eastAsia="zh-CN"/>
        </w:rPr>
        <w:t>二</w:t>
      </w:r>
      <w:r>
        <w:rPr>
          <w:rFonts w:hint="eastAsia" w:eastAsia="楷体_GB2312" w:cs="Times New Roman"/>
          <w:lang w:eastAsia="zh-CN"/>
        </w:rPr>
        <w:t>）</w:t>
      </w:r>
      <w:r>
        <w:rPr>
          <w:rFonts w:hint="eastAsia" w:ascii="Times New Roman" w:hAnsi="Times New Roman" w:eastAsia="楷体_GB2312" w:cs="Times New Roman"/>
        </w:rPr>
        <w:t>执法监督力度还需加强。</w:t>
      </w:r>
      <w:r>
        <w:rPr>
          <w:rFonts w:hint="eastAsia"/>
        </w:rPr>
        <w:t>对新业态用工、灵活就业等领域的监管研究不够深入，执法手段相对单一。</w:t>
      </w:r>
    </w:p>
    <w:p w14:paraId="0F045B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eastAsia="楷体_GB2312" w:cs="Times New Roman"/>
          <w:lang w:eastAsia="zh-CN"/>
        </w:rPr>
        <w:t>（</w:t>
      </w:r>
      <w:r>
        <w:rPr>
          <w:rFonts w:hint="eastAsia" w:eastAsia="楷体_GB2312" w:cs="Times New Roman"/>
          <w:lang w:val="en-US" w:eastAsia="zh-CN"/>
        </w:rPr>
        <w:t>三</w:t>
      </w:r>
      <w:r>
        <w:rPr>
          <w:rFonts w:hint="eastAsia" w:eastAsia="楷体_GB2312" w:cs="Times New Roman"/>
          <w:lang w:eastAsia="zh-CN"/>
        </w:rPr>
        <w:t>）</w:t>
      </w:r>
      <w:r>
        <w:rPr>
          <w:rFonts w:hint="eastAsia" w:ascii="Times New Roman" w:hAnsi="Times New Roman" w:eastAsia="楷体_GB2312" w:cs="Times New Roman"/>
        </w:rPr>
        <w:t>普法宣传的精准性有待提升。</w:t>
      </w:r>
      <w:r>
        <w:rPr>
          <w:rFonts w:hint="eastAsia"/>
        </w:rPr>
        <w:t>针对高校毕业生、新业态从业人员等重点群体，普法实效性有待进一步增强。</w:t>
      </w:r>
    </w:p>
    <w:p w14:paraId="1098F4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三、下一步工作打算</w:t>
      </w:r>
    </w:p>
    <w:p w14:paraId="7568A54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eastAsia="楷体_GB2312" w:cs="Times New Roman"/>
          <w:lang w:eastAsia="zh-CN"/>
        </w:rPr>
        <w:t>（</w:t>
      </w:r>
      <w:r>
        <w:rPr>
          <w:rFonts w:hint="eastAsia" w:eastAsia="楷体_GB2312" w:cs="Times New Roman"/>
          <w:lang w:val="en-US" w:eastAsia="zh-CN"/>
        </w:rPr>
        <w:t>一</w:t>
      </w:r>
      <w:r>
        <w:rPr>
          <w:rFonts w:hint="eastAsia" w:eastAsia="楷体_GB2312" w:cs="Times New Roman"/>
          <w:lang w:eastAsia="zh-CN"/>
        </w:rPr>
        <w:t>）</w:t>
      </w:r>
      <w:r>
        <w:rPr>
          <w:rFonts w:hint="eastAsia" w:ascii="Times New Roman" w:hAnsi="Times New Roman" w:eastAsia="楷体_GB2312" w:cs="Times New Roman"/>
        </w:rPr>
        <w:t>进一步提高政治站位，强化法治担当。</w:t>
      </w:r>
      <w:r>
        <w:rPr>
          <w:rFonts w:hint="eastAsia"/>
        </w:rPr>
        <w:t>局班子将继续带头学法用法，完善党组中心组学法制度，把法治建设成效作为衡量领导班子工作实绩的重要内容，不断提升领导干部依法履职的能力和水平。</w:t>
      </w:r>
    </w:p>
    <w:p w14:paraId="4B237D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eastAsia="楷体_GB2312" w:cs="Times New Roman"/>
          <w:lang w:eastAsia="zh-CN"/>
        </w:rPr>
        <w:t>（</w:t>
      </w:r>
      <w:r>
        <w:rPr>
          <w:rFonts w:hint="eastAsia" w:eastAsia="楷体_GB2312" w:cs="Times New Roman"/>
          <w:lang w:val="en-US" w:eastAsia="zh-CN"/>
        </w:rPr>
        <w:t>二</w:t>
      </w:r>
      <w:r>
        <w:rPr>
          <w:rFonts w:hint="eastAsia" w:eastAsia="楷体_GB2312" w:cs="Times New Roman"/>
          <w:lang w:eastAsia="zh-CN"/>
        </w:rPr>
        <w:t>）</w:t>
      </w:r>
      <w:r>
        <w:rPr>
          <w:rFonts w:hint="eastAsia" w:ascii="Times New Roman" w:hAnsi="Times New Roman" w:eastAsia="楷体_GB2312" w:cs="Times New Roman"/>
        </w:rPr>
        <w:t>进一步聚焦中心工作，服务发展大局。</w:t>
      </w:r>
      <w:r>
        <w:rPr>
          <w:rFonts w:hint="eastAsia"/>
        </w:rPr>
        <w:t>围绕就业优先、社会保障、人才强区等战略，持续推进依法行政。深化行政审批制度改革，优化人社服务，加强事中事后监管，为全区高质量发展营造法治化营商环境。</w:t>
      </w:r>
    </w:p>
    <w:p w14:paraId="44C76D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eastAsia="楷体_GB2312" w:cs="Times New Roman"/>
          <w:lang w:eastAsia="zh-CN"/>
        </w:rPr>
        <w:t>（</w:t>
      </w:r>
      <w:r>
        <w:rPr>
          <w:rFonts w:hint="eastAsia" w:eastAsia="楷体_GB2312" w:cs="Times New Roman"/>
          <w:lang w:val="en-US" w:eastAsia="zh-CN"/>
        </w:rPr>
        <w:t>三</w:t>
      </w:r>
      <w:r>
        <w:rPr>
          <w:rFonts w:hint="eastAsia" w:eastAsia="楷体_GB2312" w:cs="Times New Roman"/>
          <w:lang w:eastAsia="zh-CN"/>
        </w:rPr>
        <w:t>）</w:t>
      </w:r>
      <w:r>
        <w:rPr>
          <w:rFonts w:hint="eastAsia" w:ascii="Times New Roman" w:hAnsi="Times New Roman" w:eastAsia="楷体_GB2312" w:cs="Times New Roman"/>
        </w:rPr>
        <w:t>进一步严格依法履职，维护公平正义。</w:t>
      </w:r>
      <w:r>
        <w:rPr>
          <w:rFonts w:hint="eastAsia"/>
        </w:rPr>
        <w:t>持续抓好根治欠薪工作，加强劳动人事争议调解仲裁体系建设，切实维护劳动者和用人单位的合法权益。严格落实行政执法“三项制度”，加强执法监督，规范执法行为，确保权力依法合规运行。</w:t>
      </w:r>
    </w:p>
    <w:p w14:paraId="1E73E8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p>
    <w:p w14:paraId="3CD986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p>
    <w:p w14:paraId="277B92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eastAsia="仿宋_GB2312"/>
          <w:lang w:eastAsia="zh-CN"/>
        </w:rPr>
      </w:pPr>
      <w:r>
        <w:rPr>
          <w:rFonts w:hint="eastAsia"/>
          <w:lang w:eastAsia="zh-CN"/>
        </w:rPr>
        <w:t>马村区人力资源和社会保障局</w:t>
      </w:r>
    </w:p>
    <w:p w14:paraId="19B59B9D">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right"/>
        <w:textAlignment w:val="auto"/>
        <w:rPr>
          <w:rFonts w:hint="default" w:eastAsia="仿宋_GB2312"/>
          <w:lang w:val="en-US" w:eastAsia="zh-CN"/>
        </w:rPr>
      </w:pPr>
      <w:r>
        <w:rPr>
          <w:rFonts w:hint="eastAsia"/>
          <w:lang w:val="en-US" w:eastAsia="zh-CN"/>
        </w:rPr>
        <w:t xml:space="preserve">2026年1月27日    </w:t>
      </w:r>
    </w:p>
    <w:sectPr>
      <w:headerReference r:id="rId3" w:type="default"/>
      <w:footerReference r:id="rId4" w:type="default"/>
      <w:pgSz w:w="11906" w:h="16838"/>
      <w:pgMar w:top="2098" w:right="113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E27FCB9F-3535-4444-B5B4-CF976FBC365F}"/>
  </w:font>
  <w:font w:name="仿宋_GB2312">
    <w:altName w:val="仿宋"/>
    <w:panose1 w:val="02010609030101010101"/>
    <w:charset w:val="86"/>
    <w:family w:val="auto"/>
    <w:pitch w:val="default"/>
    <w:sig w:usb0="00000000" w:usb1="00000000" w:usb2="00000000" w:usb3="00000000" w:csb0="00040000" w:csb1="00000000"/>
    <w:embedRegular r:id="rId2" w:fontKey="{9A0F1FA8-E0B1-4AC0-905D-C134E244E978}"/>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4CF729C4-3DC8-4F5A-AA38-0FAFBA6B7375}"/>
  </w:font>
  <w:font w:name="楷体_GB2312">
    <w:altName w:val="楷体"/>
    <w:panose1 w:val="02010609030101010101"/>
    <w:charset w:val="86"/>
    <w:family w:val="auto"/>
    <w:pitch w:val="default"/>
    <w:sig w:usb0="00000000" w:usb1="00000000" w:usb2="00000000" w:usb3="00000000" w:csb0="00040000" w:csb1="00000000"/>
    <w:embedRegular r:id="rId4" w:fontKey="{0318FF2E-7E4E-46A2-ACE7-2B2B2C1A1B51}"/>
  </w:font>
  <w:font w:name="楷体">
    <w:panose1 w:val="02010609060101010101"/>
    <w:charset w:val="86"/>
    <w:family w:val="auto"/>
    <w:pitch w:val="default"/>
    <w:sig w:usb0="800002BF" w:usb1="38CF7CFA" w:usb2="00000016" w:usb3="00000000" w:csb0="00040001" w:csb1="00000000"/>
  </w:font>
  <w:font w:name="方正黑体简体">
    <w:panose1 w:val="02000000000000000000"/>
    <w:charset w:val="86"/>
    <w:family w:val="auto"/>
    <w:pitch w:val="default"/>
    <w:sig w:usb0="A00002BF" w:usb1="184F6CFA" w:usb2="00000012" w:usb3="00000000" w:csb0="00040001" w:csb1="00000000"/>
    <w:embedRegular r:id="rId5" w:fontKey="{8C372411-BD91-44E4-8B97-3AC3D2DE11F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95909">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B1CE3C">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CF2E84"/>
    <w:rsid w:val="02541D7F"/>
    <w:rsid w:val="02F403E5"/>
    <w:rsid w:val="069E33A6"/>
    <w:rsid w:val="143C01DD"/>
    <w:rsid w:val="16CF2E84"/>
    <w:rsid w:val="1F3B375E"/>
    <w:rsid w:val="285127F3"/>
    <w:rsid w:val="2AE84694"/>
    <w:rsid w:val="2E6C284E"/>
    <w:rsid w:val="30376FCE"/>
    <w:rsid w:val="34066A51"/>
    <w:rsid w:val="34701063"/>
    <w:rsid w:val="525A3D86"/>
    <w:rsid w:val="52DB5AA0"/>
    <w:rsid w:val="583D5CD8"/>
    <w:rsid w:val="5BA0191E"/>
    <w:rsid w:val="6CA46DB1"/>
    <w:rsid w:val="729D42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1"/>
      <w:sz w:val="32"/>
      <w:szCs w:val="24"/>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1976</Words>
  <Characters>2022</Characters>
  <Lines>0</Lines>
  <Paragraphs>0</Paragraphs>
  <TotalTime>65</TotalTime>
  <ScaleCrop>false</ScaleCrop>
  <LinksUpToDate>false</LinksUpToDate>
  <CharactersWithSpaces>2061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2026-01-20T11:49:00Z</dcterms:created>
  <dc:creator>熊猫大厨</dc:creator>
  <cp:lastModifiedBy>熊猫大厨</cp:lastModifiedBy>
  <cp:lastPrinted>2026-01-27T07:55:00Z</cp:lastPrinted>
  <dcterms:modified xsi:type="dcterms:W3CDTF">2026-01-27T08:20:15Z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6FEA4B332C1B47E88D4A3F4F381AB8E6_13</vt:lpwstr>
  </property>
  <property fmtid="{D5CDD505-2E9C-101B-9397-08002B2CF9AE}" pid="4" name="KSOTemplateDocerSaveRecord">
    <vt:lpwstr>eyJoZGlkIjoiNzkwYzY5NDYyNDY5MWIyNDY5ZWViYjZiNjkzMjkyMmEiLCJ1c2VySWQiOiIyNTEwNTM5NDIifQ==</vt:lpwstr>
  </property>
</Properties>
</file>