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2AE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马村区科学科技局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2025年度法治政府建设</w:t>
      </w:r>
    </w:p>
    <w:p w14:paraId="5210A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工作报告</w:t>
      </w:r>
    </w:p>
    <w:p w14:paraId="3CE47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8684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年，在区委、区政府的正确领导下，区科技局坚持以习近平新时代中国特色社会主义思想为指导，全面贯彻习近平法治思想和党的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二十届四中全会</w:t>
      </w:r>
      <w:r>
        <w:rPr>
          <w:rFonts w:hint="eastAsia" w:ascii="仿宋_GB2312" w:hAnsi="仿宋_GB2312" w:eastAsia="仿宋_GB2312" w:cs="仿宋_GB2312"/>
          <w:sz w:val="32"/>
          <w:szCs w:val="32"/>
        </w:rPr>
        <w:t>精神，严格对标中央、省、市、区关于法治政府建设的各项部署要求，将依法行政贯穿于科技管理与服务全过程，着力提升法治化工作水平，为全区科技创新事业高质量发展提供了坚实的法治保障。现将主要情况报告如下：</w:t>
      </w:r>
    </w:p>
    <w:p w14:paraId="03808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一、加强组织领导，压实法治建设责任</w:t>
      </w:r>
    </w:p>
    <w:p w14:paraId="363CF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局党组高度重视法治政府建设工作，切实履行推进法治建设领导职责。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是强化责任落实。将法治建设纳入年度工作要点和领导班子责任清单，与业务工作同部署、同检查、同考核。主要负责同志认真履行第一责任人职责，定期研究部署，及时解决重点难点问题。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是深化理论学习。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坚持把</w:t>
      </w:r>
      <w:r>
        <w:rPr>
          <w:rFonts w:hint="eastAsia" w:ascii="仿宋_GB2312" w:hAnsi="仿宋_GB2312" w:eastAsia="仿宋_GB2312" w:cs="仿宋_GB2312"/>
          <w:sz w:val="32"/>
          <w:szCs w:val="32"/>
        </w:rPr>
        <w:t>习近平法治思想、宪法法律及党内法规纳入党组理论学习中心组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主题党日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，组织学习《习近平关于全面依法治国论述摘编》《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中国共产党党徽党旗条例</w:t>
      </w:r>
      <w:r>
        <w:rPr>
          <w:rFonts w:hint="eastAsia" w:ascii="仿宋_GB2312" w:hAnsi="仿宋_GB2312" w:eastAsia="仿宋_GB2312" w:cs="仿宋_GB2312"/>
          <w:sz w:val="32"/>
          <w:szCs w:val="32"/>
        </w:rPr>
        <w:t>》《中国共产党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机构编制工作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条例》等法律法规，全年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集中学习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召开警示教育会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通过案例剖析、集中研讨等形式，引导全体干部职工树牢法治思维、增强法治素养，切实提升依法履职、依规办事的能力水平。</w:t>
      </w:r>
    </w:p>
    <w:p w14:paraId="00275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二、严格依法履职，规范科技行政管理</w:t>
      </w:r>
    </w:p>
    <w:p w14:paraId="03D08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推动</w:t>
      </w:r>
      <w:r>
        <w:rPr>
          <w:rFonts w:hint="eastAsia" w:ascii="楷体_GB2312" w:hAnsi="楷体_GB2312" w:eastAsia="楷体_GB2312" w:cs="楷体_GB2312"/>
          <w:sz w:val="32"/>
          <w:szCs w:val="32"/>
        </w:rPr>
        <w:t>培育创新主体。</w:t>
      </w:r>
      <w:r>
        <w:rPr>
          <w:rFonts w:hint="eastAsia" w:ascii="仿宋_GB2312" w:hAnsi="仿宋_GB2312" w:eastAsia="仿宋_GB2312" w:cs="仿宋_GB2312"/>
          <w:sz w:val="32"/>
          <w:szCs w:val="32"/>
        </w:rPr>
        <w:t>依据《高新技术企业认定管理办法》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《科技型中小企业评价办法》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等规定，规范开展政策辅导、申报推荐与动态管理。完善“微成长、小升高、高变强”梯次培育机制，推动创新主体量质齐升。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年，全区</w:t>
      </w:r>
      <w:r>
        <w:rPr>
          <w:rFonts w:hint="eastAsia" w:ascii="仿宋_GB2312" w:hAnsi="仿宋_GB2312" w:eastAsia="仿宋_GB2312" w:cs="仿宋_GB2312"/>
          <w:sz w:val="32"/>
          <w:szCs w:val="32"/>
        </w:rPr>
        <w:t>新增高新技术企业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家，总数达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家；备案入库科技型中小企业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家，同比增长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31.58%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；新增科创型种子企业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家，保持动态在库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家。</w:t>
      </w:r>
    </w:p>
    <w:p w14:paraId="57D58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sz w:val="32"/>
          <w:szCs w:val="32"/>
        </w:rPr>
        <w:t>）推进创新平台建设。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各级创新平台管理办法，指导依托单位规范开展申报、建设、运营，确保平台建设合规有序、高效运转。主动融入全市高能级创新平台布局，精准对接云台山实验室建设需求，指导千业水泥成为重点参建单位，助力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项科研项目成功入选云台山实验室重点研发项目；紧扣“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+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”主导产业发展需求，依据《焦作市工程技术研究中心管理办法》，精准指导红石科技、神龙水文申报市级工程技术研究中心，进一步完善区域创新平台体系。</w:t>
      </w:r>
    </w:p>
    <w:p w14:paraId="5421E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</w:rPr>
        <w:t>）促进科技成果转化。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深入贯彻《促进科技成果转化法》及配套政策，健全产学研协同对接机制，规范科技成果登记、技术合同认定登记等工作，依法保障各方合法权益。全年组织校企对接活动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余次，签订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产学研</w:t>
      </w:r>
      <w:r>
        <w:rPr>
          <w:rFonts w:hint="eastAsia" w:ascii="仿宋_GB2312" w:hAnsi="仿宋_GB2312" w:eastAsia="仿宋_GB2312" w:cs="仿宋_GB2312"/>
          <w:sz w:val="32"/>
          <w:szCs w:val="32"/>
        </w:rPr>
        <w:t>合作协议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项，完成科技成果登记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项，技术合同成交额达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7.05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亿元，同比增长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58.42%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F4E86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</w:rPr>
        <w:t>规范科技计划项目管理。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严格执行国家、省、市科技计划与资金管理办法，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确保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项目申报、评审、立项、过程监管、验收及绩效评价全流程规范，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全面推进信息公开，确保项目管理透明规范、资金使用安全高效。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指导</w:t>
      </w:r>
      <w:r>
        <w:rPr>
          <w:rFonts w:hint="eastAsia" w:ascii="仿宋_GB2312" w:hAnsi="仿宋_GB2312" w:eastAsia="仿宋_GB2312" w:cs="仿宋_GB2312"/>
          <w:sz w:val="32"/>
          <w:szCs w:val="32"/>
        </w:rPr>
        <w:t>千业水泥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个项目纳入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年度中央引导地方科技发展资金项目库管理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鑫恒重工成功申报河南省重点研发专项；组织企业新申报市级科技创新项目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指导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</w:t>
      </w:r>
      <w:r>
        <w:rPr>
          <w:rFonts w:hint="eastAsia" w:ascii="仿宋_GB2312" w:hAnsi="仿宋_GB2312" w:eastAsia="仿宋_GB2312" w:cs="仿宋_GB2312"/>
          <w:sz w:val="32"/>
          <w:szCs w:val="32"/>
        </w:rPr>
        <w:t>往年市级科技项目顺利通过验收。</w:t>
      </w:r>
    </w:p>
    <w:p w14:paraId="231D5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）优化科技创新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生态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常态化开展入企政策宣贯，严格按照《焦作市科技创新奖励资金管理办法》《关于金融支持科技创新的实施意见》等规定，精准落实激励政策。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新争取科技创新奖励资金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135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万元，逐步落实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年度科技创新奖励资金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160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万元，发放科技贷款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1150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万元，充分释放政策红利，激发企业创新活力。</w:t>
      </w:r>
    </w:p>
    <w:p w14:paraId="31919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三、完善决策程序，提升科学民主决策水平</w:t>
      </w:r>
    </w:p>
    <w:p w14:paraId="20DA9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严格执行“三重一大”事项集体决策制度，不断提升决策的科学性、民主性和合法性。凡涉及科技创新规划、重大资金安排、重要政策制定等事项，均坚持集体讨论、会议决定。全面落实行政规范性文件合法性审核机制，确保重大决策、规范性文件及重要合同协议必经法制审核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，共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召开班子成员会议专题研究“三重一大”事项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次，主动邀请派驻纪检监察组全程监督，实现决策过程公开透明、权力运行规范有序。</w:t>
      </w:r>
    </w:p>
    <w:p w14:paraId="7EBA0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、健全监督机制，强化权力运行制约</w:t>
      </w:r>
    </w:p>
    <w:p w14:paraId="1768B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自觉接受党内监督、人大监督、民主监督、司法监督、社会监督和舆论监督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，严格落实建议提案办理责任制，对人大代表建议、政协委员提案逐一研究、精准办理、及时反馈。</w:t>
      </w:r>
      <w:r>
        <w:rPr>
          <w:rFonts w:hint="eastAsia" w:ascii="仿宋_GB2312" w:hAnsi="仿宋_GB2312" w:eastAsia="仿宋_GB2312" w:cs="仿宋_GB2312"/>
          <w:sz w:val="32"/>
          <w:szCs w:val="32"/>
        </w:rPr>
        <w:t>畅通监督渠道，对各类投诉举报依法核查处理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“学查改以企观政服务企业大走访活动”反馈问题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项、落实区重大风险防控中心风险提示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处置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项。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强化内部风险防控，聚焦项目评审、资金使用、政策落实等关键环节，健全流程管控机制，常态化开展监督检查，确保权力规范行使，切实维护科技管理工作的严肃性和公正性。</w:t>
      </w:r>
    </w:p>
    <w:p w14:paraId="37470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压实</w:t>
      </w:r>
      <w:r>
        <w:rPr>
          <w:rFonts w:hint="eastAsia" w:ascii="黑体" w:hAnsi="黑体" w:eastAsia="黑体" w:cs="黑体"/>
          <w:sz w:val="32"/>
          <w:szCs w:val="32"/>
        </w:rPr>
        <w:t>普法责任，营造科技创新法治环境</w:t>
      </w:r>
    </w:p>
    <w:p w14:paraId="41D42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围绕“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4·15</w:t>
      </w:r>
      <w:r>
        <w:rPr>
          <w:rFonts w:hint="eastAsia" w:ascii="仿宋_GB2312" w:hAnsi="仿宋_GB2312" w:eastAsia="仿宋_GB2312" w:cs="仿宋_GB2312"/>
          <w:sz w:val="32"/>
          <w:szCs w:val="32"/>
        </w:rPr>
        <w:t>”全民国家安全教育日、“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12·4</w:t>
      </w:r>
      <w:r>
        <w:rPr>
          <w:rFonts w:hint="eastAsia" w:ascii="仿宋_GB2312" w:hAnsi="仿宋_GB2312" w:eastAsia="仿宋_GB2312" w:cs="仿宋_GB2312"/>
          <w:sz w:val="32"/>
          <w:szCs w:val="32"/>
        </w:rPr>
        <w:t>”国家宪法日等重要节点，组织学习《中华人民共和国保守国家秘密法》等法律法规，提升干部职工守法意识和责任意识。结合“科技活动周”、企业走访服务等，面向创新主体与社会公众，积极开展《科学技术进步法》、《促进科技成果转化法》等法律法规及配套政策的宣传解读，全年开展专题宣讲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场，发放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宣传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1000</w:t>
      </w:r>
      <w:r>
        <w:rPr>
          <w:rFonts w:hint="eastAsia" w:ascii="仿宋_GB2312" w:hAnsi="仿宋_GB2312" w:eastAsia="仿宋_GB2312" w:cs="仿宋_GB2312"/>
          <w:sz w:val="32"/>
          <w:szCs w:val="32"/>
        </w:rPr>
        <w:t>余份，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着力</w:t>
      </w:r>
      <w:r>
        <w:rPr>
          <w:rFonts w:hint="eastAsia" w:ascii="仿宋_GB2312" w:hAnsi="仿宋_GB2312" w:eastAsia="仿宋_GB2312" w:cs="仿宋_GB2312"/>
          <w:sz w:val="32"/>
          <w:szCs w:val="32"/>
        </w:rPr>
        <w:t>营造尊重知识、崇尚创新、诚信守法的良好社会氛围。</w:t>
      </w:r>
    </w:p>
    <w:p w14:paraId="57CBE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、存在问题</w:t>
      </w:r>
    </w:p>
    <w:p w14:paraId="3F00C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照法治政府建设更高要求，当前工作仍存在不足：一是法治思维与科技业务深度融合不够紧密，运用法治方式破解产业创新深层次矛盾、应对新业态新挑战的能力有待进一步提升；二是科技普法宣传的创新性、覆盖面仍需拓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普法宣传的精准性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渗透力有待提升。</w:t>
      </w:r>
    </w:p>
    <w:p w14:paraId="150C3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七、下步打算</w:t>
      </w:r>
    </w:p>
    <w:p w14:paraId="4081A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下一步，区科技局将以习近平法治思想为指引，推动法治政府建设与科技创新深度融合、互促共进。一是筑牢法治能力根基，把法治培训与科技业务实操相结合，通过案例研讨、专题授课等形式提升干部职工依法履职素养，善用法治思维破解产业创新深层次矛盾。二是健全制度执行体系，聚焦科技项目管理、资金使用等关键环节，完善规章制度、优化业务流程，强化制度刚性约束，提升科技治理法治化效能。三是优化法治服务生态，创新精准普法模式，拓宽科技法规宣传覆盖面与渗透力，依法保障各类创新主体权益，持续释放政策红利，营造尊法崇创的良好环境。</w:t>
      </w:r>
    </w:p>
    <w:p w14:paraId="2C533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8ED2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5F9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592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508D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马村区科学技术局</w:t>
      </w:r>
    </w:p>
    <w:p w14:paraId="40F00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2026年1月29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1CF36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15BA40"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15BA40"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72E78"/>
    <w:rsid w:val="01A0487B"/>
    <w:rsid w:val="04A14C29"/>
    <w:rsid w:val="04DB0285"/>
    <w:rsid w:val="057A1124"/>
    <w:rsid w:val="06E60327"/>
    <w:rsid w:val="0744651C"/>
    <w:rsid w:val="07837045"/>
    <w:rsid w:val="09715D3F"/>
    <w:rsid w:val="0E554C8F"/>
    <w:rsid w:val="0E9E4D0D"/>
    <w:rsid w:val="10515BB4"/>
    <w:rsid w:val="14025795"/>
    <w:rsid w:val="154A0419"/>
    <w:rsid w:val="18A46E1B"/>
    <w:rsid w:val="19CB14DE"/>
    <w:rsid w:val="1AD67034"/>
    <w:rsid w:val="1C3109C5"/>
    <w:rsid w:val="1D322AF4"/>
    <w:rsid w:val="1D3958CF"/>
    <w:rsid w:val="1D6E17A5"/>
    <w:rsid w:val="216C735A"/>
    <w:rsid w:val="223B12B8"/>
    <w:rsid w:val="22B51E92"/>
    <w:rsid w:val="23181B9F"/>
    <w:rsid w:val="2472475B"/>
    <w:rsid w:val="26AA61AC"/>
    <w:rsid w:val="297E7214"/>
    <w:rsid w:val="2A7C3754"/>
    <w:rsid w:val="2B255B99"/>
    <w:rsid w:val="2C0D5456"/>
    <w:rsid w:val="2C3A0591"/>
    <w:rsid w:val="2C7A0008"/>
    <w:rsid w:val="2CFD5684"/>
    <w:rsid w:val="2D053ED4"/>
    <w:rsid w:val="2D4A18E7"/>
    <w:rsid w:val="2E4B3B69"/>
    <w:rsid w:val="2EA27501"/>
    <w:rsid w:val="2F342400"/>
    <w:rsid w:val="309C64CF"/>
    <w:rsid w:val="312A38FC"/>
    <w:rsid w:val="31CB6D6E"/>
    <w:rsid w:val="322979B4"/>
    <w:rsid w:val="346165F5"/>
    <w:rsid w:val="3464452F"/>
    <w:rsid w:val="369167D9"/>
    <w:rsid w:val="36D44917"/>
    <w:rsid w:val="391D25A6"/>
    <w:rsid w:val="398443D3"/>
    <w:rsid w:val="39BF5D4C"/>
    <w:rsid w:val="39C62C3D"/>
    <w:rsid w:val="3BE715F3"/>
    <w:rsid w:val="40063B98"/>
    <w:rsid w:val="42147227"/>
    <w:rsid w:val="426E477F"/>
    <w:rsid w:val="426F7296"/>
    <w:rsid w:val="429C6BCE"/>
    <w:rsid w:val="43F53C04"/>
    <w:rsid w:val="445E32F8"/>
    <w:rsid w:val="45B93E4A"/>
    <w:rsid w:val="46BF5A44"/>
    <w:rsid w:val="47782134"/>
    <w:rsid w:val="47B34B2D"/>
    <w:rsid w:val="495D4B69"/>
    <w:rsid w:val="4990663D"/>
    <w:rsid w:val="4A0431D8"/>
    <w:rsid w:val="4CB1386B"/>
    <w:rsid w:val="4DEB2AE6"/>
    <w:rsid w:val="4E9C0BC5"/>
    <w:rsid w:val="50DC1EB2"/>
    <w:rsid w:val="52246DE3"/>
    <w:rsid w:val="52383FF3"/>
    <w:rsid w:val="525635A3"/>
    <w:rsid w:val="530729D3"/>
    <w:rsid w:val="5444538C"/>
    <w:rsid w:val="582B57B9"/>
    <w:rsid w:val="58580AAD"/>
    <w:rsid w:val="5B2F58ED"/>
    <w:rsid w:val="5F6F4F9F"/>
    <w:rsid w:val="5FD21144"/>
    <w:rsid w:val="5FE34FB9"/>
    <w:rsid w:val="63115115"/>
    <w:rsid w:val="65E51635"/>
    <w:rsid w:val="6615622F"/>
    <w:rsid w:val="668A2779"/>
    <w:rsid w:val="67335249"/>
    <w:rsid w:val="68633281"/>
    <w:rsid w:val="68B40255"/>
    <w:rsid w:val="691E53FA"/>
    <w:rsid w:val="6967137D"/>
    <w:rsid w:val="6A59468E"/>
    <w:rsid w:val="70C76378"/>
    <w:rsid w:val="71213CDA"/>
    <w:rsid w:val="737407F8"/>
    <w:rsid w:val="73813156"/>
    <w:rsid w:val="73A225C1"/>
    <w:rsid w:val="73ED2641"/>
    <w:rsid w:val="7407365B"/>
    <w:rsid w:val="74B81B56"/>
    <w:rsid w:val="75DB226C"/>
    <w:rsid w:val="7A672360"/>
    <w:rsid w:val="7BCE2CB0"/>
    <w:rsid w:val="7DEC38C1"/>
    <w:rsid w:val="7F623D8C"/>
    <w:rsid w:val="7F91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2154</Words>
  <Characters>2203</Characters>
  <Lines>0</Lines>
  <Paragraphs>0</Paragraphs>
  <TotalTime>11</TotalTime>
  <ScaleCrop>false</ScaleCrop>
  <LinksUpToDate>false</LinksUpToDate>
  <CharactersWithSpaces>2203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2025-03-12T00:29:00Z</dcterms:created>
  <dc:creator>Administrator</dc:creator>
  <cp:lastModifiedBy>樊怡君</cp:lastModifiedBy>
  <dcterms:modified xsi:type="dcterms:W3CDTF">2026-01-29T02:22:49Z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380AE6F4706D46D5B7DAAE2999679AC9_12</vt:lpwstr>
  </property>
  <property fmtid="{D5CDD505-2E9C-101B-9397-08002B2CF9AE}" pid="4" name="KSOTemplateDocerSaveRecord">
    <vt:lpwstr>eyJoZGlkIjoiN2VkYWM5ZTZhNzRlNjc3N2E3YzNjOTA1OGRmY2RmMzMiLCJ1c2VySWQiOiIzMTgxNjYzMDUifQ==</vt:lpwstr>
  </property>
</Properties>
</file>