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AD7557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1-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11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月份全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县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主要经济指标情况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分析</w:t>
      </w:r>
    </w:p>
    <w:p w14:paraId="6D7FA584">
      <w:pPr>
        <w:jc w:val="center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p w14:paraId="582207BC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3" w:lineRule="atLeas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1-11月份，全县规上工业增加值同比增长8.3%。其中，制造业同比增长9.2%。</w:t>
      </w:r>
    </w:p>
    <w:p w14:paraId="5C9D0E18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3" w:lineRule="atLeas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1-11月份，全县固定资产投资同比增长5.7%。其中，第二产业投资占比61.1%，第三产业投资占比35.2%。</w:t>
      </w:r>
      <w:bookmarkStart w:id="0" w:name="_GoBack"/>
      <w:bookmarkEnd w:id="0"/>
    </w:p>
    <w:p w14:paraId="28BB203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1-11月份，全县社会消费品零售总额同比增长6.7%。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505C1"/>
    <w:rsid w:val="05B93D68"/>
    <w:rsid w:val="14FA2D17"/>
    <w:rsid w:val="1F7E3BED"/>
    <w:rsid w:val="484F3B47"/>
    <w:rsid w:val="5E1A7CEF"/>
    <w:rsid w:val="6679EE18"/>
    <w:rsid w:val="7E5FF059"/>
    <w:rsid w:val="E5FF3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Office_12.1.2.23578_F1E327BC-269C-435d-A152-05C5408002CA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2025-07-22T09:16:00Z</dcterms:created>
  <dc:creator>Administrator</dc:creator>
  <cp:lastModifiedBy>TJJZHGWD</cp:lastModifiedBy>
  <cp:lastPrinted>2025-12-26T14:47:43Z</cp:lastPrinted>
  <dcterms:modified xsi:type="dcterms:W3CDTF">2025-12-26T14:47:46Z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2052-12.1.2.23578</vt:lpwstr>
  </property>
  <property fmtid="{D5CDD505-2E9C-101B-9397-08002B2CF9AE}" pid="3" name="ICV">
    <vt:lpwstr>0125BE9333E746A2B9F0BCF782879666_12</vt:lpwstr>
  </property>
</Properties>
</file>