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577A7">
      <w:pPr>
        <w:jc w:val="center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一季度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全县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主要经济指标情况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分析</w:t>
      </w:r>
    </w:p>
    <w:p w14:paraId="2D91F8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 w:firstLineChars="20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</w:pPr>
    </w:p>
    <w:p w14:paraId="52E23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初步核算，一季度，全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地区生产总值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2.2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%。其中，第一产业增加值同比增长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2.2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%；第二产业增加值同比增长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0.5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%；第三产业增加值同比增长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3.8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p w14:paraId="2C8E7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1-3月份，全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规上工业增加值同比增长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0.3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%。其中，制造业同比增长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p w14:paraId="53FAF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1-3月份，全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固定资产投资同比增长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7.8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%。其中，第二产业投资占比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63.1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%，第三产业投资占比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30.3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p w14:paraId="3B30D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1-3月份，全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社会消费品零售总额同比增长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D1297"/>
    <w:rsid w:val="15096D5D"/>
    <w:rsid w:val="1EC15455"/>
    <w:rsid w:val="3D292EEB"/>
    <w:rsid w:val="6677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2025-08-13T08:27:00Z</dcterms:created>
  <dc:creator>Administrator</dc:creator>
  <cp:lastModifiedBy>Administrator</cp:lastModifiedBy>
  <cp:lastPrinted>2026-04-30T01:25:00Z</cp:lastPrinted>
  <dcterms:modified xsi:type="dcterms:W3CDTF">2026-04-30T01:37:27Z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D5C07C51115343CF9AA36FC78A14FC00_12</vt:lpwstr>
  </property>
</Properties>
</file>