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B577A7">
      <w:pPr>
        <w:jc w:val="center"/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1-4月份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全县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</w:rPr>
        <w:t>主要经济指标情况</w:t>
      </w:r>
      <w:r>
        <w:rPr>
          <w:rFonts w:hint="default" w:ascii="Times New Roman" w:hAnsi="Times New Roman" w:eastAsia="方正小标宋简体" w:cs="Times New Roman"/>
          <w:b/>
          <w:bCs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分析</w:t>
      </w:r>
    </w:p>
    <w:p w14:paraId="2D91F8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40" w:firstLineChars="20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</w:pPr>
    </w:p>
    <w:p w14:paraId="2C8E77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月份，全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规上工业增加值同比增长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%。其中，制造业同比增长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1.0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p w14:paraId="53FAF5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月份，全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固定资产投资同比增长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7.2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%。其中，第二产业投资占比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56.1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%，第三产业投资</w:t>
      </w:r>
      <w:bookmarkStart w:id="0" w:name="_GoBack"/>
      <w:bookmarkEnd w:id="0"/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占比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37.8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p w14:paraId="3B30D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/>
          <w:bCs/>
          <w:i w:val="0"/>
          <w:iCs w:val="0"/>
          <w:caps w:val="0"/>
          <w:color w:val="auto"/>
          <w:spacing w:val="0"/>
          <w:sz w:val="27"/>
          <w:szCs w:val="27"/>
          <w:shd w:val="clear" w:fill="FFFFFF"/>
        </w:rPr>
      </w:pP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1-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月份，全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县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社会消费品零售总额同比增长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3.6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%。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D1297"/>
    <w:rsid w:val="15096D5D"/>
    <w:rsid w:val="1EC15455"/>
    <w:rsid w:val="25E46F0B"/>
    <w:rsid w:val="3D292EEB"/>
    <w:rsid w:val="6677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56</TotalTime>
  <ScaleCrop>false</ScaleCrop>
  <LinksUpToDate>false</LinksUpToDate>
  <CharactersWithSpaces>0</CharactersWithSpaces>
  <Application>WPS Office_12.8.2.17149_F1E327BC-269C-435d-A152-05C5408002CA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2025-08-13T08:27:00Z</dcterms:created>
  <dc:creator>Administrator</dc:creator>
  <cp:lastModifiedBy>Administrator</cp:lastModifiedBy>
  <cp:lastPrinted>2026-04-30T01:25:00Z</cp:lastPrinted>
  <dcterms:modified xsi:type="dcterms:W3CDTF">2026-05-29T00:33:32Z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2052-12.8.2.17149</vt:lpwstr>
  </property>
  <property fmtid="{D5CDD505-2E9C-101B-9397-08002B2CF9AE}" pid="3" name="ICV">
    <vt:lpwstr>D5C07C51115343CF9AA36FC78A14FC00_12</vt:lpwstr>
  </property>
</Properties>
</file>