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endnotes.xml" ContentType="application/vnd.openxmlformats-officedocument.wordprocessingml.endnotes+xml"/>
  <Override PartName="/word/fontTable.xml" ContentType="application/vnd.openxmlformats-officedocument.wordprocessingml.fontTable+xml"/>
  <Override PartName="/word/footer1.xml" ContentType="application/vnd.openxmlformats-officedocument.wordprocessingml.footer+xml"/>
  <Override PartName="/word/footnotes.xml" ContentType="application/vnd.openxmlformats-officedocument.wordprocessingml.footnotes+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keepNext w:val="0"/>
        <w:keepLines w:val="0"/>
        <w:pageBreakBefore w:val="0"/>
        <w:widowControl/>
        <w:kinsoku/>
        <w:wordWrap w:val="0"/>
        <w:overflowPunct/>
        <w:topLinePunct w:val="0"/>
        <w:autoSpaceDE/>
        <w:autoSpaceDN/>
        <w:bidi w:val="0"/>
        <w:spacing w:line="540" w:lineRule="exact"/>
        <w:ind w:left="0" w:leftChars="0" w:firstLine="700" w:firstLineChars="200"/>
        <w:jc w:val="left"/>
        <w:textAlignment w:val="auto"/>
        <w:rPr>
          <w:rFonts w:hint="default" w:ascii="Times New Roman" w:hAnsi="Times New Roman" w:eastAsia="仿宋_GB2312" w:cs="Times New Roman"/>
          <w:spacing w:val="15"/>
          <w:sz w:val="32"/>
          <w:szCs w:val="32"/>
        </w:rPr>
      </w:pPr>
    </w:p>
    <w:p>
      <w:pPr>
        <w:keepNext w:val="0"/>
        <w:keepLines w:val="0"/>
        <w:pageBreakBefore w:val="0"/>
        <w:widowControl/>
        <w:kinsoku/>
        <w:wordWrap w:val="0"/>
        <w:overflowPunct/>
        <w:topLinePunct w:val="0"/>
        <w:autoSpaceDE/>
        <w:autoSpaceDN/>
        <w:bidi w:val="0"/>
        <w:spacing w:line="540" w:lineRule="exact"/>
        <w:ind w:left="0" w:leftChars="0" w:firstLine="700" w:firstLineChars="200"/>
        <w:jc w:val="left"/>
        <w:textAlignment w:val="auto"/>
        <w:rPr>
          <w:rFonts w:hint="default" w:ascii="Times New Roman" w:hAnsi="Times New Roman" w:eastAsia="仿宋_GB2312" w:cs="Times New Roman"/>
          <w:spacing w:val="15"/>
          <w:sz w:val="32"/>
          <w:szCs w:val="32"/>
        </w:rPr>
      </w:pPr>
    </w:p>
    <w:p>
      <w:pPr>
        <w:keepNext w:val="0"/>
        <w:keepLines w:val="0"/>
        <w:pageBreakBefore w:val="0"/>
        <w:widowControl/>
        <w:kinsoku/>
        <w:wordWrap w:val="0"/>
        <w:overflowPunct/>
        <w:topLinePunct w:val="0"/>
        <w:autoSpaceDE/>
        <w:autoSpaceDN/>
        <w:bidi w:val="0"/>
        <w:spacing w:line="540" w:lineRule="exact"/>
        <w:ind w:left="0" w:leftChars="0" w:firstLine="782" w:firstLineChars="200"/>
        <w:jc w:val="center"/>
        <w:textAlignment w:val="auto"/>
        <w:rPr>
          <w:rFonts w:hint="default" w:ascii="Times New Roman" w:hAnsi="Times New Roman" w:eastAsia="方正小标宋简体" w:cs="Times New Roman"/>
          <w:b/>
          <w:bCs/>
          <w:spacing w:val="15"/>
          <w:sz w:val="36"/>
          <w:szCs w:val="36"/>
        </w:rPr>
      </w:pPr>
    </w:p>
    <w:p>
      <w:pPr>
        <w:keepNext w:val="0"/>
        <w:keepLines w:val="0"/>
        <w:pageBreakBefore w:val="0"/>
        <w:widowControl/>
        <w:kinsoku/>
        <w:wordWrap w:val="0"/>
        <w:overflowPunct/>
        <w:topLinePunct w:val="0"/>
        <w:autoSpaceDE/>
        <w:autoSpaceDN/>
        <w:bidi w:val="0"/>
        <w:adjustRightInd/>
        <w:snapToGrid/>
        <w:spacing w:line="540" w:lineRule="exact"/>
        <w:ind w:left="0" w:leftChars="0" w:firstLine="0" w:firstLineChars="0"/>
        <w:jc w:val="both"/>
        <w:textAlignment w:val="auto"/>
        <w:rPr>
          <w:rFonts w:hint="default" w:ascii="Times New Roman" w:hAnsi="Times New Roman" w:eastAsia="方正小标宋简体" w:cs="Times New Roman"/>
          <w:b/>
          <w:bCs/>
          <w:spacing w:val="15"/>
          <w:sz w:val="36"/>
          <w:szCs w:val="36"/>
          <w:lang w:eastAsia="zh-CN"/>
        </w:rPr>
      </w:pPr>
    </w:p>
    <w:p>
      <w:pPr>
        <w:keepNext w:val="0"/>
        <w:keepLines w:val="0"/>
        <w:pageBreakBefore w:val="0"/>
        <w:widowControl/>
        <w:kinsoku/>
        <w:wordWrap w:val="0"/>
        <w:overflowPunct/>
        <w:topLinePunct w:val="0"/>
        <w:autoSpaceDE/>
        <w:autoSpaceDN/>
        <w:bidi w:val="0"/>
        <w:adjustRightInd/>
        <w:snapToGrid/>
        <w:spacing w:line="540" w:lineRule="exact"/>
        <w:ind w:left="0" w:leftChars="0" w:firstLine="782" w:firstLineChars="200"/>
        <w:jc w:val="center"/>
        <w:textAlignment w:val="auto"/>
        <w:rPr>
          <w:rFonts w:hint="default" w:eastAsia="方正小标宋简体" w:cs="Times New Roman"/>
          <w:b/>
          <w:bCs/>
          <w:spacing w:val="15"/>
          <w:sz w:val="36"/>
          <w:szCs w:val="36"/>
          <w:lang w:eastAsia="zh-CN"/>
        </w:rPr>
      </w:pPr>
      <w:r>
        <w:rPr>
          <w:rFonts w:hint="default" w:eastAsia="方正小标宋简体" w:cs="Times New Roman"/>
          <w:b/>
          <w:bCs/>
          <w:spacing w:val="15"/>
          <w:sz w:val="36"/>
          <w:szCs w:val="36"/>
          <w:lang w:eastAsia="zh-CN"/>
        </w:rPr>
        <w:t xml:space="preserve">   </w:t>
      </w:r>
    </w:p>
    <w:p>
      <w:pPr>
        <w:keepNext w:val="0"/>
        <w:keepLines w:val="0"/>
        <w:pageBreakBefore w:val="0"/>
        <w:widowControl/>
        <w:kinsoku/>
        <w:wordWrap w:val="0"/>
        <w:overflowPunct/>
        <w:topLinePunct w:val="0"/>
        <w:autoSpaceDE/>
        <w:autoSpaceDN/>
        <w:bidi w:val="0"/>
        <w:adjustRightInd/>
        <w:snapToGrid/>
        <w:spacing w:line="540" w:lineRule="exact"/>
        <w:ind w:left="0" w:leftChars="0" w:firstLine="782" w:firstLineChars="200"/>
        <w:jc w:val="center"/>
        <w:textAlignment w:val="auto"/>
        <w:rPr>
          <w:rFonts w:hint="default" w:ascii="Times New Roman" w:hAnsi="Times New Roman" w:eastAsia="仿宋_GB2312" w:cs="Times New Roman"/>
          <w:spacing w:val="15"/>
          <w:sz w:val="32"/>
          <w:szCs w:val="32"/>
        </w:rPr>
      </w:pPr>
      <w:r>
        <w:rPr>
          <w:rFonts w:hint="default" w:eastAsia="方正小标宋简体" w:cs="Times New Roman"/>
          <w:b/>
          <w:bCs/>
          <w:spacing w:val="15"/>
          <w:sz w:val="36"/>
          <w:szCs w:val="36"/>
          <w:lang w:eastAsia="zh-CN"/>
        </w:rPr>
        <w:t xml:space="preserve">   不予受理</w:t>
      </w:r>
      <w:r>
        <w:rPr>
          <w:rFonts w:hint="default" w:ascii="Times New Roman" w:hAnsi="Times New Roman" w:eastAsia="方正小标宋简体" w:cs="Times New Roman"/>
          <w:b/>
          <w:bCs/>
          <w:spacing w:val="15"/>
          <w:sz w:val="36"/>
          <w:szCs w:val="36"/>
        </w:rPr>
        <w:t>决定</w:t>
      </w:r>
    </w:p>
    <w:p>
      <w:pPr>
        <w:keepNext w:val="0"/>
        <w:keepLines w:val="0"/>
        <w:pageBreakBefore w:val="0"/>
        <w:widowControl/>
        <w:kinsoku/>
        <w:wordWrap w:val="0"/>
        <w:overflowPunct/>
        <w:topLinePunct w:val="0"/>
        <w:autoSpaceDE/>
        <w:autoSpaceDN/>
        <w:bidi w:val="0"/>
        <w:spacing w:line="540" w:lineRule="exact"/>
        <w:ind w:left="0" w:leftChars="0" w:firstLine="782" w:firstLineChars="200"/>
        <w:textAlignment w:val="auto"/>
        <w:rPr>
          <w:rFonts w:hint="default" w:ascii="Times New Roman" w:hAnsi="Times New Roman" w:eastAsia="方正小标宋简体" w:cs="Times New Roman"/>
          <w:b/>
          <w:bCs/>
          <w:spacing w:val="15"/>
          <w:sz w:val="36"/>
          <w:szCs w:val="36"/>
        </w:rPr>
      </w:pPr>
    </w:p>
    <w:p>
      <w:pPr>
        <w:keepNext w:val="0"/>
        <w:keepLines w:val="0"/>
        <w:pageBreakBefore w:val="0"/>
        <w:widowControl/>
        <w:kinsoku/>
        <w:overflowPunct/>
        <w:topLinePunct w:val="0"/>
        <w:autoSpaceDE/>
        <w:autoSpaceDN/>
        <w:bidi w:val="0"/>
        <w:spacing w:line="540" w:lineRule="exact"/>
        <w:ind w:left="0" w:leftChars="0" w:firstLine="640" w:firstLineChars="200"/>
        <w:jc w:val="center"/>
        <w:textAlignment w:val="auto"/>
        <w:rPr>
          <w:rFonts w:hint="default" w:ascii="Times New Roman" w:hAnsi="Times New Roman" w:eastAsia="仿宋_GB2312" w:cs="Times New Roman"/>
          <w:spacing w:val="15"/>
          <w:sz w:val="32"/>
          <w:szCs w:val="32"/>
        </w:rPr>
      </w:pPr>
      <w:r>
        <w:rPr>
          <w:rFonts w:hint="default" w:ascii="Times New Roman" w:hAnsi="Times New Roman" w:eastAsia="仿宋_GB2312" w:cs="Times New Roman"/>
          <w:sz w:val="32"/>
        </w:rPr>
        <w:t>博政</w:t>
      </w:r>
      <w:r>
        <w:rPr>
          <w:rFonts w:hint="eastAsia" w:cs="Times New Roman"/>
          <w:sz w:val="32"/>
          <w:lang w:eastAsia="zh-CN"/>
        </w:rPr>
        <w:t>复不受</w:t>
      </w:r>
      <w:r>
        <w:rPr>
          <w:rFonts w:hint="default" w:ascii="Times New Roman" w:hAnsi="Times New Roman" w:eastAsia="仿宋_GB2312" w:cs="Times New Roman"/>
          <w:sz w:val="32"/>
        </w:rPr>
        <w:t>字〔20</w:t>
      </w:r>
      <w:r>
        <w:rPr>
          <w:rFonts w:hint="default" w:ascii="Times New Roman" w:hAnsi="Times New Roman" w:eastAsia="仿宋_GB2312" w:cs="Times New Roman"/>
          <w:sz w:val="32"/>
          <w:lang w:val="en-US" w:eastAsia="zh-CN"/>
        </w:rPr>
        <w:t>2</w:t>
      </w:r>
      <w:r>
        <w:rPr>
          <w:rFonts w:hint="eastAsia" w:cs="Times New Roman"/>
          <w:sz w:val="32"/>
          <w:lang w:val="en-US" w:eastAsia="zh-CN"/>
        </w:rPr>
        <w:t>5</w:t>
      </w:r>
      <w:r>
        <w:rPr>
          <w:rFonts w:hint="default" w:ascii="Times New Roman" w:hAnsi="Times New Roman" w:eastAsia="仿宋_GB2312" w:cs="Times New Roman"/>
          <w:sz w:val="32"/>
        </w:rPr>
        <w:t>〕</w:t>
      </w:r>
      <w:r>
        <w:rPr>
          <w:rFonts w:hint="eastAsia" w:cs="Times New Roman"/>
          <w:sz w:val="32"/>
          <w:lang w:val="en-US" w:eastAsia="zh-CN"/>
        </w:rPr>
        <w:t>4</w:t>
      </w:r>
      <w:r>
        <w:rPr>
          <w:rFonts w:hint="default" w:ascii="Times New Roman" w:hAnsi="Times New Roman" w:eastAsia="仿宋_GB2312" w:cs="Times New Roman"/>
          <w:sz w:val="32"/>
        </w:rPr>
        <w:t>号</w:t>
      </w:r>
    </w:p>
    <w:p>
      <w:pPr>
        <w:keepNext w:val="0"/>
        <w:keepLines w:val="0"/>
        <w:pageBreakBefore w:val="0"/>
        <w:widowControl w:val="0"/>
        <w:kinsoku/>
        <w:wordWrap/>
        <w:overflowPunct/>
        <w:topLinePunct w:val="0"/>
        <w:autoSpaceDE/>
        <w:autoSpaceDN/>
        <w:bidi w:val="0"/>
        <w:adjustRightInd w:val="0"/>
        <w:snapToGrid w:val="0"/>
        <w:spacing w:line="540" w:lineRule="exact"/>
        <w:ind w:left="0" w:leftChars="0" w:firstLine="640" w:firstLineChars="200"/>
        <w:textAlignment w:val="bottom"/>
        <w:rPr>
          <w:rFonts w:hint="default" w:ascii="Times New Roman" w:hAnsi="Times New Roman" w:eastAsia="仿宋_GB2312" w:cs="Times New Roman"/>
          <w:sz w:val="32"/>
        </w:rPr>
      </w:pPr>
    </w:p>
    <w:p>
      <w:pPr>
        <w:keepNext w:val="0"/>
        <w:keepLines w:val="0"/>
        <w:pageBreakBefore w:val="0"/>
        <w:widowControl w:val="0"/>
        <w:kinsoku/>
        <w:wordWrap/>
        <w:overflowPunct/>
        <w:topLinePunct w:val="0"/>
        <w:autoSpaceDE/>
        <w:autoSpaceDN/>
        <w:bidi w:val="0"/>
        <w:adjustRightInd w:val="0"/>
        <w:snapToGrid w:val="0"/>
        <w:spacing w:line="540" w:lineRule="exact"/>
        <w:ind w:left="0" w:leftChars="0" w:firstLine="640" w:firstLineChars="200"/>
        <w:textAlignment w:val="bottom"/>
        <w:rPr>
          <w:rFonts w:hint="default" w:ascii="Times New Roman" w:hAnsi="Times New Roman" w:cs="Times New Roman"/>
          <w:sz w:val="32"/>
          <w:lang w:val="en-US" w:eastAsia="zh-CN"/>
        </w:rPr>
      </w:pPr>
      <w:r>
        <w:rPr>
          <w:rFonts w:hint="default" w:ascii="Times New Roman" w:hAnsi="Times New Roman" w:eastAsia="仿宋_GB2312" w:cs="Times New Roman"/>
          <w:sz w:val="32"/>
        </w:rPr>
        <w:t>申请人：</w:t>
      </w:r>
      <w:r>
        <w:rPr>
          <w:rFonts w:hint="eastAsia" w:cs="Times New Roman"/>
          <w:sz w:val="32"/>
          <w:lang w:eastAsia="zh-CN"/>
        </w:rPr>
        <w:t>曹</w:t>
      </w:r>
      <w:r>
        <w:rPr>
          <w:rFonts w:hint="eastAsia" w:cs="Times New Roman"/>
          <w:sz w:val="32"/>
          <w:lang w:val="en-US" w:eastAsia="zh-CN"/>
        </w:rPr>
        <w:t>XX</w:t>
      </w:r>
    </w:p>
    <w:p>
      <w:pPr>
        <w:keepNext w:val="0"/>
        <w:keepLines w:val="0"/>
        <w:pageBreakBefore w:val="0"/>
        <w:widowControl w:val="0"/>
        <w:tabs>
          <w:tab w:val="left" w:pos="640"/>
        </w:tabs>
        <w:kinsoku/>
        <w:wordWrap/>
        <w:overflowPunct/>
        <w:topLinePunct w:val="0"/>
        <w:autoSpaceDE/>
        <w:autoSpaceDN/>
        <w:bidi w:val="0"/>
        <w:adjustRightInd w:val="0"/>
        <w:snapToGrid w:val="0"/>
        <w:spacing w:line="540" w:lineRule="exact"/>
        <w:ind w:left="0" w:leftChars="0" w:firstLine="640" w:firstLineChars="200"/>
        <w:textAlignment w:val="bottom"/>
        <w:rPr>
          <w:rFonts w:hint="default" w:ascii="Times New Roman" w:hAnsi="Times New Roman" w:eastAsia="仿宋_GB2312" w:cs="Times New Roman"/>
          <w:sz w:val="32"/>
          <w:lang w:eastAsia="zh-CN"/>
        </w:rPr>
      </w:pPr>
      <w:r>
        <w:rPr>
          <w:rFonts w:hint="default" w:ascii="Times New Roman" w:hAnsi="Times New Roman" w:eastAsia="仿宋_GB2312" w:cs="Times New Roman"/>
          <w:sz w:val="32"/>
        </w:rPr>
        <w:t>被申请人：</w:t>
      </w:r>
      <w:r>
        <w:rPr>
          <w:rFonts w:hint="default" w:ascii="Times New Roman" w:hAnsi="Times New Roman" w:eastAsia="仿宋_GB2312" w:cs="Times New Roman"/>
          <w:sz w:val="32"/>
          <w:lang w:val="en-US" w:eastAsia="zh-CN"/>
        </w:rPr>
        <w:t>博爱县</w:t>
      </w:r>
      <w:r>
        <w:rPr>
          <w:rFonts w:hint="default" w:ascii="Times New Roman" w:hAnsi="Times New Roman" w:cs="Times New Roman"/>
          <w:sz w:val="32"/>
          <w:lang w:eastAsia="zh-CN"/>
        </w:rPr>
        <w:t>市场监督管理局</w:t>
      </w:r>
    </w:p>
    <w:p>
      <w:pPr>
        <w:keepNext w:val="0"/>
        <w:keepLines w:val="0"/>
        <w:pageBreakBefore w:val="0"/>
        <w:widowControl w:val="0"/>
        <w:tabs>
          <w:tab w:val="left" w:pos="640"/>
        </w:tabs>
        <w:kinsoku/>
        <w:wordWrap/>
        <w:overflowPunct/>
        <w:topLinePunct w:val="0"/>
        <w:autoSpaceDE/>
        <w:autoSpaceDN/>
        <w:bidi w:val="0"/>
        <w:adjustRightInd w:val="0"/>
        <w:snapToGrid w:val="0"/>
        <w:spacing w:line="540" w:lineRule="exact"/>
        <w:ind w:left="0" w:leftChars="0" w:firstLine="640" w:firstLineChars="200"/>
        <w:textAlignment w:val="bottom"/>
        <w:rPr>
          <w:rFonts w:hint="eastAsia" w:ascii="Times New Roman" w:hAnsi="Times New Roman" w:eastAsia="仿宋_GB2312" w:cs="Times New Roman"/>
          <w:color w:val="auto"/>
          <w:sz w:val="32"/>
          <w:lang w:eastAsia="zh-CN"/>
        </w:rPr>
      </w:pPr>
      <w:r>
        <w:rPr>
          <w:rFonts w:hint="default" w:ascii="Times New Roman" w:hAnsi="Times New Roman" w:eastAsia="仿宋_GB2312" w:cs="Times New Roman"/>
          <w:color w:val="auto"/>
          <w:sz w:val="32"/>
        </w:rPr>
        <w:t>地址：</w:t>
      </w:r>
      <w:r>
        <w:rPr>
          <w:rFonts w:hint="default" w:ascii="Times New Roman" w:hAnsi="Times New Roman" w:cs="Times New Roman"/>
          <w:color w:val="auto"/>
          <w:sz w:val="32"/>
        </w:rPr>
        <w:t>博爱县中山路</w:t>
      </w:r>
      <w:r>
        <w:rPr>
          <w:rFonts w:hint="eastAsia" w:cs="Times New Roman"/>
          <w:color w:val="auto"/>
          <w:sz w:val="32"/>
          <w:lang w:eastAsia="zh-CN"/>
        </w:rPr>
        <w:t>东段</w:t>
      </w:r>
    </w:p>
    <w:p>
      <w:pPr>
        <w:keepNext w:val="0"/>
        <w:keepLines w:val="0"/>
        <w:pageBreakBefore w:val="0"/>
        <w:widowControl w:val="0"/>
        <w:tabs>
          <w:tab w:val="left" w:pos="640"/>
          <w:tab w:val="center" w:pos="4479"/>
        </w:tabs>
        <w:kinsoku/>
        <w:wordWrap/>
        <w:overflowPunct/>
        <w:topLinePunct w:val="0"/>
        <w:autoSpaceDE/>
        <w:autoSpaceDN/>
        <w:bidi w:val="0"/>
        <w:adjustRightInd w:val="0"/>
        <w:snapToGrid w:val="0"/>
        <w:spacing w:line="540" w:lineRule="exact"/>
        <w:ind w:left="0" w:leftChars="0" w:firstLine="640" w:firstLineChars="200"/>
        <w:textAlignment w:val="bottom"/>
        <w:rPr>
          <w:rFonts w:hint="default" w:ascii="Times New Roman" w:hAnsi="Times New Roman" w:eastAsia="仿宋_GB2312" w:cs="Times New Roman"/>
          <w:sz w:val="32"/>
        </w:rPr>
      </w:pPr>
      <w:r>
        <w:rPr>
          <w:rFonts w:hint="default" w:ascii="Times New Roman" w:hAnsi="Times New Roman" w:eastAsia="仿宋_GB2312" w:cs="Times New Roman"/>
          <w:sz w:val="32"/>
        </w:rPr>
        <w:t>法定代表人：</w:t>
      </w:r>
      <w:r>
        <w:rPr>
          <w:rFonts w:hint="default" w:ascii="Times New Roman" w:hAnsi="Times New Roman" w:cs="Times New Roman"/>
          <w:sz w:val="32"/>
          <w:lang w:eastAsia="zh-CN"/>
        </w:rPr>
        <w:t>张琳</w:t>
      </w:r>
      <w:r>
        <w:rPr>
          <w:rFonts w:hint="default" w:ascii="Times New Roman" w:hAnsi="Times New Roman" w:eastAsia="仿宋_GB2312" w:cs="Times New Roman"/>
          <w:sz w:val="32"/>
        </w:rPr>
        <w:t>，局长</w:t>
      </w:r>
    </w:p>
    <w:p>
      <w:pPr>
        <w:keepNext w:val="0"/>
        <w:keepLines w:val="0"/>
        <w:pageBreakBefore w:val="0"/>
        <w:widowControl/>
        <w:suppressLineNumbers w:val="0"/>
        <w:kinsoku/>
        <w:wordWrap/>
        <w:overflowPunct/>
        <w:topLinePunct w:val="0"/>
        <w:autoSpaceDE/>
        <w:autoSpaceDN/>
        <w:bidi w:val="0"/>
        <w:adjustRightInd/>
        <w:spacing w:line="540" w:lineRule="exact"/>
        <w:ind w:left="0" w:leftChars="0" w:firstLine="640" w:firstLineChars="200"/>
        <w:jc w:val="both"/>
        <w:rPr>
          <w:rFonts w:hint="eastAsia" w:cs="Times New Roman"/>
          <w:sz w:val="32"/>
          <w:lang w:eastAsia="zh-CN"/>
        </w:rPr>
      </w:pPr>
      <w:r>
        <w:rPr>
          <w:rFonts w:hint="default" w:ascii="Times New Roman" w:hAnsi="Times New Roman" w:eastAsia="仿宋_GB2312" w:cs="Times New Roman"/>
          <w:sz w:val="32"/>
        </w:rPr>
        <w:t>申请人</w:t>
      </w:r>
      <w:r>
        <w:rPr>
          <w:rFonts w:hint="eastAsia" w:cs="Times New Roman"/>
          <w:sz w:val="32"/>
          <w:lang w:eastAsia="zh-CN"/>
        </w:rPr>
        <w:t>曹</w:t>
      </w:r>
      <w:r>
        <w:rPr>
          <w:rFonts w:hint="eastAsia" w:cs="Times New Roman"/>
          <w:sz w:val="32"/>
          <w:lang w:val="en-US" w:eastAsia="zh-CN"/>
        </w:rPr>
        <w:t>XX</w:t>
      </w:r>
      <w:r>
        <w:rPr>
          <w:rFonts w:hint="default" w:cs="Times New Roman"/>
          <w:sz w:val="32"/>
        </w:rPr>
        <w:t>不</w:t>
      </w:r>
      <w:r>
        <w:rPr>
          <w:rFonts w:hint="eastAsia" w:cs="Times New Roman"/>
          <w:sz w:val="32"/>
          <w:lang w:eastAsia="zh-CN"/>
        </w:rPr>
        <w:t>服</w:t>
      </w:r>
      <w:r>
        <w:rPr>
          <w:rFonts w:hint="default" w:ascii="Times New Roman" w:hAnsi="Times New Roman" w:eastAsia="仿宋_GB2312" w:cs="Times New Roman"/>
          <w:sz w:val="32"/>
        </w:rPr>
        <w:t>被申请人博爱县市场监督管理局于2024年</w:t>
      </w:r>
      <w:r>
        <w:rPr>
          <w:rFonts w:hint="eastAsia" w:cs="Times New Roman"/>
          <w:sz w:val="32"/>
          <w:lang w:val="en-US" w:eastAsia="zh-CN"/>
        </w:rPr>
        <w:t>12</w:t>
      </w:r>
      <w:r>
        <w:rPr>
          <w:rFonts w:hint="default" w:ascii="Times New Roman" w:hAnsi="Times New Roman" w:eastAsia="仿宋_GB2312" w:cs="Times New Roman"/>
          <w:sz w:val="32"/>
        </w:rPr>
        <w:t>月</w:t>
      </w:r>
      <w:r>
        <w:rPr>
          <w:rFonts w:hint="eastAsia" w:cs="Times New Roman"/>
          <w:sz w:val="32"/>
          <w:lang w:val="en-US" w:eastAsia="zh-CN"/>
        </w:rPr>
        <w:t>17</w:t>
      </w:r>
      <w:r>
        <w:rPr>
          <w:rFonts w:hint="default" w:ascii="Times New Roman" w:hAnsi="Times New Roman" w:eastAsia="仿宋_GB2312" w:cs="Times New Roman"/>
          <w:sz w:val="32"/>
        </w:rPr>
        <w:t>日作出的</w:t>
      </w:r>
      <w:r>
        <w:rPr>
          <w:rFonts w:hint="eastAsia" w:cs="Times New Roman"/>
          <w:sz w:val="32"/>
          <w:lang w:eastAsia="zh-CN"/>
        </w:rPr>
        <w:t>举报调查处理情况</w:t>
      </w:r>
      <w:r>
        <w:rPr>
          <w:rFonts w:hint="default" w:ascii="Times New Roman" w:hAnsi="Times New Roman" w:eastAsia="仿宋_GB2312" w:cs="Times New Roman"/>
          <w:sz w:val="32"/>
        </w:rPr>
        <w:t>回复</w:t>
      </w:r>
      <w:r>
        <w:rPr>
          <w:rFonts w:hint="default" w:cs="Times New Roman"/>
          <w:sz w:val="32"/>
        </w:rPr>
        <w:t>，</w:t>
      </w:r>
      <w:r>
        <w:rPr>
          <w:rFonts w:hint="default" w:ascii="Times New Roman" w:hAnsi="Times New Roman" w:cs="Times New Roman"/>
          <w:sz w:val="32"/>
        </w:rPr>
        <w:t>于</w:t>
      </w:r>
      <w:r>
        <w:rPr>
          <w:rFonts w:hint="default" w:ascii="Times New Roman" w:hAnsi="Times New Roman" w:cs="Times New Roman"/>
          <w:sz w:val="32"/>
          <w:lang w:val="en-US" w:eastAsia="zh-CN"/>
        </w:rPr>
        <w:t>202</w:t>
      </w:r>
      <w:r>
        <w:rPr>
          <w:rFonts w:hint="eastAsia" w:cs="Times New Roman"/>
          <w:sz w:val="32"/>
          <w:lang w:val="en-US" w:eastAsia="zh-CN"/>
        </w:rPr>
        <w:t>5</w:t>
      </w:r>
      <w:r>
        <w:rPr>
          <w:rFonts w:hint="default" w:ascii="Times New Roman" w:hAnsi="Times New Roman" w:cs="Times New Roman"/>
          <w:sz w:val="32"/>
          <w:lang w:val="en-US" w:eastAsia="zh-CN"/>
        </w:rPr>
        <w:t>年</w:t>
      </w:r>
      <w:r>
        <w:rPr>
          <w:rFonts w:hint="eastAsia" w:cs="Times New Roman"/>
          <w:sz w:val="32"/>
          <w:lang w:val="en-US" w:eastAsia="zh-CN"/>
        </w:rPr>
        <w:t>1</w:t>
      </w:r>
      <w:r>
        <w:rPr>
          <w:rFonts w:hint="default" w:ascii="Times New Roman" w:hAnsi="Times New Roman" w:cs="Times New Roman"/>
          <w:sz w:val="32"/>
        </w:rPr>
        <w:t>月</w:t>
      </w:r>
      <w:r>
        <w:rPr>
          <w:rFonts w:hint="eastAsia" w:cs="Times New Roman"/>
          <w:sz w:val="32"/>
          <w:lang w:val="en-US" w:eastAsia="zh-CN"/>
        </w:rPr>
        <w:t>19</w:t>
      </w:r>
      <w:r>
        <w:rPr>
          <w:rFonts w:hint="default" w:ascii="Times New Roman" w:hAnsi="Times New Roman" w:cs="Times New Roman"/>
          <w:sz w:val="32"/>
        </w:rPr>
        <w:t>日</w:t>
      </w:r>
      <w:r>
        <w:rPr>
          <w:rFonts w:hint="default" w:ascii="Times New Roman" w:hAnsi="Times New Roman" w:eastAsia="仿宋_GB2312" w:cs="Times New Roman"/>
          <w:sz w:val="32"/>
        </w:rPr>
        <w:t>向本机关</w:t>
      </w:r>
      <w:r>
        <w:rPr>
          <w:rFonts w:hint="default" w:cs="Times New Roman"/>
          <w:sz w:val="32"/>
        </w:rPr>
        <w:t>提出</w:t>
      </w:r>
      <w:r>
        <w:rPr>
          <w:rFonts w:hint="default" w:ascii="Times New Roman" w:hAnsi="Times New Roman" w:eastAsia="仿宋_GB2312" w:cs="Times New Roman"/>
          <w:sz w:val="32"/>
        </w:rPr>
        <w:t>行政复议</w:t>
      </w:r>
      <w:r>
        <w:rPr>
          <w:rFonts w:hint="default" w:cs="Times New Roman"/>
          <w:sz w:val="32"/>
        </w:rPr>
        <w:t>申请</w:t>
      </w:r>
      <w:r>
        <w:rPr>
          <w:rFonts w:hint="eastAsia" w:cs="Times New Roman"/>
          <w:sz w:val="32"/>
          <w:lang w:eastAsia="zh-CN"/>
        </w:rPr>
        <w:t>。</w:t>
      </w:r>
    </w:p>
    <w:p>
      <w:pPr>
        <w:keepNext w:val="0"/>
        <w:keepLines w:val="0"/>
        <w:pageBreakBefore w:val="0"/>
        <w:widowControl/>
        <w:suppressLineNumbers w:val="0"/>
        <w:kinsoku/>
        <w:wordWrap/>
        <w:overflowPunct/>
        <w:topLinePunct w:val="0"/>
        <w:autoSpaceDE/>
        <w:autoSpaceDN/>
        <w:bidi w:val="0"/>
        <w:adjustRightInd/>
        <w:spacing w:line="540" w:lineRule="exact"/>
        <w:jc w:val="both"/>
        <w:rPr>
          <w:rFonts w:hint="default" w:cs="Times New Roman"/>
          <w:w w:val="100"/>
          <w:sz w:val="32"/>
          <w:szCs w:val="20"/>
          <w:lang w:val="en-US" w:eastAsia="zh-CN" w:bidi="ar-SA"/>
        </w:rPr>
      </w:pPr>
      <w:r>
        <w:rPr>
          <w:rFonts w:hint="default" w:ascii="Times New Roman" w:hAnsi="Times New Roman" w:eastAsia="仿宋_GB2312" w:cs="Times New Roman"/>
          <w:w w:val="100"/>
          <w:sz w:val="32"/>
          <w:szCs w:val="20"/>
          <w:lang w:val="en-US" w:eastAsia="zh-CN" w:bidi="ar-SA"/>
        </w:rPr>
        <w:t>经审查，2024年</w:t>
      </w:r>
      <w:r>
        <w:rPr>
          <w:rFonts w:hint="eastAsia" w:cs="Times New Roman"/>
          <w:w w:val="100"/>
          <w:sz w:val="32"/>
          <w:szCs w:val="20"/>
          <w:lang w:val="en-US" w:eastAsia="zh-CN" w:bidi="ar-SA"/>
        </w:rPr>
        <w:t>9</w:t>
      </w:r>
      <w:r>
        <w:rPr>
          <w:rFonts w:hint="default" w:ascii="Times New Roman" w:hAnsi="Times New Roman" w:eastAsia="仿宋_GB2312" w:cs="Times New Roman"/>
          <w:w w:val="100"/>
          <w:sz w:val="32"/>
          <w:szCs w:val="20"/>
          <w:lang w:val="en-US" w:eastAsia="zh-CN" w:bidi="ar-SA"/>
        </w:rPr>
        <w:t>月</w:t>
      </w:r>
      <w:r>
        <w:rPr>
          <w:rFonts w:hint="eastAsia" w:cs="Times New Roman"/>
          <w:w w:val="100"/>
          <w:sz w:val="32"/>
          <w:szCs w:val="20"/>
          <w:lang w:val="en-US" w:eastAsia="zh-CN" w:bidi="ar-SA"/>
        </w:rPr>
        <w:t>23</w:t>
      </w:r>
      <w:r>
        <w:rPr>
          <w:rFonts w:hint="default" w:ascii="Times New Roman" w:hAnsi="Times New Roman" w:eastAsia="仿宋_GB2312" w:cs="Times New Roman"/>
          <w:w w:val="100"/>
          <w:sz w:val="32"/>
          <w:szCs w:val="20"/>
          <w:lang w:val="en-US" w:eastAsia="zh-CN" w:bidi="ar-SA"/>
        </w:rPr>
        <w:t>日，申请人</w:t>
      </w:r>
      <w:r>
        <w:rPr>
          <w:rFonts w:hint="eastAsia" w:cs="Times New Roman"/>
          <w:w w:val="100"/>
          <w:sz w:val="32"/>
          <w:szCs w:val="20"/>
          <w:lang w:val="en-US" w:eastAsia="zh-CN" w:bidi="ar-SA"/>
        </w:rPr>
        <w:t>在焦作市XXX购物广场购买“何文斌大块腐乳”一瓶，发现该商品的执行标准并未对大豆等级作出划分，但其宣传产品原料选用的是优质大豆属于虚假宣传，违反了《中华人民共和国食品安全法》第七十一条规定，遂通过邮寄举报书的方式举报焦作市XXX科技食品厂，被申请人调查核实后，于2024年12月17日作出《举报调查处理情况回复》，对举报线索决定不予立案。</w:t>
      </w:r>
      <w:bookmarkStart w:id="0" w:name="_GoBack"/>
      <w:bookmarkEnd w:id="0"/>
    </w:p>
    <w:p>
      <w:pPr>
        <w:keepNext w:val="0"/>
        <w:keepLines w:val="0"/>
        <w:pageBreakBefore w:val="0"/>
        <w:widowControl/>
        <w:suppressLineNumbers w:val="0"/>
        <w:kinsoku/>
        <w:wordWrap/>
        <w:overflowPunct/>
        <w:topLinePunct w:val="0"/>
        <w:autoSpaceDE/>
        <w:autoSpaceDN/>
        <w:bidi w:val="0"/>
        <w:adjustRightInd/>
        <w:spacing w:line="540" w:lineRule="exact"/>
        <w:ind w:left="0" w:leftChars="0" w:firstLine="640" w:firstLineChars="200"/>
        <w:jc w:val="both"/>
        <w:rPr>
          <w:rFonts w:hint="default" w:cs="Times New Roman"/>
          <w:sz w:val="32"/>
          <w:lang w:eastAsia="zh-CN"/>
        </w:rPr>
      </w:pPr>
      <w:r>
        <w:rPr>
          <w:rFonts w:hint="eastAsia" w:cs="Times New Roman"/>
          <w:w w:val="100"/>
          <w:sz w:val="32"/>
          <w:szCs w:val="20"/>
          <w:lang w:val="en-US" w:eastAsia="zh-CN" w:bidi="ar-SA"/>
        </w:rPr>
        <w:t>本机关认为：</w:t>
      </w:r>
      <w:r>
        <w:rPr>
          <w:rFonts w:hint="default" w:cs="Times New Roman"/>
          <w:w w:val="100"/>
          <w:sz w:val="32"/>
          <w:szCs w:val="20"/>
          <w:lang w:val="en-US" w:eastAsia="zh-CN" w:bidi="ar-SA"/>
        </w:rPr>
        <w:t>《中华人民共和国行政复议法》第三十条第一款规定：“行政复议机关收到行政复议申请后，应当在五日内进行审查。对符合下列规定的，行政复议机关应当予以受理：……（二）申请人与被申请行政复议的行政行为有利害关系……</w:t>
      </w:r>
      <w:r>
        <w:rPr>
          <w:rFonts w:hint="eastAsia" w:cs="Times New Roman"/>
          <w:w w:val="100"/>
          <w:sz w:val="32"/>
          <w:szCs w:val="20"/>
          <w:lang w:val="en-US" w:eastAsia="zh-CN" w:bidi="ar-SA"/>
        </w:rPr>
        <w:t>。</w:t>
      </w:r>
      <w:r>
        <w:rPr>
          <w:rFonts w:hint="default" w:cs="Times New Roman"/>
          <w:w w:val="100"/>
          <w:sz w:val="32"/>
          <w:szCs w:val="20"/>
          <w:lang w:val="en-US" w:eastAsia="zh-CN" w:bidi="ar-SA"/>
        </w:rPr>
        <w:t>”判断行政复议申请人是否与所申请审查的行政行为有利害关系，关键看申请人自身合法权益是否受到行政行为的直接影响或有受到直接影响之可能，即行政行为是否对申请人权利义务事实上有所增减或根据法律规定有增减之可能。无权利义务增减则无利害关系，此应有之义。《市场监督</w:t>
      </w:r>
      <w:r>
        <w:rPr>
          <w:rFonts w:hint="eastAsia" w:cs="Times New Roman"/>
          <w:w w:val="100"/>
          <w:sz w:val="32"/>
          <w:szCs w:val="20"/>
          <w:lang w:val="en-US" w:eastAsia="zh-CN" w:bidi="ar-SA"/>
        </w:rPr>
        <w:t>管理</w:t>
      </w:r>
      <w:r>
        <w:rPr>
          <w:rFonts w:hint="default" w:cs="Times New Roman"/>
          <w:w w:val="100"/>
          <w:sz w:val="32"/>
          <w:szCs w:val="20"/>
          <w:lang w:val="en-US" w:eastAsia="zh-CN" w:bidi="ar-SA"/>
        </w:rPr>
        <w:t>投诉举报处理暂行办法》第三条第二款规定：“本办法所称的举报，是指自然人、法人或者其他组织向市场监督管理部门反映经营者涉嫌违反市场监督管理法律、法规、规章线索的行为。”</w:t>
      </w:r>
      <w:r>
        <w:rPr>
          <w:rFonts w:hint="default" w:ascii="Times New Roman" w:hAnsi="Times New Roman" w:eastAsia="仿宋_GB2312" w:cs="Times New Roman"/>
          <w:w w:val="100"/>
          <w:sz w:val="32"/>
          <w:szCs w:val="20"/>
          <w:lang w:val="en-US" w:eastAsia="zh-CN" w:bidi="ar-SA"/>
        </w:rPr>
        <w:t>根据该规定，向市场监督管理部门举报是自然人、法人或者其他组织的一项权利，该权利的设定是为了更好的维护市场监管秩序，保护更广大消费者的合法权益。本案中，申请人认为</w:t>
      </w:r>
      <w:r>
        <w:rPr>
          <w:rFonts w:hint="eastAsia" w:cs="Times New Roman"/>
          <w:w w:val="100"/>
          <w:sz w:val="32"/>
          <w:szCs w:val="20"/>
          <w:lang w:val="en-US" w:eastAsia="zh-CN" w:bidi="ar-SA"/>
        </w:rPr>
        <w:t>被举报人行为违反了《中华人民共和国食品安全法》的相关规定</w:t>
      </w:r>
      <w:r>
        <w:rPr>
          <w:rFonts w:hint="default" w:ascii="Times New Roman" w:hAnsi="Times New Roman" w:eastAsia="仿宋_GB2312" w:cs="Times New Roman"/>
          <w:w w:val="100"/>
          <w:sz w:val="32"/>
          <w:szCs w:val="20"/>
          <w:lang w:val="en-US" w:eastAsia="zh-CN" w:bidi="ar-SA"/>
        </w:rPr>
        <w:t>，系根据《市场监督</w:t>
      </w:r>
      <w:r>
        <w:rPr>
          <w:rFonts w:hint="eastAsia" w:ascii="Times New Roman" w:hAnsi="Times New Roman" w:eastAsia="仿宋_GB2312" w:cs="Times New Roman"/>
          <w:w w:val="100"/>
          <w:sz w:val="32"/>
          <w:szCs w:val="20"/>
          <w:lang w:val="en-US" w:eastAsia="zh-CN" w:bidi="ar-SA"/>
        </w:rPr>
        <w:t>管理</w:t>
      </w:r>
      <w:r>
        <w:rPr>
          <w:rFonts w:hint="default" w:ascii="Times New Roman" w:hAnsi="Times New Roman" w:eastAsia="仿宋_GB2312" w:cs="Times New Roman"/>
          <w:w w:val="100"/>
          <w:sz w:val="32"/>
          <w:szCs w:val="20"/>
          <w:lang w:val="en-US" w:eastAsia="zh-CN" w:bidi="ar-SA"/>
        </w:rPr>
        <w:t>投诉举报处理暂行办法》的规定向被申请人提供线索的行为，被申请人收到相关线索已经进行了核查并作出不予立案决定</w:t>
      </w:r>
      <w:r>
        <w:rPr>
          <w:rFonts w:hint="eastAsia" w:cs="Times New Roman"/>
          <w:w w:val="100"/>
          <w:sz w:val="32"/>
          <w:szCs w:val="20"/>
          <w:lang w:val="en-US" w:eastAsia="zh-CN" w:bidi="ar-SA"/>
        </w:rPr>
        <w:t>，并将不予立案的结果通过邮寄的方式告知了申请人，保障了申请人作为举报人的知情权</w:t>
      </w:r>
      <w:r>
        <w:rPr>
          <w:rFonts w:hint="default" w:ascii="Times New Roman" w:hAnsi="Times New Roman" w:eastAsia="仿宋_GB2312" w:cs="Times New Roman"/>
          <w:w w:val="100"/>
          <w:sz w:val="32"/>
          <w:szCs w:val="20"/>
          <w:lang w:val="en-US" w:eastAsia="zh-CN" w:bidi="ar-SA"/>
        </w:rPr>
        <w:t>。</w:t>
      </w:r>
      <w:r>
        <w:rPr>
          <w:rFonts w:hint="default" w:cs="Times New Roman"/>
          <w:sz w:val="32"/>
          <w:lang w:val="en-US" w:eastAsia="zh-CN"/>
        </w:rPr>
        <w:t>但是市场监管部门对其所举报事项是否立案、立案后如何处理均不会增加举报人的义务，亦不会减损举报人的权利，其与被申请人作出不予立案决定没有行政法意义上利害关系，其行政复议申请不符合《</w:t>
      </w:r>
      <w:r>
        <w:rPr>
          <w:rFonts w:hint="default" w:cs="Times New Roman"/>
          <w:sz w:val="32"/>
          <w:lang w:eastAsia="zh-CN"/>
        </w:rPr>
        <w:t>中华人民共和国</w:t>
      </w:r>
      <w:r>
        <w:rPr>
          <w:rFonts w:hint="default" w:cs="Times New Roman"/>
          <w:sz w:val="32"/>
          <w:lang w:val="en-US" w:eastAsia="zh-CN"/>
        </w:rPr>
        <w:t>行政复议法》第三十条第一款第（二）项规定的受理条件。</w:t>
      </w:r>
    </w:p>
    <w:p>
      <w:pPr>
        <w:keepNext w:val="0"/>
        <w:keepLines w:val="0"/>
        <w:pageBreakBefore w:val="0"/>
        <w:widowControl w:val="0"/>
        <w:kinsoku/>
        <w:wordWrap/>
        <w:overflowPunct/>
        <w:topLinePunct w:val="0"/>
        <w:autoSpaceDE/>
        <w:autoSpaceDN/>
        <w:bidi w:val="0"/>
        <w:adjustRightInd/>
        <w:snapToGrid w:val="0"/>
        <w:spacing w:before="0" w:after="0" w:line="540" w:lineRule="exact"/>
        <w:ind w:left="0" w:leftChars="0" w:right="0" w:rightChars="0" w:firstLine="640" w:firstLineChars="200"/>
        <w:jc w:val="both"/>
        <w:textAlignment w:val="baseline"/>
        <w:outlineLvl w:val="9"/>
        <w:rPr>
          <w:rFonts w:hint="default" w:cs="Times New Roman"/>
          <w:sz w:val="32"/>
          <w:lang w:eastAsia="zh-CN"/>
        </w:rPr>
      </w:pPr>
      <w:r>
        <w:rPr>
          <w:rFonts w:hint="default" w:cs="Times New Roman"/>
          <w:sz w:val="32"/>
          <w:lang w:eastAsia="zh-CN"/>
        </w:rPr>
        <w:t>综上，根据《中华人民共和国行政复议》第三十条第二款之规定，</w:t>
      </w:r>
      <w:r>
        <w:rPr>
          <w:rFonts w:hint="default" w:ascii="Times New Roman" w:hAnsi="Times New Roman" w:eastAsia="仿宋_GB2312" w:cs="Times New Roman"/>
          <w:sz w:val="32"/>
          <w:lang w:eastAsia="zh-CN"/>
        </w:rPr>
        <w:t>本机关决定</w:t>
      </w:r>
      <w:r>
        <w:rPr>
          <w:rFonts w:hint="default" w:cs="Times New Roman"/>
          <w:sz w:val="32"/>
          <w:lang w:eastAsia="zh-CN"/>
        </w:rPr>
        <w:t>：</w:t>
      </w:r>
    </w:p>
    <w:p>
      <w:pPr>
        <w:keepNext w:val="0"/>
        <w:keepLines w:val="0"/>
        <w:pageBreakBefore w:val="0"/>
        <w:widowControl w:val="0"/>
        <w:kinsoku/>
        <w:wordWrap/>
        <w:overflowPunct/>
        <w:topLinePunct w:val="0"/>
        <w:autoSpaceDE/>
        <w:autoSpaceDN/>
        <w:bidi w:val="0"/>
        <w:adjustRightInd/>
        <w:snapToGrid w:val="0"/>
        <w:spacing w:before="0" w:after="0" w:line="540" w:lineRule="exact"/>
        <w:ind w:right="0" w:rightChars="0"/>
        <w:jc w:val="both"/>
        <w:textAlignment w:val="baseline"/>
        <w:outlineLvl w:val="9"/>
        <w:rPr>
          <w:rFonts w:hint="default" w:ascii="Times New Roman" w:hAnsi="Times New Roman" w:eastAsia="仿宋_GB2312" w:cs="Times New Roman"/>
          <w:sz w:val="32"/>
          <w:lang w:eastAsia="zh-CN"/>
        </w:rPr>
      </w:pPr>
      <w:r>
        <w:rPr>
          <w:rFonts w:hint="default" w:ascii="Times New Roman" w:hAnsi="Times New Roman" w:eastAsia="仿宋_GB2312" w:cs="Times New Roman"/>
          <w:sz w:val="32"/>
          <w:lang w:eastAsia="zh-CN"/>
        </w:rPr>
        <w:t>不予受理申请人的行政复议申请。</w:t>
      </w:r>
    </w:p>
    <w:p>
      <w:pPr>
        <w:keepNext w:val="0"/>
        <w:keepLines w:val="0"/>
        <w:pageBreakBefore w:val="0"/>
        <w:widowControl w:val="0"/>
        <w:kinsoku/>
        <w:wordWrap/>
        <w:overflowPunct/>
        <w:topLinePunct w:val="0"/>
        <w:autoSpaceDE/>
        <w:autoSpaceDN/>
        <w:bidi w:val="0"/>
        <w:adjustRightInd/>
        <w:spacing w:line="540" w:lineRule="exact"/>
        <w:ind w:left="0" w:leftChars="0" w:firstLine="640" w:firstLineChars="200"/>
        <w:jc w:val="both"/>
        <w:textAlignment w:val="center"/>
        <w:rPr>
          <w:rFonts w:hint="default" w:ascii="Times New Roman" w:hAnsi="Times New Roman" w:eastAsia="仿宋_GB2312" w:cs="Times New Roman"/>
          <w:sz w:val="32"/>
        </w:rPr>
      </w:pPr>
      <w:r>
        <w:rPr>
          <w:rFonts w:hint="default" w:ascii="Times New Roman" w:hAnsi="Times New Roman" w:eastAsia="仿宋_GB2312" w:cs="Times New Roman"/>
          <w:sz w:val="32"/>
        </w:rPr>
        <w:t>申请人对本决定不服，可以自</w:t>
      </w:r>
      <w:r>
        <w:rPr>
          <w:rFonts w:hint="default" w:ascii="Times New Roman" w:hAnsi="Times New Roman" w:eastAsia="仿宋_GB2312" w:cs="Times New Roman"/>
          <w:sz w:val="32"/>
          <w:lang w:eastAsia="zh-CN"/>
        </w:rPr>
        <w:t>收</w:t>
      </w:r>
      <w:r>
        <w:rPr>
          <w:rFonts w:hint="default" w:ascii="Times New Roman" w:hAnsi="Times New Roman" w:eastAsia="仿宋_GB2312" w:cs="Times New Roman"/>
          <w:sz w:val="32"/>
        </w:rPr>
        <w:t>到本决定书之日起</w:t>
      </w:r>
      <w:r>
        <w:rPr>
          <w:rFonts w:hint="default" w:ascii="Times New Roman" w:hAnsi="Times New Roman" w:eastAsia="仿宋_GB2312" w:cs="Times New Roman"/>
          <w:sz w:val="32"/>
          <w:lang w:val="en-US" w:eastAsia="zh-CN"/>
        </w:rPr>
        <w:t>15日内</w:t>
      </w:r>
      <w:r>
        <w:rPr>
          <w:rFonts w:hint="default" w:ascii="Times New Roman" w:hAnsi="Times New Roman" w:eastAsia="仿宋_GB2312" w:cs="Times New Roman"/>
          <w:sz w:val="32"/>
        </w:rPr>
        <w:t>向人民法院提起诉讼。</w:t>
      </w:r>
    </w:p>
    <w:p>
      <w:pPr>
        <w:keepNext w:val="0"/>
        <w:keepLines w:val="0"/>
        <w:pageBreakBefore w:val="0"/>
        <w:widowControl/>
        <w:suppressLineNumbers w:val="0"/>
        <w:kinsoku/>
        <w:overflowPunct/>
        <w:topLinePunct w:val="0"/>
        <w:autoSpaceDE/>
        <w:autoSpaceDN/>
        <w:bidi w:val="0"/>
        <w:spacing w:line="540" w:lineRule="exact"/>
        <w:ind w:left="0" w:leftChars="0" w:firstLine="640" w:firstLineChars="200"/>
        <w:jc w:val="both"/>
        <w:rPr>
          <w:rFonts w:hint="default"/>
          <w:lang w:eastAsia="zh-CN"/>
        </w:rPr>
      </w:pPr>
    </w:p>
    <w:p>
      <w:pPr>
        <w:pStyle w:val="2"/>
        <w:rPr>
          <w:rFonts w:hint="default"/>
          <w:lang w:eastAsia="zh-CN"/>
        </w:rPr>
      </w:pPr>
    </w:p>
    <w:p>
      <w:pPr>
        <w:pStyle w:val="2"/>
        <w:rPr>
          <w:rFonts w:hint="default"/>
          <w:lang w:eastAsia="zh-CN"/>
        </w:rPr>
      </w:pPr>
    </w:p>
    <w:p>
      <w:pPr>
        <w:keepNext w:val="0"/>
        <w:keepLines w:val="0"/>
        <w:pageBreakBefore w:val="0"/>
        <w:widowControl w:val="0"/>
        <w:tabs>
          <w:tab w:val="left" w:pos="640"/>
        </w:tabs>
        <w:kinsoku/>
        <w:wordWrap w:val="0"/>
        <w:overflowPunct/>
        <w:topLinePunct w:val="0"/>
        <w:autoSpaceDE/>
        <w:autoSpaceDN/>
        <w:bidi w:val="0"/>
        <w:adjustRightInd w:val="0"/>
        <w:snapToGrid w:val="0"/>
        <w:spacing w:line="540" w:lineRule="exact"/>
        <w:ind w:left="0" w:leftChars="0" w:firstLine="4800" w:firstLineChars="1500"/>
        <w:jc w:val="both"/>
        <w:textAlignment w:val="bottom"/>
        <w:rPr>
          <w:rFonts w:hint="eastAsia" w:ascii="Times New Roman" w:hAnsi="Times New Roman" w:cs="Times New Roman"/>
          <w:lang w:val="en-US" w:eastAsia="zh-CN"/>
        </w:rPr>
      </w:pPr>
      <w:r>
        <w:rPr>
          <w:rFonts w:hint="default" w:ascii="Times New Roman" w:hAnsi="Times New Roman" w:cs="Times New Roman"/>
          <w:lang w:eastAsia="zh-CN"/>
        </w:rPr>
        <w:t xml:space="preserve"> </w:t>
      </w:r>
      <w:r>
        <w:rPr>
          <w:rFonts w:hint="default" w:ascii="Times New Roman" w:hAnsi="Times New Roman" w:cs="Times New Roman"/>
          <w:lang w:val="en-US" w:eastAsia="zh-CN"/>
        </w:rPr>
        <w:t>202</w:t>
      </w:r>
      <w:r>
        <w:rPr>
          <w:rFonts w:hint="eastAsia" w:cs="Times New Roman"/>
          <w:lang w:val="en-US" w:eastAsia="zh-CN"/>
        </w:rPr>
        <w:t>5</w:t>
      </w:r>
      <w:r>
        <w:rPr>
          <w:rFonts w:hint="default" w:ascii="Times New Roman" w:hAnsi="Times New Roman" w:cs="Times New Roman"/>
        </w:rPr>
        <w:t>年</w:t>
      </w:r>
      <w:r>
        <w:rPr>
          <w:rFonts w:hint="eastAsia" w:cs="Times New Roman"/>
          <w:lang w:val="en-US" w:eastAsia="zh-CN"/>
        </w:rPr>
        <w:t>1</w:t>
      </w:r>
      <w:r>
        <w:rPr>
          <w:rFonts w:hint="default" w:ascii="Times New Roman" w:hAnsi="Times New Roman" w:cs="Times New Roman"/>
          <w:lang w:val="en-US" w:eastAsia="zh-CN"/>
        </w:rPr>
        <w:t>月</w:t>
      </w:r>
      <w:r>
        <w:rPr>
          <w:rFonts w:hint="eastAsia" w:cs="Times New Roman"/>
          <w:lang w:val="en-US" w:eastAsia="zh-CN"/>
        </w:rPr>
        <w:t>23</w:t>
      </w:r>
      <w:r>
        <w:rPr>
          <w:rFonts w:hint="default" w:ascii="Times New Roman" w:hAnsi="Times New Roman" w:cs="Times New Roman"/>
          <w:lang w:val="en-US" w:eastAsia="zh-CN"/>
        </w:rPr>
        <w:t>日</w:t>
      </w:r>
      <w:r>
        <w:rPr>
          <w:rFonts w:hint="default" w:ascii="Times New Roman" w:hAnsi="Times New Roman" w:eastAsia="仿宋" w:cs="Times New Roman"/>
          <w:sz w:val="32"/>
          <w:lang w:val="en-US" w:eastAsia="zh-CN"/>
        </w:rPr>
        <w:t xml:space="preserve">    </w:t>
      </w:r>
    </w:p>
    <w:sectPr>
      <w:footerReference r:id="rId5" w:type="default"/>
      <w:pgSz w:w="11906" w:h="16838"/>
      <w:pgMar w:top="2098" w:right="1247" w:bottom="1984" w:left="1701" w:header="851" w:footer="992" w:gutter="0"/>
      <w:pgNumType w:fmt="decimal"/>
      <w:cols w:space="425" w:num="1"/>
      <w:docGrid w:type="lines" w:linePitch="312" w:charSpace="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endnote w:type="separator" w:id="0">
    <w:p>
      <w:pPr>
        <w:spacing w:line="240" w:lineRule="auto"/>
        <w:ind w:firstLine="640"/>
      </w:pPr>
      <w:r>
        <w:separator/>
      </w:r>
    </w:p>
  </w:endnote>
  <w:endnote w:type="continuationSeparator" w:id="1">
    <w:p>
      <w:pPr>
        <w:spacing w:line="240" w:lineRule="auto"/>
        <w:ind w:firstLine="640"/>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6"/>
    <w:family w:val="auto"/>
    <w:pitch w:val="default"/>
    <w:sig w:usb0="00007A87" w:usb1="80000000" w:usb2="00000008" w:usb3="00000000" w:csb0="400001FF" w:csb1="FFFF0000"/>
  </w:font>
  <w:font w:name="宋体">
    <w:altName w:val="方正书宋_GBK"/>
    <w:panose1 w:val="00000000000000000000"/>
    <w:charset w:val="00"/>
    <w:family w:val="auto"/>
    <w:pitch w:val="default"/>
    <w:sig w:usb0="00000000" w:usb1="00000000" w:usb2="00000000" w:usb3="00000000" w:csb0="00000000" w:csb1="00000000"/>
  </w:font>
  <w:font w:name="Wingdings">
    <w:panose1 w:val="05000000000000000000"/>
    <w:charset w:val="02"/>
    <w:family w:val="auto"/>
    <w:pitch w:val="default"/>
    <w:sig w:usb0="00000000" w:usb1="00000000" w:usb2="00000000" w:usb3="00000000" w:csb0="80000000" w:csb1="00000000"/>
  </w:font>
  <w:font w:name="Arial">
    <w:altName w:val="Times New Roman"/>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altName w:val="DejaVu Sans"/>
    <w:panose1 w:val="02070309020205020404"/>
    <w:charset w:val="01"/>
    <w:family w:val="modern"/>
    <w:pitch w:val="default"/>
    <w:sig w:usb0="E0002AFF" w:usb1="C0007843" w:usb2="00000009" w:usb3="00000000" w:csb0="400001FF" w:csb1="FFFF0000"/>
  </w:font>
  <w:font w:name="Symbol">
    <w:panose1 w:val="02000609000000000000"/>
    <w:charset w:val="02"/>
    <w:family w:val="roman"/>
    <w:pitch w:val="default"/>
    <w:sig w:usb0="800000AF" w:usb1="4000204A" w:usb2="00000000" w:usb3="00000000" w:csb0="20000000" w:csb1="00000000"/>
  </w:font>
  <w:font w:name="Calibri">
    <w:altName w:val="DejaVu Sans"/>
    <w:panose1 w:val="020F0502020204030204"/>
    <w:charset w:val="00"/>
    <w:family w:val="swiss"/>
    <w:pitch w:val="default"/>
    <w:sig w:usb0="00000000" w:usb1="00000000" w:usb2="00000001" w:usb3="00000000" w:csb0="0000019F" w:csb1="00000000"/>
  </w:font>
  <w:font w:name="DejaVu Sans">
    <w:panose1 w:val="020B0603030804020204"/>
    <w:charset w:val="00"/>
    <w:family w:val="auto"/>
    <w:pitch w:val="default"/>
    <w:sig w:usb0="E7006EFF" w:usb1="D200FDFF" w:usb2="0A246029" w:usb3="0400200C" w:csb0="600001FF" w:csb1="DFFF0000"/>
  </w:font>
  <w:font w:name="文泉驿微米黑">
    <w:panose1 w:val="020B0606030804020204"/>
    <w:charset w:val="86"/>
    <w:family w:val="auto"/>
    <w:pitch w:val="default"/>
    <w:sig w:usb0="E10002EF" w:usb1="6BDFFCFB" w:usb2="00800036" w:usb3="00000000" w:csb0="603E019F" w:csb1="DFD70000"/>
  </w:font>
  <w:font w:name="仿宋_GB2312">
    <w:panose1 w:val="02010609030101010101"/>
    <w:charset w:val="86"/>
    <w:family w:val="auto"/>
    <w:pitch w:val="default"/>
    <w:sig w:usb0="00000001" w:usb1="080E0000" w:usb2="00000000" w:usb3="00000000" w:csb0="00040000" w:csb1="00000000"/>
  </w:font>
  <w:font w:name="方正小标宋简体">
    <w:panose1 w:val="02000000000000000000"/>
    <w:charset w:val="86"/>
    <w:family w:val="auto"/>
    <w:pitch w:val="default"/>
    <w:sig w:usb0="A00002BF" w:usb1="184F6CFA" w:usb2="00000012" w:usb3="00000000" w:csb0="00040001" w:csb1="00000000"/>
  </w:font>
  <w:font w:name="方正书宋_GBK">
    <w:panose1 w:val="02000000000000000000"/>
    <w:charset w:val="86"/>
    <w:family w:val="auto"/>
    <w:pitch w:val="default"/>
    <w:sig w:usb0="00000001" w:usb1="08000000" w:usb2="00000000" w:usb3="00000000" w:csb0="00040000" w:csb1="00000000"/>
  </w:font>
  <w:font w:name="仿宋">
    <w:altName w:val="方正仿宋_GBK"/>
    <w:panose1 w:val="02010609060101010101"/>
    <w:charset w:val="86"/>
    <w:family w:val="modern"/>
    <w:pitch w:val="default"/>
    <w:sig w:usb0="00000000" w:usb1="00000000" w:usb2="00000016" w:usb3="00000000" w:csb0="00040001" w:csb1="00000000"/>
  </w:font>
  <w:font w:name="方正仿宋_GBK">
    <w:panose1 w:val="02000000000000000000"/>
    <w:charset w:val="86"/>
    <w:family w:val="auto"/>
    <w:pitch w:val="default"/>
    <w:sig w:usb0="00000001" w:usb1="08000000" w:usb2="00000000" w:usb3="00000000" w:csb0="00040000"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4"/>
      <w:jc w:val="both"/>
    </w:pPr>
    <w:r>
      <w:rPr>
        <w:sz w:val="18"/>
      </w:rPr>
      <mc:AlternateContent>
        <mc:Choice Requires="wps">
          <w:drawing>
            <wp:anchor distT="0" distB="0" distL="114300" distR="114300" simplePos="0" relativeHeight="251659264" behindDoc="0" locked="0" layoutInCell="1" allowOverlap="1">
              <wp:simplePos x="0" y="0"/>
              <wp:positionH relativeFrom="margin">
                <wp:align>center</wp:align>
              </wp:positionH>
              <wp:positionV relativeFrom="paragraph">
                <wp:posOffset>0</wp:posOffset>
              </wp:positionV>
              <wp:extent cx="1828800" cy="1828800"/>
              <wp:effectExtent l="0" t="0" r="0" b="0"/>
              <wp:wrapNone/>
              <wp:docPr id="2" name="文本框 2"/>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pStyle w:val="4"/>
                            <w:rPr>
                              <w:rFonts w:hint="eastAsia" w:asciiTheme="minorEastAsia" w:hAnsiTheme="minorEastAsia" w:eastAsiaTheme="minorEastAsia" w:cstheme="minorEastAsia"/>
                              <w:sz w:val="24"/>
                              <w:szCs w:val="24"/>
                            </w:rPr>
                          </w:pPr>
                          <w:r>
                            <w:rPr>
                              <w:rFonts w:hint="eastAsia" w:asciiTheme="minorEastAsia" w:hAnsiTheme="minorEastAsia" w:eastAsiaTheme="minorEastAsia" w:cstheme="minorEastAsia"/>
                              <w:sz w:val="24"/>
                              <w:szCs w:val="24"/>
                            </w:rPr>
                            <w:t xml:space="preserve">— </w:t>
                          </w:r>
                          <w:r>
                            <w:rPr>
                              <w:rFonts w:hint="eastAsia" w:asciiTheme="minorEastAsia" w:hAnsiTheme="minorEastAsia" w:eastAsiaTheme="minorEastAsia" w:cstheme="minorEastAsia"/>
                              <w:sz w:val="24"/>
                              <w:szCs w:val="24"/>
                            </w:rPr>
                            <w:fldChar w:fldCharType="begin"/>
                          </w:r>
                          <w:r>
                            <w:rPr>
                              <w:rFonts w:hint="eastAsia" w:asciiTheme="minorEastAsia" w:hAnsiTheme="minorEastAsia" w:eastAsiaTheme="minorEastAsia" w:cstheme="minorEastAsia"/>
                              <w:sz w:val="24"/>
                              <w:szCs w:val="24"/>
                            </w:rPr>
                            <w:instrText xml:space="preserve"> PAGE  \* MERGEFORMAT </w:instrText>
                          </w:r>
                          <w:r>
                            <w:rPr>
                              <w:rFonts w:hint="eastAsia" w:asciiTheme="minorEastAsia" w:hAnsiTheme="minorEastAsia" w:eastAsiaTheme="minorEastAsia" w:cstheme="minorEastAsia"/>
                              <w:sz w:val="24"/>
                              <w:szCs w:val="24"/>
                            </w:rPr>
                            <w:fldChar w:fldCharType="separate"/>
                          </w:r>
                          <w:r>
                            <w:rPr>
                              <w:rFonts w:hint="eastAsia" w:asciiTheme="minorEastAsia" w:hAnsiTheme="minorEastAsia" w:eastAsiaTheme="minorEastAsia" w:cstheme="minorEastAsia"/>
                              <w:sz w:val="24"/>
                              <w:szCs w:val="24"/>
                            </w:rPr>
                            <w:t>1</w:t>
                          </w:r>
                          <w:r>
                            <w:rPr>
                              <w:rFonts w:hint="eastAsia" w:asciiTheme="minorEastAsia" w:hAnsiTheme="minorEastAsia" w:eastAsiaTheme="minorEastAsia" w:cstheme="minorEastAsia"/>
                              <w:sz w:val="24"/>
                              <w:szCs w:val="24"/>
                            </w:rPr>
                            <w:fldChar w:fldCharType="end"/>
                          </w:r>
                          <w:r>
                            <w:rPr>
                              <w:rFonts w:hint="eastAsia" w:asciiTheme="minorEastAsia" w:hAnsiTheme="minorEastAsia" w:eastAsiaTheme="minorEastAsia" w:cstheme="minorEastAsia"/>
                              <w:sz w:val="24"/>
                              <w:szCs w:val="24"/>
                            </w:rPr>
                            <w:t xml:space="preserve"> —</w:t>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59264;mso-width-relative:page;mso-height-relative:page;" filled="f" stroked="f" coordsize="21600,21600" o:gfxdata="UEsFBgAAAAAAAAAAAAAAAAAAAAAAAFBLAwQKAAAAAACHTuJAAAAAAAAAAAAAAAAABAAAAGRycy9Q&#10;SwMEFAAAAAgAh07iQLNJWO7QAAAABQEAAA8AAABkcnMvZG93bnJldi54bWxNj0FLw0AQhe+C/2EZ&#10;oTe7aSsSYjYFS9OjYOPB4zY7JtHd2bC7TeO/dxRBL8M83vDme+V2dlZMGOLgScFqmYFAar0ZqFPw&#10;0tS3OYiYNBltPaGCT4ywra6vSl0Yf6FnnI6pExxCsdAK+pTGQsrY9uh0XPoRib03H5xOLEMnTdAX&#10;DndWrrPsXjo9EH/o9Yi7HtuP49kp2NVNEyaMwb7iod68Pz3e4X5WanGzyh5AJJzT3zF84zM6VMx0&#10;8mcyUVgFXCT9TPbWec7y9LvIqpT/6asvUEsDBBQAAAAIAIdO4kAkgka0MQIAAGEEAAAOAAAAZHJz&#10;L2Uyb0RvYy54bWytVEuOEzEQ3SNxB8t70kkQoyhKZxQmCkKKmJECYu243WlL/sl20h0OADdgxYY9&#10;58o5eO5PBg0sZsHGXXaVX/m9qurFbaMVOQkfpDU5nYzGlAjDbSHNIaefPm5ezSgJkZmCKWtETs8i&#10;0NvlyxeL2s3F1FZWFcITgJgwr11OqxjdPMsCr4RmYWSdMHCW1msWsfWHrPCsBrpW2XQ8vslq6wvn&#10;LRch4HTdOWmP6J8DaMtScrG2/KiFiR2qF4pFUAqVdIEu29eWpeDxviyDiETlFExjuyIJ7H1as+WC&#10;zQ+euUry/gnsOU94wkkzaZD0CrVmkZGjl39Bacm9DbaMI2511hFpFQGLyfiJNruKOdFygdTBXUUP&#10;/w+Wfzg9eCKLnE4pMUyj4Jfv3y4/fl1+fiXTJE/twhxRO4e42Ly1DZpmOA84TKyb0uv0BR8CP8Q9&#10;X8UVTSQ8XZpNZ7MxXBy+YQP87PG68yG+E1aTZOTUo3qtqOy0DbELHUJSNmM3Uqm2gsqQOqc3r9+M&#10;2wtXD8CVQY5EontssmKzb3pme1ucQczbrjOC4xuJ5FsW4gPzaAU8GMMS77GUyiKJ7S1KKuu//Os8&#10;xaNC8FJSo7VyajBJlKj3BpUDYBwMPxj7wTBHfWfRqxMMoeOtiQs+qsEsvdWfMUGrlAMuZjgy5TQO&#10;5l3s2hsTyMVq1QYdnZeHqruAvnMsbs3O8ZQmCRnc6hghZqtxEqhTpdcNnddWqZ+S1Np/7tuoxz/D&#10;8jdQSwMECgAAAAAAh07iQAAAAAAAAAAAAAAAAAYAAABfcmVscy9QSwMEFAAAAAgAh07iQIoUZjzR&#10;AAAAlAEAAAsAAABfcmVscy8ucmVsc6WQwWrDMAyG74O9g9F9cZrDGKNOL6PQa+kewNiKYxpbRjLZ&#10;+vbzDoNl9LajfqHvE//+8JkWtSJLpGxg1/WgMDvyMQcD75fj0wsoqTZ7u1BGAzcUOIyPD/szLra2&#10;I5ljEdUoWQzMtZZXrcXNmKx0VDC3zUScbG0jB12su9qAeuj7Z82/GTBumOrkDfDJD6Aut9LMf9gp&#10;OiahqXaOkqZpiu4eVQe2ZY7uyDbhG7lGsxywGvAsGgdqWdd+BH1fv/un3tNHPuO61X6HjOuPV2+6&#10;HL8AUEsDBBQAAAAIAIdO4kB+5uUg9wAAAOEBAAATAAAAW0NvbnRlbnRfVHlwZXNdLnhtbJWRQU7D&#10;MBBF90jcwfIWJU67QAgl6YK0S0CoHGBkTxKLZGx5TGhvj5O2G0SRWNoz/78nu9wcxkFMGNg6quQq&#10;L6RA0s5Y6ir5vt9lD1JwBDIwOMJKHpHlpr69KfdHjyxSmriSfYz+USnWPY7AufNIadK6MEJMx9Ap&#10;D/oDOlTrorhX2lFEilmcO2RdNtjC5xDF9pCuTyYBB5bi6bQ4syoJ3g9WQ0ymaiLzg5KdCXlKLjvc&#10;W893SUOqXwnz5DrgnHtJTxOsQfEKIT7DmDSUCayM+6KAU/53yWw5cuba1mrMm8BNir3hdLG61o5r&#10;1zj93/Ltkrp0q+WD6m9QSwECFAAUAAAACACHTuJAfublIPcAAADhAQAAEwAAAAAAAAABACAAAACw&#10;BAAAW0NvbnRlbnRfVHlwZXNdLnhtbFBLAQIUAAoAAAAAAIdO4kAAAAAAAAAAAAAAAAAGAAAAAAAA&#10;AAAAEAAAAJIDAABfcmVscy9QSwECFAAUAAAACACHTuJAihRmPNEAAACUAQAACwAAAAAAAAABACAA&#10;AAC2AwAAX3JlbHMvLnJlbHNQSwECFAAKAAAAAACHTuJAAAAAAAAAAAAAAAAABAAAAAAAAAAAABAA&#10;AAAWAAAAZHJzL1BLAQIUABQAAAAIAIdO4kCzSVju0AAAAAUBAAAPAAAAAAAAAAEAIAAAADgAAABk&#10;cnMvZG93bnJldi54bWxQSwECFAAUAAAACACHTuJAJIJGtDECAABhBAAADgAAAAAAAAABACAAAAA1&#10;AQAAZHJzL2Uyb0RvYy54bWxQSwUGAAAAAAYABgBZAQAA2AUAAAAA&#10;">
              <v:fill on="f" focussize="0,0"/>
              <v:stroke on="f" weight="0.5pt"/>
              <v:imagedata o:title=""/>
              <o:lock v:ext="edit" aspectratio="f"/>
              <v:textbox inset="0mm,0mm,0mm,0mm" style="mso-fit-shape-to-text:t;">
                <w:txbxContent>
                  <w:p>
                    <w:pPr>
                      <w:pStyle w:val="4"/>
                      <w:rPr>
                        <w:rFonts w:hint="eastAsia" w:asciiTheme="minorEastAsia" w:hAnsiTheme="minorEastAsia" w:eastAsiaTheme="minorEastAsia" w:cstheme="minorEastAsia"/>
                        <w:sz w:val="24"/>
                        <w:szCs w:val="24"/>
                      </w:rPr>
                    </w:pPr>
                    <w:r>
                      <w:rPr>
                        <w:rFonts w:hint="eastAsia" w:asciiTheme="minorEastAsia" w:hAnsiTheme="minorEastAsia" w:eastAsiaTheme="minorEastAsia" w:cstheme="minorEastAsia"/>
                        <w:sz w:val="24"/>
                        <w:szCs w:val="24"/>
                      </w:rPr>
                      <w:t xml:space="preserve">— </w:t>
                    </w:r>
                    <w:r>
                      <w:rPr>
                        <w:rFonts w:hint="eastAsia" w:asciiTheme="minorEastAsia" w:hAnsiTheme="minorEastAsia" w:eastAsiaTheme="minorEastAsia" w:cstheme="minorEastAsia"/>
                        <w:sz w:val="24"/>
                        <w:szCs w:val="24"/>
                      </w:rPr>
                      <w:fldChar w:fldCharType="begin"/>
                    </w:r>
                    <w:r>
                      <w:rPr>
                        <w:rFonts w:hint="eastAsia" w:asciiTheme="minorEastAsia" w:hAnsiTheme="minorEastAsia" w:eastAsiaTheme="minorEastAsia" w:cstheme="minorEastAsia"/>
                        <w:sz w:val="24"/>
                        <w:szCs w:val="24"/>
                      </w:rPr>
                      <w:instrText xml:space="preserve"> PAGE  \* MERGEFORMAT </w:instrText>
                    </w:r>
                    <w:r>
                      <w:rPr>
                        <w:rFonts w:hint="eastAsia" w:asciiTheme="minorEastAsia" w:hAnsiTheme="minorEastAsia" w:eastAsiaTheme="minorEastAsia" w:cstheme="minorEastAsia"/>
                        <w:sz w:val="24"/>
                        <w:szCs w:val="24"/>
                      </w:rPr>
                      <w:fldChar w:fldCharType="separate"/>
                    </w:r>
                    <w:r>
                      <w:rPr>
                        <w:rFonts w:hint="eastAsia" w:asciiTheme="minorEastAsia" w:hAnsiTheme="minorEastAsia" w:eastAsiaTheme="minorEastAsia" w:cstheme="minorEastAsia"/>
                        <w:sz w:val="24"/>
                        <w:szCs w:val="24"/>
                      </w:rPr>
                      <w:t>1</w:t>
                    </w:r>
                    <w:r>
                      <w:rPr>
                        <w:rFonts w:hint="eastAsia" w:asciiTheme="minorEastAsia" w:hAnsiTheme="minorEastAsia" w:eastAsiaTheme="minorEastAsia" w:cstheme="minorEastAsia"/>
                        <w:sz w:val="24"/>
                        <w:szCs w:val="24"/>
                      </w:rPr>
                      <w:fldChar w:fldCharType="end"/>
                    </w:r>
                    <w:r>
                      <w:rPr>
                        <w:rFonts w:hint="eastAsia" w:asciiTheme="minorEastAsia" w:hAnsiTheme="minorEastAsia" w:eastAsiaTheme="minorEastAsia" w:cstheme="minorEastAsia"/>
                        <w:sz w:val="24"/>
                        <w:szCs w:val="24"/>
                      </w:rPr>
                      <w:t xml:space="preserve"> —</w:t>
                    </w:r>
                  </w:p>
                </w:txbxContent>
              </v:textbox>
            </v:shape>
          </w:pict>
        </mc:Fallback>
      </mc:AlternateContent>
    </w: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footnote w:type="separator" w:id="0">
    <w:p>
      <w:pPr>
        <w:spacing w:line="240" w:lineRule="auto"/>
        <w:ind w:firstLine="640"/>
      </w:pPr>
      <w:r>
        <w:separator/>
      </w:r>
    </w:p>
  </w:footnote>
  <w:footnote w:type="continuationSeparator" w:id="1">
    <w:p>
      <w:pPr>
        <w:spacing w:line="240" w:lineRule="auto"/>
        <w:ind w:firstLine="640"/>
      </w:pPr>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System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footnotePr>
    <w:footnote w:id="0"/>
    <w:footnote w:id="1"/>
  </w:footnotePr>
  <w:endnotePr>
    <w:endnote w:id="0"/>
    <w:endnote w:id="1"/>
  </w:endnotePr>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NDYzNjQ4NTYxMjBjMzM1NDZkMTI0NThkZDg0N2QxODEifQ=="/>
  </w:docVars>
  <w:rsids>
    <w:rsidRoot w:val="95DF1FB9"/>
    <w:rsid w:val="2EED4E3E"/>
    <w:rsid w:val="334B145F"/>
    <w:rsid w:val="3F739E22"/>
    <w:rsid w:val="3FBE7631"/>
    <w:rsid w:val="3FFEB25F"/>
    <w:rsid w:val="5BDFECC4"/>
    <w:rsid w:val="5DABF3AF"/>
    <w:rsid w:val="6F6E7809"/>
    <w:rsid w:val="6FCAFC05"/>
    <w:rsid w:val="6FFF5CAA"/>
    <w:rsid w:val="7E7FF6BD"/>
    <w:rsid w:val="7EFA79B9"/>
    <w:rsid w:val="7FEF8F78"/>
    <w:rsid w:val="95DF1FB9"/>
    <w:rsid w:val="9FB72E9A"/>
    <w:rsid w:val="A8B811C1"/>
    <w:rsid w:val="B3DF310F"/>
    <w:rsid w:val="DFF723DE"/>
    <w:rsid w:val="DFF74EB1"/>
    <w:rsid w:val="E7DDC359"/>
    <w:rsid w:val="EA5E842C"/>
    <w:rsid w:val="EFC79574"/>
    <w:rsid w:val="F57FDA35"/>
    <w:rsid w:val="F7E6B29A"/>
    <w:rsid w:val="F7FE24AA"/>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qFormat="1" w:unhideWhenUsed="0" w:uiPriority="0" w:semiHidden="0" w:name="header"/>
    <w:lsdException w:qFormat="1" w:uiPriority="99"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qFormat="1"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qFormat="1"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spacing w:line="560" w:lineRule="exact"/>
      <w:ind w:left="0" w:firstLine="700" w:firstLineChars="200"/>
      <w:jc w:val="both"/>
      <w:textAlignment w:val="bottom"/>
    </w:pPr>
    <w:rPr>
      <w:rFonts w:ascii="Times New Roman" w:hAnsi="Times New Roman" w:eastAsia="仿宋_GB2312" w:cs="Times New Roman"/>
      <w:sz w:val="32"/>
      <w:lang w:val="en-US" w:eastAsia="zh-CN" w:bidi="ar-SA"/>
    </w:rPr>
  </w:style>
  <w:style w:type="character" w:default="1" w:styleId="7">
    <w:name w:val="Default Paragraph Font"/>
    <w:semiHidden/>
    <w:qFormat/>
    <w:uiPriority w:val="0"/>
  </w:style>
  <w:style w:type="table" w:default="1" w:styleId="6">
    <w:name w:val="Normal Table"/>
    <w:semiHidden/>
    <w:qFormat/>
    <w:uiPriority w:val="0"/>
    <w:tblPr>
      <w:tblCellMar>
        <w:top w:w="0" w:type="dxa"/>
        <w:left w:w="108" w:type="dxa"/>
        <w:bottom w:w="0" w:type="dxa"/>
        <w:right w:w="108" w:type="dxa"/>
      </w:tblCellMar>
    </w:tblPr>
  </w:style>
  <w:style w:type="paragraph" w:styleId="2">
    <w:name w:val="Body Text First Indent 2"/>
    <w:basedOn w:val="3"/>
    <w:qFormat/>
    <w:uiPriority w:val="0"/>
    <w:pPr>
      <w:ind w:firstLine="420" w:firstLineChars="200"/>
    </w:pPr>
    <w:rPr>
      <w:rFonts w:eastAsia="宋体"/>
      <w:w w:val="88"/>
      <w:szCs w:val="21"/>
    </w:rPr>
  </w:style>
  <w:style w:type="paragraph" w:styleId="3">
    <w:name w:val="Body Text Indent"/>
    <w:basedOn w:val="1"/>
    <w:qFormat/>
    <w:uiPriority w:val="0"/>
    <w:pPr>
      <w:spacing w:after="120"/>
      <w:ind w:left="420" w:leftChars="200"/>
    </w:pPr>
  </w:style>
  <w:style w:type="paragraph" w:styleId="4">
    <w:name w:val="footer"/>
    <w:basedOn w:val="1"/>
    <w:unhideWhenUsed/>
    <w:qFormat/>
    <w:uiPriority w:val="99"/>
    <w:pPr>
      <w:tabs>
        <w:tab w:val="center" w:pos="4153"/>
        <w:tab w:val="right" w:pos="8306"/>
      </w:tabs>
      <w:snapToGrid w:val="0"/>
      <w:jc w:val="left"/>
    </w:pPr>
    <w:rPr>
      <w:sz w:val="18"/>
    </w:rPr>
  </w:style>
  <w:style w:type="paragraph" w:styleId="5">
    <w:name w:val="header"/>
    <w:basedOn w:val="1"/>
    <w:qFormat/>
    <w:uiPriority w:val="0"/>
    <w:pPr>
      <w:pBdr>
        <w:top w:val="none" w:color="auto" w:sz="0" w:space="1"/>
        <w:left w:val="none" w:color="auto" w:sz="0" w:space="4"/>
        <w:bottom w:val="none" w:color="auto" w:sz="0" w:space="1"/>
        <w:right w:val="none" w:color="auto" w:sz="0" w:space="4"/>
      </w:pBdr>
      <w:tabs>
        <w:tab w:val="center" w:pos="4153"/>
        <w:tab w:val="right" w:pos="8306"/>
      </w:tabs>
      <w:snapToGrid w:val="0"/>
      <w:spacing w:line="240" w:lineRule="auto"/>
      <w:jc w:val="both"/>
      <w:outlineLvl w:val="9"/>
    </w:pPr>
    <w:rPr>
      <w:sz w:val="18"/>
    </w:rPr>
  </w:style>
</w:style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7" Type="http://schemas.openxmlformats.org/officeDocument/2006/relationships/customXml" Target="../customXml/item1.xml"/><Relationship Id="rId6" Type="http://schemas.openxmlformats.org/officeDocument/2006/relationships/theme" Target="theme/theme1.xml"/><Relationship Id="rId5" Type="http://schemas.openxmlformats.org/officeDocument/2006/relationships/footer" Target="footer1.xml"/><Relationship Id="rId4" Type="http://schemas.openxmlformats.org/officeDocument/2006/relationships/endnotes" Target="endnotes.xml"/><Relationship Id="rId3" Type="http://schemas.openxmlformats.org/officeDocument/2006/relationships/footnotes" Target="footnotes.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3</Pages>
  <Words>1381</Words>
  <Characters>1427</Characters>
  <Lines>0</Lines>
  <Paragraphs>0</Paragraphs>
  <TotalTime>2697</TotalTime>
  <ScaleCrop>false</ScaleCrop>
  <LinksUpToDate>false</LinksUpToDate>
  <CharactersWithSpaces>1473</CharactersWithSpaces>
  <Application>WPS Office_12.8.2.1113_F1E327BC-269C-435d-A152-05C5408002CA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2024-10-14T00:07:00Z</dcterms:created>
  <dc:creator>baxrmzf</dc:creator>
  <cp:lastModifiedBy>baxrmzf</cp:lastModifiedBy>
  <cp:lastPrinted>2025-01-23T18:24:00Z</cp:lastPrinted>
  <dcterms:modified xsi:type="dcterms:W3CDTF">2025-09-04T08:50:47Z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2052-12.8.2.1113</vt:lpwstr>
  </property>
  <property fmtid="{D5CDD505-2E9C-101B-9397-08002B2CF9AE}" pid="3" name="ICV">
    <vt:lpwstr>8B34CFC1613EB497A35E906781651C99</vt:lpwstr>
  </property>
</Properties>
</file>