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DA51D">
      <w:pPr>
        <w:keepNext w:val="0"/>
        <w:keepLines w:val="0"/>
        <w:pageBreakBefore w:val="0"/>
        <w:widowControl w:val="0"/>
        <w:kinsoku/>
        <w:wordWrap/>
        <w:overflowPunct/>
        <w:topLinePunct w:val="0"/>
        <w:autoSpaceDE w:val="0"/>
        <w:autoSpaceDN w:val="0"/>
        <w:bidi w:val="0"/>
        <w:adjustRightInd/>
        <w:snapToGrid/>
        <w:spacing w:line="596" w:lineRule="exact"/>
        <w:ind w:left="0" w:leftChars="0" w:right="0" w:firstLine="0" w:firstLineChars="0"/>
        <w:jc w:val="center"/>
        <w:textAlignment w:val="auto"/>
        <w:outlineLvl w:val="9"/>
        <w:rPr>
          <w:rFonts w:hint="default" w:ascii="Times New Roman" w:hAnsi="Times New Roman" w:eastAsia="方正小标宋_GBK" w:cs="Times New Roman"/>
          <w:b w:val="0"/>
          <w:bCs w:val="0"/>
          <w:color w:val="auto"/>
          <w:kern w:val="0"/>
          <w:sz w:val="32"/>
          <w:szCs w:val="32"/>
          <w:highlight w:val="none"/>
          <w:lang w:val="zh-CN" w:bidi="zh-CN"/>
        </w:rPr>
      </w:pPr>
      <w:bookmarkStart w:id="0" w:name="_Toc8837"/>
      <w:bookmarkStart w:id="1" w:name="_Toc19622"/>
      <w:bookmarkStart w:id="2" w:name="_Toc2221"/>
      <w:bookmarkStart w:id="3" w:name="_Toc24046"/>
      <w:bookmarkStart w:id="4" w:name="_Toc7839"/>
      <w:bookmarkStart w:id="5" w:name="_Toc20767"/>
      <w:bookmarkStart w:id="6" w:name="_Toc14432"/>
      <w:bookmarkStart w:id="7" w:name="_Toc4937"/>
      <w:bookmarkStart w:id="8" w:name="_Toc11545"/>
      <w:bookmarkStart w:id="9" w:name="_Toc24238"/>
      <w:bookmarkStart w:id="10" w:name="_Toc23959"/>
      <w:bookmarkStart w:id="11" w:name="_Toc5344"/>
      <w:bookmarkStart w:id="12" w:name="_Toc11958"/>
      <w:bookmarkStart w:id="13" w:name="_Toc20831"/>
      <w:bookmarkStart w:id="14" w:name="_Toc8965"/>
      <w:bookmarkStart w:id="15" w:name="_Toc27868"/>
      <w:bookmarkStart w:id="16" w:name="_Toc8259"/>
      <w:bookmarkStart w:id="17" w:name="_Toc28982"/>
      <w:bookmarkStart w:id="18" w:name="_Toc32530"/>
      <w:bookmarkStart w:id="19" w:name="_Toc24427"/>
      <w:bookmarkStart w:id="20" w:name="_Toc10266"/>
    </w:p>
    <w:p w14:paraId="796A7201">
      <w:pPr>
        <w:keepNext w:val="0"/>
        <w:keepLines w:val="0"/>
        <w:pageBreakBefore w:val="0"/>
        <w:widowControl w:val="0"/>
        <w:kinsoku/>
        <w:wordWrap/>
        <w:overflowPunct/>
        <w:topLinePunct w:val="0"/>
        <w:autoSpaceDE w:val="0"/>
        <w:autoSpaceDN w:val="0"/>
        <w:bidi w:val="0"/>
        <w:adjustRightInd/>
        <w:snapToGrid/>
        <w:spacing w:line="596" w:lineRule="exact"/>
        <w:ind w:left="0" w:leftChars="0" w:right="215" w:firstLine="0" w:firstLineChars="0"/>
        <w:jc w:val="both"/>
        <w:textAlignment w:val="auto"/>
        <w:outlineLvl w:val="9"/>
        <w:rPr>
          <w:rFonts w:hint="default" w:ascii="Times New Roman" w:hAnsi="Times New Roman" w:eastAsia="方正小标宋_GBK" w:cs="Times New Roman"/>
          <w:b w:val="0"/>
          <w:bCs w:val="0"/>
          <w:color w:val="auto"/>
          <w:kern w:val="0"/>
          <w:sz w:val="32"/>
          <w:szCs w:val="32"/>
          <w:highlight w:val="none"/>
          <w:lang w:val="zh-CN" w:bidi="zh-CN"/>
        </w:rPr>
      </w:pPr>
    </w:p>
    <w:p w14:paraId="2A3CF6B2">
      <w:pPr>
        <w:keepNext w:val="0"/>
        <w:keepLines w:val="0"/>
        <w:pageBreakBefore w:val="0"/>
        <w:widowControl w:val="0"/>
        <w:kinsoku/>
        <w:wordWrap/>
        <w:overflowPunct/>
        <w:topLinePunct w:val="0"/>
        <w:autoSpaceDE w:val="0"/>
        <w:autoSpaceDN w:val="0"/>
        <w:bidi w:val="0"/>
        <w:adjustRightInd/>
        <w:snapToGrid/>
        <w:spacing w:line="596" w:lineRule="exact"/>
        <w:ind w:left="0" w:leftChars="0" w:right="215" w:firstLine="0" w:firstLineChars="0"/>
        <w:jc w:val="both"/>
        <w:textAlignment w:val="auto"/>
        <w:outlineLvl w:val="9"/>
        <w:rPr>
          <w:rFonts w:hint="default" w:ascii="Times New Roman" w:hAnsi="Times New Roman" w:eastAsia="方正小标宋_GBK" w:cs="Times New Roman"/>
          <w:b w:val="0"/>
          <w:bCs w:val="0"/>
          <w:color w:val="auto"/>
          <w:kern w:val="0"/>
          <w:sz w:val="32"/>
          <w:szCs w:val="32"/>
          <w:highlight w:val="none"/>
          <w:lang w:val="zh-CN" w:bidi="zh-CN"/>
        </w:rPr>
      </w:pPr>
    </w:p>
    <w:p w14:paraId="4799DCF8">
      <w:pPr>
        <w:keepNext w:val="0"/>
        <w:keepLines w:val="0"/>
        <w:pageBreakBefore w:val="0"/>
        <w:widowControl w:val="0"/>
        <w:kinsoku/>
        <w:wordWrap/>
        <w:overflowPunct/>
        <w:topLinePunct w:val="0"/>
        <w:autoSpaceDE w:val="0"/>
        <w:autoSpaceDN w:val="0"/>
        <w:bidi w:val="0"/>
        <w:adjustRightInd/>
        <w:snapToGrid/>
        <w:spacing w:line="596" w:lineRule="exact"/>
        <w:ind w:left="0" w:leftChars="0" w:right="215" w:firstLine="0" w:firstLineChars="0"/>
        <w:jc w:val="both"/>
        <w:textAlignment w:val="center"/>
        <w:outlineLvl w:val="9"/>
        <w:rPr>
          <w:rFonts w:hint="default" w:ascii="Times New Roman" w:hAnsi="Times New Roman" w:eastAsia="方正小标宋_GBK" w:cs="Times New Roman"/>
          <w:b w:val="0"/>
          <w:bCs w:val="0"/>
          <w:color w:val="auto"/>
          <w:kern w:val="0"/>
          <w:sz w:val="32"/>
          <w:szCs w:val="32"/>
          <w:highlight w:val="none"/>
          <w:lang w:val="zh-CN" w:bidi="zh-CN"/>
        </w:rPr>
      </w:pPr>
    </w:p>
    <w:p w14:paraId="1336CEEA">
      <w:pPr>
        <w:keepNext w:val="0"/>
        <w:keepLines w:val="0"/>
        <w:pageBreakBefore w:val="0"/>
        <w:widowControl w:val="0"/>
        <w:kinsoku/>
        <w:wordWrap/>
        <w:overflowPunct/>
        <w:topLinePunct w:val="0"/>
        <w:autoSpaceDE/>
        <w:autoSpaceDN/>
        <w:bidi w:val="0"/>
        <w:adjustRightInd/>
        <w:snapToGrid/>
        <w:spacing w:line="596" w:lineRule="exact"/>
        <w:ind w:firstLine="0" w:firstLineChars="0"/>
        <w:jc w:val="center"/>
        <w:textAlignment w:val="center"/>
        <w:outlineLvl w:val="0"/>
        <w:rPr>
          <w:rFonts w:hint="eastAsia" w:ascii="微软雅黑" w:hAnsi="微软雅黑" w:eastAsia="微软雅黑" w:cs="微软雅黑"/>
          <w:b w:val="0"/>
          <w:bCs w:val="0"/>
          <w:color w:val="auto"/>
          <w:sz w:val="48"/>
          <w:szCs w:val="48"/>
          <w:highlight w:val="none"/>
          <w:lang w:val="zh-CN"/>
        </w:rPr>
      </w:pPr>
      <w:bookmarkStart w:id="21" w:name="_Toc21158"/>
      <w:bookmarkStart w:id="22" w:name="_Toc2533"/>
      <w:r>
        <w:rPr>
          <w:rFonts w:hint="eastAsia" w:ascii="微软雅黑" w:hAnsi="微软雅黑" w:eastAsia="微软雅黑" w:cs="微软雅黑"/>
          <w:b w:val="0"/>
          <w:bCs w:val="0"/>
          <w:color w:val="auto"/>
          <w:sz w:val="48"/>
          <w:szCs w:val="48"/>
          <w:highlight w:val="none"/>
          <w:lang w:val="zh-CN"/>
        </w:rPr>
        <w:t>博爱县国土空间总体规划</w:t>
      </w:r>
      <w:bookmarkEnd w:id="0"/>
      <w:bookmarkEnd w:id="1"/>
      <w:bookmarkEnd w:id="2"/>
      <w:bookmarkEnd w:id="3"/>
      <w:bookmarkEnd w:id="4"/>
      <w:bookmarkEnd w:id="5"/>
      <w:bookmarkEnd w:id="6"/>
      <w:bookmarkEnd w:id="21"/>
      <w:bookmarkEnd w:id="22"/>
    </w:p>
    <w:p w14:paraId="0C4F23E2">
      <w:pPr>
        <w:keepNext w:val="0"/>
        <w:keepLines w:val="0"/>
        <w:pageBreakBefore w:val="0"/>
        <w:widowControl w:val="0"/>
        <w:kinsoku/>
        <w:wordWrap/>
        <w:overflowPunct/>
        <w:topLinePunct w:val="0"/>
        <w:autoSpaceDE/>
        <w:autoSpaceDN/>
        <w:bidi w:val="0"/>
        <w:adjustRightInd/>
        <w:snapToGrid/>
        <w:spacing w:line="596" w:lineRule="exact"/>
        <w:ind w:firstLine="0" w:firstLineChars="0"/>
        <w:jc w:val="center"/>
        <w:textAlignment w:val="auto"/>
        <w:rPr>
          <w:rFonts w:hint="eastAsia" w:ascii="微软雅黑" w:hAnsi="微软雅黑" w:eastAsia="微软雅黑" w:cs="微软雅黑"/>
          <w:b w:val="0"/>
          <w:bCs w:val="0"/>
          <w:color w:val="auto"/>
          <w:sz w:val="48"/>
          <w:szCs w:val="48"/>
          <w:highlight w:val="none"/>
          <w:lang w:val="zh-CN"/>
        </w:rPr>
      </w:pPr>
      <w:bookmarkStart w:id="23" w:name="_Toc29796"/>
      <w:bookmarkStart w:id="24" w:name="_Toc537"/>
      <w:bookmarkStart w:id="25" w:name="_Toc5550"/>
      <w:bookmarkStart w:id="26" w:name="_Toc15088"/>
      <w:bookmarkStart w:id="27" w:name="_Toc2372"/>
      <w:bookmarkStart w:id="28" w:name="_Toc9361"/>
      <w:bookmarkStart w:id="29" w:name="_Toc19911"/>
      <w:r>
        <w:rPr>
          <w:rFonts w:hint="eastAsia" w:ascii="微软雅黑" w:hAnsi="微软雅黑" w:eastAsia="微软雅黑" w:cs="微软雅黑"/>
          <w:b w:val="0"/>
          <w:bCs w:val="0"/>
          <w:color w:val="auto"/>
          <w:sz w:val="48"/>
          <w:szCs w:val="48"/>
          <w:highlight w:val="none"/>
          <w:lang w:val="zh-CN"/>
        </w:rPr>
        <w:t>（</w:t>
      </w:r>
      <w:r>
        <w:rPr>
          <w:rFonts w:hint="default" w:ascii="Times New Roman" w:hAnsi="Times New Roman" w:eastAsia="Times New Roman" w:cs="Times New Roman"/>
          <w:b w:val="0"/>
          <w:bCs w:val="0"/>
          <w:color w:val="auto"/>
          <w:sz w:val="48"/>
          <w:szCs w:val="48"/>
          <w:highlight w:val="none"/>
          <w:lang w:val="zh-CN"/>
        </w:rPr>
        <w:t>202</w:t>
      </w:r>
      <w:r>
        <w:rPr>
          <w:rFonts w:hint="default" w:ascii="Times New Roman" w:hAnsi="Times New Roman" w:eastAsia="Times New Roman" w:cs="Times New Roman"/>
          <w:b w:val="0"/>
          <w:bCs w:val="0"/>
          <w:color w:val="auto"/>
          <w:sz w:val="48"/>
          <w:szCs w:val="48"/>
          <w:highlight w:val="none"/>
        </w:rPr>
        <w:t>1</w:t>
      </w:r>
      <w:r>
        <w:rPr>
          <w:rFonts w:hint="eastAsia" w:ascii="仿宋_GB2312" w:hAnsi="仿宋_GB2312" w:eastAsia="仿宋_GB2312" w:cs="微软雅黑"/>
          <w:b w:val="0"/>
          <w:bCs w:val="0"/>
          <w:color w:val="auto"/>
          <w:sz w:val="48"/>
          <w:szCs w:val="48"/>
          <w:highlight w:val="none"/>
          <w:lang w:val="zh-CN"/>
        </w:rPr>
        <w:t>-</w:t>
      </w:r>
      <w:r>
        <w:rPr>
          <w:rFonts w:hint="default" w:ascii="Times New Roman" w:hAnsi="Times New Roman" w:eastAsia="Times New Roman" w:cs="Times New Roman"/>
          <w:b w:val="0"/>
          <w:bCs w:val="0"/>
          <w:color w:val="auto"/>
          <w:sz w:val="48"/>
          <w:szCs w:val="48"/>
          <w:highlight w:val="none"/>
          <w:lang w:val="zh-CN"/>
        </w:rPr>
        <w:t>2035</w:t>
      </w:r>
      <w:r>
        <w:rPr>
          <w:rFonts w:hint="eastAsia" w:ascii="微软雅黑" w:hAnsi="微软雅黑" w:eastAsia="微软雅黑" w:cs="微软雅黑"/>
          <w:b w:val="0"/>
          <w:bCs w:val="0"/>
          <w:color w:val="auto"/>
          <w:sz w:val="48"/>
          <w:szCs w:val="48"/>
          <w:highlight w:val="none"/>
        </w:rPr>
        <w:t>年</w:t>
      </w:r>
      <w:r>
        <w:rPr>
          <w:rFonts w:hint="eastAsia" w:ascii="微软雅黑" w:hAnsi="微软雅黑" w:eastAsia="微软雅黑" w:cs="微软雅黑"/>
          <w:b w:val="0"/>
          <w:bCs w:val="0"/>
          <w:color w:val="auto"/>
          <w:sz w:val="48"/>
          <w:szCs w:val="48"/>
          <w:highlight w:val="none"/>
          <w:lang w:val="zh-CN"/>
        </w:rPr>
        <w:t>）</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3"/>
      <w:bookmarkEnd w:id="24"/>
      <w:bookmarkEnd w:id="25"/>
      <w:bookmarkEnd w:id="26"/>
      <w:bookmarkEnd w:id="27"/>
      <w:bookmarkEnd w:id="28"/>
      <w:bookmarkEnd w:id="29"/>
    </w:p>
    <w:p w14:paraId="76DD975B">
      <w:pPr>
        <w:ind w:left="0" w:leftChars="0" w:firstLine="0" w:firstLineChars="0"/>
        <w:rPr>
          <w:rFonts w:hint="eastAsia" w:ascii="微软雅黑" w:hAnsi="微软雅黑" w:eastAsia="微软雅黑" w:cs="微软雅黑"/>
          <w:b w:val="0"/>
          <w:bCs w:val="0"/>
          <w:color w:val="auto"/>
          <w:sz w:val="16"/>
          <w:highlight w:val="none"/>
        </w:rPr>
      </w:pPr>
    </w:p>
    <w:p w14:paraId="5C0C9A85">
      <w:pPr>
        <w:keepNext w:val="0"/>
        <w:keepLines w:val="0"/>
        <w:pageBreakBefore w:val="0"/>
        <w:widowControl w:val="0"/>
        <w:kinsoku/>
        <w:wordWrap/>
        <w:overflowPunct/>
        <w:topLinePunct w:val="0"/>
        <w:autoSpaceDE/>
        <w:autoSpaceDN/>
        <w:bidi w:val="0"/>
        <w:adjustRightInd/>
        <w:snapToGrid/>
        <w:spacing w:line="596" w:lineRule="exact"/>
        <w:ind w:firstLine="0" w:firstLineChars="0"/>
        <w:jc w:val="center"/>
        <w:textAlignment w:val="auto"/>
        <w:rPr>
          <w:rFonts w:hint="eastAsia" w:ascii="微软雅黑" w:hAnsi="微软雅黑" w:eastAsia="微软雅黑" w:cs="微软雅黑"/>
          <w:b w:val="0"/>
          <w:bCs w:val="0"/>
          <w:color w:val="auto"/>
          <w:kern w:val="0"/>
          <w:sz w:val="48"/>
          <w:szCs w:val="48"/>
          <w:highlight w:val="none"/>
          <w:lang w:val="zh-CN" w:bidi="zh-CN"/>
        </w:rPr>
      </w:pPr>
      <w:bookmarkStart w:id="30" w:name="_Toc14765"/>
      <w:bookmarkStart w:id="31" w:name="_Toc12703"/>
      <w:bookmarkStart w:id="32" w:name="_Toc27832"/>
      <w:bookmarkStart w:id="33" w:name="_Toc720"/>
      <w:bookmarkStart w:id="34" w:name="_Toc6462"/>
      <w:r>
        <w:rPr>
          <w:rFonts w:hint="eastAsia" w:ascii="微软雅黑" w:hAnsi="微软雅黑" w:eastAsia="微软雅黑" w:cs="微软雅黑"/>
          <w:b w:val="0"/>
          <w:bCs w:val="0"/>
          <w:color w:val="auto"/>
          <w:kern w:val="0"/>
          <w:sz w:val="48"/>
          <w:szCs w:val="48"/>
          <w:highlight w:val="none"/>
          <w:lang w:val="zh-CN" w:bidi="zh-CN"/>
        </w:rPr>
        <w:t>文</w:t>
      </w:r>
      <w:r>
        <w:rPr>
          <w:rFonts w:hint="eastAsia" w:ascii="微软雅黑" w:hAnsi="微软雅黑" w:eastAsia="微软雅黑" w:cs="微软雅黑"/>
          <w:b w:val="0"/>
          <w:bCs w:val="0"/>
          <w:color w:val="auto"/>
          <w:kern w:val="0"/>
          <w:sz w:val="48"/>
          <w:szCs w:val="48"/>
          <w:highlight w:val="none"/>
          <w:lang w:bidi="zh-CN"/>
        </w:rPr>
        <w:t xml:space="preserve">  </w:t>
      </w:r>
      <w:r>
        <w:rPr>
          <w:rFonts w:hint="eastAsia" w:ascii="微软雅黑" w:hAnsi="微软雅黑" w:eastAsia="微软雅黑" w:cs="微软雅黑"/>
          <w:b w:val="0"/>
          <w:bCs w:val="0"/>
          <w:color w:val="auto"/>
          <w:kern w:val="0"/>
          <w:sz w:val="48"/>
          <w:szCs w:val="48"/>
          <w:highlight w:val="none"/>
          <w:lang w:val="zh-CN" w:bidi="zh-CN"/>
        </w:rPr>
        <w:t>本</w:t>
      </w:r>
      <w:bookmarkEnd w:id="30"/>
      <w:bookmarkEnd w:id="31"/>
      <w:bookmarkEnd w:id="32"/>
      <w:bookmarkEnd w:id="33"/>
      <w:bookmarkEnd w:id="34"/>
    </w:p>
    <w:p w14:paraId="59455C6C">
      <w:pPr>
        <w:pStyle w:val="7"/>
        <w:keepNext w:val="0"/>
        <w:keepLines w:val="0"/>
        <w:pageBreakBefore w:val="0"/>
        <w:widowControl w:val="0"/>
        <w:kinsoku/>
        <w:wordWrap/>
        <w:overflowPunct/>
        <w:topLinePunct w:val="0"/>
        <w:autoSpaceDE/>
        <w:autoSpaceDN/>
        <w:bidi w:val="0"/>
        <w:adjustRightInd/>
        <w:snapToGrid/>
        <w:spacing w:line="596" w:lineRule="exact"/>
        <w:ind w:firstLine="320"/>
        <w:rPr>
          <w:color w:val="auto"/>
          <w:sz w:val="16"/>
          <w:highlight w:val="none"/>
        </w:rPr>
      </w:pPr>
    </w:p>
    <w:p w14:paraId="530422FD">
      <w:pPr>
        <w:pStyle w:val="13"/>
        <w:keepNext w:val="0"/>
        <w:keepLines w:val="0"/>
        <w:pageBreakBefore w:val="0"/>
        <w:widowControl w:val="0"/>
        <w:kinsoku/>
        <w:wordWrap/>
        <w:overflowPunct/>
        <w:topLinePunct w:val="0"/>
        <w:autoSpaceDE/>
        <w:autoSpaceDN/>
        <w:bidi w:val="0"/>
        <w:adjustRightInd/>
        <w:snapToGrid/>
        <w:spacing w:line="596" w:lineRule="exact"/>
        <w:rPr>
          <w:color w:val="auto"/>
          <w:highlight w:val="none"/>
        </w:rPr>
      </w:pPr>
    </w:p>
    <w:p w14:paraId="45DD22BF">
      <w:pPr>
        <w:keepNext w:val="0"/>
        <w:keepLines w:val="0"/>
        <w:pageBreakBefore w:val="0"/>
        <w:widowControl w:val="0"/>
        <w:kinsoku/>
        <w:wordWrap/>
        <w:overflowPunct/>
        <w:topLinePunct w:val="0"/>
        <w:autoSpaceDE/>
        <w:autoSpaceDN/>
        <w:bidi w:val="0"/>
        <w:adjustRightInd/>
        <w:snapToGrid/>
        <w:spacing w:line="596" w:lineRule="exact"/>
        <w:rPr>
          <w:b w:val="0"/>
          <w:bCs w:val="0"/>
          <w:color w:val="auto"/>
          <w:sz w:val="16"/>
          <w:highlight w:val="none"/>
        </w:rPr>
      </w:pPr>
    </w:p>
    <w:p w14:paraId="48E71690">
      <w:pPr>
        <w:pStyle w:val="7"/>
        <w:keepNext w:val="0"/>
        <w:keepLines w:val="0"/>
        <w:pageBreakBefore w:val="0"/>
        <w:widowControl w:val="0"/>
        <w:kinsoku/>
        <w:wordWrap/>
        <w:overflowPunct/>
        <w:topLinePunct w:val="0"/>
        <w:autoSpaceDE/>
        <w:autoSpaceDN/>
        <w:bidi w:val="0"/>
        <w:adjustRightInd/>
        <w:snapToGrid/>
        <w:spacing w:line="596" w:lineRule="exact"/>
        <w:ind w:firstLine="420"/>
        <w:rPr>
          <w:color w:val="auto"/>
          <w:highlight w:val="none"/>
        </w:rPr>
      </w:pPr>
    </w:p>
    <w:p w14:paraId="29CDB61E">
      <w:pPr>
        <w:keepNext w:val="0"/>
        <w:keepLines w:val="0"/>
        <w:pageBreakBefore w:val="0"/>
        <w:widowControl w:val="0"/>
        <w:kinsoku/>
        <w:wordWrap/>
        <w:overflowPunct/>
        <w:topLinePunct w:val="0"/>
        <w:autoSpaceDE/>
        <w:autoSpaceDN/>
        <w:bidi w:val="0"/>
        <w:adjustRightInd/>
        <w:snapToGrid/>
        <w:spacing w:line="596" w:lineRule="exact"/>
        <w:rPr>
          <w:b w:val="0"/>
          <w:bCs w:val="0"/>
          <w:color w:val="auto"/>
          <w:sz w:val="16"/>
          <w:highlight w:val="none"/>
        </w:rPr>
      </w:pPr>
    </w:p>
    <w:p w14:paraId="0EF9D276">
      <w:pPr>
        <w:keepNext w:val="0"/>
        <w:keepLines w:val="0"/>
        <w:pageBreakBefore w:val="0"/>
        <w:widowControl w:val="0"/>
        <w:kinsoku/>
        <w:wordWrap/>
        <w:overflowPunct/>
        <w:topLinePunct w:val="0"/>
        <w:autoSpaceDE/>
        <w:autoSpaceDN/>
        <w:bidi w:val="0"/>
        <w:adjustRightInd/>
        <w:snapToGrid/>
        <w:spacing w:line="596" w:lineRule="exact"/>
        <w:rPr>
          <w:b w:val="0"/>
          <w:bCs w:val="0"/>
          <w:color w:val="auto"/>
          <w:sz w:val="16"/>
          <w:highlight w:val="none"/>
        </w:rPr>
      </w:pPr>
    </w:p>
    <w:p w14:paraId="7ABA466A">
      <w:pPr>
        <w:keepNext w:val="0"/>
        <w:keepLines w:val="0"/>
        <w:pageBreakBefore w:val="0"/>
        <w:widowControl w:val="0"/>
        <w:kinsoku/>
        <w:wordWrap/>
        <w:overflowPunct/>
        <w:topLinePunct w:val="0"/>
        <w:autoSpaceDE/>
        <w:autoSpaceDN/>
        <w:bidi w:val="0"/>
        <w:adjustRightInd/>
        <w:snapToGrid/>
        <w:spacing w:line="596" w:lineRule="exact"/>
        <w:rPr>
          <w:b w:val="0"/>
          <w:bCs w:val="0"/>
          <w:color w:val="auto"/>
          <w:sz w:val="16"/>
          <w:highlight w:val="none"/>
        </w:rPr>
      </w:pPr>
    </w:p>
    <w:p w14:paraId="0B4D7E85">
      <w:pPr>
        <w:keepNext w:val="0"/>
        <w:keepLines w:val="0"/>
        <w:pageBreakBefore w:val="0"/>
        <w:widowControl w:val="0"/>
        <w:kinsoku/>
        <w:wordWrap/>
        <w:overflowPunct/>
        <w:topLinePunct w:val="0"/>
        <w:autoSpaceDE/>
        <w:autoSpaceDN/>
        <w:bidi w:val="0"/>
        <w:adjustRightInd/>
        <w:snapToGrid/>
        <w:spacing w:line="596" w:lineRule="exact"/>
        <w:rPr>
          <w:b w:val="0"/>
          <w:bCs w:val="0"/>
          <w:color w:val="auto"/>
          <w:sz w:val="16"/>
          <w:highlight w:val="none"/>
        </w:rPr>
      </w:pPr>
    </w:p>
    <w:p w14:paraId="5E92BB32">
      <w:pPr>
        <w:keepNext w:val="0"/>
        <w:keepLines w:val="0"/>
        <w:pageBreakBefore w:val="0"/>
        <w:widowControl w:val="0"/>
        <w:kinsoku/>
        <w:wordWrap/>
        <w:overflowPunct/>
        <w:topLinePunct w:val="0"/>
        <w:autoSpaceDE/>
        <w:autoSpaceDN/>
        <w:bidi w:val="0"/>
        <w:adjustRightInd/>
        <w:snapToGrid/>
        <w:spacing w:line="596" w:lineRule="exact"/>
        <w:rPr>
          <w:b w:val="0"/>
          <w:bCs w:val="0"/>
          <w:color w:val="auto"/>
          <w:sz w:val="16"/>
          <w:highlight w:val="none"/>
        </w:rPr>
      </w:pPr>
    </w:p>
    <w:p w14:paraId="07CD1ED6">
      <w:pPr>
        <w:keepNext w:val="0"/>
        <w:keepLines w:val="0"/>
        <w:pageBreakBefore w:val="0"/>
        <w:widowControl w:val="0"/>
        <w:kinsoku/>
        <w:wordWrap/>
        <w:overflowPunct/>
        <w:topLinePunct w:val="0"/>
        <w:autoSpaceDE/>
        <w:autoSpaceDN/>
        <w:bidi w:val="0"/>
        <w:adjustRightInd/>
        <w:snapToGrid/>
        <w:spacing w:line="596" w:lineRule="exact"/>
        <w:rPr>
          <w:b w:val="0"/>
          <w:bCs w:val="0"/>
          <w:color w:val="auto"/>
          <w:sz w:val="16"/>
          <w:highlight w:val="none"/>
        </w:rPr>
      </w:pPr>
    </w:p>
    <w:p w14:paraId="3BD7A174">
      <w:pPr>
        <w:keepNext w:val="0"/>
        <w:keepLines w:val="0"/>
        <w:pageBreakBefore w:val="0"/>
        <w:widowControl w:val="0"/>
        <w:kinsoku/>
        <w:wordWrap/>
        <w:overflowPunct/>
        <w:topLinePunct w:val="0"/>
        <w:autoSpaceDE/>
        <w:autoSpaceDN/>
        <w:bidi w:val="0"/>
        <w:adjustRightInd/>
        <w:snapToGrid/>
        <w:spacing w:line="596" w:lineRule="exact"/>
        <w:rPr>
          <w:b w:val="0"/>
          <w:bCs w:val="0"/>
          <w:color w:val="auto"/>
          <w:sz w:val="16"/>
          <w:highlight w:val="none"/>
        </w:rPr>
      </w:pPr>
    </w:p>
    <w:p w14:paraId="00674868">
      <w:pPr>
        <w:keepNext w:val="0"/>
        <w:keepLines w:val="0"/>
        <w:pageBreakBefore w:val="0"/>
        <w:widowControl w:val="0"/>
        <w:kinsoku/>
        <w:wordWrap/>
        <w:overflowPunct/>
        <w:topLinePunct w:val="0"/>
        <w:autoSpaceDE/>
        <w:autoSpaceDN/>
        <w:bidi w:val="0"/>
        <w:adjustRightInd/>
        <w:snapToGrid/>
        <w:spacing w:line="596" w:lineRule="exact"/>
        <w:ind w:left="0" w:leftChars="0" w:right="218" w:firstLine="0" w:firstLineChars="0"/>
        <w:jc w:val="both"/>
        <w:rPr>
          <w:rFonts w:hint="eastAsia" w:ascii="黑体" w:eastAsia="黑体"/>
          <w:b w:val="0"/>
          <w:bCs w:val="0"/>
          <w:color w:val="auto"/>
          <w:sz w:val="28"/>
          <w:szCs w:val="20"/>
          <w:highlight w:val="none"/>
        </w:rPr>
      </w:pPr>
    </w:p>
    <w:p w14:paraId="78FCC65E">
      <w:pPr>
        <w:keepNext w:val="0"/>
        <w:keepLines w:val="0"/>
        <w:pageBreakBefore w:val="0"/>
        <w:widowControl w:val="0"/>
        <w:kinsoku/>
        <w:wordWrap/>
        <w:overflowPunct/>
        <w:topLinePunct w:val="0"/>
        <w:autoSpaceDE/>
        <w:autoSpaceDN/>
        <w:bidi w:val="0"/>
        <w:adjustRightInd/>
        <w:snapToGrid/>
        <w:spacing w:line="596" w:lineRule="exact"/>
        <w:ind w:left="0" w:leftChars="0" w:right="0" w:firstLine="0" w:firstLineChars="0"/>
        <w:jc w:val="center"/>
        <w:textAlignment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博爱县人民政府</w:t>
      </w:r>
    </w:p>
    <w:p w14:paraId="6898DB6D">
      <w:pPr>
        <w:keepNext w:val="0"/>
        <w:keepLines w:val="0"/>
        <w:pageBreakBefore w:val="0"/>
        <w:widowControl w:val="0"/>
        <w:kinsoku/>
        <w:wordWrap/>
        <w:overflowPunct/>
        <w:topLinePunct w:val="0"/>
        <w:autoSpaceDE/>
        <w:autoSpaceDN/>
        <w:bidi w:val="0"/>
        <w:adjustRightInd/>
        <w:snapToGrid/>
        <w:spacing w:line="596" w:lineRule="exact"/>
        <w:ind w:left="0" w:leftChars="0" w:right="0" w:firstLine="0" w:firstLineChars="0"/>
        <w:jc w:val="center"/>
        <w:textAlignment w:val="center"/>
        <w:rPr>
          <w:rFonts w:hint="eastAsia" w:ascii="黑体" w:hAnsi="黑体" w:eastAsia="黑体" w:cs="黑体"/>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202</w:t>
      </w:r>
      <w:r>
        <w:rPr>
          <w:rFonts w:hint="eastAsia" w:eastAsia="黑体" w:cs="Times New Roman"/>
          <w:b w:val="0"/>
          <w:bCs w:val="0"/>
          <w:color w:val="auto"/>
          <w:sz w:val="32"/>
          <w:szCs w:val="32"/>
          <w:highlight w:val="none"/>
          <w:lang w:val="en-US" w:eastAsia="zh-CN"/>
        </w:rPr>
        <w:t>4</w:t>
      </w:r>
      <w:r>
        <w:rPr>
          <w:rFonts w:hint="eastAsia" w:ascii="黑体" w:hAnsi="黑体" w:eastAsia="黑体" w:cs="黑体"/>
          <w:b w:val="0"/>
          <w:bCs w:val="0"/>
          <w:color w:val="auto"/>
          <w:sz w:val="32"/>
          <w:szCs w:val="32"/>
          <w:highlight w:val="none"/>
        </w:rPr>
        <w:t>年</w:t>
      </w:r>
      <w:r>
        <w:rPr>
          <w:rFonts w:hint="eastAsia" w:eastAsia="黑体" w:cs="Times New Roman"/>
          <w:b w:val="0"/>
          <w:bCs w:val="0"/>
          <w:color w:val="auto"/>
          <w:sz w:val="32"/>
          <w:szCs w:val="32"/>
          <w:highlight w:val="none"/>
          <w:lang w:val="en-US" w:eastAsia="zh-CN"/>
        </w:rPr>
        <w:t>6</w:t>
      </w:r>
      <w:r>
        <w:rPr>
          <w:rFonts w:hint="eastAsia" w:ascii="黑体" w:hAnsi="黑体" w:eastAsia="黑体" w:cs="黑体"/>
          <w:b w:val="0"/>
          <w:bCs w:val="0"/>
          <w:color w:val="auto"/>
          <w:sz w:val="32"/>
          <w:szCs w:val="32"/>
          <w:highlight w:val="none"/>
        </w:rPr>
        <w:t>月</w:t>
      </w:r>
    </w:p>
    <w:p w14:paraId="0082197F">
      <w:pPr>
        <w:keepNext w:val="0"/>
        <w:keepLines w:val="0"/>
        <w:pageBreakBefore w:val="0"/>
        <w:widowControl w:val="0"/>
        <w:kinsoku/>
        <w:wordWrap/>
        <w:overflowPunct/>
        <w:topLinePunct w:val="0"/>
        <w:autoSpaceDE/>
        <w:autoSpaceDN/>
        <w:bidi w:val="0"/>
        <w:adjustRightInd/>
        <w:snapToGrid/>
        <w:spacing w:line="596" w:lineRule="exact"/>
        <w:ind w:left="119" w:right="215"/>
        <w:jc w:val="center"/>
        <w:textAlignment w:val="auto"/>
        <w:rPr>
          <w:rFonts w:hint="eastAsia" w:ascii="楷体_GB2312" w:hAnsi="楷体_GB2312" w:eastAsia="楷体_GB2312" w:cs="楷体_GB2312"/>
          <w:b w:val="0"/>
          <w:bCs w:val="0"/>
          <w:color w:val="auto"/>
          <w:sz w:val="32"/>
          <w:szCs w:val="32"/>
          <w:highlight w:val="none"/>
        </w:rPr>
      </w:pPr>
    </w:p>
    <w:p w14:paraId="3D0956B6">
      <w:pPr>
        <w:keepNext w:val="0"/>
        <w:keepLines w:val="0"/>
        <w:pageBreakBefore w:val="0"/>
        <w:widowControl w:val="0"/>
        <w:kinsoku/>
        <w:wordWrap/>
        <w:overflowPunct/>
        <w:topLinePunct w:val="0"/>
        <w:autoSpaceDE/>
        <w:autoSpaceDN/>
        <w:bidi w:val="0"/>
        <w:adjustRightInd/>
        <w:snapToGrid/>
        <w:spacing w:line="596" w:lineRule="exact"/>
        <w:ind w:left="119" w:right="215"/>
        <w:jc w:val="center"/>
        <w:rPr>
          <w:rFonts w:hint="eastAsia" w:ascii="楷体_GB2312" w:hAnsi="楷体_GB2312" w:eastAsia="楷体_GB2312" w:cs="楷体_GB2312"/>
          <w:b w:val="0"/>
          <w:bCs w:val="0"/>
          <w:color w:val="auto"/>
          <w:sz w:val="32"/>
          <w:szCs w:val="32"/>
          <w:highlight w:val="none"/>
        </w:rPr>
        <w:sectPr>
          <w:footerReference r:id="rId5" w:type="default"/>
          <w:pgSz w:w="11906" w:h="16838"/>
          <w:pgMar w:top="1440" w:right="1797" w:bottom="1440" w:left="1797" w:header="850" w:footer="850" w:gutter="0"/>
          <w:pgNumType w:fmt="decimal" w:start="1"/>
          <w:cols w:space="720" w:num="1"/>
          <w:rtlGutter w:val="0"/>
          <w:docGrid w:type="lines" w:linePitch="436" w:charSpace="0"/>
        </w:sectPr>
      </w:pPr>
    </w:p>
    <w:p w14:paraId="270ED61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center"/>
        <w:rPr>
          <w:rFonts w:hint="eastAsia" w:eastAsia="仿宋_GB2312"/>
          <w:b w:val="0"/>
          <w:bCs w:val="0"/>
          <w:color w:val="auto"/>
          <w:highlight w:val="none"/>
          <w:lang w:eastAsia="zh-CN"/>
        </w:rPr>
      </w:pPr>
    </w:p>
    <w:p w14:paraId="033A127B">
      <w:pPr>
        <w:keepNext w:val="0"/>
        <w:keepLines w:val="0"/>
        <w:pageBreakBefore w:val="0"/>
        <w:widowControl w:val="0"/>
        <w:kinsoku/>
        <w:wordWrap/>
        <w:overflowPunct/>
        <w:topLinePunct w:val="0"/>
        <w:autoSpaceDE/>
        <w:autoSpaceDN/>
        <w:bidi w:val="0"/>
        <w:adjustRightInd/>
        <w:snapToGrid/>
        <w:textAlignment w:val="center"/>
        <w:rPr>
          <w:b w:val="0"/>
          <w:bCs w:val="0"/>
          <w:color w:val="auto"/>
          <w:highlight w:val="none"/>
        </w:rPr>
      </w:pPr>
    </w:p>
    <w:p w14:paraId="602A2880">
      <w:pPr>
        <w:pStyle w:val="12"/>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jc w:val="center"/>
        <w:textAlignment w:val="center"/>
        <w:rPr>
          <w:rFonts w:ascii="Times New Roman" w:hAnsi="Times New Roman" w:eastAsia="仿宋_GB2312"/>
          <w:color w:val="auto"/>
          <w:kern w:val="2"/>
          <w:sz w:val="32"/>
          <w:szCs w:val="24"/>
          <w:highlight w:val="none"/>
          <w:lang w:val="en-US" w:eastAsia="zh-CN" w:bidi="ar-SA"/>
        </w:rPr>
      </w:pPr>
      <w:r>
        <w:rPr>
          <w:rFonts w:hint="eastAsia" w:ascii="Times New Roman" w:hAnsi="Times New Roman" w:eastAsia="黑体" w:cs="Times New Roman"/>
          <w:b w:val="0"/>
          <w:bCs/>
          <w:kern w:val="2"/>
          <w:sz w:val="36"/>
          <w:szCs w:val="36"/>
          <w:highlight w:val="none"/>
          <w:lang w:val="en-US" w:eastAsia="zh-CN" w:bidi="ar-SA"/>
        </w:rPr>
        <w:t>目  录</w:t>
      </w:r>
      <w:r>
        <w:rPr>
          <w:color w:val="auto"/>
          <w:highlight w:val="none"/>
        </w:rPr>
        <w:fldChar w:fldCharType="begin"/>
      </w:r>
      <w:r>
        <w:rPr>
          <w:color w:val="auto"/>
          <w:highlight w:val="none"/>
        </w:rPr>
        <w:instrText xml:space="preserve">TOC \o "1-2" \h \u </w:instrText>
      </w:r>
      <w:r>
        <w:rPr>
          <w:color w:val="auto"/>
          <w:highlight w:val="none"/>
        </w:rPr>
        <w:fldChar w:fldCharType="separate"/>
      </w:r>
    </w:p>
    <w:p w14:paraId="60B9FF29">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_Toc10915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lang w:val="en-US" w:eastAsia="zh-CN"/>
        </w:rPr>
        <w:t>第一章 总则</w:t>
      </w:r>
      <w:r>
        <w:rPr>
          <w:rFonts w:hint="eastAsia" w:ascii="Times New Roman" w:hAnsi="Times New Roman" w:eastAsia="楷体" w:cs="楷体"/>
          <w:color w:val="auto"/>
          <w:sz w:val="32"/>
          <w:szCs w:val="32"/>
          <w:highlight w:val="none"/>
        </w:rPr>
        <w:tab/>
      </w: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PAGEREF _Toc10915 \h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1</w:t>
      </w:r>
      <w:r>
        <w:rPr>
          <w:rFonts w:hint="eastAsia" w:ascii="Times New Roman" w:hAnsi="Times New Roman" w:eastAsia="楷体" w:cs="楷体"/>
          <w:color w:val="auto"/>
          <w:sz w:val="32"/>
          <w:szCs w:val="32"/>
          <w:highlight w:val="none"/>
        </w:rPr>
        <w:fldChar w:fldCharType="end"/>
      </w:r>
      <w:r>
        <w:rPr>
          <w:rFonts w:hint="eastAsia" w:ascii="Times New Roman" w:hAnsi="Times New Roman" w:eastAsia="楷体" w:cs="楷体"/>
          <w:color w:val="auto"/>
          <w:sz w:val="32"/>
          <w:szCs w:val="32"/>
          <w:highlight w:val="none"/>
        </w:rPr>
        <w:fldChar w:fldCharType="end"/>
      </w:r>
    </w:p>
    <w:p w14:paraId="7EE2B51E">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_Toc27835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lang w:val="zh-CN" w:eastAsia="zh-CN"/>
        </w:rPr>
        <w:t>第</w:t>
      </w:r>
      <w:r>
        <w:rPr>
          <w:rFonts w:hint="eastAsia" w:eastAsia="楷体" w:cs="楷体"/>
          <w:color w:val="auto"/>
          <w:sz w:val="32"/>
          <w:szCs w:val="32"/>
          <w:highlight w:val="none"/>
          <w:lang w:val="en-US" w:eastAsia="zh-CN"/>
        </w:rPr>
        <w:t>二</w:t>
      </w:r>
      <w:r>
        <w:rPr>
          <w:rFonts w:hint="eastAsia" w:ascii="Times New Roman" w:hAnsi="Times New Roman" w:eastAsia="楷体" w:cs="楷体"/>
          <w:color w:val="auto"/>
          <w:sz w:val="32"/>
          <w:szCs w:val="32"/>
          <w:highlight w:val="none"/>
          <w:lang w:val="zh-CN" w:eastAsia="zh-CN"/>
        </w:rPr>
        <w:t>章 发展目标与战略</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4</w:t>
      </w:r>
      <w:r>
        <w:rPr>
          <w:rFonts w:hint="eastAsia" w:ascii="Times New Roman" w:hAnsi="Times New Roman" w:eastAsia="楷体" w:cs="楷体"/>
          <w:color w:val="auto"/>
          <w:sz w:val="32"/>
          <w:szCs w:val="32"/>
          <w:highlight w:val="none"/>
        </w:rPr>
        <w:fldChar w:fldCharType="end"/>
      </w:r>
    </w:p>
    <w:p w14:paraId="35B2662D">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_Toc19682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lang w:val="zh-CN" w:eastAsia="zh-CN"/>
        </w:rPr>
        <w:t>第</w:t>
      </w:r>
      <w:r>
        <w:rPr>
          <w:rFonts w:hint="eastAsia" w:eastAsia="楷体" w:cs="楷体"/>
          <w:color w:val="auto"/>
          <w:sz w:val="32"/>
          <w:szCs w:val="32"/>
          <w:highlight w:val="none"/>
          <w:lang w:val="en-US" w:eastAsia="zh-CN"/>
        </w:rPr>
        <w:t>三</w:t>
      </w:r>
      <w:r>
        <w:rPr>
          <w:rFonts w:hint="eastAsia" w:ascii="Times New Roman" w:hAnsi="Times New Roman" w:eastAsia="楷体" w:cs="楷体"/>
          <w:color w:val="auto"/>
          <w:sz w:val="32"/>
          <w:szCs w:val="32"/>
          <w:highlight w:val="none"/>
          <w:lang w:val="zh-CN" w:eastAsia="zh-CN"/>
        </w:rPr>
        <w:t>章 以“三区三线”为基础，构建国土空间总体格局</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8</w:t>
      </w:r>
      <w:r>
        <w:rPr>
          <w:rFonts w:hint="eastAsia" w:ascii="Times New Roman" w:hAnsi="Times New Roman" w:eastAsia="楷体" w:cs="楷体"/>
          <w:color w:val="auto"/>
          <w:sz w:val="32"/>
          <w:szCs w:val="32"/>
          <w:highlight w:val="none"/>
        </w:rPr>
        <w:fldChar w:fldCharType="end"/>
      </w:r>
    </w:p>
    <w:p w14:paraId="69F092C2">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_Toc152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第一节 底线管控</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8</w:t>
      </w:r>
      <w:r>
        <w:rPr>
          <w:rFonts w:hint="eastAsia" w:ascii="Times New Roman" w:hAnsi="Times New Roman" w:eastAsia="楷体" w:cs="楷体"/>
          <w:color w:val="auto"/>
          <w:sz w:val="32"/>
          <w:szCs w:val="32"/>
          <w:highlight w:val="none"/>
        </w:rPr>
        <w:fldChar w:fldCharType="end"/>
      </w:r>
    </w:p>
    <w:p w14:paraId="464AF0C5">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_Toc30360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第二节 优化县域国土空间总体格局</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1</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0</w:t>
      </w:r>
    </w:p>
    <w:p w14:paraId="6EE1E8E0">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_Toc20255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第三节 县域国土空间规划分区</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1</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2</w:t>
      </w:r>
    </w:p>
    <w:p w14:paraId="6464D239">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_Toc3109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第四节 优化调整国土空间用途结构</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1</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4</w:t>
      </w:r>
    </w:p>
    <w:p w14:paraId="50B443E9">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_Toc24249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第五节 区域协调</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1</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5</w:t>
      </w:r>
    </w:p>
    <w:p w14:paraId="1E15E299">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_Toc29114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lang w:val="zh-CN" w:eastAsia="zh-CN"/>
        </w:rPr>
        <w:t>第</w:t>
      </w:r>
      <w:r>
        <w:rPr>
          <w:rFonts w:hint="eastAsia" w:eastAsia="楷体" w:cs="楷体"/>
          <w:color w:val="auto"/>
          <w:sz w:val="32"/>
          <w:szCs w:val="32"/>
          <w:highlight w:val="none"/>
          <w:lang w:val="en-US" w:eastAsia="zh-CN"/>
        </w:rPr>
        <w:t>四</w:t>
      </w:r>
      <w:r>
        <w:rPr>
          <w:rFonts w:hint="eastAsia" w:ascii="Times New Roman" w:hAnsi="Times New Roman" w:eastAsia="楷体" w:cs="楷体"/>
          <w:color w:val="auto"/>
          <w:sz w:val="32"/>
          <w:szCs w:val="32"/>
          <w:highlight w:val="none"/>
          <w:lang w:val="zh-CN" w:eastAsia="zh-CN"/>
        </w:rPr>
        <w:t>章 严格保障农业发展空间，促进乡村振兴</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1</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8</w:t>
      </w:r>
    </w:p>
    <w:p w14:paraId="3A5DAFB3">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_Toc24943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第一节 耕地资源保护与利用</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1</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8</w:t>
      </w:r>
    </w:p>
    <w:p w14:paraId="11B48051">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_Toc32089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第二节 农业生产空间格局</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2</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1</w:t>
      </w:r>
    </w:p>
    <w:p w14:paraId="0C1C9768">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_Toc30959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第三节 乡村振兴</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2</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2</w:t>
      </w:r>
    </w:p>
    <w:p w14:paraId="3B9CBE5C">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_Toc9953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第四节 国土综合整治</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2</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4</w:t>
      </w:r>
    </w:p>
    <w:p w14:paraId="311214F4">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_Toc20188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w:t>
      </w:r>
      <w:r>
        <w:rPr>
          <w:rFonts w:hint="eastAsia" w:eastAsia="楷体" w:cs="楷体"/>
          <w:color w:val="auto"/>
          <w:sz w:val="32"/>
          <w:szCs w:val="32"/>
          <w:highlight w:val="none"/>
          <w:lang w:val="en-US" w:eastAsia="zh-CN"/>
        </w:rPr>
        <w:t>五</w:t>
      </w:r>
      <w:r>
        <w:rPr>
          <w:rFonts w:hint="eastAsia" w:ascii="Times New Roman" w:hAnsi="Times New Roman" w:eastAsia="楷体" w:cs="楷体"/>
          <w:color w:val="auto"/>
          <w:sz w:val="32"/>
          <w:szCs w:val="32"/>
          <w:highlight w:val="none"/>
        </w:rPr>
        <w:t xml:space="preserve">章 </w:t>
      </w:r>
      <w:r>
        <w:rPr>
          <w:rFonts w:hint="eastAsia" w:ascii="Times New Roman" w:hAnsi="Times New Roman" w:eastAsia="楷体" w:cs="楷体"/>
          <w:color w:val="auto"/>
          <w:sz w:val="32"/>
          <w:szCs w:val="32"/>
          <w:highlight w:val="none"/>
          <w:lang w:val="zh-CN" w:eastAsia="zh-CN"/>
        </w:rPr>
        <w:t>构筑生态屏障，保障多样化生态空间</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2</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9</w:t>
      </w:r>
    </w:p>
    <w:p w14:paraId="5C545A02">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_Toc17826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第一节 构建生态安全格局</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2</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9</w:t>
      </w:r>
    </w:p>
    <w:p w14:paraId="1680B7C9">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_Toc18589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第二节 国土空间生态修复</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3</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2</w:t>
      </w:r>
    </w:p>
    <w:p w14:paraId="1D472695">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_Toc12147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lang w:val="zh-CN" w:eastAsia="zh-CN"/>
        </w:rPr>
        <w:t>第</w:t>
      </w:r>
      <w:r>
        <w:rPr>
          <w:rFonts w:hint="eastAsia" w:eastAsia="楷体" w:cs="楷体"/>
          <w:color w:val="auto"/>
          <w:sz w:val="32"/>
          <w:szCs w:val="32"/>
          <w:highlight w:val="none"/>
          <w:lang w:val="en-US" w:eastAsia="zh-CN"/>
        </w:rPr>
        <w:t>六</w:t>
      </w:r>
      <w:r>
        <w:rPr>
          <w:rFonts w:hint="eastAsia" w:ascii="Times New Roman" w:hAnsi="Times New Roman" w:eastAsia="楷体" w:cs="楷体"/>
          <w:color w:val="auto"/>
          <w:sz w:val="32"/>
          <w:szCs w:val="32"/>
          <w:highlight w:val="none"/>
          <w:lang w:val="zh-CN" w:eastAsia="zh-CN"/>
        </w:rPr>
        <w:t>章 强化城乡统筹，优化城镇空间布局</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3</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5</w:t>
      </w:r>
    </w:p>
    <w:p w14:paraId="5DD1496E">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_Toc31372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第一节 推进新型城镇化</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3</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5</w:t>
      </w:r>
    </w:p>
    <w:p w14:paraId="127A8C99">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_Toc28065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第二节 城镇体系规划</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3</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7</w:t>
      </w:r>
    </w:p>
    <w:p w14:paraId="55CE1D8D">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_Toc23988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第三节 产业布局</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3</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8</w:t>
      </w:r>
    </w:p>
    <w:p w14:paraId="614AF438">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_Toc7729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第四节 城乡统筹</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3</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9</w:t>
      </w:r>
    </w:p>
    <w:p w14:paraId="5B6DCF4C">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_Toc9353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w:t>
      </w:r>
      <w:r>
        <w:rPr>
          <w:rFonts w:hint="eastAsia" w:eastAsia="楷体" w:cs="楷体"/>
          <w:color w:val="auto"/>
          <w:sz w:val="32"/>
          <w:szCs w:val="32"/>
          <w:highlight w:val="none"/>
          <w:lang w:val="en-US" w:eastAsia="zh-CN"/>
        </w:rPr>
        <w:t>七</w:t>
      </w:r>
      <w:r>
        <w:rPr>
          <w:rFonts w:hint="eastAsia" w:ascii="Times New Roman" w:hAnsi="Times New Roman" w:eastAsia="楷体" w:cs="楷体"/>
          <w:color w:val="auto"/>
          <w:sz w:val="32"/>
          <w:szCs w:val="32"/>
          <w:highlight w:val="none"/>
        </w:rPr>
        <w:t xml:space="preserve">章 </w:t>
      </w:r>
      <w:r>
        <w:rPr>
          <w:rFonts w:hint="eastAsia" w:ascii="Times New Roman" w:hAnsi="Times New Roman" w:eastAsia="楷体" w:cs="楷体"/>
          <w:color w:val="auto"/>
          <w:sz w:val="32"/>
          <w:szCs w:val="32"/>
          <w:highlight w:val="none"/>
          <w:lang w:val="zh-CN"/>
        </w:rPr>
        <w:t>中心城区空间布局</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4</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1</w:t>
      </w:r>
    </w:p>
    <w:p w14:paraId="0558F1DD">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_Toc3142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第一节 中心城区总体空间结构和用地布局</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4</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1</w:t>
      </w:r>
    </w:p>
    <w:p w14:paraId="484B5BB2">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_Toc11826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第二节 优化蓝绿空间布局</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4</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9</w:t>
      </w:r>
    </w:p>
    <w:p w14:paraId="2C35EA8D">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_Toc8367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第三节 稳步推进城市更新</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5</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1</w:t>
      </w:r>
    </w:p>
    <w:p w14:paraId="7808156D">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_Toc21862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第四节 合理推进地下空间利用</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5</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5</w:t>
      </w:r>
    </w:p>
    <w:p w14:paraId="41FC3FED">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_Toc5094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第五节 四线划定及管控</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5</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5</w:t>
      </w:r>
    </w:p>
    <w:p w14:paraId="6587B309">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_Toc32489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第六节 工业用地控制线划定及管控</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5</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7</w:t>
      </w:r>
    </w:p>
    <w:p w14:paraId="79AA8B7B">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_Toc21768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lang w:val="zh-CN" w:eastAsia="zh-CN"/>
        </w:rPr>
        <w:t>第</w:t>
      </w:r>
      <w:r>
        <w:rPr>
          <w:rFonts w:hint="eastAsia" w:eastAsia="楷体" w:cs="楷体"/>
          <w:color w:val="auto"/>
          <w:sz w:val="32"/>
          <w:szCs w:val="32"/>
          <w:highlight w:val="none"/>
          <w:lang w:val="en-US" w:eastAsia="zh-CN"/>
        </w:rPr>
        <w:t>八</w:t>
      </w:r>
      <w:r>
        <w:rPr>
          <w:rFonts w:hint="eastAsia" w:ascii="Times New Roman" w:hAnsi="Times New Roman" w:eastAsia="楷体" w:cs="楷体"/>
          <w:color w:val="auto"/>
          <w:sz w:val="32"/>
          <w:szCs w:val="32"/>
          <w:highlight w:val="none"/>
          <w:lang w:val="zh-CN" w:eastAsia="zh-CN"/>
        </w:rPr>
        <w:t>章 资源保护与利用</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5</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7</w:t>
      </w:r>
    </w:p>
    <w:p w14:paraId="77861A95">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_Toc11558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第一节 强化建设用地节约集约</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5</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8</w:t>
      </w:r>
    </w:p>
    <w:p w14:paraId="0E84FD9B">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_Toc30094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第二节 统筹林地湿地资源保护与利用</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6</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1</w:t>
      </w:r>
    </w:p>
    <w:p w14:paraId="6CEBA973">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_Toc18818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第三节 水资源保护利用</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6</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2</w:t>
      </w:r>
    </w:p>
    <w:p w14:paraId="5E623BFE">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_Toc10191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第四节 矿产资源保护利用</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6</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5</w:t>
      </w:r>
    </w:p>
    <w:p w14:paraId="61C9D25C">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_Toc6489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lang w:val="zh-CN" w:eastAsia="zh-CN"/>
        </w:rPr>
        <w:t>第</w:t>
      </w:r>
      <w:r>
        <w:rPr>
          <w:rFonts w:hint="eastAsia" w:eastAsia="楷体" w:cs="楷体"/>
          <w:color w:val="auto"/>
          <w:sz w:val="32"/>
          <w:szCs w:val="32"/>
          <w:highlight w:val="none"/>
          <w:lang w:val="en-US" w:eastAsia="zh-CN"/>
        </w:rPr>
        <w:t>九</w:t>
      </w:r>
      <w:r>
        <w:rPr>
          <w:rFonts w:hint="eastAsia" w:ascii="Times New Roman" w:hAnsi="Times New Roman" w:eastAsia="楷体" w:cs="楷体"/>
          <w:color w:val="auto"/>
          <w:sz w:val="32"/>
          <w:szCs w:val="32"/>
          <w:highlight w:val="none"/>
          <w:lang w:val="zh-CN" w:eastAsia="zh-CN"/>
        </w:rPr>
        <w:t>章 历史文化保护与城乡风貌塑造</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6</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7</w:t>
      </w:r>
    </w:p>
    <w:p w14:paraId="47A1492F">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_Toc3734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第一节 历史文化保护体系</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6</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7</w:t>
      </w:r>
    </w:p>
    <w:p w14:paraId="7F04FD94">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_Toc17345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第二节 城市设计及城乡风貌塑造</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7</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0</w:t>
      </w:r>
    </w:p>
    <w:p w14:paraId="2804BE3D">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_Toc20041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 xml:space="preserve">第十章 </w:t>
      </w:r>
      <w:r>
        <w:rPr>
          <w:rFonts w:hint="eastAsia" w:ascii="Times New Roman" w:hAnsi="Times New Roman" w:eastAsia="楷体" w:cs="楷体"/>
          <w:color w:val="auto"/>
          <w:sz w:val="32"/>
          <w:szCs w:val="32"/>
          <w:highlight w:val="none"/>
          <w:lang w:val="zh-CN" w:eastAsia="zh-CN"/>
        </w:rPr>
        <w:t>支撑体系</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7</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4</w:t>
      </w:r>
    </w:p>
    <w:p w14:paraId="66F44FD8">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_Toc13960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第一节 综合交通</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7</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4</w:t>
      </w:r>
    </w:p>
    <w:p w14:paraId="33452BEB">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_Toc5241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第二节 能源水利及市政基础设施</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8</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0</w:t>
      </w:r>
    </w:p>
    <w:p w14:paraId="505A1C44">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_Toc27659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第三节 安全韧性与综合防灾</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8</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9</w:t>
      </w:r>
    </w:p>
    <w:p w14:paraId="1459AF0C">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_Toc12505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lang w:val="zh-CN" w:eastAsia="zh-CN"/>
        </w:rPr>
        <w:t>第十</w:t>
      </w:r>
      <w:r>
        <w:rPr>
          <w:rFonts w:hint="eastAsia" w:eastAsia="楷体" w:cs="楷体"/>
          <w:color w:val="auto"/>
          <w:sz w:val="32"/>
          <w:szCs w:val="32"/>
          <w:highlight w:val="none"/>
          <w:lang w:val="en-US" w:eastAsia="zh-CN"/>
        </w:rPr>
        <w:t>一</w:t>
      </w:r>
      <w:r>
        <w:rPr>
          <w:rFonts w:hint="eastAsia" w:ascii="Times New Roman" w:hAnsi="Times New Roman" w:eastAsia="楷体" w:cs="楷体"/>
          <w:color w:val="auto"/>
          <w:sz w:val="32"/>
          <w:szCs w:val="32"/>
          <w:highlight w:val="none"/>
          <w:lang w:val="zh-CN" w:eastAsia="zh-CN"/>
        </w:rPr>
        <w:t>章 规划实施</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9</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5</w:t>
      </w:r>
    </w:p>
    <w:p w14:paraId="7101F743">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_Toc24787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第一节 加强党的领导</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9</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5</w:t>
      </w:r>
    </w:p>
    <w:p w14:paraId="0EC0C8B2">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_Toc29412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第二节 传导与管控体系</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9</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6</w:t>
      </w:r>
    </w:p>
    <w:p w14:paraId="1F8C4C06">
      <w:pPr>
        <w:pStyle w:val="11"/>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textAlignment w:val="center"/>
        <w:rPr>
          <w:rFonts w:hint="eastAsia" w:ascii="Times New Roman" w:hAnsi="Times New Roman" w:eastAsia="楷体" w:cs="楷体"/>
          <w:color w:val="auto"/>
          <w:sz w:val="32"/>
          <w:szCs w:val="32"/>
          <w:highlight w:val="none"/>
          <w:lang w:val="en-US" w:eastAsia="zh-CN"/>
        </w:rPr>
      </w:pPr>
      <w:r>
        <w:rPr>
          <w:rFonts w:hint="eastAsia" w:ascii="Times New Roman" w:hAnsi="Times New Roman" w:eastAsia="楷体" w:cs="楷体"/>
          <w:color w:val="auto"/>
          <w:sz w:val="32"/>
          <w:szCs w:val="32"/>
          <w:highlight w:val="none"/>
        </w:rPr>
        <w:fldChar w:fldCharType="begin"/>
      </w:r>
      <w:r>
        <w:rPr>
          <w:rFonts w:hint="eastAsia" w:ascii="Times New Roman" w:hAnsi="Times New Roman" w:eastAsia="楷体" w:cs="楷体"/>
          <w:color w:val="auto"/>
          <w:sz w:val="32"/>
          <w:szCs w:val="32"/>
          <w:highlight w:val="none"/>
        </w:rPr>
        <w:instrText xml:space="preserve"> HYPERLINK \l _Toc16165 </w:instrText>
      </w:r>
      <w:r>
        <w:rPr>
          <w:rFonts w:hint="eastAsia" w:ascii="Times New Roman" w:hAnsi="Times New Roman" w:eastAsia="楷体" w:cs="楷体"/>
          <w:color w:val="auto"/>
          <w:sz w:val="32"/>
          <w:szCs w:val="32"/>
          <w:highlight w:val="none"/>
        </w:rPr>
        <w:fldChar w:fldCharType="separate"/>
      </w:r>
      <w:r>
        <w:rPr>
          <w:rFonts w:hint="eastAsia" w:ascii="Times New Roman" w:hAnsi="Times New Roman" w:eastAsia="楷体" w:cs="楷体"/>
          <w:color w:val="auto"/>
          <w:sz w:val="32"/>
          <w:szCs w:val="32"/>
          <w:highlight w:val="none"/>
        </w:rPr>
        <w:t>第三节 规划全生命周期管理</w:t>
      </w:r>
      <w:r>
        <w:rPr>
          <w:rFonts w:hint="eastAsia" w:ascii="Times New Roman" w:hAnsi="Times New Roman" w:eastAsia="楷体" w:cs="楷体"/>
          <w:color w:val="auto"/>
          <w:sz w:val="32"/>
          <w:szCs w:val="32"/>
          <w:highlight w:val="none"/>
        </w:rPr>
        <w:tab/>
      </w:r>
      <w:r>
        <w:rPr>
          <w:rFonts w:hint="eastAsia" w:eastAsia="楷体" w:cs="楷体"/>
          <w:color w:val="auto"/>
          <w:sz w:val="32"/>
          <w:szCs w:val="32"/>
          <w:highlight w:val="none"/>
          <w:lang w:val="en-US" w:eastAsia="zh-CN"/>
        </w:rPr>
        <w:t>9</w:t>
      </w:r>
      <w:r>
        <w:rPr>
          <w:rFonts w:hint="eastAsia" w:ascii="Times New Roman" w:hAnsi="Times New Roman" w:eastAsia="楷体" w:cs="楷体"/>
          <w:color w:val="auto"/>
          <w:sz w:val="32"/>
          <w:szCs w:val="32"/>
          <w:highlight w:val="none"/>
        </w:rPr>
        <w:fldChar w:fldCharType="end"/>
      </w:r>
      <w:r>
        <w:rPr>
          <w:rFonts w:hint="eastAsia" w:eastAsia="楷体" w:cs="楷体"/>
          <w:color w:val="auto"/>
          <w:sz w:val="32"/>
          <w:szCs w:val="32"/>
          <w:highlight w:val="none"/>
          <w:lang w:val="en-US" w:eastAsia="zh-CN"/>
        </w:rPr>
        <w:t>9</w:t>
      </w:r>
    </w:p>
    <w:p w14:paraId="6BD9A2F3">
      <w:pPr>
        <w:keepNext w:val="0"/>
        <w:keepLines w:val="0"/>
        <w:pageBreakBefore w:val="0"/>
        <w:widowControl w:val="0"/>
        <w:tabs>
          <w:tab w:val="right" w:leader="dot" w:pos="8306"/>
        </w:tabs>
        <w:kinsoku/>
        <w:wordWrap/>
        <w:overflowPunct/>
        <w:topLinePunct w:val="0"/>
        <w:autoSpaceDE/>
        <w:autoSpaceDN/>
        <w:bidi w:val="0"/>
        <w:adjustRightInd/>
        <w:snapToGrid/>
        <w:ind w:left="0" w:leftChars="0" w:firstLine="640" w:firstLineChars="200"/>
        <w:jc w:val="center"/>
        <w:textAlignment w:val="center"/>
        <w:rPr>
          <w:b w:val="0"/>
          <w:bCs w:val="0"/>
          <w:color w:val="auto"/>
          <w:highlight w:val="none"/>
        </w:rPr>
        <w:sectPr>
          <w:headerReference r:id="rId6" w:type="default"/>
          <w:footerReference r:id="rId7" w:type="default"/>
          <w:pgSz w:w="11906" w:h="16838"/>
          <w:pgMar w:top="1440" w:right="1797" w:bottom="1440" w:left="1797" w:header="850" w:footer="850" w:gutter="0"/>
          <w:pgNumType w:fmt="upperRoman" w:start="1"/>
          <w:cols w:space="720" w:num="1"/>
          <w:rtlGutter w:val="0"/>
          <w:docGrid w:type="lines" w:linePitch="436" w:charSpace="0"/>
        </w:sectPr>
      </w:pPr>
      <w:r>
        <w:rPr>
          <w:color w:val="auto"/>
          <w:highlight w:val="none"/>
        </w:rPr>
        <w:fldChar w:fldCharType="end"/>
      </w:r>
    </w:p>
    <w:p w14:paraId="1450DDAA">
      <w:pPr>
        <w:pStyle w:val="2"/>
        <w:keepNext/>
        <w:keepLines/>
        <w:pageBreakBefore w:val="0"/>
        <w:widowControl w:val="0"/>
        <w:numPr>
          <w:ilvl w:val="0"/>
          <w:numId w:val="2"/>
        </w:numPr>
        <w:kinsoku/>
        <w:wordWrap/>
        <w:overflowPunct/>
        <w:topLinePunct w:val="0"/>
        <w:autoSpaceDE/>
        <w:autoSpaceDN/>
        <w:bidi w:val="0"/>
        <w:adjustRightInd/>
        <w:snapToGrid/>
        <w:ind w:firstLine="0"/>
        <w:textAlignment w:val="auto"/>
        <w:rPr>
          <w:rFonts w:hint="eastAsia"/>
          <w:highlight w:val="none"/>
          <w:lang w:val="en-US" w:eastAsia="zh-CN"/>
        </w:rPr>
      </w:pPr>
      <w:bookmarkStart w:id="35" w:name="_Toc10915"/>
      <w:bookmarkStart w:id="36" w:name="_Toc3940"/>
      <w:bookmarkStart w:id="37" w:name="_Toc24843"/>
      <w:r>
        <w:rPr>
          <w:rFonts w:hint="eastAsia"/>
          <w:highlight w:val="none"/>
          <w:lang w:val="en-US" w:eastAsia="zh-CN"/>
        </w:rPr>
        <w:t>总则</w:t>
      </w:r>
      <w:bookmarkEnd w:id="35"/>
    </w:p>
    <w:bookmarkEnd w:id="36"/>
    <w:bookmarkEnd w:id="37"/>
    <w:p w14:paraId="4ADBDB17">
      <w:pPr>
        <w:pStyle w:val="23"/>
        <w:keepNext w:val="0"/>
        <w:keepLines w:val="0"/>
        <w:pageBreakBefore w:val="0"/>
        <w:widowControl w:val="0"/>
        <w:numPr>
          <w:ilvl w:val="0"/>
          <w:numId w:val="3"/>
        </w:numPr>
        <w:tabs>
          <w:tab w:val="left" w:pos="720"/>
          <w:tab w:val="left" w:pos="1560"/>
          <w:tab w:val="left" w:pos="1843"/>
          <w:tab w:val="clear" w:pos="0"/>
        </w:tabs>
        <w:kinsoku/>
        <w:wordWrap/>
        <w:overflowPunct/>
        <w:topLinePunct w:val="0"/>
        <w:autoSpaceDE/>
        <w:autoSpaceDN/>
        <w:bidi w:val="0"/>
        <w:adjustRightInd/>
        <w:snapToGrid/>
        <w:spacing w:line="596" w:lineRule="exact"/>
        <w:ind w:left="0" w:leftChars="0" w:firstLine="612" w:firstLineChars="0"/>
        <w:textAlignment w:val="auto"/>
        <w:outlineLvl w:val="1"/>
        <w:rPr>
          <w:rFonts w:hint="eastAsia" w:ascii="Times New Roman" w:hAnsi="Times New Roman" w:eastAsia="楷体" w:cs="Times New Roman"/>
          <w:b w:val="0"/>
          <w:bCs/>
          <w:sz w:val="32"/>
          <w:szCs w:val="32"/>
          <w:highlight w:val="none"/>
          <w:lang w:val="en-US"/>
        </w:rPr>
      </w:pPr>
      <w:bookmarkStart w:id="38" w:name="_Toc13586"/>
      <w:bookmarkStart w:id="39" w:name="_Toc27259"/>
      <w:bookmarkStart w:id="40" w:name="_Toc4381"/>
      <w:bookmarkStart w:id="41" w:name="_Toc24505"/>
      <w:bookmarkStart w:id="42" w:name="_Toc32724"/>
      <w:bookmarkStart w:id="43" w:name="_Toc31581"/>
      <w:r>
        <w:rPr>
          <w:rFonts w:hint="eastAsia" w:ascii="Times New Roman" w:hAnsi="Times New Roman" w:eastAsia="楷体" w:cs="Times New Roman"/>
          <w:b w:val="0"/>
          <w:bCs/>
          <w:sz w:val="32"/>
          <w:szCs w:val="32"/>
          <w:highlight w:val="none"/>
          <w:lang w:val="en-US"/>
        </w:rPr>
        <w:t>编制目的</w:t>
      </w:r>
      <w:bookmarkEnd w:id="38"/>
      <w:bookmarkEnd w:id="39"/>
      <w:bookmarkEnd w:id="40"/>
      <w:bookmarkEnd w:id="41"/>
      <w:bookmarkEnd w:id="42"/>
      <w:bookmarkEnd w:id="43"/>
    </w:p>
    <w:p w14:paraId="561A7CBF">
      <w:pPr>
        <w:bidi w:val="0"/>
        <w:rPr>
          <w:rFonts w:hint="eastAsia"/>
          <w:b w:val="0"/>
          <w:bCs w:val="0"/>
          <w:highlight w:val="none"/>
          <w:lang w:val="en-US"/>
        </w:rPr>
      </w:pPr>
      <w:r>
        <w:rPr>
          <w:rFonts w:hint="eastAsia"/>
          <w:b w:val="0"/>
          <w:bCs w:val="0"/>
          <w:highlight w:val="none"/>
          <w:lang w:val="en-US"/>
        </w:rPr>
        <w:t>为进一步加强规划管理，贯彻党中央、国务院关于建立国土空间规划体系并监督实施的战略部署，落实省委、省政府和焦作市委、市政府关于国土空间规划工作的要求，为博爱县国土空间的保护与开发提供规划依据，特编制《博爱县国土空间总体规划（2021</w:t>
      </w:r>
      <w:r>
        <w:rPr>
          <w:rFonts w:hint="eastAsia" w:ascii="仿宋_GB2312" w:hAnsi="仿宋_GB2312" w:eastAsia="仿宋_GB2312" w:cs="仿宋_GB2312"/>
          <w:b w:val="0"/>
          <w:bCs w:val="0"/>
          <w:highlight w:val="none"/>
          <w:lang w:val="en-US" w:eastAsia="zh-CN"/>
        </w:rPr>
        <w:t>-</w:t>
      </w:r>
      <w:r>
        <w:rPr>
          <w:rFonts w:hint="eastAsia"/>
          <w:b w:val="0"/>
          <w:bCs w:val="0"/>
          <w:highlight w:val="none"/>
          <w:lang w:val="en-US"/>
        </w:rPr>
        <w:t>2035年）》（以下简称“规划”）。</w:t>
      </w:r>
    </w:p>
    <w:p w14:paraId="17D19E29">
      <w:pPr>
        <w:pStyle w:val="23"/>
        <w:keepNext w:val="0"/>
        <w:keepLines w:val="0"/>
        <w:pageBreakBefore w:val="0"/>
        <w:widowControl w:val="0"/>
        <w:numPr>
          <w:ilvl w:val="0"/>
          <w:numId w:val="3"/>
        </w:numPr>
        <w:tabs>
          <w:tab w:val="left" w:pos="720"/>
          <w:tab w:val="left" w:pos="1560"/>
          <w:tab w:val="left" w:pos="1843"/>
          <w:tab w:val="clear" w:pos="0"/>
        </w:tabs>
        <w:kinsoku/>
        <w:wordWrap/>
        <w:overflowPunct/>
        <w:topLinePunct w:val="0"/>
        <w:autoSpaceDE/>
        <w:autoSpaceDN/>
        <w:bidi w:val="0"/>
        <w:adjustRightInd/>
        <w:snapToGrid/>
        <w:spacing w:line="596" w:lineRule="exact"/>
        <w:ind w:left="0" w:leftChars="0" w:firstLine="612" w:firstLineChars="0"/>
        <w:textAlignment w:val="auto"/>
        <w:outlineLvl w:val="1"/>
        <w:rPr>
          <w:rFonts w:hint="eastAsia" w:ascii="Times New Roman" w:hAnsi="Times New Roman" w:eastAsia="楷体" w:cs="Times New Roman"/>
          <w:b w:val="0"/>
          <w:bCs/>
          <w:sz w:val="32"/>
          <w:szCs w:val="32"/>
          <w:highlight w:val="none"/>
          <w:lang w:val="en-US"/>
        </w:rPr>
      </w:pPr>
      <w:bookmarkStart w:id="44" w:name="_Toc15931"/>
      <w:bookmarkStart w:id="45" w:name="_Toc13268"/>
      <w:r>
        <w:rPr>
          <w:rFonts w:hint="eastAsia" w:ascii="Times New Roman" w:hAnsi="Times New Roman" w:eastAsia="楷体" w:cs="Times New Roman"/>
          <w:b w:val="0"/>
          <w:bCs/>
          <w:sz w:val="32"/>
          <w:szCs w:val="32"/>
          <w:highlight w:val="none"/>
          <w:lang w:val="en-US"/>
        </w:rPr>
        <w:t>规划原则</w:t>
      </w:r>
      <w:bookmarkEnd w:id="44"/>
      <w:bookmarkEnd w:id="45"/>
    </w:p>
    <w:p w14:paraId="1B103AD9">
      <w:pPr>
        <w:keepNext w:val="0"/>
        <w:keepLines w:val="0"/>
        <w:pageBreakBefore w:val="0"/>
        <w:widowControl w:val="0"/>
        <w:kinsoku/>
        <w:wordWrap/>
        <w:overflowPunct/>
        <w:topLinePunct w:val="0"/>
        <w:autoSpaceDE/>
        <w:autoSpaceDN/>
        <w:bidi w:val="0"/>
        <w:adjustRightInd/>
        <w:snapToGrid/>
        <w:textAlignment w:val="auto"/>
        <w:rPr>
          <w:rFonts w:hint="eastAsia"/>
          <w:b w:val="0"/>
          <w:bCs w:val="0"/>
          <w:highlight w:val="none"/>
        </w:rPr>
      </w:pPr>
      <w:r>
        <w:rPr>
          <w:rFonts w:hint="eastAsia"/>
          <w:b w:val="0"/>
          <w:bCs w:val="0"/>
          <w:highlight w:val="none"/>
        </w:rPr>
        <w:t>坚持生态优先、绿色发展。贯彻新时代新要求，坚持内涵式、集约型、绿色化的高质量发展新路子，在资源环境紧约束下编制规划，推动形成绿色发展方式和生活方式，形成城市发展新的增长点和竞争力。</w:t>
      </w:r>
    </w:p>
    <w:p w14:paraId="1EE6DB8A">
      <w:pPr>
        <w:widowControl/>
        <w:spacing w:line="600" w:lineRule="exact"/>
        <w:ind w:firstLine="640" w:firstLineChars="200"/>
        <w:jc w:val="left"/>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rPr>
        <w:t>坚持以人为本、品质提升。坚持以人民为中心，塑造高品质人居环境，着力破解各类“城市病”，不断提升人民群众的获得感、幸福感、安全感。</w:t>
      </w:r>
    </w:p>
    <w:p w14:paraId="5895DFAA">
      <w:pPr>
        <w:widowControl/>
        <w:spacing w:line="600" w:lineRule="exact"/>
        <w:ind w:firstLine="640" w:firstLineChars="200"/>
        <w:jc w:val="left"/>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rPr>
        <w:t>坚持全域统筹、城乡融合。结合本地实际，发挥本地特色和优势，落实乡村振兴、区域协调发展、可持续发展等空间发展战略，推动形成开放协调的空间发展格局。</w:t>
      </w:r>
    </w:p>
    <w:p w14:paraId="458E213B">
      <w:pPr>
        <w:widowControl/>
        <w:spacing w:line="600" w:lineRule="exact"/>
        <w:ind w:firstLine="640" w:firstLineChars="200"/>
        <w:jc w:val="left"/>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rPr>
        <w:t>坚持问题导向、目标导向。按照“问题</w:t>
      </w: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b w:val="0"/>
          <w:bCs w:val="0"/>
          <w:color w:val="auto"/>
          <w:kern w:val="0"/>
          <w:sz w:val="32"/>
          <w:szCs w:val="32"/>
          <w:highlight w:val="none"/>
        </w:rPr>
        <w:t>目标</w:t>
      </w: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b w:val="0"/>
          <w:bCs w:val="0"/>
          <w:color w:val="auto"/>
          <w:kern w:val="0"/>
          <w:sz w:val="32"/>
          <w:szCs w:val="32"/>
          <w:highlight w:val="none"/>
        </w:rPr>
        <w:t>策略</w:t>
      </w: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b w:val="0"/>
          <w:bCs w:val="0"/>
          <w:color w:val="auto"/>
          <w:kern w:val="0"/>
          <w:sz w:val="32"/>
          <w:szCs w:val="32"/>
          <w:highlight w:val="none"/>
        </w:rPr>
        <w:t>机制”的逻辑，因地制宜制定规划方案和实施措施，充分发挥县级总规在空间治理中的基础性公共政策作用，确保规划能用、管用、好用。</w:t>
      </w:r>
    </w:p>
    <w:p w14:paraId="29E6C985">
      <w:pPr>
        <w:widowControl/>
        <w:spacing w:line="600" w:lineRule="exact"/>
        <w:ind w:firstLine="640" w:firstLineChars="200"/>
        <w:jc w:val="left"/>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rPr>
        <w:t>坚持创新方法、突出特色。鼓励规划编制技术创新，运用城市设计、大数据分析等手段，改进规划方法，提高规划编制水平，突出地域特色。加强公众参与，推动规划全过程的共谋、共治、共享。</w:t>
      </w:r>
    </w:p>
    <w:p w14:paraId="7CABB3FF">
      <w:pPr>
        <w:widowControl/>
        <w:spacing w:line="600" w:lineRule="exact"/>
        <w:ind w:firstLine="640" w:firstLineChars="200"/>
        <w:jc w:val="left"/>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lang w:val="en-US" w:eastAsia="zh-CN"/>
        </w:rPr>
        <w:t>坚持平战结合、安全发展。规划统筹兼顾经济建设与国防建设的关系，经济建设要贯彻国防要求，国土空间规划与国防建设相适应，满足国防项目建设空间需要，确保安全发展。</w:t>
      </w:r>
    </w:p>
    <w:p w14:paraId="7BA6E541">
      <w:pPr>
        <w:pStyle w:val="23"/>
        <w:numPr>
          <w:ilvl w:val="0"/>
          <w:numId w:val="3"/>
        </w:numPr>
        <w:bidi w:val="0"/>
        <w:ind w:left="0" w:leftChars="0" w:firstLine="612" w:firstLineChars="0"/>
        <w:outlineLvl w:val="1"/>
        <w:rPr>
          <w:rFonts w:hint="eastAsia"/>
          <w:highlight w:val="none"/>
          <w:lang w:val="en-US"/>
        </w:rPr>
      </w:pPr>
      <w:bookmarkStart w:id="46" w:name="_Toc8555"/>
      <w:bookmarkStart w:id="47" w:name="_Toc10119"/>
      <w:bookmarkStart w:id="48" w:name="_Toc15677"/>
      <w:bookmarkStart w:id="49" w:name="_Toc31386"/>
      <w:bookmarkStart w:id="50" w:name="_Toc7697"/>
      <w:bookmarkStart w:id="51" w:name="_Toc11358"/>
      <w:r>
        <w:rPr>
          <w:rFonts w:hint="eastAsia"/>
          <w:highlight w:val="none"/>
          <w:lang w:val="en-US"/>
        </w:rPr>
        <w:t>规划</w:t>
      </w:r>
      <w:bookmarkEnd w:id="46"/>
      <w:bookmarkEnd w:id="47"/>
      <w:bookmarkEnd w:id="48"/>
      <w:bookmarkEnd w:id="49"/>
      <w:r>
        <w:rPr>
          <w:rFonts w:hint="eastAsia"/>
          <w:highlight w:val="none"/>
          <w:lang w:val="en-US"/>
        </w:rPr>
        <w:t>指导思想</w:t>
      </w:r>
      <w:bookmarkEnd w:id="50"/>
      <w:bookmarkEnd w:id="51"/>
    </w:p>
    <w:p w14:paraId="0C69CADA">
      <w:pPr>
        <w:bidi w:val="0"/>
        <w:rPr>
          <w:rFonts w:hint="eastAsia"/>
          <w:b w:val="0"/>
          <w:bCs w:val="0"/>
          <w:highlight w:val="none"/>
          <w:lang w:val="en-US"/>
        </w:rPr>
      </w:pPr>
      <w:r>
        <w:rPr>
          <w:rFonts w:hint="eastAsia"/>
          <w:b w:val="0"/>
          <w:bCs w:val="0"/>
          <w:highlight w:val="none"/>
          <w:lang w:val="en-US"/>
        </w:rPr>
        <w:t>全面贯彻党的二十大精神，以习近平新时代中国特色社会主义思想为指导，深入学习贯彻习近平总书记对河南</w:t>
      </w:r>
      <w:r>
        <w:rPr>
          <w:rFonts w:hint="eastAsia"/>
          <w:b w:val="0"/>
          <w:bCs w:val="0"/>
          <w:highlight w:val="none"/>
          <w:lang w:val="en-US" w:eastAsia="zh-CN"/>
        </w:rPr>
        <w:t>省</w:t>
      </w:r>
      <w:r>
        <w:rPr>
          <w:rFonts w:hint="eastAsia"/>
          <w:b w:val="0"/>
          <w:bCs w:val="0"/>
          <w:highlight w:val="none"/>
          <w:lang w:val="en-US"/>
        </w:rPr>
        <w:t>的重要讲话和指示批示精神，统筹推进“五位一体”总体布局，协调推进“四个全面”战略布局，</w:t>
      </w:r>
      <w:r>
        <w:rPr>
          <w:rFonts w:hint="eastAsia"/>
          <w:b w:val="0"/>
          <w:bCs w:val="0"/>
          <w:highlight w:val="none"/>
          <w:lang w:val="en-US" w:eastAsia="zh-CN"/>
        </w:rPr>
        <w:t>落实黄河流域生态保护和高质量发展、促进中部地区崛起国家战略</w:t>
      </w:r>
      <w:r>
        <w:rPr>
          <w:rFonts w:hint="eastAsia"/>
          <w:b w:val="0"/>
          <w:bCs w:val="0"/>
          <w:highlight w:val="none"/>
          <w:lang w:val="en-US"/>
        </w:rPr>
        <w:t>，响应“一带一路”倡议，把握中原城市群建设的重大机遇，推动区域空间协同发展，优化县域国土空间开发保护格局，统筹各类资源和要素配置，促进更加安全、更高质量、更加公平、更可持续的发展。</w:t>
      </w:r>
    </w:p>
    <w:p w14:paraId="19273612">
      <w:pPr>
        <w:pStyle w:val="23"/>
        <w:numPr>
          <w:ilvl w:val="0"/>
          <w:numId w:val="3"/>
        </w:numPr>
        <w:bidi w:val="0"/>
        <w:ind w:left="0" w:leftChars="0" w:firstLine="612" w:firstLineChars="0"/>
        <w:outlineLvl w:val="1"/>
        <w:rPr>
          <w:rFonts w:hint="eastAsia"/>
          <w:highlight w:val="none"/>
          <w:lang w:val="en-US"/>
        </w:rPr>
      </w:pPr>
      <w:bookmarkStart w:id="52" w:name="_Toc14684"/>
      <w:bookmarkStart w:id="53" w:name="_Toc28305"/>
      <w:bookmarkStart w:id="54" w:name="_Toc26710"/>
      <w:bookmarkStart w:id="55" w:name="_Toc10576"/>
      <w:bookmarkStart w:id="56" w:name="_Toc26518"/>
      <w:bookmarkStart w:id="57" w:name="_Toc7393"/>
      <w:r>
        <w:rPr>
          <w:rFonts w:hint="eastAsia"/>
          <w:highlight w:val="none"/>
          <w:lang w:val="en-US"/>
        </w:rPr>
        <w:t>规划期限</w:t>
      </w:r>
      <w:bookmarkEnd w:id="52"/>
      <w:bookmarkEnd w:id="53"/>
      <w:bookmarkEnd w:id="54"/>
      <w:bookmarkEnd w:id="55"/>
      <w:bookmarkEnd w:id="56"/>
      <w:bookmarkEnd w:id="57"/>
    </w:p>
    <w:p w14:paraId="1A27683E">
      <w:pPr>
        <w:bidi w:val="0"/>
        <w:rPr>
          <w:rFonts w:hint="eastAsia"/>
          <w:b w:val="0"/>
          <w:bCs w:val="0"/>
          <w:highlight w:val="none"/>
        </w:rPr>
      </w:pPr>
      <w:r>
        <w:rPr>
          <w:rFonts w:hint="eastAsia"/>
          <w:b w:val="0"/>
          <w:bCs w:val="0"/>
          <w:highlight w:val="none"/>
        </w:rPr>
        <w:t>规划期限为2021至2035年。基期年为2020年，近期至2025年，远期至2035年，远景展望至2050年。</w:t>
      </w:r>
    </w:p>
    <w:p w14:paraId="66A97587">
      <w:pPr>
        <w:pStyle w:val="23"/>
        <w:numPr>
          <w:ilvl w:val="0"/>
          <w:numId w:val="3"/>
        </w:numPr>
        <w:bidi w:val="0"/>
        <w:ind w:left="0" w:leftChars="0" w:firstLine="612" w:firstLineChars="0"/>
        <w:outlineLvl w:val="1"/>
        <w:rPr>
          <w:rFonts w:hint="eastAsia"/>
          <w:highlight w:val="none"/>
          <w:lang w:val="en-US"/>
        </w:rPr>
      </w:pPr>
      <w:bookmarkStart w:id="58" w:name="_Toc18238"/>
      <w:bookmarkStart w:id="59" w:name="_Toc8560"/>
      <w:bookmarkStart w:id="60" w:name="_Toc23396"/>
      <w:bookmarkStart w:id="61" w:name="_Toc15651"/>
      <w:bookmarkStart w:id="62" w:name="_Toc22144"/>
      <w:bookmarkStart w:id="63" w:name="_Toc22749"/>
      <w:r>
        <w:rPr>
          <w:rFonts w:hint="eastAsia"/>
          <w:highlight w:val="none"/>
          <w:lang w:val="en-US"/>
        </w:rPr>
        <w:t>规划范围与层次</w:t>
      </w:r>
      <w:bookmarkEnd w:id="58"/>
      <w:bookmarkEnd w:id="59"/>
      <w:bookmarkEnd w:id="60"/>
      <w:bookmarkEnd w:id="61"/>
      <w:bookmarkEnd w:id="62"/>
      <w:bookmarkEnd w:id="63"/>
    </w:p>
    <w:p w14:paraId="7A4489B0">
      <w:pPr>
        <w:bidi w:val="0"/>
        <w:rPr>
          <w:rFonts w:hint="eastAsia"/>
          <w:b w:val="0"/>
          <w:bCs w:val="0"/>
          <w:highlight w:val="none"/>
        </w:rPr>
      </w:pPr>
      <w:r>
        <w:rPr>
          <w:rFonts w:hint="eastAsia"/>
          <w:b w:val="0"/>
          <w:bCs w:val="0"/>
          <w:highlight w:val="none"/>
        </w:rPr>
        <w:t>规划分县域和中心城区两个层次。县域为博爱县行政辖区，含清化镇街道、鸿昌街道、月山镇、柏山镇、许良镇、磨头镇、孝敬镇、金城乡、寨豁乡、国营博爱农场、国营博爱县原种场。</w:t>
      </w:r>
    </w:p>
    <w:p w14:paraId="58C9C66E">
      <w:pPr>
        <w:bidi w:val="0"/>
        <w:rPr>
          <w:rFonts w:hint="eastAsia"/>
          <w:b w:val="0"/>
          <w:bCs w:val="0"/>
          <w:highlight w:val="none"/>
        </w:rPr>
      </w:pPr>
      <w:bookmarkStart w:id="64" w:name="_Toc15126"/>
      <w:bookmarkStart w:id="65" w:name="_Toc11110"/>
      <w:bookmarkStart w:id="66" w:name="_Toc30447"/>
      <w:bookmarkStart w:id="67" w:name="_Toc6079"/>
      <w:r>
        <w:rPr>
          <w:rFonts w:hint="eastAsia"/>
          <w:b w:val="0"/>
          <w:bCs w:val="0"/>
          <w:highlight w:val="none"/>
        </w:rPr>
        <w:t>中心城区范围44.</w:t>
      </w:r>
      <w:r>
        <w:rPr>
          <w:rFonts w:hint="eastAsia"/>
          <w:b w:val="0"/>
          <w:bCs w:val="0"/>
          <w:highlight w:val="none"/>
          <w:lang w:val="en-US" w:eastAsia="zh-CN"/>
        </w:rPr>
        <w:t>80</w:t>
      </w:r>
      <w:r>
        <w:rPr>
          <w:rFonts w:hint="eastAsia"/>
          <w:b w:val="0"/>
          <w:bCs w:val="0"/>
          <w:highlight w:val="none"/>
        </w:rPr>
        <w:t>平方公里，东至博爱县界，西至月山路，南至鸿昌路，北至焦枝铁路，以及月山镇镇区、柏山镇镇区和博爱县经济技术开发区。</w:t>
      </w:r>
    </w:p>
    <w:p w14:paraId="71FFBBC1">
      <w:pPr>
        <w:pStyle w:val="23"/>
        <w:numPr>
          <w:ilvl w:val="0"/>
          <w:numId w:val="3"/>
        </w:numPr>
        <w:bidi w:val="0"/>
        <w:ind w:left="0" w:leftChars="0" w:firstLine="612" w:firstLineChars="0"/>
        <w:outlineLvl w:val="1"/>
        <w:rPr>
          <w:rFonts w:hint="eastAsia"/>
          <w:highlight w:val="none"/>
          <w:lang w:val="en-US"/>
        </w:rPr>
      </w:pPr>
      <w:bookmarkStart w:id="68" w:name="_Toc20509"/>
      <w:bookmarkStart w:id="69" w:name="_Toc18033"/>
      <w:r>
        <w:rPr>
          <w:rFonts w:hint="eastAsia"/>
          <w:highlight w:val="none"/>
          <w:lang w:val="en-US"/>
        </w:rPr>
        <w:t>强制</w:t>
      </w:r>
      <w:bookmarkEnd w:id="64"/>
      <w:bookmarkEnd w:id="65"/>
      <w:bookmarkEnd w:id="66"/>
      <w:r>
        <w:rPr>
          <w:rFonts w:hint="eastAsia"/>
          <w:highlight w:val="none"/>
          <w:lang w:val="en-US"/>
        </w:rPr>
        <w:t>性内容</w:t>
      </w:r>
      <w:bookmarkEnd w:id="67"/>
      <w:bookmarkEnd w:id="68"/>
      <w:bookmarkEnd w:id="69"/>
    </w:p>
    <w:p w14:paraId="17937563">
      <w:pPr>
        <w:bidi w:val="0"/>
        <w:rPr>
          <w:rFonts w:hint="eastAsia"/>
          <w:b w:val="0"/>
          <w:bCs w:val="0"/>
          <w:highlight w:val="none"/>
        </w:rPr>
      </w:pPr>
      <w:r>
        <w:rPr>
          <w:rFonts w:hint="eastAsia"/>
          <w:b w:val="0"/>
          <w:bCs w:val="0"/>
          <w:highlight w:val="none"/>
        </w:rPr>
        <w:t>文本中字体加下划线部分为强制性内容，强制性内容是对规划实施进行监督的基本依据。</w:t>
      </w:r>
    </w:p>
    <w:p w14:paraId="25CF8238">
      <w:pPr>
        <w:bidi w:val="0"/>
        <w:rPr>
          <w:rFonts w:hint="eastAsia"/>
          <w:b w:val="0"/>
          <w:bCs w:val="0"/>
          <w:highlight w:val="none"/>
        </w:rPr>
        <w:sectPr>
          <w:pgSz w:w="11906" w:h="16838"/>
          <w:pgMar w:top="1440" w:right="1797" w:bottom="1440" w:left="1797" w:header="850" w:footer="850" w:gutter="0"/>
          <w:pgNumType w:fmt="decimal" w:start="1"/>
          <w:cols w:space="720" w:num="1"/>
          <w:rtlGutter w:val="0"/>
          <w:docGrid w:type="lines" w:linePitch="436" w:charSpace="0"/>
        </w:sectPr>
      </w:pPr>
      <w:r>
        <w:rPr>
          <w:color w:val="auto"/>
          <w:highlight w:val="none"/>
        </w:rPr>
        <w:br w:type="page"/>
      </w:r>
    </w:p>
    <w:p w14:paraId="051C57C8">
      <w:pPr>
        <w:pStyle w:val="2"/>
        <w:keepNext/>
        <w:keepLines/>
        <w:pageBreakBefore w:val="0"/>
        <w:widowControl w:val="0"/>
        <w:numPr>
          <w:ilvl w:val="0"/>
          <w:numId w:val="2"/>
        </w:numPr>
        <w:kinsoku/>
        <w:wordWrap/>
        <w:overflowPunct/>
        <w:topLinePunct w:val="0"/>
        <w:autoSpaceDE/>
        <w:autoSpaceDN/>
        <w:bidi w:val="0"/>
        <w:adjustRightInd/>
        <w:snapToGrid/>
        <w:ind w:firstLine="0"/>
        <w:textAlignment w:val="auto"/>
        <w:rPr>
          <w:rFonts w:hint="eastAsia" w:cs="Times New Roman"/>
          <w:highlight w:val="none"/>
          <w:lang w:val="zh-CN" w:eastAsia="zh-CN"/>
        </w:rPr>
      </w:pPr>
      <w:bookmarkStart w:id="70" w:name="_Toc23514"/>
      <w:bookmarkStart w:id="71" w:name="_Toc2933"/>
      <w:bookmarkStart w:id="72" w:name="_Toc27835"/>
      <w:r>
        <w:rPr>
          <w:rFonts w:hint="eastAsia" w:cs="Times New Roman"/>
          <w:highlight w:val="none"/>
          <w:lang w:val="zh-CN" w:eastAsia="zh-CN"/>
        </w:rPr>
        <w:t>发展目标与战略</w:t>
      </w:r>
      <w:bookmarkEnd w:id="70"/>
      <w:bookmarkEnd w:id="71"/>
      <w:bookmarkEnd w:id="72"/>
    </w:p>
    <w:p w14:paraId="27852D43">
      <w:pPr>
        <w:pStyle w:val="23"/>
        <w:numPr>
          <w:ilvl w:val="0"/>
          <w:numId w:val="3"/>
        </w:numPr>
        <w:bidi w:val="0"/>
        <w:ind w:left="0" w:leftChars="0" w:firstLine="612" w:firstLineChars="0"/>
        <w:outlineLvl w:val="1"/>
        <w:rPr>
          <w:rFonts w:hint="eastAsia"/>
          <w:highlight w:val="none"/>
          <w:lang w:val="en-US"/>
        </w:rPr>
      </w:pPr>
      <w:bookmarkStart w:id="73" w:name="_Toc22260"/>
      <w:bookmarkStart w:id="74" w:name="_Toc20643"/>
      <w:bookmarkStart w:id="75" w:name="_Toc29036"/>
      <w:r>
        <w:rPr>
          <w:rFonts w:hint="eastAsia"/>
          <w:highlight w:val="none"/>
          <w:lang w:val="en-US"/>
        </w:rPr>
        <w:t>国土空间总体定位</w:t>
      </w:r>
      <w:bookmarkEnd w:id="73"/>
      <w:bookmarkEnd w:id="74"/>
      <w:bookmarkEnd w:id="75"/>
    </w:p>
    <w:p w14:paraId="2B68D3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yellow"/>
        </w:rPr>
      </w:pPr>
      <w:r>
        <w:rPr>
          <w:rFonts w:hint="eastAsia"/>
          <w:b w:val="0"/>
          <w:bCs w:val="0"/>
          <w:highlight w:val="none"/>
        </w:rPr>
        <w:t>博爱县国土空间总体定位为：国家农产品主产区，国家全域旅游示范区，豫北物流与制造业产业</w:t>
      </w:r>
      <w:r>
        <w:rPr>
          <w:rFonts w:hint="eastAsia"/>
          <w:b w:val="0"/>
          <w:bCs w:val="0"/>
          <w:highlight w:val="none"/>
          <w:lang w:val="en-US" w:eastAsia="zh-CN"/>
        </w:rPr>
        <w:t>基地</w:t>
      </w:r>
      <w:r>
        <w:rPr>
          <w:rFonts w:hint="eastAsia"/>
          <w:b w:val="0"/>
          <w:bCs w:val="0"/>
          <w:highlight w:val="none"/>
        </w:rPr>
        <w:t>。</w:t>
      </w:r>
    </w:p>
    <w:p w14:paraId="62AB4111">
      <w:pPr>
        <w:pStyle w:val="23"/>
        <w:numPr>
          <w:ilvl w:val="0"/>
          <w:numId w:val="3"/>
        </w:numPr>
        <w:bidi w:val="0"/>
        <w:ind w:left="0" w:leftChars="0" w:firstLine="612" w:firstLineChars="0"/>
        <w:outlineLvl w:val="1"/>
        <w:rPr>
          <w:rFonts w:hint="eastAsia"/>
          <w:highlight w:val="none"/>
          <w:lang w:val="en-US"/>
        </w:rPr>
      </w:pPr>
      <w:bookmarkStart w:id="76" w:name="_Toc19538"/>
      <w:bookmarkStart w:id="77" w:name="_Toc341"/>
      <w:bookmarkStart w:id="78" w:name="_Toc15487"/>
      <w:r>
        <w:rPr>
          <w:rFonts w:hint="eastAsia"/>
          <w:highlight w:val="none"/>
          <w:lang w:val="en-US"/>
        </w:rPr>
        <w:t>城市性质</w:t>
      </w:r>
      <w:bookmarkEnd w:id="76"/>
      <w:bookmarkEnd w:id="77"/>
      <w:bookmarkEnd w:id="78"/>
    </w:p>
    <w:p w14:paraId="03C241D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u w:val="none"/>
        </w:rPr>
      </w:pPr>
      <w:bookmarkStart w:id="79" w:name="_Toc9401"/>
      <w:r>
        <w:rPr>
          <w:rFonts w:hint="eastAsia"/>
          <w:b w:val="0"/>
          <w:bCs w:val="0"/>
          <w:highlight w:val="none"/>
          <w:u w:val="none"/>
        </w:rPr>
        <w:t>豫北装备制造、新材料、食品加工产业基地；生态与文化旅游名城；</w:t>
      </w:r>
      <w:r>
        <w:rPr>
          <w:rFonts w:hint="eastAsia"/>
          <w:b w:val="0"/>
          <w:bCs w:val="0"/>
          <w:highlight w:val="none"/>
          <w:u w:val="none"/>
          <w:lang w:val="en-US" w:eastAsia="zh-CN"/>
        </w:rPr>
        <w:t>区</w:t>
      </w:r>
      <w:r>
        <w:rPr>
          <w:rFonts w:hint="eastAsia"/>
          <w:b w:val="0"/>
          <w:bCs w:val="0"/>
          <w:highlight w:val="none"/>
          <w:u w:val="none"/>
        </w:rPr>
        <w:t>域性物流</w:t>
      </w:r>
      <w:r>
        <w:rPr>
          <w:rFonts w:hint="eastAsia"/>
          <w:b w:val="0"/>
          <w:bCs w:val="0"/>
          <w:highlight w:val="none"/>
          <w:u w:val="none"/>
          <w:lang w:val="en-US" w:eastAsia="zh-CN"/>
        </w:rPr>
        <w:t>能源</w:t>
      </w:r>
      <w:r>
        <w:rPr>
          <w:rFonts w:hint="eastAsia"/>
          <w:b w:val="0"/>
          <w:bCs w:val="0"/>
          <w:highlight w:val="none"/>
          <w:u w:val="none"/>
        </w:rPr>
        <w:t>枢纽。</w:t>
      </w:r>
    </w:p>
    <w:p w14:paraId="4A07E36B">
      <w:pPr>
        <w:pStyle w:val="23"/>
        <w:numPr>
          <w:ilvl w:val="0"/>
          <w:numId w:val="3"/>
        </w:numPr>
        <w:bidi w:val="0"/>
        <w:ind w:left="0" w:leftChars="0" w:firstLine="612" w:firstLineChars="0"/>
        <w:outlineLvl w:val="1"/>
        <w:rPr>
          <w:rFonts w:hint="eastAsia"/>
          <w:highlight w:val="none"/>
          <w:lang w:val="en-US"/>
        </w:rPr>
      </w:pPr>
      <w:bookmarkStart w:id="80" w:name="_Toc8942"/>
      <w:bookmarkStart w:id="81" w:name="_Toc8559"/>
      <w:r>
        <w:rPr>
          <w:rFonts w:hint="eastAsia"/>
          <w:highlight w:val="none"/>
          <w:lang w:val="en-US"/>
        </w:rPr>
        <w:t>国土空间开发保护目标</w:t>
      </w:r>
      <w:bookmarkEnd w:id="79"/>
      <w:bookmarkEnd w:id="80"/>
      <w:bookmarkEnd w:id="81"/>
    </w:p>
    <w:p w14:paraId="203CEC5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构建生态绿色、开放协作、创新高效、精致宜居的国土空间高质量发展格局。让城镇空间更优化，农业空间更高效，生态空间更美丽，经济发展质量更高，社会文明程度更高，社会治理效能更高，人民生活品质更好。</w:t>
      </w:r>
    </w:p>
    <w:p w14:paraId="0DCA6A36">
      <w:pPr>
        <w:bidi w:val="0"/>
        <w:rPr>
          <w:rFonts w:hint="eastAsia"/>
          <w:b w:val="0"/>
          <w:bCs w:val="0"/>
          <w:highlight w:val="none"/>
        </w:rPr>
      </w:pPr>
      <w:r>
        <w:rPr>
          <w:rFonts w:hint="eastAsia"/>
          <w:b w:val="0"/>
          <w:bCs w:val="0"/>
          <w:highlight w:val="none"/>
        </w:rPr>
        <w:t>1.2025年规划目标</w:t>
      </w:r>
    </w:p>
    <w:p w14:paraId="738C8A9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耕地和永久基本农田保护红线、生态保护红线目标得到严格落实，流域水生态廊道、山地生态屏障、农田和城市生态空间功能得到大幅提升，资源利用水平显著提高。多措并举，高效利用建设用地存量和增量，支撑社会经济较高水平发展；焦修博武一体化战略指引下，焦博一体取得实质性突破，焦博产业集群互促、交通体系互联和经济联系互动显著增强；城市经济活力、创新能力、经济外向度、文旅品牌和品质特色等实力得到明显提升；公共安全网、公共服务体系和基础设施建设更加健全，城市建设和城乡统筹有序开展。</w:t>
      </w:r>
    </w:p>
    <w:p w14:paraId="4BBB761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p>
    <w:p w14:paraId="351E162F">
      <w:pPr>
        <w:bidi w:val="0"/>
        <w:rPr>
          <w:rFonts w:hint="eastAsia"/>
          <w:b w:val="0"/>
          <w:bCs w:val="0"/>
          <w:highlight w:val="none"/>
        </w:rPr>
      </w:pPr>
      <w:r>
        <w:rPr>
          <w:rFonts w:hint="eastAsia"/>
          <w:b w:val="0"/>
          <w:bCs w:val="0"/>
          <w:highlight w:val="none"/>
        </w:rPr>
        <w:t>2.2035年规划目标</w:t>
      </w:r>
    </w:p>
    <w:p w14:paraId="1EB2FD0C">
      <w:pPr>
        <w:bidi w:val="0"/>
        <w:rPr>
          <w:rFonts w:hint="eastAsia"/>
          <w:b w:val="0"/>
          <w:bCs w:val="0"/>
          <w:highlight w:val="none"/>
        </w:rPr>
      </w:pPr>
      <w:r>
        <w:rPr>
          <w:rFonts w:hint="eastAsia"/>
          <w:b w:val="0"/>
          <w:bCs w:val="0"/>
          <w:highlight w:val="none"/>
        </w:rPr>
        <w:t>国土空间治理体系和治理能力现代化基本实现，生产空间安全高效，生活空间舒适宜居，生态空间山清水秀，基本实现人与自然和谐共生的现代化；豫晋区域物流枢纽地位更加凸显，郑洛“双圈”辐射叠加优势充分发挥，创新创业蓬勃发展，对外开放新格局基本形成；农业发展成果突出，城市功能日趋完善，人居环境品质优良，特色文旅更加健全，文化、旅游、康养等产业实现深度融合，建成高品质文化旅游、休闲养生目的地，逐渐建成“太行山下小江南”。</w:t>
      </w:r>
    </w:p>
    <w:p w14:paraId="1FDCE491">
      <w:pPr>
        <w:bidi w:val="0"/>
        <w:rPr>
          <w:rFonts w:hint="eastAsia"/>
          <w:b w:val="0"/>
          <w:bCs w:val="0"/>
          <w:highlight w:val="none"/>
        </w:rPr>
      </w:pPr>
      <w:r>
        <w:rPr>
          <w:rFonts w:hint="eastAsia"/>
          <w:b w:val="0"/>
          <w:bCs w:val="0"/>
          <w:highlight w:val="none"/>
        </w:rPr>
        <w:t>3.2050年规划目标</w:t>
      </w:r>
    </w:p>
    <w:p w14:paraId="7BEC274E">
      <w:pPr>
        <w:bidi w:val="0"/>
        <w:rPr>
          <w:rFonts w:hint="eastAsia"/>
          <w:b w:val="0"/>
          <w:bCs w:val="0"/>
          <w:highlight w:val="none"/>
        </w:rPr>
      </w:pPr>
      <w:r>
        <w:rPr>
          <w:rFonts w:hint="eastAsia"/>
          <w:b w:val="0"/>
          <w:bCs w:val="0"/>
          <w:highlight w:val="none"/>
        </w:rPr>
        <w:t>各项经济社会发展指标达到</w:t>
      </w:r>
      <w:r>
        <w:rPr>
          <w:rFonts w:hint="eastAsia"/>
          <w:b w:val="0"/>
          <w:bCs w:val="0"/>
          <w:highlight w:val="none"/>
          <w:lang w:val="en-US" w:eastAsia="zh-CN"/>
        </w:rPr>
        <w:t>河南</w:t>
      </w:r>
      <w:r>
        <w:rPr>
          <w:rFonts w:hint="eastAsia"/>
          <w:b w:val="0"/>
          <w:bCs w:val="0"/>
          <w:highlight w:val="none"/>
        </w:rPr>
        <w:t>省较高水平，国土空间治理体系和治理能力实现现代化；城乡互补、区域互通、三生互动、“山水林田湖草”有机融合的国土空间“生命共同体”格局全面形成；全面建成经济繁荣、社会和谐、生态宜居的现代化城市样板和质量变革、效率变革、动力变革的文旅典范。</w:t>
      </w:r>
    </w:p>
    <w:p w14:paraId="212EBD04">
      <w:pPr>
        <w:pStyle w:val="23"/>
        <w:numPr>
          <w:ilvl w:val="0"/>
          <w:numId w:val="3"/>
        </w:numPr>
        <w:bidi w:val="0"/>
        <w:ind w:left="0" w:leftChars="0" w:firstLine="612" w:firstLineChars="0"/>
        <w:outlineLvl w:val="1"/>
        <w:rPr>
          <w:rFonts w:hint="eastAsia"/>
          <w:highlight w:val="none"/>
          <w:lang w:val="en-US"/>
        </w:rPr>
      </w:pPr>
      <w:bookmarkStart w:id="82" w:name="_Toc5188"/>
      <w:bookmarkStart w:id="83" w:name="_Toc10468"/>
      <w:bookmarkStart w:id="84" w:name="_Toc3758"/>
      <w:r>
        <w:rPr>
          <w:rFonts w:hint="eastAsia"/>
          <w:highlight w:val="none"/>
          <w:lang w:val="en-US"/>
        </w:rPr>
        <w:t>规划指标体系</w:t>
      </w:r>
      <w:bookmarkEnd w:id="82"/>
      <w:bookmarkEnd w:id="83"/>
      <w:bookmarkEnd w:id="84"/>
    </w:p>
    <w:p w14:paraId="28E85F9B">
      <w:pPr>
        <w:bidi w:val="0"/>
        <w:rPr>
          <w:rFonts w:hint="eastAsia"/>
          <w:b w:val="0"/>
          <w:bCs w:val="0"/>
          <w:highlight w:val="none"/>
        </w:rPr>
      </w:pPr>
      <w:r>
        <w:rPr>
          <w:rFonts w:hint="eastAsia"/>
          <w:b w:val="0"/>
          <w:bCs w:val="0"/>
          <w:highlight w:val="none"/>
        </w:rPr>
        <w:t>结合《河南省县级国土空间总体规划编制导则（试行）》的指标要求和博爱县实际情况，规划从创新发展、协调发展、绿色发展、共享发展、开放发展和品质提升六个方面选取了2</w:t>
      </w:r>
      <w:r>
        <w:rPr>
          <w:rFonts w:hint="eastAsia"/>
          <w:b w:val="0"/>
          <w:bCs w:val="0"/>
          <w:highlight w:val="none"/>
          <w:lang w:val="en-US" w:eastAsia="zh-CN"/>
        </w:rPr>
        <w:t>7</w:t>
      </w:r>
      <w:r>
        <w:rPr>
          <w:rFonts w:hint="eastAsia"/>
          <w:b w:val="0"/>
          <w:bCs w:val="0"/>
          <w:highlight w:val="none"/>
        </w:rPr>
        <w:t>项指标，构建具有地方特色的指标体系。详见附表1。</w:t>
      </w:r>
    </w:p>
    <w:p w14:paraId="5ABBE2F3">
      <w:pPr>
        <w:bidi w:val="0"/>
        <w:rPr>
          <w:rFonts w:hint="eastAsia"/>
          <w:b w:val="0"/>
          <w:bCs w:val="0"/>
          <w:highlight w:val="none"/>
        </w:rPr>
      </w:pPr>
    </w:p>
    <w:p w14:paraId="04BC7B20">
      <w:pPr>
        <w:bidi w:val="0"/>
        <w:rPr>
          <w:rFonts w:hint="eastAsia"/>
          <w:b w:val="0"/>
          <w:bCs w:val="0"/>
          <w:highlight w:val="none"/>
        </w:rPr>
      </w:pPr>
    </w:p>
    <w:p w14:paraId="14EC89DC">
      <w:pPr>
        <w:pStyle w:val="23"/>
        <w:numPr>
          <w:ilvl w:val="0"/>
          <w:numId w:val="3"/>
        </w:numPr>
        <w:bidi w:val="0"/>
        <w:ind w:left="0" w:leftChars="0" w:firstLine="612" w:firstLineChars="0"/>
        <w:outlineLvl w:val="1"/>
        <w:rPr>
          <w:rFonts w:hint="eastAsia"/>
          <w:highlight w:val="none"/>
          <w:lang w:val="en-US"/>
        </w:rPr>
      </w:pPr>
      <w:bookmarkStart w:id="85" w:name="_Toc17736"/>
      <w:bookmarkStart w:id="86" w:name="_Toc31377"/>
      <w:bookmarkStart w:id="87" w:name="_Toc24917"/>
      <w:r>
        <w:rPr>
          <w:rFonts w:hint="eastAsia"/>
          <w:highlight w:val="none"/>
          <w:lang w:val="en-US"/>
        </w:rPr>
        <w:t>国土空间开发保护战略</w:t>
      </w:r>
      <w:bookmarkEnd w:id="85"/>
      <w:bookmarkEnd w:id="86"/>
      <w:bookmarkEnd w:id="87"/>
    </w:p>
    <w:p w14:paraId="1CF82FA2">
      <w:pPr>
        <w:bidi w:val="0"/>
        <w:outlineLvl w:val="2"/>
        <w:rPr>
          <w:rFonts w:hint="eastAsia"/>
          <w:b w:val="0"/>
          <w:bCs w:val="0"/>
          <w:highlight w:val="none"/>
        </w:rPr>
      </w:pPr>
      <w:r>
        <w:rPr>
          <w:rFonts w:hint="eastAsia"/>
          <w:b w:val="0"/>
          <w:bCs w:val="0"/>
          <w:highlight w:val="none"/>
        </w:rPr>
        <w:t>1.构建高效稳健农业空间，保障粮食安全</w:t>
      </w:r>
    </w:p>
    <w:p w14:paraId="2EA5F597">
      <w:pPr>
        <w:bidi w:val="0"/>
        <w:rPr>
          <w:rFonts w:hint="eastAsia"/>
          <w:b w:val="0"/>
          <w:bCs w:val="0"/>
          <w:highlight w:val="none"/>
        </w:rPr>
      </w:pPr>
      <w:r>
        <w:rPr>
          <w:rFonts w:hint="eastAsia"/>
          <w:b w:val="0"/>
          <w:bCs w:val="0"/>
          <w:highlight w:val="none"/>
        </w:rPr>
        <w:t>结合博爱县北部山区、南部平原的区域空间特征，优化农业空间整体布局，发展特色农业。强化永久基本农田保护力度，坚持规模不减少，质量有提高，保障区域粮食安全。实施高标准农田建设，发展高效农产品生产基地，实现粮食生产能力和农产品质量双提升。</w:t>
      </w:r>
    </w:p>
    <w:p w14:paraId="50819EA2">
      <w:pPr>
        <w:bidi w:val="0"/>
        <w:outlineLvl w:val="2"/>
        <w:rPr>
          <w:rFonts w:hint="eastAsia"/>
          <w:b w:val="0"/>
          <w:bCs w:val="0"/>
          <w:highlight w:val="none"/>
        </w:rPr>
      </w:pPr>
      <w:r>
        <w:rPr>
          <w:rFonts w:hint="eastAsia"/>
          <w:b w:val="0"/>
          <w:bCs w:val="0"/>
          <w:highlight w:val="none"/>
        </w:rPr>
        <w:t>2.构筑魅力太行山水空间，严守生态底线</w:t>
      </w:r>
    </w:p>
    <w:p w14:paraId="2C3AADA7">
      <w:pPr>
        <w:bidi w:val="0"/>
        <w:rPr>
          <w:rFonts w:hint="eastAsia"/>
          <w:b w:val="0"/>
          <w:bCs w:val="0"/>
          <w:highlight w:val="none"/>
        </w:rPr>
      </w:pPr>
      <w:r>
        <w:rPr>
          <w:rFonts w:hint="eastAsia"/>
          <w:b w:val="0"/>
          <w:bCs w:val="0"/>
          <w:highlight w:val="none"/>
        </w:rPr>
        <w:t>落实河南省及焦作市对博爱县生态功能定位要求，严格遵守“两山”理念，加大对重要生态地区、生态敏感地区的保护力度，打造太行山生态安全保护屏障。落实“黄河流域生态保护”要求，以系统治理为重点，推进生态修复和“山水林田湖草"生命共同体建设，全面提升自然生态系统稳定性和生态服务功能，构建全域生态安全格局；明确自然保护区、自然公园、生态廊道等重点保护区域，分区施策引导生态功能提升。</w:t>
      </w:r>
    </w:p>
    <w:p w14:paraId="22C76EBF">
      <w:pPr>
        <w:bidi w:val="0"/>
        <w:outlineLvl w:val="2"/>
        <w:rPr>
          <w:b w:val="0"/>
          <w:bCs w:val="0"/>
          <w:highlight w:val="none"/>
        </w:rPr>
      </w:pPr>
      <w:r>
        <w:rPr>
          <w:rFonts w:hint="eastAsia"/>
          <w:b w:val="0"/>
          <w:bCs w:val="0"/>
          <w:highlight w:val="none"/>
        </w:rPr>
        <w:t>3.落实焦修博武区域一体化战略，强化区域协调</w:t>
      </w:r>
    </w:p>
    <w:p w14:paraId="109E4F2A">
      <w:pPr>
        <w:bidi w:val="0"/>
        <w:rPr>
          <w:rFonts w:hint="eastAsia"/>
          <w:b w:val="0"/>
          <w:bCs w:val="0"/>
          <w:highlight w:val="none"/>
        </w:rPr>
      </w:pPr>
      <w:r>
        <w:rPr>
          <w:rFonts w:hint="eastAsia"/>
          <w:b w:val="0"/>
          <w:bCs w:val="0"/>
          <w:highlight w:val="none"/>
        </w:rPr>
        <w:t>交通先行，夯实焦博一体化基础；产城互融，构建千亿产业集群。推进焦博空间结构有机融合、功能布局相互协调、交通组织无缝衔接、文旅产品链条发展，通过组团发展构建功能完善、经济繁荣的焦修博武一体化示范区。依托物流枢纽建设，推进区域一体发展，提升博爱城市和产业发展能级。</w:t>
      </w:r>
    </w:p>
    <w:p w14:paraId="3F763572">
      <w:pPr>
        <w:bidi w:val="0"/>
        <w:rPr>
          <w:rFonts w:hint="eastAsia"/>
          <w:b w:val="0"/>
          <w:bCs w:val="0"/>
          <w:highlight w:val="none"/>
        </w:rPr>
      </w:pPr>
    </w:p>
    <w:p w14:paraId="4FC7953D">
      <w:pPr>
        <w:bidi w:val="0"/>
        <w:outlineLvl w:val="2"/>
        <w:rPr>
          <w:rFonts w:hint="eastAsia"/>
          <w:b w:val="0"/>
          <w:bCs w:val="0"/>
          <w:highlight w:val="none"/>
        </w:rPr>
      </w:pPr>
      <w:r>
        <w:rPr>
          <w:rFonts w:hint="eastAsia"/>
          <w:b w:val="0"/>
          <w:bCs w:val="0"/>
          <w:highlight w:val="none"/>
        </w:rPr>
        <w:t>4.推进创新驱动，打造高质量产业空间</w:t>
      </w:r>
    </w:p>
    <w:p w14:paraId="4700DBE9">
      <w:pPr>
        <w:bidi w:val="0"/>
        <w:rPr>
          <w:rFonts w:hint="eastAsia"/>
          <w:b w:val="0"/>
          <w:bCs w:val="0"/>
          <w:highlight w:val="none"/>
        </w:rPr>
      </w:pPr>
      <w:r>
        <w:rPr>
          <w:rFonts w:hint="eastAsia"/>
          <w:b w:val="0"/>
          <w:bCs w:val="0"/>
          <w:highlight w:val="none"/>
        </w:rPr>
        <w:t>推进创新驱动协同发展，持续带动产业体系转型升级，打造高质量产业发展空间，不断提高制造业核心竞争力；以提质增效为中心，着力转型创新，构建三大主导产业集群引领，培育文旅产业和现代物流业，提升传统产业改造的先进制造业产业体系。</w:t>
      </w:r>
    </w:p>
    <w:p w14:paraId="5E0D26D3">
      <w:pPr>
        <w:bidi w:val="0"/>
        <w:outlineLvl w:val="2"/>
        <w:rPr>
          <w:rFonts w:hint="eastAsia"/>
          <w:b w:val="0"/>
          <w:bCs w:val="0"/>
          <w:highlight w:val="none"/>
        </w:rPr>
      </w:pPr>
      <w:r>
        <w:rPr>
          <w:rFonts w:hint="eastAsia"/>
          <w:b w:val="0"/>
          <w:bCs w:val="0"/>
          <w:highlight w:val="none"/>
        </w:rPr>
        <w:t>5.营造多元历史文化空间，彰显文化自信</w:t>
      </w:r>
    </w:p>
    <w:p w14:paraId="15913FB7">
      <w:pPr>
        <w:bidi w:val="0"/>
        <w:rPr>
          <w:rFonts w:hint="eastAsia"/>
          <w:b w:val="0"/>
          <w:bCs w:val="0"/>
          <w:highlight w:val="none"/>
        </w:rPr>
      </w:pPr>
      <w:r>
        <w:rPr>
          <w:rFonts w:hint="eastAsia"/>
          <w:b w:val="0"/>
          <w:bCs w:val="0"/>
          <w:highlight w:val="none"/>
        </w:rPr>
        <w:t>加强县域文物资源保护和利用，立足博爱、清化的历史文化特色，突出太行山、历史街区等文化元素，明确历史文化体系，构建全域历史文化保护开发格局。整体保护博爱传统空间格局和自然山水特色，全面保护历史文化遗存，在保护的前提下活化利用，打造活力多元的历史文化和文旅展示空间，彰显文化自信。</w:t>
      </w:r>
    </w:p>
    <w:p w14:paraId="08239D5E">
      <w:pPr>
        <w:widowControl/>
        <w:spacing w:line="360" w:lineRule="auto"/>
        <w:ind w:firstLine="560" w:firstLineChars="200"/>
        <w:rPr>
          <w:rFonts w:hint="eastAsia" w:ascii="仿宋" w:hAnsi="仿宋" w:eastAsia="仿宋" w:cs="仿宋"/>
          <w:b w:val="0"/>
          <w:bCs w:val="0"/>
          <w:color w:val="auto"/>
          <w:sz w:val="28"/>
          <w:szCs w:val="32"/>
          <w:highlight w:val="none"/>
        </w:rPr>
      </w:pPr>
    </w:p>
    <w:p w14:paraId="49B33125">
      <w:pPr>
        <w:widowControl/>
        <w:spacing w:line="360" w:lineRule="auto"/>
        <w:ind w:firstLine="560" w:firstLineChars="200"/>
        <w:rPr>
          <w:rFonts w:hint="eastAsia" w:ascii="仿宋" w:hAnsi="仿宋" w:eastAsia="仿宋" w:cs="仿宋"/>
          <w:b w:val="0"/>
          <w:bCs w:val="0"/>
          <w:color w:val="auto"/>
          <w:sz w:val="28"/>
          <w:szCs w:val="32"/>
          <w:highlight w:val="none"/>
        </w:rPr>
      </w:pPr>
    </w:p>
    <w:p w14:paraId="6C1E2A50">
      <w:pPr>
        <w:numPr>
          <w:ilvl w:val="0"/>
          <w:numId w:val="0"/>
        </w:numPr>
        <w:tabs>
          <w:tab w:val="left" w:pos="2107"/>
        </w:tabs>
        <w:spacing w:line="240" w:lineRule="auto"/>
        <w:ind w:leftChars="0"/>
        <w:jc w:val="left"/>
        <w:outlineLvl w:val="9"/>
        <w:rPr>
          <w:rFonts w:hint="eastAsia" w:ascii="黑体" w:hAnsi="黑体" w:eastAsia="黑体" w:cs="黑体"/>
          <w:b w:val="0"/>
          <w:bCs w:val="0"/>
          <w:color w:val="auto"/>
          <w:sz w:val="44"/>
          <w:szCs w:val="44"/>
          <w:highlight w:val="none"/>
        </w:rPr>
        <w:sectPr>
          <w:pgSz w:w="11906" w:h="16838"/>
          <w:pgMar w:top="1440" w:right="1797" w:bottom="1440" w:left="1797" w:header="850" w:footer="850" w:gutter="0"/>
          <w:pgNumType w:fmt="decimal"/>
          <w:cols w:space="720" w:num="1"/>
          <w:rtlGutter w:val="0"/>
          <w:docGrid w:type="lines" w:linePitch="436" w:charSpace="0"/>
        </w:sectPr>
      </w:pPr>
      <w:bookmarkStart w:id="88" w:name="_Toc3708"/>
      <w:bookmarkStart w:id="89" w:name="_Toc902"/>
    </w:p>
    <w:p w14:paraId="723701D9">
      <w:pPr>
        <w:pStyle w:val="2"/>
        <w:keepNext/>
        <w:keepLines/>
        <w:pageBreakBefore w:val="0"/>
        <w:widowControl w:val="0"/>
        <w:numPr>
          <w:ilvl w:val="0"/>
          <w:numId w:val="2"/>
        </w:numPr>
        <w:kinsoku/>
        <w:wordWrap/>
        <w:overflowPunct/>
        <w:topLinePunct w:val="0"/>
        <w:autoSpaceDE/>
        <w:autoSpaceDN/>
        <w:bidi w:val="0"/>
        <w:adjustRightInd/>
        <w:snapToGrid/>
        <w:ind w:firstLine="0"/>
        <w:textAlignment w:val="auto"/>
        <w:rPr>
          <w:rFonts w:hint="eastAsia" w:cs="Times New Roman"/>
          <w:highlight w:val="none"/>
          <w:lang w:val="zh-CN" w:eastAsia="zh-CN"/>
        </w:rPr>
      </w:pPr>
      <w:bookmarkStart w:id="90" w:name="_Toc19682"/>
      <w:r>
        <w:rPr>
          <w:rFonts w:hint="eastAsia" w:cs="Times New Roman"/>
          <w:highlight w:val="none"/>
          <w:lang w:val="zh-CN" w:eastAsia="zh-CN"/>
        </w:rPr>
        <w:t>以“三区三线”为基础，构建国土空间</w:t>
      </w:r>
      <w:r>
        <w:rPr>
          <w:rFonts w:hint="eastAsia" w:cs="Times New Roman"/>
          <w:highlight w:val="none"/>
          <w:lang w:val="en-US" w:eastAsia="zh-CN"/>
        </w:rPr>
        <w:t xml:space="preserve">      </w:t>
      </w:r>
      <w:r>
        <w:rPr>
          <w:rFonts w:hint="eastAsia" w:cs="Times New Roman"/>
          <w:highlight w:val="none"/>
          <w:lang w:val="zh-CN" w:eastAsia="zh-CN"/>
        </w:rPr>
        <w:t>总体格局</w:t>
      </w:r>
      <w:bookmarkEnd w:id="88"/>
      <w:bookmarkEnd w:id="89"/>
      <w:bookmarkEnd w:id="90"/>
    </w:p>
    <w:p w14:paraId="62578F29">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91" w:name="_Toc152"/>
      <w:bookmarkStart w:id="92" w:name="_Toc21405"/>
      <w:r>
        <w:rPr>
          <w:rFonts w:hint="eastAsia" w:cs="Times New Roman"/>
          <w:highlight w:val="none"/>
        </w:rPr>
        <w:t>底线管控</w:t>
      </w:r>
      <w:bookmarkEnd w:id="91"/>
      <w:bookmarkEnd w:id="92"/>
    </w:p>
    <w:p w14:paraId="2F8165B2">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rPr>
        <w:t>优先划定耕地和永久基本农田保护红线</w:t>
      </w:r>
    </w:p>
    <w:p w14:paraId="3F8ADE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b w:val="0"/>
          <w:bCs w:val="0"/>
          <w:highlight w:val="none"/>
        </w:rPr>
      </w:pPr>
      <w:r>
        <w:rPr>
          <w:rFonts w:hint="eastAsia"/>
          <w:b w:val="0"/>
          <w:bCs w:val="0"/>
          <w:highlight w:val="none"/>
        </w:rPr>
        <w:t>坚持2020年国土变更调查成果的现状耕地应划尽划、应保尽保，</w:t>
      </w:r>
      <w:r>
        <w:rPr>
          <w:rFonts w:hint="eastAsia"/>
          <w:b w:val="0"/>
          <w:bCs w:val="0"/>
          <w:highlight w:val="none"/>
          <w:u w:val="single"/>
          <w:lang w:val="en-US" w:eastAsia="zh-CN"/>
        </w:rPr>
        <w:t>博爱</w:t>
      </w:r>
      <w:r>
        <w:rPr>
          <w:rFonts w:hint="eastAsia"/>
          <w:b w:val="0"/>
          <w:bCs w:val="0"/>
          <w:highlight w:val="none"/>
          <w:u w:val="single"/>
        </w:rPr>
        <w:t>县耕地保有量不低于14675.55公顷（22.01万亩）</w:t>
      </w:r>
      <w:r>
        <w:rPr>
          <w:rFonts w:hint="eastAsia"/>
          <w:b w:val="0"/>
          <w:bCs w:val="0"/>
          <w:highlight w:val="none"/>
          <w:u w:val="single"/>
          <w:lang w:eastAsia="zh-CN"/>
        </w:rPr>
        <w:t>，</w:t>
      </w:r>
      <w:r>
        <w:rPr>
          <w:rFonts w:hint="eastAsia"/>
          <w:b w:val="0"/>
          <w:bCs w:val="0"/>
          <w:highlight w:val="none"/>
          <w:u w:val="single"/>
          <w:lang w:val="en-US" w:eastAsia="zh-CN"/>
        </w:rPr>
        <w:t>实际划定耕地面积</w:t>
      </w:r>
      <w:r>
        <w:rPr>
          <w:rFonts w:hint="eastAsia"/>
          <w:b w:val="0"/>
          <w:bCs w:val="0"/>
          <w:highlight w:val="none"/>
          <w:u w:val="single"/>
        </w:rPr>
        <w:t>14675.55公顷（22.01万亩）；</w:t>
      </w:r>
      <w:r>
        <w:rPr>
          <w:rFonts w:hint="eastAsia"/>
          <w:b w:val="0"/>
          <w:bCs w:val="0"/>
          <w:highlight w:val="none"/>
          <w:u w:val="single"/>
          <w:lang w:val="en-US" w:eastAsia="zh-CN"/>
        </w:rPr>
        <w:t>博爱</w:t>
      </w:r>
      <w:r>
        <w:rPr>
          <w:rFonts w:hint="eastAsia"/>
          <w:b w:val="0"/>
          <w:bCs w:val="0"/>
          <w:highlight w:val="none"/>
          <w:u w:val="single"/>
        </w:rPr>
        <w:t>县</w:t>
      </w:r>
      <w:r>
        <w:rPr>
          <w:rFonts w:hint="eastAsia"/>
          <w:b w:val="0"/>
          <w:bCs w:val="0"/>
          <w:highlight w:val="none"/>
          <w:u w:val="single"/>
          <w:lang w:val="en-US" w:eastAsia="zh-CN"/>
        </w:rPr>
        <w:t>永久基本农田保护目标</w:t>
      </w:r>
      <w:r>
        <w:rPr>
          <w:rFonts w:hint="eastAsia"/>
          <w:b w:val="0"/>
          <w:bCs w:val="0"/>
          <w:highlight w:val="none"/>
          <w:u w:val="single"/>
        </w:rPr>
        <w:t>13640.34公顷（20.4</w:t>
      </w:r>
      <w:r>
        <w:rPr>
          <w:rFonts w:hint="eastAsia"/>
          <w:b w:val="0"/>
          <w:bCs w:val="0"/>
          <w:highlight w:val="none"/>
          <w:u w:val="single"/>
          <w:lang w:val="en-US" w:eastAsia="zh-CN"/>
        </w:rPr>
        <w:t>6</w:t>
      </w:r>
      <w:r>
        <w:rPr>
          <w:rFonts w:hint="eastAsia"/>
          <w:b w:val="0"/>
          <w:bCs w:val="0"/>
          <w:highlight w:val="none"/>
          <w:u w:val="single"/>
        </w:rPr>
        <w:t>万亩）</w:t>
      </w:r>
      <w:r>
        <w:rPr>
          <w:rFonts w:hint="eastAsia" w:ascii="Times New Roman" w:hAnsi="Times New Roman" w:cs="Times New Roman"/>
          <w:b w:val="0"/>
          <w:bCs w:val="0"/>
          <w:highlight w:val="none"/>
          <w:u w:val="single"/>
          <w:lang w:eastAsia="zh-CN"/>
        </w:rPr>
        <w:t>，</w:t>
      </w:r>
      <w:r>
        <w:rPr>
          <w:rFonts w:hint="eastAsia"/>
          <w:b w:val="0"/>
          <w:bCs w:val="0"/>
          <w:highlight w:val="none"/>
          <w:u w:val="single"/>
          <w:lang w:val="en-US" w:eastAsia="zh-CN"/>
        </w:rPr>
        <w:t>实际划定永久基本农田面积</w:t>
      </w:r>
      <w:r>
        <w:rPr>
          <w:rFonts w:hint="eastAsia"/>
          <w:b w:val="0"/>
          <w:bCs w:val="0"/>
          <w:highlight w:val="none"/>
          <w:u w:val="single"/>
        </w:rPr>
        <w:t>13640.34公顷（20.4</w:t>
      </w:r>
      <w:r>
        <w:rPr>
          <w:rFonts w:hint="eastAsia"/>
          <w:b w:val="0"/>
          <w:bCs w:val="0"/>
          <w:highlight w:val="none"/>
          <w:u w:val="single"/>
          <w:lang w:val="en-US" w:eastAsia="zh-CN"/>
        </w:rPr>
        <w:t>6</w:t>
      </w:r>
      <w:r>
        <w:rPr>
          <w:rFonts w:hint="eastAsia"/>
          <w:b w:val="0"/>
          <w:bCs w:val="0"/>
          <w:highlight w:val="none"/>
          <w:u w:val="single"/>
        </w:rPr>
        <w:t>万亩）</w:t>
      </w:r>
      <w:r>
        <w:rPr>
          <w:rFonts w:hint="eastAsia"/>
          <w:b w:val="0"/>
          <w:bCs w:val="0"/>
          <w:highlight w:val="none"/>
          <w:u w:val="none"/>
        </w:rPr>
        <w:t>。</w:t>
      </w:r>
      <w:r>
        <w:rPr>
          <w:rFonts w:hint="eastAsia"/>
          <w:b w:val="0"/>
          <w:bCs w:val="0"/>
          <w:highlight w:val="none"/>
        </w:rPr>
        <w:t>主要分布于金城乡、孝敬镇、磨头镇、许良镇南部等地区。</w:t>
      </w:r>
    </w:p>
    <w:p w14:paraId="692BFF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cs="Times New Roman"/>
          <w:b w:val="0"/>
          <w:bCs w:val="0"/>
          <w:highlight w:val="none"/>
        </w:rPr>
      </w:pPr>
      <w:r>
        <w:rPr>
          <w:rFonts w:hint="default" w:ascii="Times New Roman" w:hAnsi="Times New Roman" w:cs="Times New Roman"/>
          <w:b w:val="0"/>
          <w:bCs w:val="0"/>
          <w:highlight w:val="none"/>
          <w:lang w:val="en-US" w:eastAsia="zh-CN"/>
        </w:rPr>
        <w:t>针对沁河滩区内的永久基本农田，博爱县将根据上级统一安排，在后期相关的控制线优化调整工作中逐步退出影响防洪安全的永久基本农田，保证</w:t>
      </w:r>
      <w:r>
        <w:rPr>
          <w:rFonts w:hint="eastAsia" w:ascii="Times New Roman" w:hAnsi="Times New Roman" w:cs="Times New Roman"/>
          <w:b w:val="0"/>
          <w:bCs w:val="0"/>
          <w:highlight w:val="none"/>
          <w:lang w:val="en-US" w:eastAsia="zh-CN"/>
        </w:rPr>
        <w:t>行洪</w:t>
      </w:r>
      <w:r>
        <w:rPr>
          <w:rFonts w:hint="default" w:ascii="Times New Roman" w:hAnsi="Times New Roman" w:cs="Times New Roman"/>
          <w:b w:val="0"/>
          <w:bCs w:val="0"/>
          <w:highlight w:val="none"/>
          <w:lang w:val="en-US" w:eastAsia="zh-CN"/>
        </w:rPr>
        <w:t>防洪安全</w:t>
      </w:r>
      <w:r>
        <w:rPr>
          <w:rFonts w:hint="eastAsia" w:ascii="Times New Roman" w:hAnsi="Times New Roman" w:cs="Times New Roman"/>
          <w:b w:val="0"/>
          <w:bCs w:val="0"/>
          <w:highlight w:val="none"/>
        </w:rPr>
        <w:t>。</w:t>
      </w:r>
    </w:p>
    <w:p w14:paraId="605DCBD0">
      <w:pPr>
        <w:pStyle w:val="23"/>
        <w:numPr>
          <w:ilvl w:val="0"/>
          <w:numId w:val="3"/>
        </w:numPr>
        <w:bidi w:val="0"/>
        <w:ind w:left="0" w:leftChars="0" w:firstLine="612" w:firstLineChars="0"/>
        <w:outlineLvl w:val="2"/>
        <w:rPr>
          <w:rFonts w:hint="eastAsia"/>
          <w:highlight w:val="none"/>
          <w:lang w:val="en-US"/>
        </w:rPr>
      </w:pPr>
      <w:bookmarkStart w:id="93" w:name="_Toc19876"/>
      <w:r>
        <w:rPr>
          <w:rFonts w:hint="eastAsia"/>
          <w:highlight w:val="none"/>
          <w:lang w:val="en-US"/>
        </w:rPr>
        <w:t>科学划定生态保护红线</w:t>
      </w:r>
      <w:bookmarkEnd w:id="93"/>
    </w:p>
    <w:p w14:paraId="304E68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b w:val="0"/>
          <w:bCs w:val="0"/>
          <w:highlight w:val="none"/>
          <w:u w:val="none"/>
        </w:rPr>
      </w:pPr>
      <w:r>
        <w:rPr>
          <w:rFonts w:hint="eastAsia"/>
          <w:b w:val="0"/>
          <w:bCs w:val="0"/>
          <w:highlight w:val="none"/>
          <w:u w:val="single"/>
        </w:rPr>
        <w:t>博爱县划定生态保护红线3213.46公顷，其中核心保护区42.29公顷；一般控制区3171.17公顷，包括河南太行山国家级猕猴自然保护区、丹河一级水源保护区、南水北调中线水源一级保护区</w:t>
      </w:r>
      <w:r>
        <w:rPr>
          <w:rFonts w:hint="eastAsia"/>
          <w:b w:val="0"/>
          <w:bCs w:val="0"/>
          <w:highlight w:val="none"/>
          <w:u w:val="none"/>
        </w:rPr>
        <w:t>。</w:t>
      </w:r>
    </w:p>
    <w:p w14:paraId="07E666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cs="Times New Roman"/>
          <w:b w:val="0"/>
          <w:bCs w:val="0"/>
          <w:highlight w:val="none"/>
          <w:u w:val="single"/>
        </w:rPr>
      </w:pPr>
      <w:r>
        <w:rPr>
          <w:rFonts w:hint="eastAsia" w:ascii="Times New Roman" w:hAnsi="Times New Roman" w:cs="Times New Roman"/>
          <w:b w:val="0"/>
          <w:bCs w:val="0"/>
          <w:highlight w:val="none"/>
          <w:u w:val="single"/>
        </w:rPr>
        <w:t>河南太行山国家级猕猴自然保护区：划定生态保护红线3017.06公顷，其中核心保护区42.29公顷、一般控制区2974.77公顷</w:t>
      </w:r>
      <w:r>
        <w:rPr>
          <w:rFonts w:hint="eastAsia" w:ascii="Times New Roman" w:hAnsi="Times New Roman" w:cs="Times New Roman"/>
          <w:b w:val="0"/>
          <w:bCs w:val="0"/>
          <w:highlight w:val="none"/>
          <w:u w:val="none"/>
        </w:rPr>
        <w:t>。</w:t>
      </w:r>
    </w:p>
    <w:p w14:paraId="1C43159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b w:val="0"/>
          <w:bCs w:val="0"/>
          <w:highlight w:val="none"/>
        </w:rPr>
      </w:pPr>
      <w:r>
        <w:rPr>
          <w:rFonts w:hint="eastAsia"/>
          <w:b w:val="0"/>
          <w:bCs w:val="0"/>
          <w:highlight w:val="none"/>
        </w:rPr>
        <w:t>丹河一级水源保护区：总面积111.54公顷，全部为一般控制区。</w:t>
      </w:r>
    </w:p>
    <w:p w14:paraId="1499DF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b w:val="0"/>
          <w:bCs w:val="0"/>
          <w:highlight w:val="none"/>
        </w:rPr>
      </w:pPr>
      <w:r>
        <w:rPr>
          <w:rFonts w:hint="eastAsia"/>
          <w:b w:val="0"/>
          <w:bCs w:val="0"/>
          <w:highlight w:val="none"/>
        </w:rPr>
        <w:t>南水北调中线水源一级保护区：总面积84.86公顷，全部为一般控制区。</w:t>
      </w:r>
    </w:p>
    <w:p w14:paraId="01EAFD4F">
      <w:pPr>
        <w:pStyle w:val="23"/>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12" w:firstLineChars="0"/>
        <w:textAlignment w:val="auto"/>
        <w:outlineLvl w:val="2"/>
        <w:rPr>
          <w:rFonts w:hint="eastAsia"/>
          <w:highlight w:val="none"/>
          <w:lang w:val="en-US"/>
        </w:rPr>
      </w:pPr>
      <w:bookmarkStart w:id="94" w:name="_Toc23045"/>
      <w:r>
        <w:rPr>
          <w:rFonts w:hint="eastAsia"/>
          <w:highlight w:val="none"/>
          <w:lang w:val="en-US"/>
        </w:rPr>
        <w:t>合理划定城镇开发边界</w:t>
      </w:r>
      <w:bookmarkEnd w:id="94"/>
    </w:p>
    <w:p w14:paraId="155F5389">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cs="Times New Roman"/>
          <w:b w:val="0"/>
          <w:bCs w:val="0"/>
          <w:highlight w:val="none"/>
          <w:u w:val="single"/>
          <w:lang w:eastAsia="zh-CN"/>
        </w:rPr>
      </w:pPr>
      <w:r>
        <w:rPr>
          <w:rFonts w:hint="eastAsia" w:ascii="Times New Roman" w:hAnsi="Times New Roman" w:cs="Times New Roman"/>
          <w:b w:val="0"/>
          <w:bCs w:val="0"/>
          <w:highlight w:val="none"/>
          <w:u w:val="single"/>
        </w:rPr>
        <w:t>博爱县划定城镇开发边界总规模4837.86公顷，包括中心城区开发边界和建制镇开发边界。新增城镇建设用地空间扩展倍数1.15，新增城镇空间规模430公顷。应严格落实规划建设用地规模控制，促进城镇建设向开发边界内集中，城镇开发边界范围内全部为集中建设区</w:t>
      </w:r>
      <w:r>
        <w:rPr>
          <w:rFonts w:hint="eastAsia" w:ascii="Times New Roman" w:hAnsi="Times New Roman" w:cs="Times New Roman"/>
          <w:b w:val="0"/>
          <w:bCs w:val="0"/>
          <w:highlight w:val="none"/>
          <w:u w:val="none"/>
          <w:lang w:eastAsia="zh-CN"/>
        </w:rPr>
        <w:t>。</w:t>
      </w:r>
    </w:p>
    <w:p w14:paraId="3AEF1CD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cs="Times New Roman"/>
          <w:b w:val="0"/>
          <w:bCs w:val="0"/>
          <w:highlight w:val="none"/>
        </w:rPr>
      </w:pPr>
      <w:r>
        <w:rPr>
          <w:rFonts w:hint="eastAsia" w:ascii="Times New Roman" w:hAnsi="Times New Roman" w:cs="Times New Roman"/>
          <w:b w:val="0"/>
          <w:bCs w:val="0"/>
          <w:highlight w:val="none"/>
        </w:rPr>
        <w:t>中心城区开发边界：包括城区和博爱县经济技术开发区两部分。其中城区划定城镇开发边界规模2841.78公顷，涉及清化镇街道、鸿昌街道、月山镇、柏山镇、寨豁乡，全部为集中建设区。博爱县经济技术开发区划定城镇开发边界规模1275.66公顷。</w:t>
      </w:r>
    </w:p>
    <w:p w14:paraId="0F215C02">
      <w:pPr>
        <w:pStyle w:val="23"/>
        <w:keepNext w:val="0"/>
        <w:keepLines w:val="0"/>
        <w:pageBreakBefore w:val="0"/>
        <w:widowControl w:val="0"/>
        <w:numPr>
          <w:ilvl w:val="0"/>
          <w:numId w:val="3"/>
        </w:numPr>
        <w:kinsoku/>
        <w:wordWrap/>
        <w:overflowPunct/>
        <w:topLinePunct w:val="0"/>
        <w:autoSpaceDE/>
        <w:autoSpaceDN/>
        <w:bidi w:val="0"/>
        <w:adjustRightInd/>
        <w:snapToGrid/>
        <w:spacing w:before="220" w:beforeLines="50"/>
        <w:ind w:left="0" w:leftChars="0" w:firstLine="612" w:firstLineChars="0"/>
        <w:textAlignment w:val="auto"/>
        <w:outlineLvl w:val="2"/>
        <w:rPr>
          <w:rFonts w:hint="eastAsia"/>
          <w:highlight w:val="none"/>
          <w:lang w:val="en-US"/>
        </w:rPr>
      </w:pPr>
      <w:bookmarkStart w:id="95" w:name="_Toc19424"/>
      <w:r>
        <w:rPr>
          <w:rFonts w:hint="eastAsia"/>
          <w:highlight w:val="none"/>
          <w:lang w:val="en-US"/>
        </w:rPr>
        <w:t>明确洪涝风险控制线</w:t>
      </w:r>
    </w:p>
    <w:bookmarkEnd w:id="95"/>
    <w:p w14:paraId="6FF1EBF2">
      <w:pPr>
        <w:bidi w:val="0"/>
        <w:rPr>
          <w:rFonts w:hint="eastAsia"/>
          <w:b w:val="0"/>
          <w:bCs w:val="0"/>
          <w:highlight w:val="none"/>
        </w:rPr>
      </w:pPr>
      <w:r>
        <w:rPr>
          <w:rFonts w:hint="eastAsia"/>
          <w:b w:val="0"/>
          <w:bCs w:val="0"/>
          <w:highlight w:val="none"/>
        </w:rPr>
        <w:t>强化洪涝风险防御。</w:t>
      </w:r>
      <w:r>
        <w:rPr>
          <w:rFonts w:hint="eastAsia"/>
          <w:b w:val="0"/>
          <w:bCs w:val="0"/>
          <w:highlight w:val="none"/>
          <w:u w:val="single"/>
        </w:rPr>
        <w:t>划定县域范围内丹河、沁河、</w:t>
      </w:r>
      <w:r>
        <w:rPr>
          <w:rFonts w:hint="eastAsia"/>
          <w:b w:val="0"/>
          <w:bCs w:val="0"/>
          <w:highlight w:val="none"/>
          <w:u w:val="single"/>
          <w:lang w:val="en-US" w:eastAsia="zh-CN"/>
        </w:rPr>
        <w:t>大沙</w:t>
      </w:r>
      <w:r>
        <w:rPr>
          <w:rFonts w:hint="eastAsia"/>
          <w:b w:val="0"/>
          <w:bCs w:val="0"/>
          <w:highlight w:val="none"/>
          <w:u w:val="single"/>
        </w:rPr>
        <w:t>河为洪涝风险控制线，总面积1</w:t>
      </w:r>
      <w:r>
        <w:rPr>
          <w:rFonts w:hint="eastAsia"/>
          <w:b w:val="0"/>
          <w:bCs w:val="0"/>
          <w:highlight w:val="none"/>
          <w:u w:val="single"/>
          <w:lang w:val="en-US" w:eastAsia="zh-CN"/>
        </w:rPr>
        <w:t>579.12</w:t>
      </w:r>
      <w:r>
        <w:rPr>
          <w:rFonts w:hint="eastAsia"/>
          <w:b w:val="0"/>
          <w:bCs w:val="0"/>
          <w:highlight w:val="none"/>
          <w:u w:val="single"/>
        </w:rPr>
        <w:t>公顷，管控雨洪行泄和蓄滞空间，保障防洪排涝系统的完整性和通达性</w:t>
      </w:r>
      <w:r>
        <w:rPr>
          <w:rFonts w:hint="eastAsia"/>
          <w:b w:val="0"/>
          <w:bCs w:val="0"/>
          <w:highlight w:val="none"/>
          <w:u w:val="single"/>
          <w:lang w:eastAsia="zh-CN"/>
        </w:rPr>
        <w:t>。</w:t>
      </w:r>
    </w:p>
    <w:p w14:paraId="40A0ED19">
      <w:pPr>
        <w:bidi w:val="0"/>
        <w:rPr>
          <w:rFonts w:hint="eastAsia"/>
          <w:b w:val="0"/>
          <w:bCs w:val="0"/>
          <w:highlight w:val="none"/>
        </w:rPr>
      </w:pPr>
      <w:r>
        <w:rPr>
          <w:rFonts w:hint="eastAsia"/>
          <w:b w:val="0"/>
          <w:bCs w:val="0"/>
          <w:highlight w:val="none"/>
        </w:rPr>
        <w:t>洪涝风险控制线内禁止进行违反雨洪行泄、蓄滞的保护和控制要求的建设活动，禁止擅自填埋、占用洪涝风险控制范围，从事与防洪排涝要求不符的活动。</w:t>
      </w:r>
      <w:r>
        <w:rPr>
          <w:rFonts w:hint="eastAsia" w:ascii="Times New Roman" w:hAnsi="Times New Roman" w:cs="Times New Roman"/>
          <w:b w:val="0"/>
          <w:bCs w:val="0"/>
          <w:highlight w:val="none"/>
          <w:lang w:val="en-US" w:eastAsia="zh-CN"/>
        </w:rPr>
        <w:t>必须在洪涝风险控制线范围内开展的建设活动，需征求水利部门同意</w:t>
      </w:r>
      <w:r>
        <w:rPr>
          <w:rFonts w:hint="eastAsia" w:ascii="Times New Roman" w:hAnsi="Times New Roman" w:cs="Times New Roman"/>
          <w:b w:val="0"/>
          <w:bCs w:val="0"/>
          <w:highlight w:val="none"/>
        </w:rPr>
        <w:t>。</w:t>
      </w:r>
    </w:p>
    <w:p w14:paraId="672CA840">
      <w:pPr>
        <w:pStyle w:val="23"/>
        <w:numPr>
          <w:ilvl w:val="0"/>
          <w:numId w:val="3"/>
        </w:numPr>
        <w:bidi w:val="0"/>
        <w:ind w:left="0" w:leftChars="0" w:firstLine="612" w:firstLineChars="0"/>
        <w:outlineLvl w:val="2"/>
        <w:rPr>
          <w:rFonts w:hint="eastAsia"/>
          <w:highlight w:val="none"/>
          <w:lang w:val="en-US"/>
        </w:rPr>
      </w:pPr>
      <w:bookmarkStart w:id="96" w:name="_Toc3208"/>
      <w:r>
        <w:rPr>
          <w:rFonts w:hint="eastAsia"/>
          <w:highlight w:val="none"/>
          <w:lang w:val="en-US"/>
        </w:rPr>
        <w:t>明确历史文化保护线</w:t>
      </w:r>
      <w:bookmarkEnd w:id="96"/>
    </w:p>
    <w:p w14:paraId="72D7B162">
      <w:pPr>
        <w:bidi w:val="0"/>
        <w:rPr>
          <w:rFonts w:hint="eastAsia"/>
          <w:b w:val="0"/>
          <w:bCs w:val="0"/>
          <w:highlight w:val="none"/>
          <w:u w:val="single"/>
        </w:rPr>
      </w:pPr>
      <w:r>
        <w:rPr>
          <w:rFonts w:hint="eastAsia"/>
          <w:b w:val="0"/>
          <w:bCs w:val="0"/>
          <w:highlight w:val="none"/>
          <w:u w:val="single"/>
        </w:rPr>
        <w:t>严格保护历史文化遗产及其周边环境，划定文物保护单位、历史建筑、历史文化名村和传统村落等历史文化保护要素的保护范围界线。</w:t>
      </w:r>
    </w:p>
    <w:p w14:paraId="6B5AB8CE">
      <w:pPr>
        <w:bidi w:val="0"/>
        <w:rPr>
          <w:rFonts w:hint="eastAsia"/>
          <w:b w:val="0"/>
          <w:bCs w:val="0"/>
          <w:highlight w:val="none"/>
        </w:rPr>
      </w:pPr>
      <w:r>
        <w:rPr>
          <w:rFonts w:hint="eastAsia"/>
          <w:b w:val="0"/>
          <w:bCs w:val="0"/>
          <w:highlight w:val="none"/>
        </w:rPr>
        <w:t>历史文化保护线为城市紫线的，依据《城市紫线管理办法》进行管控；历史文化保护线为城市紫线以外的，要严格按照相关法律法规要求进行管控。</w:t>
      </w:r>
    </w:p>
    <w:p w14:paraId="33127300">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rPr>
        <w:t>明确</w:t>
      </w:r>
      <w:r>
        <w:rPr>
          <w:rFonts w:hint="eastAsia"/>
          <w:highlight w:val="none"/>
          <w:lang w:val="en-US" w:eastAsia="zh-CN"/>
        </w:rPr>
        <w:t>矿产资源控制</w:t>
      </w:r>
      <w:r>
        <w:rPr>
          <w:rFonts w:hint="eastAsia"/>
          <w:highlight w:val="none"/>
          <w:lang w:val="en-US"/>
        </w:rPr>
        <w:t>线</w:t>
      </w:r>
    </w:p>
    <w:p w14:paraId="46C6AF27">
      <w:pPr>
        <w:bidi w:val="0"/>
        <w:rPr>
          <w:rFonts w:hint="eastAsia"/>
          <w:b w:val="0"/>
          <w:bCs w:val="0"/>
          <w:highlight w:val="none"/>
        </w:rPr>
      </w:pPr>
      <w:bookmarkStart w:id="97" w:name="_Toc30360"/>
      <w:bookmarkStart w:id="98" w:name="_Toc10825"/>
      <w:r>
        <w:rPr>
          <w:rFonts w:hint="eastAsia" w:ascii="Times New Roman" w:hAnsi="Times New Roman" w:eastAsia="仿宋_GB2312"/>
          <w:sz w:val="32"/>
          <w:szCs w:val="32"/>
          <w:lang w:val="en-US" w:eastAsia="zh-CN"/>
        </w:rPr>
        <w:t>博爱县</w:t>
      </w:r>
      <w:r>
        <w:rPr>
          <w:rFonts w:hint="eastAsia" w:ascii="Times New Roman" w:hAnsi="Times New Roman" w:eastAsia="仿宋_GB2312"/>
          <w:sz w:val="32"/>
          <w:szCs w:val="32"/>
        </w:rPr>
        <w:t>落实矿产资源控制线，统筹协调土地出让使用与矿产资源勘查开发、矿业权人生产勘探之间的关系，在拟压覆区或与矿权重叠区土地出让前，与相关权人达成同意压覆协议，避免发生矿地矛盾。城镇开发边界及有关矿权、勘查项目发生变化时，需重新对压覆情况进行核实。</w:t>
      </w:r>
    </w:p>
    <w:p w14:paraId="03393589">
      <w:pPr>
        <w:bidi w:val="0"/>
        <w:rPr>
          <w:rFonts w:hint="eastAsia" w:ascii="Times New Roman" w:hAnsi="Times New Roman" w:eastAsia="仿宋_GB2312" w:cs="Times New Roman"/>
          <w:b w:val="0"/>
          <w:bCs w:val="0"/>
          <w:highlight w:val="none"/>
          <w:lang w:eastAsia="zh-CN"/>
        </w:rPr>
      </w:pPr>
      <w:r>
        <w:rPr>
          <w:rFonts w:hint="eastAsia" w:ascii="Times New Roman" w:hAnsi="Times New Roman" w:cs="Times New Roman"/>
          <w:b w:val="0"/>
          <w:bCs w:val="0"/>
          <w:highlight w:val="none"/>
        </w:rPr>
        <w:t>矿产资源开采保护线管控规则</w:t>
      </w:r>
      <w:r>
        <w:rPr>
          <w:rFonts w:hint="eastAsia" w:ascii="Times New Roman" w:hAnsi="Times New Roman" w:cs="Times New Roman"/>
          <w:b w:val="0"/>
          <w:bCs w:val="0"/>
          <w:highlight w:val="none"/>
          <w:lang w:eastAsia="zh-CN"/>
        </w:rPr>
        <w:t>：</w:t>
      </w:r>
      <w:r>
        <w:rPr>
          <w:rFonts w:hint="eastAsia" w:ascii="Times New Roman" w:hAnsi="Times New Roman" w:cs="Times New Roman"/>
          <w:b w:val="0"/>
          <w:bCs w:val="0"/>
          <w:highlight w:val="none"/>
        </w:rPr>
        <w:t>范围内战略性矿产大中型矿床原则上不得压覆，确需压覆的，要依法办理审批手续。对当前技术、经济或生态环境条件下暂不宜开发的大中型矿床进行保护。加快推进矿产地储备工程，着力构建产品、产能和产地“三位一体”的储备体系。</w:t>
      </w:r>
    </w:p>
    <w:p w14:paraId="77638CF5">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r>
        <w:rPr>
          <w:rFonts w:hint="eastAsia" w:cs="Times New Roman"/>
          <w:highlight w:val="none"/>
        </w:rPr>
        <w:t>优化县域国土空间总体格局</w:t>
      </w:r>
      <w:bookmarkEnd w:id="97"/>
      <w:bookmarkEnd w:id="98"/>
    </w:p>
    <w:p w14:paraId="7A55B1B9">
      <w:pPr>
        <w:pStyle w:val="23"/>
        <w:numPr>
          <w:ilvl w:val="0"/>
          <w:numId w:val="3"/>
        </w:numPr>
        <w:bidi w:val="0"/>
        <w:ind w:left="0" w:leftChars="0" w:firstLine="612" w:firstLineChars="0"/>
        <w:outlineLvl w:val="2"/>
        <w:rPr>
          <w:rFonts w:hint="eastAsia"/>
          <w:highlight w:val="none"/>
          <w:lang w:val="en-US"/>
        </w:rPr>
      </w:pPr>
      <w:bookmarkStart w:id="99" w:name="_Toc7234"/>
      <w:r>
        <w:rPr>
          <w:rFonts w:hint="eastAsia"/>
          <w:highlight w:val="none"/>
          <w:lang w:val="en-US"/>
        </w:rPr>
        <w:t>落实县域主体功能区</w:t>
      </w:r>
      <w:bookmarkEnd w:id="99"/>
    </w:p>
    <w:p w14:paraId="29CBC909">
      <w:pPr>
        <w:bidi w:val="0"/>
        <w:rPr>
          <w:rFonts w:hint="eastAsia"/>
          <w:b w:val="0"/>
          <w:bCs w:val="0"/>
          <w:highlight w:val="none"/>
        </w:rPr>
      </w:pPr>
      <w:r>
        <w:rPr>
          <w:rFonts w:hint="eastAsia"/>
          <w:b w:val="0"/>
          <w:bCs w:val="0"/>
          <w:highlight w:val="none"/>
        </w:rPr>
        <w:t>博爱县的主体功能区为农产品主产区。</w:t>
      </w:r>
    </w:p>
    <w:p w14:paraId="1834EB95">
      <w:pPr>
        <w:pStyle w:val="23"/>
        <w:numPr>
          <w:ilvl w:val="0"/>
          <w:numId w:val="3"/>
        </w:numPr>
        <w:bidi w:val="0"/>
        <w:ind w:left="0" w:leftChars="0" w:firstLine="612" w:firstLineChars="0"/>
        <w:outlineLvl w:val="2"/>
        <w:rPr>
          <w:rFonts w:hint="eastAsia"/>
          <w:highlight w:val="none"/>
          <w:lang w:val="en-US"/>
        </w:rPr>
      </w:pPr>
      <w:bookmarkStart w:id="100" w:name="_Toc14102"/>
      <w:r>
        <w:rPr>
          <w:rFonts w:hint="eastAsia"/>
          <w:highlight w:val="none"/>
          <w:lang w:val="en-US"/>
        </w:rPr>
        <w:t>落实和细化</w:t>
      </w:r>
      <w:r>
        <w:rPr>
          <w:rFonts w:hint="eastAsia"/>
          <w:highlight w:val="none"/>
          <w:lang w:val="en-US" w:eastAsia="zh-CN"/>
        </w:rPr>
        <w:t>乡（镇）</w:t>
      </w:r>
      <w:r>
        <w:rPr>
          <w:rFonts w:hint="eastAsia"/>
          <w:highlight w:val="none"/>
          <w:lang w:val="en-US"/>
        </w:rPr>
        <w:t>主体功能</w:t>
      </w:r>
      <w:bookmarkEnd w:id="100"/>
    </w:p>
    <w:p w14:paraId="1139E475">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b w:val="0"/>
          <w:bCs w:val="0"/>
          <w:highlight w:val="none"/>
        </w:rPr>
      </w:pPr>
      <w:r>
        <w:rPr>
          <w:rFonts w:hint="eastAsia"/>
          <w:b w:val="0"/>
          <w:bCs w:val="0"/>
          <w:highlight w:val="none"/>
        </w:rPr>
        <w:t>结合资源环境承载能力、土地适宜性评价，推动落实主体功能区战略。以</w:t>
      </w:r>
      <w:r>
        <w:rPr>
          <w:rFonts w:hint="eastAsia"/>
          <w:b w:val="0"/>
          <w:bCs w:val="0"/>
          <w:highlight w:val="none"/>
          <w:lang w:eastAsia="zh-CN"/>
        </w:rPr>
        <w:t>乡（镇）</w:t>
      </w:r>
      <w:r>
        <w:rPr>
          <w:rFonts w:hint="eastAsia"/>
          <w:b w:val="0"/>
          <w:bCs w:val="0"/>
          <w:highlight w:val="none"/>
        </w:rPr>
        <w:t>、街道为单元细化落地进行差异化指引，形成城市化地区、农产品主产区、重点生态功能区三类主体功能区。</w:t>
      </w:r>
      <w:r>
        <w:rPr>
          <w:rFonts w:hint="eastAsia" w:ascii="Times New Roman" w:hAnsi="Times New Roman" w:cs="Times New Roman"/>
          <w:b w:val="0"/>
          <w:bCs w:val="0"/>
          <w:highlight w:val="none"/>
          <w:lang w:val="en-US" w:eastAsia="zh-CN"/>
        </w:rPr>
        <w:t>严格落实国家、省关于主体功能区管控要求，项目实施应符合产业准入政策。</w:t>
      </w:r>
    </w:p>
    <w:p w14:paraId="141F47F2">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b w:val="0"/>
          <w:bCs w:val="0"/>
          <w:highlight w:val="none"/>
        </w:rPr>
      </w:pPr>
      <w:r>
        <w:rPr>
          <w:rFonts w:hint="eastAsia"/>
          <w:b w:val="0"/>
          <w:bCs w:val="0"/>
          <w:highlight w:val="none"/>
        </w:rPr>
        <w:t>农产品主产区包括月山镇、许良镇、磨头镇、孝敬镇、金城乡和国营博爱农场，面积22488.92公顷。农产品主产区严格保护耕地和永久基本农田，重点巩固和提高粮食生产能力，支持林果、苗木、蔬菜、水产等特色农业发展，加强一二三产业融合发展。</w:t>
      </w:r>
    </w:p>
    <w:p w14:paraId="26353392">
      <w:pPr>
        <w:keepNext w:val="0"/>
        <w:keepLines w:val="0"/>
        <w:pageBreakBefore w:val="0"/>
        <w:widowControl w:val="0"/>
        <w:kinsoku/>
        <w:wordWrap/>
        <w:overflowPunct/>
        <w:topLinePunct w:val="0"/>
        <w:autoSpaceDE/>
        <w:autoSpaceDN/>
        <w:bidi w:val="0"/>
        <w:adjustRightInd/>
        <w:snapToGrid/>
        <w:spacing w:line="500" w:lineRule="atLeast"/>
        <w:textAlignment w:val="auto"/>
        <w:rPr>
          <w:b w:val="0"/>
          <w:bCs w:val="0"/>
          <w:highlight w:val="none"/>
        </w:rPr>
      </w:pPr>
      <w:r>
        <w:rPr>
          <w:rFonts w:hint="eastAsia"/>
          <w:b w:val="0"/>
          <w:bCs w:val="0"/>
          <w:highlight w:val="none"/>
        </w:rPr>
        <w:t>重点生态功能区位于寨豁乡，面积13081.29公顷。重点生态功能区严格保护生态空间，落实生态环境准入清单，强化生态服务功能，在不影响主体功能定位、不损害生态功能的前提下，适度开发利用特色资源，合理发展适宜性产业。</w:t>
      </w:r>
    </w:p>
    <w:p w14:paraId="558CDD77">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b w:val="0"/>
          <w:bCs w:val="0"/>
          <w:highlight w:val="none"/>
        </w:rPr>
      </w:pPr>
      <w:r>
        <w:rPr>
          <w:rFonts w:hint="eastAsia"/>
          <w:b w:val="0"/>
          <w:bCs w:val="0"/>
          <w:highlight w:val="none"/>
        </w:rPr>
        <w:t>城市化地区包括清化镇街道、鸿昌街道、柏山镇和国营博爱县原种场，面积7191.24公顷。城市化地区完善配套政策，优化空间结构，合理提高国土开发强度，引导城镇人口集聚，提高土地利用效率，提升城镇服务功能和创新功能。</w:t>
      </w:r>
    </w:p>
    <w:p w14:paraId="3D507C72">
      <w:pPr>
        <w:pStyle w:val="23"/>
        <w:numPr>
          <w:ilvl w:val="0"/>
          <w:numId w:val="3"/>
        </w:numPr>
        <w:bidi w:val="0"/>
        <w:ind w:left="0" w:leftChars="0" w:firstLine="612" w:firstLineChars="0"/>
        <w:outlineLvl w:val="2"/>
        <w:rPr>
          <w:rFonts w:hint="eastAsia"/>
          <w:highlight w:val="none"/>
          <w:lang w:val="en-US"/>
        </w:rPr>
      </w:pPr>
      <w:bookmarkStart w:id="101" w:name="_Toc17873"/>
      <w:r>
        <w:rPr>
          <w:rFonts w:hint="eastAsia"/>
          <w:highlight w:val="none"/>
          <w:lang w:val="en-US"/>
        </w:rPr>
        <w:t>国土空间总体格局</w:t>
      </w:r>
      <w:bookmarkEnd w:id="101"/>
    </w:p>
    <w:p w14:paraId="1920CEC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以“三区三线”布局为基础，构建“一核三心三廊四区四轴多节点”的开放式、网络化、集约型、生态化的国土空间总体格局。</w:t>
      </w:r>
    </w:p>
    <w:p w14:paraId="2ABC4EC7">
      <w:pPr>
        <w:keepNext w:val="0"/>
        <w:keepLines w:val="0"/>
        <w:pageBreakBefore w:val="0"/>
        <w:widowControl w:val="0"/>
        <w:kinsoku/>
        <w:wordWrap/>
        <w:overflowPunct/>
        <w:topLinePunct w:val="0"/>
        <w:autoSpaceDE/>
        <w:autoSpaceDN/>
        <w:bidi w:val="0"/>
        <w:adjustRightInd/>
        <w:snapToGrid/>
        <w:spacing w:line="520" w:lineRule="atLeast"/>
        <w:textAlignment w:val="auto"/>
        <w:rPr>
          <w:rFonts w:hint="eastAsia"/>
          <w:b w:val="0"/>
          <w:bCs w:val="0"/>
          <w:highlight w:val="none"/>
        </w:rPr>
      </w:pPr>
      <w:r>
        <w:rPr>
          <w:rFonts w:hint="eastAsia"/>
          <w:b w:val="0"/>
          <w:bCs w:val="0"/>
          <w:highlight w:val="none"/>
        </w:rPr>
        <w:t>“一核”：中心城区核心，与月山镇镇区、柏山镇镇区统筹建设，通过对外交通联系轴，向东与焦作市一体发展。</w:t>
      </w:r>
    </w:p>
    <w:p w14:paraId="24933BE1">
      <w:pPr>
        <w:keepNext w:val="0"/>
        <w:keepLines w:val="0"/>
        <w:pageBreakBefore w:val="0"/>
        <w:widowControl w:val="0"/>
        <w:kinsoku/>
        <w:wordWrap/>
        <w:overflowPunct/>
        <w:topLinePunct w:val="0"/>
        <w:autoSpaceDE/>
        <w:autoSpaceDN/>
        <w:bidi w:val="0"/>
        <w:adjustRightInd/>
        <w:snapToGrid/>
        <w:spacing w:line="520" w:lineRule="atLeast"/>
        <w:textAlignment w:val="auto"/>
        <w:rPr>
          <w:rFonts w:hint="eastAsia"/>
          <w:b w:val="0"/>
          <w:bCs w:val="0"/>
          <w:highlight w:val="none"/>
        </w:rPr>
      </w:pPr>
      <w:r>
        <w:rPr>
          <w:rFonts w:hint="eastAsia"/>
          <w:b w:val="0"/>
          <w:bCs w:val="0"/>
          <w:highlight w:val="none"/>
        </w:rPr>
        <w:t>“三心”：许良镇、磨头镇、孝敬镇三大重点镇。</w:t>
      </w:r>
    </w:p>
    <w:p w14:paraId="28EE2B47">
      <w:pPr>
        <w:keepNext w:val="0"/>
        <w:keepLines w:val="0"/>
        <w:pageBreakBefore w:val="0"/>
        <w:widowControl w:val="0"/>
        <w:kinsoku/>
        <w:wordWrap/>
        <w:overflowPunct/>
        <w:topLinePunct w:val="0"/>
        <w:autoSpaceDE/>
        <w:autoSpaceDN/>
        <w:bidi w:val="0"/>
        <w:adjustRightInd/>
        <w:snapToGrid/>
        <w:spacing w:line="520" w:lineRule="atLeast"/>
        <w:textAlignment w:val="auto"/>
        <w:rPr>
          <w:rFonts w:hint="eastAsia"/>
          <w:b w:val="0"/>
          <w:bCs w:val="0"/>
          <w:highlight w:val="none"/>
        </w:rPr>
      </w:pPr>
      <w:r>
        <w:rPr>
          <w:rFonts w:hint="eastAsia"/>
          <w:b w:val="0"/>
          <w:bCs w:val="0"/>
          <w:highlight w:val="none"/>
        </w:rPr>
        <w:t>“三廊”：三条生态廊道。包括丹河廊道、沁河廊道、大沙河廊道。</w:t>
      </w:r>
    </w:p>
    <w:p w14:paraId="29C7486C">
      <w:pPr>
        <w:keepNext w:val="0"/>
        <w:keepLines w:val="0"/>
        <w:pageBreakBefore w:val="0"/>
        <w:widowControl w:val="0"/>
        <w:kinsoku/>
        <w:wordWrap/>
        <w:overflowPunct/>
        <w:topLinePunct w:val="0"/>
        <w:autoSpaceDE/>
        <w:autoSpaceDN/>
        <w:bidi w:val="0"/>
        <w:adjustRightInd/>
        <w:snapToGrid/>
        <w:spacing w:line="520" w:lineRule="atLeast"/>
        <w:textAlignment w:val="auto"/>
        <w:rPr>
          <w:rFonts w:hint="eastAsia"/>
          <w:b w:val="0"/>
          <w:bCs w:val="0"/>
          <w:highlight w:val="none"/>
        </w:rPr>
      </w:pPr>
      <w:r>
        <w:rPr>
          <w:rFonts w:hint="eastAsia"/>
          <w:b w:val="0"/>
          <w:bCs w:val="0"/>
          <w:highlight w:val="none"/>
        </w:rPr>
        <w:t>“四区”：北部太行山生态文化保护区</w:t>
      </w:r>
      <w:r>
        <w:rPr>
          <w:rFonts w:hint="eastAsia" w:ascii="仿宋_GB2312" w:hAnsi="仿宋_GB2312" w:eastAsia="仿宋_GB2312"/>
          <w:b w:val="0"/>
          <w:bCs w:val="0"/>
          <w:highlight w:val="none"/>
          <w:lang w:eastAsia="zh-CN"/>
        </w:rPr>
        <w:t>（</w:t>
      </w:r>
      <w:r>
        <w:rPr>
          <w:rFonts w:hint="eastAsia"/>
          <w:b w:val="0"/>
          <w:bCs w:val="0"/>
          <w:highlight w:val="none"/>
        </w:rPr>
        <w:t>包括北部太行山国家级自然保护区、中部丹河水源保护地）、南部</w:t>
      </w:r>
      <w:r>
        <w:rPr>
          <w:rFonts w:hint="eastAsia"/>
          <w:b w:val="0"/>
          <w:bCs w:val="0"/>
          <w:highlight w:val="none"/>
          <w:lang w:val="en-US" w:eastAsia="zh-CN"/>
        </w:rPr>
        <w:t>永久</w:t>
      </w:r>
      <w:r>
        <w:rPr>
          <w:rFonts w:hint="eastAsia"/>
          <w:b w:val="0"/>
          <w:bCs w:val="0"/>
          <w:highlight w:val="none"/>
        </w:rPr>
        <w:t>基本农田保护集中区、中部产城发展核心区和产城发展协调区。</w:t>
      </w:r>
    </w:p>
    <w:p w14:paraId="37D05D0D">
      <w:pPr>
        <w:keepNext w:val="0"/>
        <w:keepLines w:val="0"/>
        <w:pageBreakBefore w:val="0"/>
        <w:widowControl w:val="0"/>
        <w:kinsoku/>
        <w:wordWrap/>
        <w:overflowPunct/>
        <w:topLinePunct w:val="0"/>
        <w:autoSpaceDE/>
        <w:autoSpaceDN/>
        <w:bidi w:val="0"/>
        <w:adjustRightInd/>
        <w:snapToGrid/>
        <w:spacing w:line="520" w:lineRule="atLeast"/>
        <w:textAlignment w:val="auto"/>
        <w:rPr>
          <w:rFonts w:hint="eastAsia"/>
          <w:b w:val="0"/>
          <w:bCs w:val="0"/>
          <w:highlight w:val="none"/>
        </w:rPr>
      </w:pPr>
      <w:r>
        <w:rPr>
          <w:rFonts w:hint="eastAsia"/>
          <w:b w:val="0"/>
          <w:bCs w:val="0"/>
          <w:highlight w:val="none"/>
        </w:rPr>
        <w:t>“四轴”：人民路和鸿昌路两条对接焦作轴线、县域南北轴、许良镇到磨头镇协调发展轴。</w:t>
      </w:r>
    </w:p>
    <w:p w14:paraId="1B0DB90A">
      <w:pPr>
        <w:keepNext w:val="0"/>
        <w:keepLines w:val="0"/>
        <w:pageBreakBefore w:val="0"/>
        <w:widowControl w:val="0"/>
        <w:kinsoku/>
        <w:wordWrap/>
        <w:overflowPunct/>
        <w:topLinePunct w:val="0"/>
        <w:autoSpaceDE/>
        <w:autoSpaceDN/>
        <w:bidi w:val="0"/>
        <w:adjustRightInd/>
        <w:snapToGrid/>
        <w:spacing w:line="520" w:lineRule="atLeast"/>
        <w:textAlignment w:val="auto"/>
        <w:rPr>
          <w:rFonts w:hint="eastAsia"/>
          <w:b w:val="0"/>
          <w:bCs w:val="0"/>
          <w:highlight w:val="none"/>
        </w:rPr>
      </w:pPr>
      <w:r>
        <w:rPr>
          <w:rFonts w:hint="eastAsia"/>
          <w:b w:val="0"/>
          <w:bCs w:val="0"/>
          <w:highlight w:val="none"/>
        </w:rPr>
        <w:t>“多节点”：包括金城乡、寨豁乡、国营博爱农场、国营博爱县原种场以及青天河景区、煤炭物流产业园、农业产业园、静脉产业园。</w:t>
      </w:r>
    </w:p>
    <w:p w14:paraId="00F0AA48">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02" w:name="_Toc10155"/>
      <w:bookmarkStart w:id="103" w:name="_Toc20255"/>
      <w:r>
        <w:rPr>
          <w:rFonts w:hint="eastAsia" w:cs="Times New Roman"/>
          <w:highlight w:val="none"/>
        </w:rPr>
        <w:t>县域国土空间规划分区</w:t>
      </w:r>
      <w:bookmarkEnd w:id="102"/>
      <w:bookmarkEnd w:id="103"/>
    </w:p>
    <w:p w14:paraId="5E848C17">
      <w:pPr>
        <w:pStyle w:val="23"/>
        <w:numPr>
          <w:ilvl w:val="0"/>
          <w:numId w:val="3"/>
        </w:numPr>
        <w:bidi w:val="0"/>
        <w:ind w:left="0" w:leftChars="0" w:firstLine="612" w:firstLineChars="0"/>
        <w:outlineLvl w:val="2"/>
        <w:rPr>
          <w:rFonts w:hint="eastAsia"/>
          <w:highlight w:val="none"/>
          <w:lang w:val="en-US"/>
        </w:rPr>
      </w:pPr>
      <w:bookmarkStart w:id="104" w:name="_Toc5356"/>
      <w:r>
        <w:rPr>
          <w:rFonts w:hint="eastAsia"/>
          <w:highlight w:val="none"/>
          <w:lang w:val="en-US"/>
        </w:rPr>
        <w:t>农田保护区</w:t>
      </w:r>
      <w:bookmarkEnd w:id="104"/>
    </w:p>
    <w:p w14:paraId="5D9B5CC3">
      <w:pPr>
        <w:bidi w:val="0"/>
        <w:rPr>
          <w:rFonts w:hint="eastAsia"/>
          <w:b w:val="0"/>
          <w:bCs w:val="0"/>
          <w:highlight w:val="none"/>
        </w:rPr>
      </w:pPr>
      <w:r>
        <w:rPr>
          <w:rFonts w:hint="eastAsia"/>
          <w:b w:val="0"/>
          <w:bCs w:val="0"/>
          <w:highlight w:val="none"/>
        </w:rPr>
        <w:t>划定农田保护区占县域国土面积的32%，农田保护区范围为永久基本农田相对集中需严格保护的区域。主要分布于金城乡、孝敬镇、磨头镇、许良镇南部等地区。</w:t>
      </w:r>
    </w:p>
    <w:p w14:paraId="1C97AAC4">
      <w:pPr>
        <w:bidi w:val="0"/>
        <w:rPr>
          <w:rFonts w:hint="eastAsia"/>
          <w:b w:val="0"/>
          <w:bCs w:val="0"/>
          <w:highlight w:val="none"/>
        </w:rPr>
      </w:pPr>
      <w:r>
        <w:rPr>
          <w:rFonts w:hint="eastAsia"/>
          <w:b w:val="0"/>
          <w:bCs w:val="0"/>
          <w:highlight w:val="none"/>
        </w:rPr>
        <w:t>农田保护区内重点用于粮食生产，原则上严禁开发建设活动，任何单位和个人不得改变或者占用。国家能源、交通、水利、军事设施等重点建设项目选址确实无法避开</w:t>
      </w:r>
      <w:r>
        <w:rPr>
          <w:rFonts w:hint="eastAsia"/>
          <w:b w:val="0"/>
          <w:bCs w:val="0"/>
          <w:highlight w:val="none"/>
          <w:lang w:val="en-US" w:eastAsia="zh-CN"/>
        </w:rPr>
        <w:t>永久</w:t>
      </w:r>
      <w:r>
        <w:rPr>
          <w:rFonts w:hint="eastAsia"/>
          <w:b w:val="0"/>
          <w:bCs w:val="0"/>
          <w:highlight w:val="none"/>
        </w:rPr>
        <w:t>基本农田保护区，需要占用</w:t>
      </w:r>
      <w:r>
        <w:rPr>
          <w:rFonts w:hint="eastAsia"/>
          <w:b w:val="0"/>
          <w:bCs w:val="0"/>
          <w:highlight w:val="none"/>
          <w:lang w:val="en-US" w:eastAsia="zh-CN"/>
        </w:rPr>
        <w:t>永久</w:t>
      </w:r>
      <w:r>
        <w:rPr>
          <w:rFonts w:hint="eastAsia"/>
          <w:b w:val="0"/>
          <w:bCs w:val="0"/>
          <w:highlight w:val="none"/>
        </w:rPr>
        <w:t>基本农田，涉及农用地转用或者征用土地的，必须经国务院批准。</w:t>
      </w:r>
    </w:p>
    <w:p w14:paraId="02429416">
      <w:pPr>
        <w:pStyle w:val="23"/>
        <w:numPr>
          <w:ilvl w:val="0"/>
          <w:numId w:val="3"/>
        </w:numPr>
        <w:bidi w:val="0"/>
        <w:ind w:left="0" w:leftChars="0" w:firstLine="612" w:firstLineChars="0"/>
        <w:outlineLvl w:val="2"/>
        <w:rPr>
          <w:rFonts w:hint="eastAsia"/>
          <w:highlight w:val="none"/>
          <w:lang w:val="en-US"/>
        </w:rPr>
      </w:pPr>
      <w:bookmarkStart w:id="105" w:name="_Toc7656"/>
      <w:r>
        <w:rPr>
          <w:rFonts w:hint="eastAsia"/>
          <w:highlight w:val="none"/>
          <w:lang w:val="en-US"/>
        </w:rPr>
        <w:t>生态保护区</w:t>
      </w:r>
      <w:bookmarkEnd w:id="105"/>
    </w:p>
    <w:p w14:paraId="2346951D">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b w:val="0"/>
          <w:bCs w:val="0"/>
          <w:highlight w:val="none"/>
        </w:rPr>
      </w:pPr>
      <w:r>
        <w:rPr>
          <w:rFonts w:hint="eastAsia"/>
          <w:b w:val="0"/>
          <w:bCs w:val="0"/>
          <w:highlight w:val="none"/>
        </w:rPr>
        <w:t>划定生态保护区占县域国土面积</w:t>
      </w:r>
      <w:r>
        <w:rPr>
          <w:rFonts w:hint="eastAsia"/>
          <w:b w:val="0"/>
          <w:bCs w:val="0"/>
          <w:highlight w:val="none"/>
          <w:lang w:val="en-US" w:eastAsia="zh-CN"/>
        </w:rPr>
        <w:t>8</w:t>
      </w:r>
      <w:r>
        <w:rPr>
          <w:rFonts w:hint="eastAsia"/>
          <w:b w:val="0"/>
          <w:bCs w:val="0"/>
          <w:highlight w:val="none"/>
        </w:rPr>
        <w:t>%。生态保护区范围与生态保护红线范围一致，包括河南太行山猕猴国家级自然保护区、丹河饮用水源地保护区、南水北调中线水源地保护区。</w:t>
      </w:r>
    </w:p>
    <w:p w14:paraId="22CD424D">
      <w:pPr>
        <w:keepNext w:val="0"/>
        <w:keepLines w:val="0"/>
        <w:pageBreakBefore w:val="0"/>
        <w:widowControl w:val="0"/>
        <w:kinsoku/>
        <w:wordWrap/>
        <w:overflowPunct/>
        <w:topLinePunct w:val="0"/>
        <w:autoSpaceDE/>
        <w:autoSpaceDN/>
        <w:bidi w:val="0"/>
        <w:adjustRightInd/>
        <w:snapToGrid/>
        <w:spacing w:line="596" w:lineRule="exact"/>
        <w:textAlignment w:val="auto"/>
        <w:rPr>
          <w:b w:val="0"/>
          <w:bCs w:val="0"/>
          <w:highlight w:val="none"/>
        </w:rPr>
      </w:pPr>
      <w:r>
        <w:rPr>
          <w:rFonts w:hint="eastAsia"/>
          <w:b w:val="0"/>
          <w:bCs w:val="0"/>
          <w:highlight w:val="none"/>
        </w:rPr>
        <w:t>生态保护区按照生态保护红线相关要求实行严格管控，生态保护红线核心区原则上禁止人为活动，其他区域严格禁止开发性、生产性建设活动，在符合现行法律法规前提下，除国家重大战略项目外，仅允许对生态功能不造成破坏的有限人为活动。</w:t>
      </w:r>
    </w:p>
    <w:p w14:paraId="4B06C71B">
      <w:pPr>
        <w:pStyle w:val="23"/>
        <w:numPr>
          <w:ilvl w:val="0"/>
          <w:numId w:val="3"/>
        </w:numPr>
        <w:bidi w:val="0"/>
        <w:ind w:left="0" w:leftChars="0" w:firstLine="612" w:firstLineChars="0"/>
        <w:outlineLvl w:val="2"/>
        <w:rPr>
          <w:rFonts w:hint="eastAsia"/>
          <w:highlight w:val="none"/>
          <w:lang w:val="en-US"/>
        </w:rPr>
      </w:pPr>
      <w:bookmarkStart w:id="106" w:name="_Toc13611"/>
      <w:r>
        <w:rPr>
          <w:rFonts w:hint="eastAsia"/>
          <w:highlight w:val="none"/>
          <w:lang w:val="en-US"/>
        </w:rPr>
        <w:t>生态控制区</w:t>
      </w:r>
      <w:bookmarkEnd w:id="106"/>
    </w:p>
    <w:p w14:paraId="240241BD">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b w:val="0"/>
          <w:bCs w:val="0"/>
          <w:highlight w:val="none"/>
        </w:rPr>
      </w:pPr>
      <w:r>
        <w:rPr>
          <w:rFonts w:hint="eastAsia"/>
          <w:b w:val="0"/>
          <w:bCs w:val="0"/>
          <w:highlight w:val="none"/>
        </w:rPr>
        <w:t>划定生态控制区占县域国土面积的</w:t>
      </w:r>
      <w:r>
        <w:rPr>
          <w:rFonts w:hint="eastAsia"/>
          <w:b w:val="0"/>
          <w:bCs w:val="0"/>
          <w:highlight w:val="none"/>
          <w:lang w:val="en-US" w:eastAsia="zh-CN"/>
        </w:rPr>
        <w:t>22</w:t>
      </w:r>
      <w:r>
        <w:rPr>
          <w:rFonts w:hint="eastAsia"/>
          <w:b w:val="0"/>
          <w:bCs w:val="0"/>
          <w:highlight w:val="none"/>
        </w:rPr>
        <w:t>%。生态控制区主要包括生态保护区外的饮用水水源保护区、风景名胜区、重要河流生态廊道、集中连片的生态公益林、生态保护重要区及其他需要加强生态管控的区域，主要分布于博爱县铁路以北，涉及寨豁乡、月山镇、柏山镇、许良镇。</w:t>
      </w:r>
    </w:p>
    <w:p w14:paraId="54DBC245">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b w:val="0"/>
          <w:bCs w:val="0"/>
          <w:highlight w:val="none"/>
        </w:rPr>
      </w:pPr>
      <w:r>
        <w:rPr>
          <w:rFonts w:hint="eastAsia"/>
          <w:b w:val="0"/>
          <w:bCs w:val="0"/>
          <w:highlight w:val="none"/>
        </w:rPr>
        <w:t>生态控制区按照限制开发的要求进行管理，严格遵守风景名胜区、饮用水水源保护区、生态公益林、河道等各类保护要求；提升区内林地、湿地和陆地水域等生态用地质量，实施生态治理和修复；区内矿权灭失采矿用地，按照要求开展生态修复；区域内的建设用地，不得违反规划擅自扩大规模；在不降低生态功能、不破坏生态系统且符合空间准入的前提下，依据相关法定程序、管制规则，严格限制除市政、交通、水利基础设施以外的其他新增建设用地，允许生态旅游等适度发展。</w:t>
      </w:r>
    </w:p>
    <w:p w14:paraId="638F1F98">
      <w:pPr>
        <w:pStyle w:val="23"/>
        <w:numPr>
          <w:ilvl w:val="0"/>
          <w:numId w:val="3"/>
        </w:numPr>
        <w:bidi w:val="0"/>
        <w:ind w:left="0" w:leftChars="0" w:firstLine="612" w:firstLineChars="0"/>
        <w:outlineLvl w:val="2"/>
        <w:rPr>
          <w:rFonts w:hint="eastAsia"/>
          <w:highlight w:val="none"/>
          <w:lang w:val="en-US"/>
        </w:rPr>
      </w:pPr>
      <w:bookmarkStart w:id="107" w:name="_Toc11123"/>
      <w:r>
        <w:rPr>
          <w:rFonts w:hint="eastAsia"/>
          <w:highlight w:val="none"/>
          <w:lang w:val="en-US"/>
        </w:rPr>
        <w:t>城镇发展区</w:t>
      </w:r>
      <w:bookmarkEnd w:id="107"/>
    </w:p>
    <w:p w14:paraId="045133DE">
      <w:pPr>
        <w:bidi w:val="0"/>
        <w:rPr>
          <w:rFonts w:hint="eastAsia"/>
          <w:b w:val="0"/>
          <w:bCs w:val="0"/>
          <w:highlight w:val="none"/>
        </w:rPr>
      </w:pPr>
      <w:r>
        <w:rPr>
          <w:rFonts w:hint="eastAsia"/>
          <w:b w:val="0"/>
          <w:bCs w:val="0"/>
          <w:highlight w:val="none"/>
        </w:rPr>
        <w:t>划定城镇发展区占县域国土面积的11%。城镇发展区范围为城镇开发边界围合的范围。城镇发展区应针对其中的城镇集中建设区、弹性发展区、特别用途区等二级规划分区进行相应的管控。</w:t>
      </w:r>
    </w:p>
    <w:p w14:paraId="6685DC50">
      <w:pPr>
        <w:pStyle w:val="23"/>
        <w:numPr>
          <w:ilvl w:val="0"/>
          <w:numId w:val="3"/>
        </w:numPr>
        <w:bidi w:val="0"/>
        <w:ind w:left="0" w:leftChars="0" w:firstLine="612" w:firstLineChars="0"/>
        <w:outlineLvl w:val="2"/>
        <w:rPr>
          <w:rFonts w:hint="eastAsia"/>
          <w:highlight w:val="none"/>
          <w:lang w:val="en-US"/>
        </w:rPr>
      </w:pPr>
      <w:bookmarkStart w:id="108" w:name="_Toc23638"/>
      <w:r>
        <w:rPr>
          <w:rFonts w:hint="eastAsia"/>
          <w:highlight w:val="none"/>
          <w:lang w:val="en-US"/>
        </w:rPr>
        <w:t>乡村发展区</w:t>
      </w:r>
      <w:bookmarkEnd w:id="108"/>
    </w:p>
    <w:p w14:paraId="47E44A7D">
      <w:pPr>
        <w:bidi w:val="0"/>
        <w:rPr>
          <w:rFonts w:hint="eastAsia" w:ascii="仿宋_GB2312" w:hAnsi="仿宋_GB2312" w:eastAsia="仿宋_GB2312" w:cs="仿宋_GB2312"/>
          <w:b w:val="0"/>
          <w:bCs w:val="0"/>
          <w:color w:val="auto"/>
          <w:sz w:val="32"/>
          <w:szCs w:val="32"/>
          <w:highlight w:val="none"/>
        </w:rPr>
      </w:pPr>
      <w:r>
        <w:rPr>
          <w:rFonts w:hint="eastAsia"/>
          <w:b w:val="0"/>
          <w:bCs w:val="0"/>
          <w:highlight w:val="none"/>
        </w:rPr>
        <w:t>划定乡村发展区占县域国土面积的27%</w:t>
      </w:r>
      <w:r>
        <w:rPr>
          <w:rFonts w:hint="eastAsia"/>
          <w:b w:val="0"/>
          <w:bCs w:val="0"/>
          <w:highlight w:val="none"/>
          <w:lang w:eastAsia="zh-CN"/>
        </w:rPr>
        <w:t>。</w:t>
      </w:r>
      <w:r>
        <w:rPr>
          <w:rFonts w:hint="eastAsia"/>
          <w:b w:val="0"/>
          <w:bCs w:val="0"/>
          <w:highlight w:val="none"/>
        </w:rPr>
        <w:t>主要分布于适宜农业生产、生活发展的乡村地区。乡村发展区包括村庄建设区、一般农业区、林业发展区等二级规划分区，应以促进农业和支持特色产业发展、改善农民生产生活条件为导向，按照“详细规划+规划许可”和“约束指标+分区准入”的方式，根据具体土地用途类型进行管理。</w:t>
      </w:r>
    </w:p>
    <w:p w14:paraId="1288A698">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09" w:name="_Toc3109"/>
      <w:bookmarkStart w:id="110" w:name="_Toc30375"/>
      <w:r>
        <w:rPr>
          <w:rFonts w:hint="eastAsia" w:cs="Times New Roman"/>
          <w:highlight w:val="none"/>
        </w:rPr>
        <w:t>优化调整国土空间用途结构</w:t>
      </w:r>
      <w:bookmarkEnd w:id="109"/>
      <w:bookmarkEnd w:id="110"/>
    </w:p>
    <w:p w14:paraId="5A28D403">
      <w:pPr>
        <w:pStyle w:val="23"/>
        <w:numPr>
          <w:ilvl w:val="0"/>
          <w:numId w:val="3"/>
        </w:numPr>
        <w:bidi w:val="0"/>
        <w:ind w:left="0" w:leftChars="0" w:firstLine="612" w:firstLineChars="0"/>
        <w:outlineLvl w:val="2"/>
        <w:rPr>
          <w:rFonts w:hint="eastAsia"/>
          <w:highlight w:val="none"/>
          <w:lang w:val="en-US"/>
        </w:rPr>
      </w:pPr>
      <w:bookmarkStart w:id="111" w:name="_Toc10291"/>
      <w:r>
        <w:rPr>
          <w:rFonts w:hint="eastAsia"/>
          <w:highlight w:val="none"/>
          <w:lang w:val="en-US"/>
        </w:rPr>
        <w:t>优化农业用地</w:t>
      </w:r>
      <w:bookmarkEnd w:id="111"/>
    </w:p>
    <w:p w14:paraId="6F67F0B4">
      <w:pPr>
        <w:bidi w:val="0"/>
        <w:rPr>
          <w:rFonts w:hint="eastAsia"/>
          <w:b w:val="0"/>
          <w:bCs w:val="0"/>
          <w:highlight w:val="none"/>
        </w:rPr>
      </w:pPr>
      <w:r>
        <w:rPr>
          <w:rFonts w:hint="eastAsia"/>
          <w:b w:val="0"/>
          <w:bCs w:val="0"/>
          <w:highlight w:val="none"/>
        </w:rPr>
        <w:t>优化农林用地结构。从耕地资源向整个国土资源拓展，使农业生产空间布局更加符合自然地理格局和农业生产规律，形成现代农业生产结构和区域布局。坚持最严格的耕地保护制度，坚守耕地红线，确保可以长期稳定利用的耕地总量不减少，严格控制非农建设占用耕地，明确耕地利用优先序，严格控制耕地转为林地、园地等其他类型农用地，规划期内通过农用地整治、农村低效建设用地整治、宜耕后备资源开发等方式新增耕地，优化耕地布局。综合考虑建设占用、廊道绿化整治、非粮化整治、适当恢复即可恢复地类的耕地功能、规划绿化造林空间等因素，合理调整林地、园地布局；在保护生态环境的前提下，对耕地后备资源进行科学适度开发利用，同时考虑规划建设占用，确定草地布局；保障农村一二三产融合发展合理用地，适度扩大农业设施建设用地，为发展多样化的现代高效农业提供空间支持。规划期内耕地面积不低于14675.55公顷，园地面积保持稳定，林地面积不低于14248.10公顷。</w:t>
      </w:r>
    </w:p>
    <w:p w14:paraId="41D72D69">
      <w:pPr>
        <w:pStyle w:val="23"/>
        <w:numPr>
          <w:ilvl w:val="0"/>
          <w:numId w:val="3"/>
        </w:numPr>
        <w:bidi w:val="0"/>
        <w:ind w:left="0" w:leftChars="0" w:firstLine="612" w:firstLineChars="0"/>
        <w:outlineLvl w:val="2"/>
        <w:rPr>
          <w:rFonts w:hint="eastAsia"/>
          <w:highlight w:val="none"/>
          <w:lang w:val="en-US"/>
        </w:rPr>
      </w:pPr>
      <w:bookmarkStart w:id="112" w:name="_Toc15299"/>
      <w:r>
        <w:rPr>
          <w:rFonts w:hint="eastAsia"/>
          <w:highlight w:val="none"/>
          <w:lang w:val="en-US"/>
        </w:rPr>
        <w:t>稳定生态用地</w:t>
      </w:r>
      <w:bookmarkEnd w:id="112"/>
    </w:p>
    <w:p w14:paraId="76BCB31E">
      <w:pPr>
        <w:bidi w:val="0"/>
        <w:rPr>
          <w:rFonts w:hint="eastAsia"/>
          <w:b w:val="0"/>
          <w:bCs w:val="0"/>
          <w:highlight w:val="none"/>
        </w:rPr>
      </w:pPr>
      <w:r>
        <w:rPr>
          <w:rFonts w:hint="eastAsia"/>
          <w:b w:val="0"/>
          <w:bCs w:val="0"/>
          <w:highlight w:val="none"/>
        </w:rPr>
        <w:t>科学保护利用水域和湿地。完善湿地与水域保护修复机制，推进生态保护高质量发展，严格保护生态保护红线内的内陆滩涂、河流水面等陆地水域用地，保护生物多样性。至2035年，湿地和陆地水域基本保持稳定。</w:t>
      </w:r>
    </w:p>
    <w:p w14:paraId="6E426AD0">
      <w:pPr>
        <w:pStyle w:val="23"/>
        <w:numPr>
          <w:ilvl w:val="0"/>
          <w:numId w:val="3"/>
        </w:numPr>
        <w:bidi w:val="0"/>
        <w:ind w:left="0" w:leftChars="0" w:firstLine="612" w:firstLineChars="0"/>
        <w:outlineLvl w:val="2"/>
        <w:rPr>
          <w:rFonts w:hint="eastAsia"/>
          <w:highlight w:val="none"/>
          <w:lang w:val="en-US"/>
        </w:rPr>
      </w:pPr>
      <w:bookmarkStart w:id="113" w:name="_Toc19304"/>
      <w:r>
        <w:rPr>
          <w:rFonts w:hint="eastAsia"/>
          <w:highlight w:val="none"/>
          <w:lang w:val="en-US"/>
        </w:rPr>
        <w:t>严控建设用地</w:t>
      </w:r>
      <w:bookmarkEnd w:id="113"/>
    </w:p>
    <w:p w14:paraId="2CA6C07D">
      <w:pPr>
        <w:bidi w:val="0"/>
        <w:rPr>
          <w:rFonts w:hint="eastAsia"/>
          <w:b w:val="0"/>
          <w:bCs w:val="0"/>
          <w:highlight w:val="none"/>
        </w:rPr>
      </w:pPr>
      <w:r>
        <w:rPr>
          <w:rFonts w:hint="eastAsia"/>
          <w:b w:val="0"/>
          <w:bCs w:val="0"/>
          <w:highlight w:val="none"/>
        </w:rPr>
        <w:t>优先保障区域重大战略项目、民生发展以及交通能源等基础设施建设，严格控制低效产业用地规模。到2035年，规划城镇用地面积不高于3603公顷，村庄用地面积不高于4272公顷，区域基础设施用地面积不高于1740公顷，其他建设用地面积略低于现状。</w:t>
      </w:r>
    </w:p>
    <w:p w14:paraId="0B9F280C">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rPr>
      </w:pPr>
      <w:bookmarkStart w:id="114" w:name="_Toc24249"/>
      <w:bookmarkStart w:id="115" w:name="_Toc13484"/>
      <w:r>
        <w:rPr>
          <w:rFonts w:hint="eastAsia" w:cs="Times New Roman"/>
          <w:highlight w:val="none"/>
        </w:rPr>
        <w:t>区域协调</w:t>
      </w:r>
      <w:bookmarkEnd w:id="114"/>
      <w:bookmarkEnd w:id="115"/>
    </w:p>
    <w:p w14:paraId="7B7DCBB1">
      <w:pPr>
        <w:pStyle w:val="23"/>
        <w:numPr>
          <w:ilvl w:val="0"/>
          <w:numId w:val="3"/>
        </w:numPr>
        <w:bidi w:val="0"/>
        <w:ind w:left="0" w:leftChars="0" w:firstLine="612" w:firstLineChars="0"/>
        <w:outlineLvl w:val="2"/>
        <w:rPr>
          <w:rFonts w:hint="eastAsia"/>
          <w:highlight w:val="none"/>
          <w:lang w:val="en-US"/>
        </w:rPr>
      </w:pPr>
      <w:bookmarkStart w:id="116" w:name="_Toc2741"/>
      <w:bookmarkStart w:id="117" w:name="_Toc132742543"/>
      <w:r>
        <w:rPr>
          <w:rFonts w:hint="eastAsia"/>
          <w:highlight w:val="none"/>
          <w:lang w:val="en-US"/>
        </w:rPr>
        <w:t>“焦修博武”一体化协调规划</w:t>
      </w:r>
      <w:bookmarkEnd w:id="116"/>
      <w:bookmarkEnd w:id="117"/>
    </w:p>
    <w:p w14:paraId="764E4CB1">
      <w:pPr>
        <w:bidi w:val="0"/>
        <w:outlineLvl w:val="3"/>
        <w:rPr>
          <w:rFonts w:hint="eastAsia"/>
          <w:b w:val="0"/>
          <w:bCs w:val="0"/>
          <w:highlight w:val="none"/>
        </w:rPr>
      </w:pPr>
      <w:r>
        <w:rPr>
          <w:rFonts w:hint="eastAsia"/>
          <w:b w:val="0"/>
          <w:bCs w:val="0"/>
          <w:highlight w:val="none"/>
        </w:rPr>
        <w:t>1.区域城镇群层面</w:t>
      </w:r>
    </w:p>
    <w:p w14:paraId="50638E75">
      <w:pPr>
        <w:bidi w:val="0"/>
        <w:rPr>
          <w:rFonts w:hint="eastAsia"/>
          <w:b w:val="0"/>
          <w:bCs w:val="0"/>
          <w:highlight w:val="none"/>
        </w:rPr>
      </w:pPr>
      <w:r>
        <w:rPr>
          <w:rFonts w:hint="eastAsia"/>
          <w:b w:val="0"/>
          <w:bCs w:val="0"/>
          <w:highlight w:val="none"/>
        </w:rPr>
        <w:t>将“焦修博武”一体化发展作为空间要素保障的最主要战略任务，并通过“焦修博武”一体化主动融入郑州都市圈。与周边洛阳、太原城市群等作为城镇群区域协作重要内容，在基础设施统建、产业集群发展、产业链条构建、文化生态旅游、生态环境共育方面积极应对。</w:t>
      </w:r>
    </w:p>
    <w:p w14:paraId="2E1C94C4">
      <w:pPr>
        <w:bidi w:val="0"/>
        <w:outlineLvl w:val="3"/>
        <w:rPr>
          <w:rFonts w:hint="eastAsia"/>
          <w:b w:val="0"/>
          <w:bCs w:val="0"/>
          <w:highlight w:val="none"/>
        </w:rPr>
      </w:pPr>
      <w:r>
        <w:rPr>
          <w:rFonts w:hint="eastAsia"/>
          <w:b w:val="0"/>
          <w:bCs w:val="0"/>
          <w:highlight w:val="none"/>
        </w:rPr>
        <w:t>2.焦作市县区与博爱县层面</w:t>
      </w:r>
    </w:p>
    <w:p w14:paraId="0753DA4E">
      <w:pPr>
        <w:bidi w:val="0"/>
        <w:rPr>
          <w:rFonts w:hint="eastAsia"/>
          <w:b w:val="0"/>
          <w:bCs w:val="0"/>
          <w:highlight w:val="none"/>
        </w:rPr>
      </w:pPr>
      <w:r>
        <w:rPr>
          <w:rFonts w:hint="eastAsia"/>
          <w:b w:val="0"/>
          <w:bCs w:val="0"/>
          <w:highlight w:val="none"/>
        </w:rPr>
        <w:t>产业方面：加强与周边县市区的产业交流与合作。博爱经开区与焦作经开区西部园区仅一河之隔，可与之建立合作伙伴关系，产业互补发展，如同一产业链，涉化工环节布置在焦作经开区西部园区，非化工环节布置在博爱经开区，实现产业链的完整发展。加强与焦作高新区和郑州高新区的产业合作，借助高新区的科研力量，促进博爱经开区的产业转型升级发展。深度融入郑州都市圈产业发展格局，促进博爱开发区与郑州、洛阳产业协同发展，与周边县市产业错位发展，形成优势互补、产业融合、发展互促的产业发展格局。利用自身独特的发展优势，积极承接大都市圈产业转移，在区域产业链中占据重要环节。</w:t>
      </w:r>
    </w:p>
    <w:p w14:paraId="7836AFA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交通方面：推进博爱县与焦作市中心城区连接通道建设，提升公铁客货运基础设施的多式联运便捷程度，实现设施共享。高速公路方面，包括现状菏宝高速、焦桐高速、晋新高速、规划沿太行高速等。铁路方面，包括现状郑太高铁、焦枝铁路、焦柳铁路，以及远景规划云台山至神农山旅游线、焦作市域环线；保留现状焦作西站高铁站、月山站、柏山站等货运站，规划在发展大道与团结路设远景焦作市域环线博爱站。公路方面，提升现状S307（焦克路）、人民路、发展大道与中山路、规划世纪大道向东连接焦作市，提升南北向现状G207的贯通连接作用。</w:t>
      </w:r>
    </w:p>
    <w:p w14:paraId="1B8E022D">
      <w:pPr>
        <w:bidi w:val="0"/>
        <w:rPr>
          <w:rFonts w:hint="eastAsia" w:ascii="仿宋_GB2312" w:hAnsi="仿宋_GB2312" w:eastAsia="仿宋_GB2312" w:cs="仿宋_GB2312"/>
          <w:b w:val="0"/>
          <w:bCs w:val="0"/>
          <w:color w:val="auto"/>
          <w:szCs w:val="32"/>
          <w:highlight w:val="none"/>
        </w:rPr>
      </w:pPr>
      <w:r>
        <w:rPr>
          <w:rFonts w:hint="eastAsia"/>
          <w:b w:val="0"/>
          <w:bCs w:val="0"/>
          <w:highlight w:val="none"/>
        </w:rPr>
        <w:t>基础设施方面：积极开展电力、燃气、垃圾处理等方面进一步的共建共享。</w:t>
      </w:r>
    </w:p>
    <w:p w14:paraId="57BD7F9D">
      <w:pPr>
        <w:pStyle w:val="23"/>
        <w:numPr>
          <w:ilvl w:val="0"/>
          <w:numId w:val="3"/>
        </w:numPr>
        <w:bidi w:val="0"/>
        <w:ind w:left="0" w:leftChars="0" w:firstLine="612" w:firstLineChars="0"/>
        <w:outlineLvl w:val="2"/>
        <w:rPr>
          <w:rFonts w:hint="eastAsia"/>
          <w:highlight w:val="none"/>
          <w:lang w:val="en-US"/>
        </w:rPr>
      </w:pPr>
      <w:bookmarkStart w:id="118" w:name="_Toc972"/>
      <w:r>
        <w:rPr>
          <w:rFonts w:hint="eastAsia"/>
          <w:highlight w:val="none"/>
          <w:lang w:val="en-US"/>
        </w:rPr>
        <w:t>周边县（市、区）协调</w:t>
      </w:r>
      <w:bookmarkEnd w:id="118"/>
    </w:p>
    <w:p w14:paraId="64E1E530">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生态保护方面，主要与东部中站区、山阳区、北部晋城市辖区、南部温县、西部沁阳市，在大沙河、南水北调干渠、丹河、沁河等河流，以及地表水、地下水和区域调水工程，建立区域水环境保护合作机制。在水质、水资源、水位、排污、农田等水利工程方面共治共享。其次，建立区域大气污染防治合作机制，采取措施削减大气污染物排放量，提升区域环境质量。</w:t>
      </w:r>
    </w:p>
    <w:p w14:paraId="0CDCBD3A">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产业发展和文化保护方面，在主导产业门类、制造业集群与产业链打造、重点镇与特色镇规划布局、沿太行生态文化旅游、农业产业园方面做好规划协调。</w:t>
      </w:r>
    </w:p>
    <w:p w14:paraId="268D946D">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基础设施方面，交通上做好沿太行高速、规划月随铁路、规划云台山至神农山旅游线、规划S230、规划S310，向西与沁阳市、向东与焦作市等线路选址和规划建设协调。供电、供热、环卫设施做好统建共享。</w:t>
      </w:r>
    </w:p>
    <w:p w14:paraId="4362067D">
      <w:pPr>
        <w:bidi w:val="0"/>
        <w:rPr>
          <w:rFonts w:hint="eastAsia"/>
          <w:b w:val="0"/>
          <w:bCs w:val="0"/>
          <w:highlight w:val="none"/>
        </w:rPr>
        <w:sectPr>
          <w:pgSz w:w="11906" w:h="16838"/>
          <w:pgMar w:top="1440" w:right="1797" w:bottom="1440" w:left="1797" w:header="850" w:footer="850" w:gutter="0"/>
          <w:pgNumType w:fmt="decimal"/>
          <w:cols w:space="720" w:num="1"/>
          <w:rtlGutter w:val="0"/>
          <w:docGrid w:type="lines" w:linePitch="436" w:charSpace="0"/>
        </w:sectPr>
      </w:pPr>
      <w:bookmarkStart w:id="119" w:name="_Toc21728"/>
    </w:p>
    <w:p w14:paraId="1AD6FF68">
      <w:pPr>
        <w:pStyle w:val="2"/>
        <w:keepNext/>
        <w:keepLines/>
        <w:pageBreakBefore w:val="0"/>
        <w:widowControl w:val="0"/>
        <w:numPr>
          <w:ilvl w:val="0"/>
          <w:numId w:val="2"/>
        </w:numPr>
        <w:kinsoku/>
        <w:wordWrap/>
        <w:overflowPunct/>
        <w:topLinePunct w:val="0"/>
        <w:autoSpaceDE/>
        <w:autoSpaceDN/>
        <w:bidi w:val="0"/>
        <w:adjustRightInd/>
        <w:snapToGrid/>
        <w:ind w:firstLine="0"/>
        <w:textAlignment w:val="auto"/>
        <w:rPr>
          <w:rFonts w:hint="eastAsia" w:cs="Times New Roman"/>
          <w:highlight w:val="none"/>
          <w:lang w:val="zh-CN" w:eastAsia="zh-CN"/>
        </w:rPr>
      </w:pPr>
      <w:bookmarkStart w:id="120" w:name="_Toc27290"/>
      <w:bookmarkStart w:id="121" w:name="_Toc29114"/>
      <w:r>
        <w:rPr>
          <w:rFonts w:hint="eastAsia" w:cs="Times New Roman"/>
          <w:highlight w:val="none"/>
          <w:lang w:val="zh-CN" w:eastAsia="zh-CN"/>
        </w:rPr>
        <w:t>严格保障农业发展空间，促进乡村振兴</w:t>
      </w:r>
      <w:bookmarkEnd w:id="119"/>
      <w:bookmarkEnd w:id="120"/>
      <w:bookmarkEnd w:id="121"/>
    </w:p>
    <w:p w14:paraId="09AB0637">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22" w:name="_Toc25293"/>
      <w:bookmarkStart w:id="123" w:name="_Toc24943"/>
      <w:r>
        <w:rPr>
          <w:rFonts w:hint="eastAsia" w:cs="Times New Roman"/>
          <w:highlight w:val="none"/>
        </w:rPr>
        <w:t>耕地资源保护与利用</w:t>
      </w:r>
      <w:bookmarkEnd w:id="122"/>
      <w:bookmarkEnd w:id="123"/>
    </w:p>
    <w:p w14:paraId="1AF6DD5D">
      <w:pPr>
        <w:pStyle w:val="23"/>
        <w:numPr>
          <w:ilvl w:val="0"/>
          <w:numId w:val="3"/>
        </w:numPr>
        <w:bidi w:val="0"/>
        <w:ind w:left="0" w:leftChars="0" w:firstLine="612" w:firstLineChars="0"/>
        <w:outlineLvl w:val="2"/>
        <w:rPr>
          <w:rFonts w:hint="eastAsia"/>
          <w:highlight w:val="none"/>
          <w:lang w:val="en-US"/>
        </w:rPr>
      </w:pPr>
      <w:bookmarkStart w:id="124" w:name="_Toc21242"/>
      <w:r>
        <w:rPr>
          <w:rFonts w:hint="eastAsia"/>
          <w:highlight w:val="none"/>
          <w:lang w:val="en-US"/>
        </w:rPr>
        <w:t>压实耕地保护目标责任</w:t>
      </w:r>
      <w:bookmarkEnd w:id="124"/>
    </w:p>
    <w:p w14:paraId="35B09AE2">
      <w:pPr>
        <w:bidi w:val="0"/>
        <w:rPr>
          <w:rFonts w:hint="eastAsia"/>
          <w:b w:val="0"/>
          <w:bCs w:val="0"/>
          <w:highlight w:val="none"/>
        </w:rPr>
      </w:pPr>
      <w:r>
        <w:rPr>
          <w:rFonts w:hint="eastAsia"/>
          <w:b w:val="0"/>
          <w:bCs w:val="0"/>
          <w:highlight w:val="none"/>
        </w:rPr>
        <w:t>严格落实耕地保护目标责任制，将耕地保护目标纳入领导任期考核，落实耕地保护和粮食安全责任制，逐级签订责任书，实行党政同责、终身追责。县域内统筹耕地保有量和永久基本农田保护任务，保证“数量不减少、质量有提升、布局稳定”。强化分类保护与管理，坚决制止耕地“非农化”，防止耕地“非粮化”。</w:t>
      </w:r>
    </w:p>
    <w:p w14:paraId="14B5F360">
      <w:pPr>
        <w:pStyle w:val="23"/>
        <w:numPr>
          <w:ilvl w:val="0"/>
          <w:numId w:val="3"/>
        </w:numPr>
        <w:bidi w:val="0"/>
        <w:ind w:left="0" w:leftChars="0" w:firstLine="612" w:firstLineChars="0"/>
        <w:outlineLvl w:val="2"/>
        <w:rPr>
          <w:rFonts w:hint="eastAsia"/>
          <w:highlight w:val="none"/>
          <w:lang w:val="en-US"/>
        </w:rPr>
      </w:pPr>
      <w:bookmarkStart w:id="125" w:name="_Toc7233"/>
      <w:r>
        <w:rPr>
          <w:rFonts w:hint="eastAsia"/>
          <w:highlight w:val="none"/>
          <w:lang w:val="en-US"/>
        </w:rPr>
        <w:t>稳妥有序推进耕地恢复</w:t>
      </w:r>
      <w:bookmarkEnd w:id="125"/>
    </w:p>
    <w:p w14:paraId="30153219">
      <w:pPr>
        <w:bidi w:val="0"/>
        <w:rPr>
          <w:rFonts w:hint="eastAsia"/>
          <w:b w:val="0"/>
          <w:bCs w:val="0"/>
          <w:highlight w:val="none"/>
        </w:rPr>
      </w:pPr>
      <w:r>
        <w:rPr>
          <w:rFonts w:hint="eastAsia"/>
          <w:b w:val="0"/>
          <w:bCs w:val="0"/>
          <w:highlight w:val="none"/>
        </w:rPr>
        <w:t>在不破坏生态，不影响林地保有量和森林覆盖率目标的前提下，稳妥有序推进耕地恢复。规划期内，依托农用地整理项目实施耕地恢复，通过即可恢复或工程措施逐步增加耕地面积。优先恢复高标准农田建设区和粮食生产功能区范围内及周边零星可恢复地类，破解耕地碎片化、“非粮化”等问题，实现耕地集中连片发展。</w:t>
      </w:r>
    </w:p>
    <w:p w14:paraId="61CBA13D">
      <w:pPr>
        <w:pStyle w:val="23"/>
        <w:numPr>
          <w:ilvl w:val="0"/>
          <w:numId w:val="3"/>
        </w:numPr>
        <w:bidi w:val="0"/>
        <w:ind w:left="0" w:leftChars="0" w:firstLine="612" w:firstLineChars="0"/>
        <w:outlineLvl w:val="2"/>
        <w:rPr>
          <w:rFonts w:hint="eastAsia"/>
          <w:highlight w:val="none"/>
          <w:lang w:val="en-US"/>
        </w:rPr>
      </w:pPr>
      <w:bookmarkStart w:id="126" w:name="_Toc31731"/>
      <w:r>
        <w:rPr>
          <w:rFonts w:hint="eastAsia"/>
          <w:highlight w:val="none"/>
          <w:lang w:val="en-US"/>
        </w:rPr>
        <w:t>落实耕地占补平衡和进出平衡</w:t>
      </w:r>
      <w:bookmarkEnd w:id="126"/>
    </w:p>
    <w:p w14:paraId="5DE00733">
      <w:pPr>
        <w:bidi w:val="0"/>
        <w:rPr>
          <w:rFonts w:hint="eastAsia"/>
          <w:b w:val="0"/>
          <w:bCs w:val="0"/>
          <w:highlight w:val="none"/>
        </w:rPr>
      </w:pPr>
      <w:bookmarkStart w:id="127" w:name="_Toc20343"/>
      <w:r>
        <w:rPr>
          <w:rFonts w:hint="eastAsia"/>
          <w:b w:val="0"/>
          <w:bCs w:val="0"/>
          <w:highlight w:val="none"/>
        </w:rPr>
        <w:t>严格贯彻落实耕地占补平衡。各类非农建设选址布局尽量不占或少占耕地，占用耕地严格落实占补平衡制度，占一补一，占优补优，</w:t>
      </w:r>
      <w:r>
        <w:rPr>
          <w:rFonts w:hint="eastAsia"/>
          <w:b w:val="0"/>
          <w:bCs w:val="0"/>
          <w:highlight w:val="none"/>
          <w:lang w:val="en-US" w:eastAsia="zh-CN"/>
        </w:rPr>
        <w:t>先补后占</w:t>
      </w:r>
      <w:r>
        <w:rPr>
          <w:rFonts w:hint="eastAsia"/>
          <w:b w:val="0"/>
          <w:bCs w:val="0"/>
          <w:highlight w:val="none"/>
        </w:rPr>
        <w:t>，特别是永久基本农田，确需占用的，必须做到补充的耕地数量相等、质量相当、产能不降。实施高标准农田建设涉及新增耕地和产能提升的，由县级农业农村、自然资源主管部门共同认定，按要求逐级报自然资源部备案入库，用于耕地占补平衡。</w:t>
      </w:r>
    </w:p>
    <w:p w14:paraId="356A22D6">
      <w:pPr>
        <w:bidi w:val="0"/>
        <w:rPr>
          <w:rFonts w:hint="eastAsia"/>
          <w:b w:val="0"/>
          <w:bCs w:val="0"/>
          <w:highlight w:val="none"/>
        </w:rPr>
      </w:pPr>
      <w:r>
        <w:rPr>
          <w:rFonts w:hint="eastAsia"/>
          <w:b w:val="0"/>
          <w:bCs w:val="0"/>
          <w:highlight w:val="none"/>
        </w:rPr>
        <w:t>实施耕地年度“进出平衡”。按照年度耕地“先进后出”“进一出一”的方式，优先在已实施高标准农田、已划定粮食生产功能区及确定的粮食主产区的</w:t>
      </w:r>
      <w:r>
        <w:rPr>
          <w:rFonts w:hint="eastAsia"/>
          <w:b w:val="0"/>
          <w:bCs w:val="0"/>
          <w:highlight w:val="none"/>
          <w:lang w:eastAsia="zh-CN"/>
        </w:rPr>
        <w:t>乡（镇）</w:t>
      </w:r>
      <w:r>
        <w:rPr>
          <w:rFonts w:hint="eastAsia"/>
          <w:b w:val="0"/>
          <w:bCs w:val="0"/>
          <w:highlight w:val="none"/>
        </w:rPr>
        <w:t>范围内挑选即可恢复、工程可恢复地类作为耕地“进出平衡”的潜力来源，统筹开展林地、园地等其他农用地及农业设施建设用地整治，补足同等数量、质量的可以长期稳定利用的耕地，实现长期稳定利用耕地不减少。</w:t>
      </w:r>
    </w:p>
    <w:bookmarkEnd w:id="127"/>
    <w:p w14:paraId="0C5537CA">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eastAsia="zh-CN"/>
        </w:rPr>
        <w:t>多渠道补充耕地</w:t>
      </w:r>
    </w:p>
    <w:p w14:paraId="77A51B68">
      <w:pPr>
        <w:bidi w:val="0"/>
        <w:rPr>
          <w:rFonts w:hint="eastAsia"/>
          <w:b w:val="0"/>
          <w:bCs w:val="0"/>
          <w:highlight w:val="none"/>
        </w:rPr>
      </w:pPr>
      <w:r>
        <w:rPr>
          <w:rFonts w:hint="eastAsia"/>
          <w:b w:val="0"/>
          <w:bCs w:val="0"/>
          <w:highlight w:val="none"/>
        </w:rPr>
        <w:t>统筹推进耕地、林地、园地等农用地结构优化和布局调整，促进耕地集中连片。坚持保护优先、生态优先，在对生态环境无破坏或低影响的前提下，因地制宜适度开发耕地后备资源。稳妥有序开展农村宅基地等低效建设用地和工矿废弃地整治，提高用地效益，增加耕地数量。</w:t>
      </w:r>
    </w:p>
    <w:p w14:paraId="1E0457D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b w:val="0"/>
          <w:bCs w:val="0"/>
          <w:highlight w:val="green"/>
          <w:lang w:eastAsia="zh-CN"/>
        </w:rPr>
      </w:pPr>
      <w:r>
        <w:rPr>
          <w:rFonts w:hint="eastAsia" w:ascii="Times New Roman" w:hAnsi="Times New Roman" w:cs="Times New Roman"/>
          <w:b w:val="0"/>
          <w:bCs w:val="0"/>
          <w:highlight w:val="none"/>
        </w:rPr>
        <w:t>把优质耕地划为永久基本农田、高标准农田优先划为永久基本农田、永久基本农田在规划期末要全部建成高标准农田等有关内容，因地制宜考虑补充旱改水、坡改梯、表土剥离</w:t>
      </w:r>
      <w:r>
        <w:rPr>
          <w:rFonts w:hint="eastAsia" w:ascii="Times New Roman" w:hAnsi="Times New Roman" w:cs="Times New Roman"/>
          <w:b w:val="0"/>
          <w:bCs w:val="0"/>
          <w:highlight w:val="none"/>
          <w:lang w:eastAsia="zh-CN"/>
        </w:rPr>
        <w:t>。</w:t>
      </w:r>
    </w:p>
    <w:p w14:paraId="129E2C4B">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rPr>
        <w:t>耕地用途管控</w:t>
      </w:r>
    </w:p>
    <w:p w14:paraId="0006D36A">
      <w:pPr>
        <w:bidi w:val="0"/>
        <w:rPr>
          <w:rFonts w:hint="eastAsia"/>
          <w:b w:val="0"/>
          <w:bCs w:val="0"/>
          <w:highlight w:val="none"/>
        </w:rPr>
      </w:pPr>
      <w:r>
        <w:rPr>
          <w:rFonts w:hint="eastAsia"/>
          <w:b w:val="0"/>
          <w:bCs w:val="0"/>
          <w:highlight w:val="none"/>
        </w:rPr>
        <w:t>落实耕地利用优先序，耕地应当优先用于粮食和棉、油、糖、蔬菜等农产品生产以及饲草饲料生产，永久基本农田重点用于粮食生产，高标准农田原则上全部用于粮食生产。严守永久基本农田保护红线，严禁擅自占用和改变用途。</w:t>
      </w:r>
    </w:p>
    <w:p w14:paraId="38B91CF5">
      <w:pPr>
        <w:bidi w:val="0"/>
        <w:rPr>
          <w:rFonts w:hint="eastAsia" w:ascii="仿宋_GB2312" w:hAnsi="仿宋_GB2312" w:eastAsia="仿宋_GB2312" w:cs="仿宋_GB2312"/>
          <w:b w:val="0"/>
          <w:bCs w:val="0"/>
          <w:color w:val="auto"/>
          <w:szCs w:val="32"/>
          <w:highlight w:val="none"/>
        </w:rPr>
      </w:pPr>
      <w:r>
        <w:rPr>
          <w:rFonts w:hint="eastAsia"/>
          <w:b w:val="0"/>
          <w:bCs w:val="0"/>
          <w:highlight w:val="none"/>
        </w:rPr>
        <w:t>不得在一般耕地上挖湖造景、种植草皮；不得在国家批准的生态退耕规划和计划外擅自扩大退耕还林还草还湿还湖规模；不得违规超标准在铁路、公路等用地红线外，以及河渠两侧、水库周边占用一般耕地建设绿化带</w:t>
      </w:r>
      <w:bookmarkStart w:id="128" w:name="_Toc21409"/>
      <w:bookmarkStart w:id="129" w:name="_Toc30902"/>
      <w:bookmarkStart w:id="130" w:name="_Toc30328"/>
      <w:r>
        <w:rPr>
          <w:rFonts w:hint="eastAsia"/>
          <w:b w:val="0"/>
          <w:bCs w:val="0"/>
          <w:highlight w:val="none"/>
        </w:rPr>
        <w:t>；未经批准不得占用一般耕地实施国土绿化</w:t>
      </w:r>
      <w:bookmarkEnd w:id="128"/>
      <w:bookmarkEnd w:id="129"/>
      <w:bookmarkEnd w:id="130"/>
      <w:r>
        <w:rPr>
          <w:rFonts w:hint="eastAsia"/>
          <w:b w:val="0"/>
          <w:bCs w:val="0"/>
          <w:highlight w:val="none"/>
        </w:rPr>
        <w:t>；未经批准工商企业等社会资本不得将通过流转获得土地经营权的一般耕地转为林地、园地等其他农用地。</w:t>
      </w:r>
    </w:p>
    <w:p w14:paraId="0F6265F9">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rPr>
        <w:t>耕地质量提升和布局优化</w:t>
      </w:r>
    </w:p>
    <w:p w14:paraId="0D657735">
      <w:pPr>
        <w:bidi w:val="0"/>
        <w:rPr>
          <w:rFonts w:hint="eastAsia"/>
          <w:b w:val="0"/>
          <w:bCs w:val="0"/>
          <w:highlight w:val="none"/>
        </w:rPr>
      </w:pPr>
      <w:r>
        <w:rPr>
          <w:rFonts w:hint="eastAsia"/>
          <w:b w:val="0"/>
          <w:bCs w:val="0"/>
          <w:highlight w:val="none"/>
        </w:rPr>
        <w:t>提升耕地质量，大力推进高标准农田建设。提高耕地的综合生产能力。进一步加大对耕地的开发和整理的力度，通过完善农田水利设施、调整灌溉方式、调整种植结构、新建田间道路等工程措施，提高土地产出能力，改善土地生态环境，全面提高耕地的综合生产能力。结合高标准农田建设规划，重点在磨头镇南部、国营博爱农场东部、金城乡中部及孝敬镇北部推进高标准农田建设，县域内永久基本农田全部建成高标准农田。</w:t>
      </w:r>
    </w:p>
    <w:p w14:paraId="262496FA">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优化耕地布局。要将25°以上坡耕地，河道内部、其他湿地两岸不稳定耕地、生态保护红线内影响生态环境等耕地进行调整。实施农用地综合整治，实现耕地集中连片，提高农业生产的规模化水平；改善农田基础设施建设，集中发展特色农业和设施农业，提高农业聚集水平。</w:t>
      </w:r>
    </w:p>
    <w:p w14:paraId="48E509F8">
      <w:pPr>
        <w:pStyle w:val="23"/>
        <w:keepNext w:val="0"/>
        <w:keepLines w:val="0"/>
        <w:pageBreakBefore w:val="0"/>
        <w:widowControl w:val="0"/>
        <w:numPr>
          <w:ilvl w:val="0"/>
          <w:numId w:val="3"/>
        </w:numPr>
        <w:kinsoku/>
        <w:wordWrap/>
        <w:overflowPunct/>
        <w:topLinePunct w:val="0"/>
        <w:autoSpaceDE/>
        <w:autoSpaceDN/>
        <w:bidi w:val="0"/>
        <w:adjustRightInd/>
        <w:snapToGrid/>
        <w:spacing w:line="576" w:lineRule="exact"/>
        <w:ind w:left="0" w:leftChars="0" w:firstLine="612" w:firstLineChars="0"/>
        <w:textAlignment w:val="auto"/>
        <w:outlineLvl w:val="2"/>
        <w:rPr>
          <w:rFonts w:hint="eastAsia"/>
          <w:highlight w:val="none"/>
          <w:lang w:val="en-US"/>
        </w:rPr>
      </w:pPr>
      <w:bookmarkStart w:id="131" w:name="_Toc19855"/>
      <w:r>
        <w:rPr>
          <w:rFonts w:hint="eastAsia"/>
          <w:highlight w:val="none"/>
          <w:lang w:val="en-US"/>
        </w:rPr>
        <w:t>加强永久基本农田储备区建设</w:t>
      </w:r>
      <w:bookmarkEnd w:id="131"/>
    </w:p>
    <w:p w14:paraId="54CB4067">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严格执行永久基本农田特殊管护政策，推进永久基本农田补建结合。划定永久基本农田储备区，将通过高标准农田建设和土地综合整治等途径形成的可长期稳定利用的优质耕地，优先划入永久基本农田储备库。</w:t>
      </w:r>
    </w:p>
    <w:p w14:paraId="4E47A6B2">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32" w:name="_Toc32089"/>
      <w:bookmarkStart w:id="133" w:name="_Toc14348"/>
      <w:r>
        <w:rPr>
          <w:rFonts w:hint="eastAsia" w:cs="Times New Roman"/>
          <w:highlight w:val="none"/>
        </w:rPr>
        <w:t>农业生产空间格局</w:t>
      </w:r>
      <w:bookmarkEnd w:id="132"/>
      <w:bookmarkEnd w:id="133"/>
    </w:p>
    <w:p w14:paraId="0BFCDFB7">
      <w:pPr>
        <w:pStyle w:val="23"/>
        <w:numPr>
          <w:ilvl w:val="0"/>
          <w:numId w:val="3"/>
        </w:numPr>
        <w:bidi w:val="0"/>
        <w:ind w:left="0" w:leftChars="0" w:firstLine="612" w:firstLineChars="0"/>
        <w:outlineLvl w:val="2"/>
        <w:rPr>
          <w:rFonts w:hint="eastAsia"/>
          <w:highlight w:val="none"/>
          <w:lang w:val="en-US"/>
        </w:rPr>
      </w:pPr>
      <w:bookmarkStart w:id="134" w:name="_Toc7735"/>
      <w:r>
        <w:rPr>
          <w:rFonts w:hint="eastAsia"/>
          <w:highlight w:val="none"/>
          <w:lang w:val="en-US"/>
        </w:rPr>
        <w:t>打造“三区多点”的农业空间格局</w:t>
      </w:r>
      <w:bookmarkEnd w:id="134"/>
    </w:p>
    <w:p w14:paraId="6CBB80BF">
      <w:pPr>
        <w:bidi w:val="0"/>
        <w:rPr>
          <w:rFonts w:hint="eastAsia"/>
          <w:b w:val="0"/>
          <w:bCs w:val="0"/>
          <w:highlight w:val="none"/>
        </w:rPr>
      </w:pPr>
      <w:r>
        <w:rPr>
          <w:rFonts w:hint="eastAsia"/>
          <w:b w:val="0"/>
          <w:bCs w:val="0"/>
          <w:highlight w:val="none"/>
        </w:rPr>
        <w:t>以永久基本农田、粮食生产功能区、重要农产品生产保护区为基础，结合县域农业产业发展形态及特色农业点状分布特征，打造北部山区生态农业区、中部浅山特色农业区、南部平原高效农业区。引导特色农业产业布局，提高就近粮食保障能力和蔬菜自给率。</w:t>
      </w:r>
    </w:p>
    <w:p w14:paraId="661CD532">
      <w:pPr>
        <w:pStyle w:val="23"/>
        <w:numPr>
          <w:ilvl w:val="0"/>
          <w:numId w:val="3"/>
        </w:numPr>
        <w:bidi w:val="0"/>
        <w:ind w:left="0" w:leftChars="0" w:firstLine="612" w:firstLineChars="0"/>
        <w:outlineLvl w:val="2"/>
        <w:rPr>
          <w:rFonts w:hint="eastAsia"/>
          <w:highlight w:val="none"/>
          <w:lang w:val="en-US"/>
        </w:rPr>
      </w:pPr>
      <w:bookmarkStart w:id="135" w:name="_Toc16126"/>
      <w:r>
        <w:rPr>
          <w:rFonts w:hint="eastAsia"/>
          <w:highlight w:val="none"/>
          <w:lang w:val="en-US"/>
        </w:rPr>
        <w:t>优势特色农业布局</w:t>
      </w:r>
      <w:bookmarkEnd w:id="135"/>
    </w:p>
    <w:p w14:paraId="5C305B2B">
      <w:pPr>
        <w:bidi w:val="0"/>
        <w:rPr>
          <w:rFonts w:hint="eastAsia"/>
          <w:b w:val="0"/>
          <w:bCs w:val="0"/>
          <w:highlight w:val="none"/>
        </w:rPr>
      </w:pPr>
      <w:r>
        <w:rPr>
          <w:rFonts w:hint="eastAsia"/>
          <w:b w:val="0"/>
          <w:bCs w:val="0"/>
          <w:highlight w:val="none"/>
        </w:rPr>
        <w:t>以质量兴农品牌强农为战略导向，壮大特色农业发展，塑造博爱农业竞争新优势。</w:t>
      </w:r>
    </w:p>
    <w:p w14:paraId="74093D31">
      <w:pPr>
        <w:bidi w:val="0"/>
        <w:rPr>
          <w:rFonts w:hint="eastAsia"/>
          <w:b w:val="0"/>
          <w:bCs w:val="0"/>
          <w:highlight w:val="none"/>
        </w:rPr>
      </w:pPr>
      <w:r>
        <w:rPr>
          <w:rFonts w:hint="eastAsia"/>
          <w:b w:val="0"/>
          <w:bCs w:val="0"/>
          <w:highlight w:val="none"/>
        </w:rPr>
        <w:t>特色农产品优势区：主要集中在许良镇、磨头镇、孝敬镇。主要种植蔬菜、怀姜特色农产品，发展许良竹林经济，“两牛”特色产业；为焦作市区和博爱县中心城区提供蔬菜、肉类、乳制品等，提高就近自给率。</w:t>
      </w:r>
    </w:p>
    <w:p w14:paraId="2D73B0B2">
      <w:pPr>
        <w:bidi w:val="0"/>
        <w:rPr>
          <w:rFonts w:hint="eastAsia" w:ascii="仿宋_GB2312" w:hAnsi="仿宋_GB2312" w:eastAsia="仿宋_GB2312" w:cs="仿宋_GB2312"/>
          <w:b w:val="0"/>
          <w:bCs w:val="0"/>
          <w:color w:val="auto"/>
          <w:szCs w:val="32"/>
          <w:highlight w:val="none"/>
        </w:rPr>
      </w:pPr>
      <w:r>
        <w:rPr>
          <w:rFonts w:hint="eastAsia"/>
          <w:b w:val="0"/>
          <w:bCs w:val="0"/>
          <w:highlight w:val="none"/>
        </w:rPr>
        <w:t>重要农产品生产保护区：主要是“小麦+大豆复种区”，总面积636.13公顷，全部位于国营博爱农场内。</w:t>
      </w:r>
    </w:p>
    <w:p w14:paraId="489FFFD5">
      <w:pPr>
        <w:pStyle w:val="23"/>
        <w:numPr>
          <w:ilvl w:val="0"/>
          <w:numId w:val="3"/>
        </w:numPr>
        <w:bidi w:val="0"/>
        <w:ind w:left="0" w:leftChars="0" w:firstLine="612" w:firstLineChars="0"/>
        <w:outlineLvl w:val="2"/>
        <w:rPr>
          <w:rFonts w:hint="eastAsia"/>
          <w:highlight w:val="none"/>
          <w:lang w:val="en-US"/>
        </w:rPr>
      </w:pPr>
      <w:bookmarkStart w:id="136" w:name="_Toc22087"/>
      <w:r>
        <w:rPr>
          <w:rFonts w:hint="eastAsia"/>
          <w:highlight w:val="none"/>
          <w:lang w:val="en-US"/>
        </w:rPr>
        <w:t>农业基地及特色园区建设</w:t>
      </w:r>
      <w:bookmarkEnd w:id="136"/>
    </w:p>
    <w:p w14:paraId="2AB90B0C">
      <w:pPr>
        <w:bidi w:val="0"/>
        <w:rPr>
          <w:rFonts w:hint="eastAsia"/>
          <w:b w:val="0"/>
          <w:bCs w:val="0"/>
          <w:highlight w:val="none"/>
        </w:rPr>
      </w:pPr>
      <w:r>
        <w:rPr>
          <w:rFonts w:hint="eastAsia"/>
          <w:b w:val="0"/>
          <w:bCs w:val="0"/>
          <w:highlight w:val="none"/>
        </w:rPr>
        <w:t>支持特色优势农业基地建设。以农业产业化龙头企业带动优质农产品种养基地的壮大。以孝敬镇、金城乡为重点，大力发展绿色、有机蔬菜，打造优质蔬菜基地。依托怀姜园、禄满园等怀姜加工企业，在月山镇、柏山镇、金城乡等</w:t>
      </w:r>
      <w:r>
        <w:rPr>
          <w:rFonts w:hint="eastAsia"/>
          <w:b w:val="0"/>
          <w:bCs w:val="0"/>
          <w:highlight w:val="none"/>
          <w:lang w:eastAsia="zh-CN"/>
        </w:rPr>
        <w:t>乡（镇）</w:t>
      </w:r>
      <w:r>
        <w:rPr>
          <w:rFonts w:hint="eastAsia"/>
          <w:b w:val="0"/>
          <w:bCs w:val="0"/>
          <w:highlight w:val="none"/>
        </w:rPr>
        <w:t>建立规模化怀姜种植示范基地。以寨豁乡、柏山镇为重点，大力发展樱桃、核桃、冬桃、冬枣、柿子、葡萄等特色优质林果，打造寨豁乡冬桃产业园一体化示范区。</w:t>
      </w:r>
    </w:p>
    <w:p w14:paraId="08C80BA2">
      <w:pPr>
        <w:keepNext w:val="0"/>
        <w:keepLines w:val="0"/>
        <w:pageBreakBefore w:val="0"/>
        <w:widowControl w:val="0"/>
        <w:kinsoku/>
        <w:wordWrap/>
        <w:overflowPunct/>
        <w:topLinePunct w:val="0"/>
        <w:autoSpaceDE/>
        <w:autoSpaceDN/>
        <w:bidi w:val="0"/>
        <w:adjustRightInd/>
        <w:snapToGrid/>
        <w:spacing w:line="500" w:lineRule="exact"/>
        <w:textAlignment w:val="auto"/>
        <w:rPr>
          <w:b w:val="0"/>
          <w:bCs w:val="0"/>
          <w:highlight w:val="none"/>
        </w:rPr>
      </w:pPr>
      <w:r>
        <w:rPr>
          <w:rFonts w:hint="eastAsia"/>
          <w:b w:val="0"/>
          <w:bCs w:val="0"/>
          <w:highlight w:val="none"/>
        </w:rPr>
        <w:t>促进畜牧业空间优化集约发展。在避让永久基本农田、自然保护地、饮用水水源保护区、城市建成区等人口集中区域的前提下，合理保障畜禽养殖用地。发挥产业优势,扩大优势畜产品的规模,提高产业综合竞争力。依托伊赛公司、博农乳业，建好肉牛、奶牛产业园区。</w:t>
      </w:r>
    </w:p>
    <w:p w14:paraId="724E9F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b w:val="0"/>
          <w:bCs w:val="0"/>
          <w:highlight w:val="none"/>
        </w:rPr>
      </w:pPr>
      <w:r>
        <w:rPr>
          <w:rFonts w:hint="eastAsia"/>
          <w:b w:val="0"/>
          <w:bCs w:val="0"/>
          <w:highlight w:val="none"/>
        </w:rPr>
        <w:t>博爱县现代农业产业园正处于初创阶段，规划期内，高质量建设实施国家级产业强镇项目和省级肉牛蔬菜循环产业园项目，争取创建市级蔬菜产业园和两牛产业园，培育寨豁乡林果产业园。</w:t>
      </w:r>
    </w:p>
    <w:p w14:paraId="42FE1A7B">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37" w:name="_Toc30959"/>
      <w:bookmarkStart w:id="138" w:name="_Toc2369"/>
      <w:r>
        <w:rPr>
          <w:rFonts w:hint="eastAsia" w:cs="Times New Roman"/>
          <w:highlight w:val="none"/>
        </w:rPr>
        <w:t>乡村振兴</w:t>
      </w:r>
      <w:bookmarkEnd w:id="137"/>
      <w:bookmarkEnd w:id="138"/>
    </w:p>
    <w:p w14:paraId="05347ECE">
      <w:pPr>
        <w:pStyle w:val="23"/>
        <w:numPr>
          <w:ilvl w:val="0"/>
          <w:numId w:val="3"/>
        </w:numPr>
        <w:bidi w:val="0"/>
        <w:ind w:left="0" w:leftChars="0" w:firstLine="612" w:firstLineChars="0"/>
        <w:outlineLvl w:val="2"/>
        <w:rPr>
          <w:rFonts w:hint="eastAsia"/>
          <w:highlight w:val="none"/>
          <w:lang w:val="en-US"/>
        </w:rPr>
      </w:pPr>
      <w:bookmarkStart w:id="139" w:name="_Toc5312"/>
      <w:r>
        <w:rPr>
          <w:rFonts w:hint="eastAsia"/>
          <w:highlight w:val="none"/>
          <w:lang w:val="en-US"/>
        </w:rPr>
        <w:t>乡村特色产业发展及用地保障</w:t>
      </w:r>
      <w:bookmarkEnd w:id="139"/>
    </w:p>
    <w:p w14:paraId="1404EE47">
      <w:pPr>
        <w:bidi w:val="0"/>
        <w:rPr>
          <w:rFonts w:hint="eastAsia"/>
          <w:b w:val="0"/>
          <w:bCs w:val="0"/>
          <w:highlight w:val="none"/>
        </w:rPr>
      </w:pPr>
      <w:r>
        <w:rPr>
          <w:rFonts w:hint="eastAsia"/>
          <w:b w:val="0"/>
          <w:bCs w:val="0"/>
          <w:highlight w:val="none"/>
        </w:rPr>
        <w:t>保障乡村合理产业发展用地。完善农村新增建设用地保障机制，制定乡村产业发展用地政策，县、乡级统筹安排不少于10%的建设用地指标，重点保障乡村产业发展用地，其中预留不低于5%的建设用地机动指标，优先用于保障难以确定选址的农村一二三产业融合发展项目建设。</w:t>
      </w:r>
    </w:p>
    <w:p w14:paraId="18F63A49">
      <w:pPr>
        <w:bidi w:val="0"/>
        <w:rPr>
          <w:rFonts w:hint="eastAsia"/>
          <w:b w:val="0"/>
          <w:bCs w:val="0"/>
          <w:highlight w:val="none"/>
        </w:rPr>
      </w:pPr>
      <w:r>
        <w:rPr>
          <w:rFonts w:hint="eastAsia"/>
          <w:b w:val="0"/>
          <w:bCs w:val="0"/>
          <w:highlight w:val="none"/>
        </w:rPr>
        <w:t>创新集体经营性建设用地利用模式。推进集体经营性建设用地入市改革，鼓励农村集体建设用地通过入股、租用等方式直接用于发展乡村产业。通过村庄整治、土地整理等方式节余的用地，优先用于发展乡村产业项目。</w:t>
      </w:r>
    </w:p>
    <w:p w14:paraId="28D64B2B">
      <w:pPr>
        <w:bidi w:val="0"/>
        <w:rPr>
          <w:rFonts w:hint="eastAsia" w:ascii="仿宋_GB2312" w:hAnsi="仿宋_GB2312" w:eastAsia="仿宋_GB2312" w:cs="仿宋_GB2312"/>
          <w:b w:val="0"/>
          <w:bCs w:val="0"/>
          <w:color w:val="auto"/>
          <w:sz w:val="32"/>
          <w:szCs w:val="32"/>
          <w:highlight w:val="none"/>
        </w:rPr>
      </w:pPr>
      <w:r>
        <w:rPr>
          <w:rFonts w:hint="eastAsia"/>
          <w:b w:val="0"/>
          <w:bCs w:val="0"/>
          <w:highlight w:val="none"/>
        </w:rPr>
        <w:t>探索农村宅基地改革路径。规范开展“房地一体”的宅基地确权登记，明确宅基地集体所有权，保障宅基地农户资格权和农民房屋财产权，适度放活宅基地和农民房屋使用权，探索宅基地资源有偿退出新机制。</w:t>
      </w:r>
    </w:p>
    <w:p w14:paraId="5FC2671F">
      <w:pPr>
        <w:pStyle w:val="23"/>
        <w:numPr>
          <w:ilvl w:val="0"/>
          <w:numId w:val="3"/>
        </w:numPr>
        <w:bidi w:val="0"/>
        <w:ind w:left="0" w:leftChars="0" w:firstLine="612" w:firstLineChars="0"/>
        <w:outlineLvl w:val="2"/>
        <w:rPr>
          <w:rFonts w:hint="eastAsia"/>
          <w:highlight w:val="none"/>
          <w:lang w:val="en-US"/>
        </w:rPr>
      </w:pPr>
      <w:bookmarkStart w:id="140" w:name="_Toc6192"/>
      <w:r>
        <w:rPr>
          <w:rFonts w:hint="eastAsia"/>
          <w:highlight w:val="none"/>
          <w:lang w:val="en-US"/>
        </w:rPr>
        <w:t>村庄分类及布局</w:t>
      </w:r>
      <w:bookmarkEnd w:id="140"/>
    </w:p>
    <w:p w14:paraId="7B35627A">
      <w:pPr>
        <w:bidi w:val="0"/>
        <w:rPr>
          <w:rFonts w:hint="eastAsia"/>
          <w:b w:val="0"/>
          <w:bCs w:val="0"/>
          <w:highlight w:val="none"/>
        </w:rPr>
      </w:pPr>
      <w:r>
        <w:rPr>
          <w:rFonts w:hint="eastAsia"/>
          <w:b w:val="0"/>
          <w:bCs w:val="0"/>
          <w:highlight w:val="none"/>
        </w:rPr>
        <w:t>充分考虑村庄现状、区位、交通、资源禀赋、产业等因素，以保护优先，分区分类为基本原则，规划将博爱县204个行政村分为4类：城郊融合类、集聚提升类、特色保护类和整治改善类。</w:t>
      </w:r>
    </w:p>
    <w:p w14:paraId="61727C64">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城郊融合类村庄77个。建立城乡统一的规划管理体制；现状城中村的改造建设按照城市规划的标准执行；未来城中村采取“一体化规划”先行的策略；改革现行城中村的体制及户籍管理制度；调整土地政策，完善集体土地向国有土地转换的流转机制；改善城中村市政公用设施和公共服务设施；构建城乡社会保障一体化机制。</w:t>
      </w:r>
    </w:p>
    <w:p w14:paraId="6EEB98C7">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集聚提升类村庄63个。优化中心村功能布局，以综合配套提升为主。推动村庄产业发展，完善公共服务配套设施和市政基础设施。积极推进旧村的改造和整治，合理延续原有村庄的空间格局。</w:t>
      </w:r>
    </w:p>
    <w:p w14:paraId="48B0E13A">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特色保护类村庄18个。划定科学合理的保护范围，构建分级、分层次的保护体系。注重整体空间形态保护及生产生活方式延续，合理利用优势特色资源。</w:t>
      </w:r>
    </w:p>
    <w:p w14:paraId="73707895">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整治改善类村庄44个。合理利用村庄现有基础以改善村民生活居住环境为目的，注重基础设施和社会公共服务设施的配建。旧区改造应重视保护和利用历史文化资源，加强村庄绿化和环境整治全面提高村庄人居环境质量。</w:t>
      </w:r>
    </w:p>
    <w:p w14:paraId="0F16F3FC">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位于</w:t>
      </w:r>
      <w:r>
        <w:rPr>
          <w:rFonts w:hint="eastAsia"/>
          <w:b w:val="0"/>
          <w:bCs w:val="0"/>
          <w:highlight w:val="none"/>
          <w:lang w:eastAsia="zh-CN"/>
        </w:rPr>
        <w:t>乡（镇）</w:t>
      </w:r>
      <w:r>
        <w:rPr>
          <w:rFonts w:hint="eastAsia"/>
          <w:b w:val="0"/>
          <w:bCs w:val="0"/>
          <w:highlight w:val="none"/>
        </w:rPr>
        <w:t>政府驻地无需分类村庄2个，寨豁乡寨豁村、金城乡西金城村。</w:t>
      </w:r>
    </w:p>
    <w:p w14:paraId="00F7D111">
      <w:pPr>
        <w:pStyle w:val="23"/>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12" w:firstLineChars="0"/>
        <w:textAlignment w:val="auto"/>
        <w:outlineLvl w:val="2"/>
        <w:rPr>
          <w:rFonts w:hint="eastAsia"/>
          <w:highlight w:val="none"/>
          <w:lang w:val="en-US"/>
        </w:rPr>
      </w:pPr>
      <w:bookmarkStart w:id="141" w:name="_Toc26818"/>
      <w:r>
        <w:rPr>
          <w:rFonts w:hint="eastAsia"/>
          <w:highlight w:val="none"/>
          <w:lang w:val="en-US"/>
        </w:rPr>
        <w:t>宜居宜业美丽乡村建设</w:t>
      </w:r>
      <w:bookmarkEnd w:id="141"/>
    </w:p>
    <w:p w14:paraId="056E64AE">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推进农村危房改造、提升农房建设质量，因地制宜推进农村厕所革命、生活垃圾处理、生活污水治理，逐步改善农村交通、水利、能源、电力、电信等基础设施条件，加快补齐农村教育、医疗卫生、社会保障、养老、文化体育等公共服务短板，提高服务能力和现代化水平。深入推进村庄绿化亮化美化工程，统筹兼顾农村环境整治和田园风貌保护，综合提升田水路林村风貌，打造宜居宜业和美乡村。</w:t>
      </w:r>
    </w:p>
    <w:p w14:paraId="1D00EEF5">
      <w:pPr>
        <w:pStyle w:val="3"/>
        <w:keepNext/>
        <w:keepLines/>
        <w:pageBreakBefore w:val="0"/>
        <w:widowControl w:val="0"/>
        <w:numPr>
          <w:ilvl w:val="1"/>
          <w:numId w:val="2"/>
        </w:numPr>
        <w:kinsoku/>
        <w:wordWrap/>
        <w:overflowPunct/>
        <w:topLinePunct w:val="0"/>
        <w:autoSpaceDE/>
        <w:autoSpaceDN/>
        <w:bidi w:val="0"/>
        <w:adjustRightInd/>
        <w:snapToGrid/>
        <w:spacing w:before="190" w:after="190" w:line="572" w:lineRule="exact"/>
        <w:ind w:firstLine="0"/>
        <w:textAlignment w:val="auto"/>
        <w:rPr>
          <w:rFonts w:hint="eastAsia" w:cs="Times New Roman"/>
          <w:highlight w:val="none"/>
        </w:rPr>
      </w:pPr>
      <w:bookmarkStart w:id="142" w:name="_Toc9953"/>
      <w:bookmarkStart w:id="143" w:name="_Toc8835"/>
      <w:r>
        <w:rPr>
          <w:rFonts w:hint="eastAsia" w:cs="Times New Roman"/>
          <w:highlight w:val="none"/>
        </w:rPr>
        <w:t>国土综合整治</w:t>
      </w:r>
      <w:bookmarkEnd w:id="142"/>
      <w:bookmarkEnd w:id="143"/>
    </w:p>
    <w:p w14:paraId="1FF32F31">
      <w:pPr>
        <w:pStyle w:val="23"/>
        <w:keepNext w:val="0"/>
        <w:keepLines w:val="0"/>
        <w:pageBreakBefore w:val="0"/>
        <w:widowControl w:val="0"/>
        <w:numPr>
          <w:ilvl w:val="0"/>
          <w:numId w:val="3"/>
        </w:numPr>
        <w:kinsoku/>
        <w:wordWrap/>
        <w:overflowPunct/>
        <w:topLinePunct w:val="0"/>
        <w:autoSpaceDE/>
        <w:autoSpaceDN/>
        <w:bidi w:val="0"/>
        <w:adjustRightInd/>
        <w:snapToGrid/>
        <w:spacing w:line="572" w:lineRule="exact"/>
        <w:ind w:left="0" w:leftChars="0" w:firstLine="612" w:firstLineChars="0"/>
        <w:textAlignment w:val="auto"/>
        <w:outlineLvl w:val="2"/>
        <w:rPr>
          <w:rFonts w:hint="eastAsia"/>
          <w:highlight w:val="none"/>
          <w:lang w:val="en-US"/>
        </w:rPr>
      </w:pPr>
      <w:r>
        <w:rPr>
          <w:rFonts w:hint="eastAsia"/>
          <w:highlight w:val="none"/>
          <w:lang w:val="en-US"/>
        </w:rPr>
        <w:t>国土综合整治目标及策略</w:t>
      </w:r>
    </w:p>
    <w:p w14:paraId="0E970E23">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b w:val="0"/>
          <w:bCs w:val="0"/>
          <w:highlight w:val="none"/>
        </w:rPr>
      </w:pPr>
      <w:r>
        <w:rPr>
          <w:rFonts w:hint="eastAsia"/>
          <w:b w:val="0"/>
          <w:bCs w:val="0"/>
          <w:highlight w:val="none"/>
        </w:rPr>
        <w:t>高标准基本农田建设成效显著，宜耕后备资源开发取得新突破，农村建设用地整治规范有序推进。统筹“山水林田湖草”系统治理，构筑国土生态安全屏障。</w:t>
      </w:r>
    </w:p>
    <w:p w14:paraId="0912E573">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b w:val="0"/>
          <w:bCs w:val="0"/>
          <w:highlight w:val="none"/>
        </w:rPr>
      </w:pPr>
      <w:r>
        <w:rPr>
          <w:rFonts w:hint="eastAsia"/>
          <w:b w:val="0"/>
          <w:bCs w:val="0"/>
          <w:highlight w:val="none"/>
        </w:rPr>
        <w:t>实施藏粮于地战略，大力推进农用地整理。统筹推进园地整理、土地平整和农田水利、田间道路、林网等建设，建设高标准农田，提升耕地集中连片度，增加有效耕地面积，提高农业综合生产能力。</w:t>
      </w:r>
    </w:p>
    <w:p w14:paraId="45A2CA00">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b w:val="0"/>
          <w:bCs w:val="0"/>
          <w:highlight w:val="none"/>
        </w:rPr>
      </w:pPr>
      <w:r>
        <w:rPr>
          <w:rFonts w:hint="eastAsia"/>
          <w:b w:val="0"/>
          <w:bCs w:val="0"/>
          <w:highlight w:val="none"/>
        </w:rPr>
        <w:t>围绕乡村振兴战略，开展农村建设用地整治。对农村地区散乱、废弃、闲置和低效利用的建设用地进行腾退和整治，开展土地复垦，优化农村建设用地布局，完善农村基础设施和公共服务设施，提高农村建设用地节约集约利用水平。</w:t>
      </w:r>
    </w:p>
    <w:p w14:paraId="55F4AB31">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b w:val="0"/>
          <w:bCs w:val="0"/>
          <w:highlight w:val="none"/>
        </w:rPr>
      </w:pPr>
      <w:r>
        <w:rPr>
          <w:rFonts w:hint="eastAsia"/>
          <w:b w:val="0"/>
          <w:bCs w:val="0"/>
          <w:highlight w:val="none"/>
        </w:rPr>
        <w:t>科学合理补充耕地，加强宜耕后备资源开发。开展宜耕后备资源调查评价，把水资源作为重要约束指标，查清宜耕后备资源类型、数量、质量和分布规律。以不造成生态环境影响、不超过水资源承载能力为前提，合理开展宜耕后备资源开发。</w:t>
      </w:r>
    </w:p>
    <w:p w14:paraId="187B1094">
      <w:pPr>
        <w:keepNext w:val="0"/>
        <w:keepLines w:val="0"/>
        <w:pageBreakBefore w:val="0"/>
        <w:widowControl w:val="0"/>
        <w:kinsoku/>
        <w:wordWrap/>
        <w:overflowPunct/>
        <w:topLinePunct w:val="0"/>
        <w:autoSpaceDE/>
        <w:autoSpaceDN/>
        <w:bidi w:val="0"/>
        <w:adjustRightInd/>
        <w:snapToGrid/>
        <w:spacing w:line="572" w:lineRule="exact"/>
        <w:textAlignment w:val="auto"/>
        <w:rPr>
          <w:rFonts w:hint="eastAsia"/>
          <w:b w:val="0"/>
          <w:bCs w:val="0"/>
          <w:highlight w:val="none"/>
        </w:rPr>
      </w:pPr>
      <w:r>
        <w:rPr>
          <w:rFonts w:hint="eastAsia"/>
          <w:b w:val="0"/>
          <w:bCs w:val="0"/>
          <w:highlight w:val="none"/>
        </w:rPr>
        <w:t>大力推进高标准农田建设。规划至2025年，新建高标准农田4</w:t>
      </w:r>
      <w:r>
        <w:rPr>
          <w:rFonts w:hint="eastAsia"/>
          <w:b w:val="0"/>
          <w:bCs w:val="0"/>
          <w:highlight w:val="none"/>
          <w:lang w:val="en-US" w:eastAsia="zh-CN"/>
        </w:rPr>
        <w:t>66.67</w:t>
      </w:r>
      <w:r>
        <w:rPr>
          <w:rFonts w:hint="eastAsia"/>
          <w:b w:val="0"/>
          <w:bCs w:val="0"/>
          <w:highlight w:val="none"/>
        </w:rPr>
        <w:t>公顷；规划至2035年，改造提升高标准农田不低于6</w:t>
      </w:r>
      <w:r>
        <w:rPr>
          <w:rFonts w:hint="eastAsia"/>
          <w:b w:val="0"/>
          <w:bCs w:val="0"/>
          <w:highlight w:val="none"/>
          <w:lang w:val="en-US" w:eastAsia="zh-CN"/>
        </w:rPr>
        <w:t>260</w:t>
      </w:r>
      <w:r>
        <w:rPr>
          <w:rFonts w:hint="eastAsia"/>
          <w:b w:val="0"/>
          <w:bCs w:val="0"/>
          <w:highlight w:val="none"/>
        </w:rPr>
        <w:t>公顷，</w:t>
      </w:r>
      <w:r>
        <w:rPr>
          <w:rFonts w:hint="eastAsia"/>
          <w:b w:val="0"/>
          <w:bCs w:val="0"/>
          <w:highlight w:val="none"/>
          <w:lang w:val="en-US" w:eastAsia="zh-CN"/>
        </w:rPr>
        <w:t>其中十四五期间改造提升不低于4306.67公顷。</w:t>
      </w:r>
      <w:r>
        <w:rPr>
          <w:rFonts w:hint="eastAsia"/>
          <w:b w:val="0"/>
          <w:bCs w:val="0"/>
          <w:highlight w:val="none"/>
        </w:rPr>
        <w:t>县域内永久基本农田全部建成高标准农田。</w:t>
      </w:r>
    </w:p>
    <w:p w14:paraId="6EF46F8B">
      <w:pPr>
        <w:pStyle w:val="23"/>
        <w:numPr>
          <w:ilvl w:val="0"/>
          <w:numId w:val="3"/>
        </w:numPr>
        <w:bidi w:val="0"/>
        <w:ind w:left="0" w:leftChars="0" w:firstLine="612" w:firstLineChars="0"/>
        <w:outlineLvl w:val="2"/>
        <w:rPr>
          <w:rFonts w:hint="eastAsia"/>
          <w:highlight w:val="none"/>
          <w:lang w:val="en-US"/>
        </w:rPr>
      </w:pPr>
      <w:bookmarkStart w:id="144" w:name="_Toc29264"/>
      <w:r>
        <w:rPr>
          <w:rFonts w:hint="eastAsia"/>
          <w:highlight w:val="none"/>
          <w:lang w:val="en-US"/>
        </w:rPr>
        <w:t>重点整治区域</w:t>
      </w:r>
      <w:bookmarkEnd w:id="144"/>
    </w:p>
    <w:p w14:paraId="0AB3CA84">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依据整治潜力及功能主导，划定四大重点整治区：农用地整治区域、农村建设用地整治区域、宜耕后备资源开发区域及高标准农田建设区域。</w:t>
      </w:r>
    </w:p>
    <w:p w14:paraId="44D56E82">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农用地整治重点区域。整治潜力主要分布于寨豁乡、许良镇、月山镇。该区域以不破坏生态、不影响林地保有量和森标覆盖率目标，不涉及生态保护重要区或生态脆弱区等为前提，重点推进园地整理，增加有效耕地面积，改善农业生产条件。</w:t>
      </w:r>
    </w:p>
    <w:p w14:paraId="341BCD4B">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农村建设用地整治重点区域。整治潜力主要分布于磨头镇、孝敬镇、寨豁乡、金城乡，积极推进农村建设用地整治，加快空心村及危旧房改造，完善农村基础设施配套建设；许良镇及月山镇西南部区域积极推进废弃建设用地再利用，对各类工矿废弃用地、建设挖损、塌陷、压占、污染及灾害等损毁土地进行复垦，加强环境综合治理，提高农村建设用地节约集约利用水平。</w:t>
      </w:r>
    </w:p>
    <w:p w14:paraId="7A6D6557">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宜耕后备资源开发重点区域。开发潜力主要分布于鸿昌街道北部浅山区，该区域在不影响生态环境</w:t>
      </w:r>
      <w:r>
        <w:rPr>
          <w:rFonts w:hint="eastAsia"/>
          <w:b w:val="0"/>
          <w:bCs w:val="0"/>
          <w:highlight w:val="none"/>
          <w:lang w:val="en-US" w:eastAsia="zh-CN"/>
        </w:rPr>
        <w:t>保护</w:t>
      </w:r>
      <w:r>
        <w:rPr>
          <w:rFonts w:hint="eastAsia"/>
          <w:b w:val="0"/>
          <w:bCs w:val="0"/>
          <w:highlight w:val="none"/>
        </w:rPr>
        <w:t>的前提下，因地制宜开发后备土地资源，推进后备土地资源高效利用。</w:t>
      </w:r>
    </w:p>
    <w:p w14:paraId="0CF03EB5">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高标准农田建设区域。分布于磨头镇、孝敬镇和金城乡，该区域推进高标准农田提质改造，改造和完善农业配套基础设施，改良土壤，提高耕地质量等级，夯实农业现代化发展基础。</w:t>
      </w:r>
    </w:p>
    <w:p w14:paraId="21DACA0D">
      <w:pPr>
        <w:pStyle w:val="23"/>
        <w:numPr>
          <w:ilvl w:val="0"/>
          <w:numId w:val="3"/>
        </w:numPr>
        <w:bidi w:val="0"/>
        <w:ind w:left="0" w:leftChars="0" w:firstLine="612" w:firstLineChars="0"/>
        <w:outlineLvl w:val="2"/>
        <w:rPr>
          <w:rFonts w:hint="eastAsia"/>
          <w:highlight w:val="none"/>
          <w:lang w:val="en-US"/>
        </w:rPr>
      </w:pPr>
      <w:bookmarkStart w:id="145" w:name="_Toc28809"/>
      <w:r>
        <w:rPr>
          <w:rFonts w:hint="eastAsia"/>
          <w:highlight w:val="none"/>
          <w:lang w:val="en-US"/>
        </w:rPr>
        <w:t>重点整治工程</w:t>
      </w:r>
      <w:bookmarkEnd w:id="145"/>
    </w:p>
    <w:p w14:paraId="7B588FF9">
      <w:pPr>
        <w:bidi w:val="0"/>
        <w:rPr>
          <w:rFonts w:hint="eastAsia"/>
          <w:b w:val="0"/>
          <w:bCs w:val="0"/>
          <w:highlight w:val="none"/>
        </w:rPr>
      </w:pPr>
      <w:r>
        <w:rPr>
          <w:rFonts w:hint="eastAsia"/>
          <w:b w:val="0"/>
          <w:bCs w:val="0"/>
          <w:highlight w:val="none"/>
        </w:rPr>
        <w:t>在国土整治重点区域内，统筹安排国土综合整治重点工程。近期选择潜力集中、整治工作基础好的区域，安排开展4项重点整治工程，远期有序安排国土综合整治项目开展。</w:t>
      </w:r>
    </w:p>
    <w:p w14:paraId="1AAF8692">
      <w:pPr>
        <w:bidi w:val="0"/>
        <w:rPr>
          <w:rFonts w:hint="eastAsia"/>
          <w:b w:val="0"/>
          <w:bCs w:val="0"/>
          <w:highlight w:val="none"/>
        </w:rPr>
      </w:pPr>
      <w:r>
        <w:rPr>
          <w:rFonts w:hint="eastAsia"/>
          <w:b w:val="0"/>
          <w:bCs w:val="0"/>
          <w:highlight w:val="none"/>
        </w:rPr>
        <w:t>高标准农田建设工程。完善田间道路、灌溉与排水、防护林网等基础设施体系，建设高标准农田，提高耕地质量，为推进农业规模化、现代化发展创造条件。分区分类推动高标准农田建设，粮食生产功能区内围绕粮食生产开展耕地质量提升工程，推广有机肥生产机械化技术、深耕深松机械化技术，培肥耕地基础地力；实施宜机化改造，保障耕道、场地等农业机械化基础设施用地，为农业机械化的广泛应用打牢基础。都市休闲农业区内，打造“高标准农田+生态+旅游”的模式，完善道路、通讯、水电等基础设施建设，助力乡村振兴。规划高标准农田位于国营博爱农场、义沟村、邱村、东碑村、王保村等；高标准农田十四五提升项目主要位于南水北调沿线村域、许良镇西南部西庄村、北十字村、小庄村等；高标准农田十五五提升项目主要位于孝敬镇中部坞庄村、界沟村等，磨头镇际东村、际西村、原庄村等，金城乡刘村、张茹集村、张武村等。通过项目实施，耕地质量提升1个等别。规划至2035年，剩余永久基本农田全面建成高标准农田。</w:t>
      </w:r>
    </w:p>
    <w:p w14:paraId="533FA9EA">
      <w:pPr>
        <w:bidi w:val="0"/>
        <w:rPr>
          <w:rFonts w:hint="eastAsia"/>
          <w:b w:val="0"/>
          <w:bCs w:val="0"/>
          <w:highlight w:val="none"/>
        </w:rPr>
      </w:pPr>
      <w:r>
        <w:rPr>
          <w:rFonts w:hint="eastAsia"/>
          <w:b w:val="0"/>
          <w:bCs w:val="0"/>
          <w:highlight w:val="none"/>
        </w:rPr>
        <w:t xml:space="preserve">                                                                                                                                                                                                  </w:t>
      </w:r>
    </w:p>
    <w:p w14:paraId="3D7EBF5E">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农用地整治重点工程。以不破坏生态、不影响林地保有量和森林覆盖率目标、不涉及生态区位重要地区等为前提，统筹推进第三次全国国土调查标注属性为即可恢复、工程恢复的林地、园地、草地以及不再使用的设施农业用地整治。在确保耕地数量有增加、质量有提升、生态有改善的前提下，完善农田基础设施条件，提高耕地质量和连片度，优化耕地和永久基本农田布局。</w:t>
      </w:r>
    </w:p>
    <w:p w14:paraId="6DE446A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农村建设用地整治工程。以农村宅基地、工矿废弃地及其他低效闲置建设用地为重点，有序开展整治，腾退建设用地优先保障农民住房、产业发展、公共服务、基础设施等建设用地需求和复垦增加耕地。整治后节余的增减挂钩指标，优先用于县域范围内农村基础设施和新产业新业态发展用地。</w:t>
      </w:r>
    </w:p>
    <w:p w14:paraId="32B85C9B">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宜耕后备资源开发工程。结合宜耕后备资源调查评价结果，博爱县宜耕后备资源总量28.58公顷。安排1个宜耕后备资源开发项目。鸿昌街道北部浅山区宜耕后备资源开发项目，建设规模11.10公顷，可补充耕地8.88公顷。</w:t>
      </w:r>
    </w:p>
    <w:p w14:paraId="0104646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远期有序安排国土综合整治项目开展，包括：金城乡农用地整治项目，磨头镇农用地整治项目，寨豁乡宜耕工矿废弃地复垦项目。</w:t>
      </w:r>
    </w:p>
    <w:p w14:paraId="56DC0D3D">
      <w:pPr>
        <w:pStyle w:val="2"/>
        <w:keepNext/>
        <w:keepLines/>
        <w:pageBreakBefore w:val="0"/>
        <w:widowControl w:val="0"/>
        <w:numPr>
          <w:ilvl w:val="0"/>
          <w:numId w:val="2"/>
        </w:numPr>
        <w:kinsoku/>
        <w:wordWrap/>
        <w:overflowPunct/>
        <w:topLinePunct w:val="0"/>
        <w:autoSpaceDE/>
        <w:autoSpaceDN/>
        <w:bidi w:val="0"/>
        <w:adjustRightInd/>
        <w:snapToGrid/>
        <w:ind w:firstLine="0"/>
        <w:textAlignment w:val="auto"/>
        <w:rPr>
          <w:rFonts w:hint="eastAsia" w:ascii="黑体" w:hAnsi="黑体" w:eastAsia="黑体" w:cs="黑体"/>
          <w:b/>
          <w:bCs/>
          <w:color w:val="auto"/>
          <w:sz w:val="44"/>
          <w:szCs w:val="44"/>
          <w:highlight w:val="none"/>
        </w:rPr>
      </w:pPr>
      <w:r>
        <w:rPr>
          <w:color w:val="auto"/>
          <w:highlight w:val="none"/>
        </w:rPr>
        <w:br w:type="page"/>
      </w:r>
      <w:bookmarkStart w:id="146" w:name="_Toc16176"/>
      <w:bookmarkStart w:id="147" w:name="_Toc6088"/>
      <w:bookmarkStart w:id="148" w:name="_Toc20188"/>
      <w:r>
        <w:rPr>
          <w:rFonts w:hint="eastAsia" w:cs="Times New Roman"/>
          <w:highlight w:val="none"/>
          <w:lang w:val="zh-CN" w:eastAsia="zh-CN"/>
        </w:rPr>
        <w:t>构筑生态屏障，保障多样化生态空间</w:t>
      </w:r>
      <w:bookmarkEnd w:id="146"/>
      <w:bookmarkEnd w:id="147"/>
      <w:bookmarkEnd w:id="148"/>
    </w:p>
    <w:p w14:paraId="42B87B89">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49" w:name="_Toc17826"/>
      <w:bookmarkStart w:id="150" w:name="_Toc177"/>
      <w:r>
        <w:rPr>
          <w:rFonts w:hint="eastAsia" w:cs="Times New Roman"/>
          <w:highlight w:val="none"/>
        </w:rPr>
        <w:t>构建生态安全格局</w:t>
      </w:r>
      <w:bookmarkEnd w:id="149"/>
      <w:bookmarkEnd w:id="150"/>
    </w:p>
    <w:p w14:paraId="654F29EC">
      <w:pPr>
        <w:pStyle w:val="23"/>
        <w:numPr>
          <w:ilvl w:val="0"/>
          <w:numId w:val="3"/>
        </w:numPr>
        <w:bidi w:val="0"/>
        <w:ind w:left="0" w:leftChars="0" w:firstLine="612" w:firstLineChars="0"/>
        <w:outlineLvl w:val="2"/>
        <w:rPr>
          <w:rFonts w:hint="eastAsia"/>
          <w:highlight w:val="none"/>
          <w:lang w:val="en-US"/>
        </w:rPr>
      </w:pPr>
      <w:bookmarkStart w:id="151" w:name="_Toc22398"/>
      <w:r>
        <w:rPr>
          <w:rFonts w:hint="eastAsia"/>
          <w:highlight w:val="none"/>
          <w:lang w:val="en-US"/>
        </w:rPr>
        <w:t>生态保护空间格局</w:t>
      </w:r>
      <w:bookmarkEnd w:id="151"/>
    </w:p>
    <w:p w14:paraId="64D7825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统筹“山、水、林、田、湖、草”生态资源保护，构建博爱县“三区四带多网”的生态安全格局。加强对重要生态功能区、重要生态涵养带和绿化廊道绿网的保护、修复和建设，提高区域自然山水格局的连续性，维护区域生态系统的平衡与稳定。</w:t>
      </w:r>
    </w:p>
    <w:p w14:paraId="0F01350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“三区”：北部太行山山地生物多样性维护和水源涵养区、中部城镇生态建设区、南部平原农业生态区。</w:t>
      </w:r>
    </w:p>
    <w:p w14:paraId="0DAEA7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“四带”：丹河生态涵养带、沁河生态涵养带、大沙河生态涵养带、南水北调中线干渠生态保护带。</w:t>
      </w:r>
    </w:p>
    <w:p w14:paraId="6FDF66B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yellow"/>
        </w:rPr>
      </w:pPr>
      <w:r>
        <w:rPr>
          <w:rFonts w:hint="eastAsia"/>
          <w:b w:val="0"/>
          <w:bCs w:val="0"/>
          <w:highlight w:val="none"/>
        </w:rPr>
        <w:t>“多网”：由幸福河、勒马河、运粮河、南横河、北横河、南蒋沟、北蒋沟等河道形成的水网；由郑太铁路、焦枝铁路、郑焦快速通道、焦晋高速、长济高速、焦温高速及县域道路网绿化廊道形成的绿网。</w:t>
      </w:r>
    </w:p>
    <w:p w14:paraId="3C9A7648">
      <w:pPr>
        <w:pStyle w:val="23"/>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12" w:firstLineChars="0"/>
        <w:textAlignment w:val="auto"/>
        <w:outlineLvl w:val="2"/>
        <w:rPr>
          <w:rFonts w:hint="eastAsia"/>
          <w:highlight w:val="none"/>
          <w:lang w:val="en-US"/>
        </w:rPr>
      </w:pPr>
      <w:bookmarkStart w:id="152" w:name="_Toc22038"/>
      <w:r>
        <w:rPr>
          <w:rFonts w:hint="eastAsia"/>
          <w:highlight w:val="none"/>
          <w:lang w:val="en-US"/>
        </w:rPr>
        <w:t>重要生态空间管控</w:t>
      </w:r>
      <w:bookmarkEnd w:id="152"/>
    </w:p>
    <w:p w14:paraId="3D79A20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加强重点河湖水域空间保护与岸线管控。加强青天河水库、九渡水库、北山水系等重点水域空间保护。加强丹河、沁河、大沙河等河流水域空间保护，避免骨干河网水系被侵占，保护天然雨洪调蓄行泄空间。建设重点河流生态廊道，依托河流自然形态，充分利用河流周边地带，因地制宜建设亲水生态岸线，推进沿河绿色生态廊道建设。</w:t>
      </w:r>
    </w:p>
    <w:p w14:paraId="2CB42BBD">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强化河湖水域岸线用途管制。严格岸线分区分类管控，管控开发利用强度和方式。优化岸线功能结构，合理控制生产功能岸线比例。严格自然岸线保护，因地制宜改造渠化河道，恢复自然岸线、滩涂和滨水植被群落，推进滨水绿地等生态缓冲带建设，拓展完善行洪、排涝和调蓄空间。</w:t>
      </w:r>
    </w:p>
    <w:p w14:paraId="5B90A176">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促进森林资源保护利用</w:t>
      </w:r>
      <w:r>
        <w:rPr>
          <w:rFonts w:hint="eastAsia"/>
          <w:b w:val="0"/>
          <w:bCs w:val="0"/>
          <w:highlight w:val="none"/>
          <w:lang w:eastAsia="zh-CN"/>
        </w:rPr>
        <w:t>，</w:t>
      </w:r>
      <w:r>
        <w:rPr>
          <w:rFonts w:hint="eastAsia"/>
          <w:b w:val="0"/>
          <w:bCs w:val="0"/>
          <w:highlight w:val="none"/>
        </w:rPr>
        <w:t>优化森林资源用途管制。按照博爱县林地的生态脆弱性、区位重要性、经济重要性等因子，对全县林地实行分级保护，并根据博爱县林地空间特征的实际情况，把林地划分为4个保护等级及相应的保护措施，分别对生态公益林林地和商品林林地提出用途管制措施。加强森林资源保护与开发利用</w:t>
      </w:r>
      <w:r>
        <w:rPr>
          <w:rFonts w:hint="eastAsia"/>
          <w:b w:val="0"/>
          <w:bCs w:val="0"/>
          <w:highlight w:val="none"/>
          <w:lang w:eastAsia="zh-CN"/>
        </w:rPr>
        <w:t>，</w:t>
      </w:r>
      <w:r>
        <w:rPr>
          <w:rFonts w:hint="eastAsia"/>
          <w:b w:val="0"/>
          <w:bCs w:val="0"/>
          <w:highlight w:val="none"/>
        </w:rPr>
        <w:t>实行目标责任制，确保森林逐步增长；加强森林资源的监管，实现森林资源规范化管理；加强林政管理队伍建设，严厉打击破坏森林资源行为；加强森林火灾、病虫害的防控防治，减少森林资源损失。实行区域差别化管理，根据具体情况，针对不同的功能区，提出相应的林地保护利用措施。</w:t>
      </w:r>
    </w:p>
    <w:p w14:paraId="532CDA16">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lang w:val="en-US" w:eastAsia="zh-CN"/>
        </w:rPr>
      </w:pPr>
      <w:r>
        <w:rPr>
          <w:rFonts w:hint="eastAsia"/>
          <w:b w:val="0"/>
          <w:bCs w:val="0"/>
          <w:highlight w:val="none"/>
          <w:lang w:val="en-US" w:eastAsia="zh-CN"/>
        </w:rPr>
        <w:t>加强“三线一单”生态环境分区管控单元管控。优先保护单元、重点管控单元和一般管控单元内的空间布局约束、污染物排放、环境风险防控、资源利用效率要符合《焦作市“三线一单”生态环境准入清单》内的相应管控要求。</w:t>
      </w:r>
    </w:p>
    <w:p w14:paraId="3ABC2BD0">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b w:val="0"/>
          <w:bCs w:val="0"/>
          <w:highlight w:val="none"/>
          <w:lang w:val="en-US" w:eastAsia="zh-CN"/>
        </w:rPr>
      </w:pPr>
      <w:r>
        <w:rPr>
          <w:rFonts w:hint="eastAsia"/>
          <w:b w:val="0"/>
          <w:bCs w:val="0"/>
          <w:highlight w:val="none"/>
          <w:lang w:val="en-US" w:eastAsia="zh-CN"/>
        </w:rPr>
        <w:t>落实</w:t>
      </w:r>
      <w:r>
        <w:rPr>
          <w:rFonts w:hint="default" w:ascii="Times New Roman" w:hAnsi="Times New Roman"/>
          <w:lang w:val="en-US" w:eastAsia="zh-CN"/>
        </w:rPr>
        <w:t>《焦作市国土空间总体规划( 2021</w:t>
      </w:r>
      <w:r>
        <w:rPr>
          <w:rFonts w:hint="eastAsia" w:ascii="仿宋_GB2312" w:hAnsi="仿宋_GB2312" w:eastAsia="仿宋_GB2312" w:cs="仿宋_GB2312"/>
          <w:lang w:val="en-US" w:eastAsia="zh-CN"/>
        </w:rPr>
        <w:t>-</w:t>
      </w:r>
      <w:r>
        <w:rPr>
          <w:rFonts w:hint="default" w:ascii="Times New Roman" w:hAnsi="Times New Roman"/>
          <w:lang w:val="en-US" w:eastAsia="zh-CN"/>
        </w:rPr>
        <w:t>2035年）环境影响说明》</w:t>
      </w:r>
      <w:r>
        <w:rPr>
          <w:rFonts w:hint="eastAsia" w:ascii="Times New Roman" w:hAnsi="Times New Roman"/>
          <w:lang w:val="en-US" w:eastAsia="zh-CN"/>
        </w:rPr>
        <w:t>中</w:t>
      </w:r>
      <w:r>
        <w:rPr>
          <w:rFonts w:hint="eastAsia" w:ascii="Times New Roman" w:hAnsi="Times New Roman" w:cs="Times New Roman"/>
          <w:color w:val="auto"/>
          <w:highlight w:val="none"/>
          <w:lang w:val="en-US" w:eastAsia="zh-CN"/>
        </w:rPr>
        <w:t>各类生态保护措施、分区管控要求以及减缓大气环境、水环境、土壤环境影响和固废环境污染等措施，保证相关</w:t>
      </w:r>
      <w:r>
        <w:rPr>
          <w:rFonts w:hint="default" w:ascii="Times New Roman" w:hAnsi="Times New Roman"/>
          <w:lang w:val="en-US" w:eastAsia="zh-CN"/>
        </w:rPr>
        <w:t>环境目标</w:t>
      </w:r>
      <w:r>
        <w:rPr>
          <w:rFonts w:hint="eastAsia" w:ascii="Times New Roman" w:hAnsi="Times New Roman"/>
          <w:lang w:val="en-US" w:eastAsia="zh-CN"/>
        </w:rPr>
        <w:t>的可达性。</w:t>
      </w:r>
    </w:p>
    <w:p w14:paraId="0D5AF994">
      <w:pPr>
        <w:pStyle w:val="23"/>
        <w:numPr>
          <w:ilvl w:val="0"/>
          <w:numId w:val="3"/>
        </w:numPr>
        <w:bidi w:val="0"/>
        <w:ind w:left="0" w:leftChars="0" w:firstLine="612" w:firstLineChars="0"/>
        <w:outlineLvl w:val="2"/>
        <w:rPr>
          <w:rFonts w:hint="eastAsia"/>
          <w:highlight w:val="none"/>
          <w:lang w:val="en-US"/>
        </w:rPr>
      </w:pPr>
      <w:bookmarkStart w:id="153" w:name="_Toc4738"/>
      <w:r>
        <w:rPr>
          <w:rFonts w:hint="eastAsia"/>
          <w:highlight w:val="none"/>
          <w:lang w:val="en-US"/>
        </w:rPr>
        <w:t>自然保护地体系与生物多样性保护</w:t>
      </w:r>
      <w:bookmarkEnd w:id="153"/>
    </w:p>
    <w:p w14:paraId="5D4E5BF6">
      <w:pPr>
        <w:bidi w:val="0"/>
        <w:rPr>
          <w:rFonts w:hint="eastAsia"/>
          <w:b w:val="0"/>
          <w:bCs w:val="0"/>
          <w:highlight w:val="green"/>
          <w:u w:val="single"/>
        </w:rPr>
      </w:pPr>
      <w:r>
        <w:rPr>
          <w:rFonts w:hint="eastAsia"/>
          <w:b w:val="0"/>
          <w:bCs w:val="0"/>
          <w:highlight w:val="none"/>
        </w:rPr>
        <w:t>构建自然保护地体系。分类有序解决自然保护地各类矛盾冲突和历史遗留问题，构建科学合理、保护有力、管理有效的自然保护地体系。博爱县划定自然保护地面积</w:t>
      </w:r>
      <w:r>
        <w:rPr>
          <w:rFonts w:hint="eastAsia"/>
          <w:b w:val="0"/>
          <w:bCs w:val="0"/>
          <w:highlight w:val="none"/>
          <w:lang w:val="en-US" w:eastAsia="zh-CN"/>
        </w:rPr>
        <w:t>7464.36</w:t>
      </w:r>
      <w:r>
        <w:rPr>
          <w:rFonts w:hint="eastAsia"/>
          <w:b w:val="0"/>
          <w:bCs w:val="0"/>
          <w:highlight w:val="none"/>
        </w:rPr>
        <w:t>公顷，其中，</w:t>
      </w:r>
      <w:r>
        <w:rPr>
          <w:rFonts w:hint="eastAsia"/>
          <w:b w:val="0"/>
          <w:bCs w:val="0"/>
          <w:highlight w:val="none"/>
          <w:u w:val="single"/>
        </w:rPr>
        <w:t>河南太行山猕猴国家级自然保护区2737.06公顷、青天河国家级风景名胜区</w:t>
      </w:r>
      <w:r>
        <w:rPr>
          <w:rFonts w:hint="eastAsia"/>
          <w:b w:val="0"/>
          <w:bCs w:val="0"/>
          <w:highlight w:val="none"/>
          <w:u w:val="single"/>
          <w:lang w:val="en-US" w:eastAsia="zh-CN"/>
        </w:rPr>
        <w:t>4450.05</w:t>
      </w:r>
      <w:r>
        <w:rPr>
          <w:rFonts w:hint="eastAsia"/>
          <w:b w:val="0"/>
          <w:bCs w:val="0"/>
          <w:highlight w:val="none"/>
          <w:u w:val="single"/>
        </w:rPr>
        <w:t>公顷</w:t>
      </w:r>
      <w:r>
        <w:rPr>
          <w:rFonts w:hint="eastAsia"/>
          <w:b w:val="0"/>
          <w:bCs w:val="0"/>
          <w:highlight w:val="none"/>
          <w:u w:val="single"/>
          <w:lang w:eastAsia="zh-CN"/>
        </w:rPr>
        <w:t>、河南博爱幸福河省级湿地公园</w:t>
      </w:r>
      <w:r>
        <w:rPr>
          <w:rFonts w:hint="eastAsia"/>
          <w:b w:val="0"/>
          <w:bCs w:val="0"/>
          <w:highlight w:val="none"/>
          <w:u w:val="single"/>
          <w:lang w:val="en-US" w:eastAsia="zh-CN"/>
        </w:rPr>
        <w:t>101.06公顷</w:t>
      </w:r>
      <w:r>
        <w:rPr>
          <w:rFonts w:hint="eastAsia"/>
          <w:b w:val="0"/>
          <w:bCs w:val="0"/>
          <w:highlight w:val="none"/>
          <w:u w:val="single"/>
        </w:rPr>
        <w:t>。加强自然保护地管控措施。按照自然保护地相关管控要求，实行分区管控。完善自然保护地监管体系，确保重要生态系统、自然景观、生物多样性等得到有效保护。</w:t>
      </w:r>
    </w:p>
    <w:p w14:paraId="6BD42790">
      <w:pPr>
        <w:bidi w:val="0"/>
        <w:rPr>
          <w:rFonts w:hint="eastAsia"/>
          <w:b w:val="0"/>
          <w:bCs w:val="0"/>
          <w:highlight w:val="none"/>
        </w:rPr>
      </w:pPr>
      <w:r>
        <w:rPr>
          <w:rFonts w:hint="eastAsia"/>
          <w:b w:val="0"/>
          <w:bCs w:val="0"/>
          <w:highlight w:val="none"/>
        </w:rPr>
        <w:t>强化生物多样性保护。坚持生态优先、绿色发展，开展生物多样性调查、监测与评估，完善生物多样性保护网络体系，建立健全生物多样性保护的体制机制和法规体系。摸清全域生物多样性底数和现状，确定生物多样性保护重点区域。加大对国家重点保护物种、极小种群和珍稀濒危野生动植物及其栖息地的保护力度；持续构筑水生生物栖息的河流生态廊道。实施对濒危物种和特色物种的保护行动，推进珍稀植物的种群复壮。</w:t>
      </w:r>
    </w:p>
    <w:p w14:paraId="72BE28F1">
      <w:pPr>
        <w:bidi w:val="0"/>
        <w:rPr>
          <w:rFonts w:hint="eastAsia"/>
          <w:b w:val="0"/>
          <w:bCs w:val="0"/>
          <w:highlight w:val="none"/>
        </w:rPr>
      </w:pPr>
    </w:p>
    <w:p w14:paraId="6690C905">
      <w:pPr>
        <w:bidi w:val="0"/>
        <w:rPr>
          <w:rFonts w:hint="eastAsia"/>
          <w:b w:val="0"/>
          <w:bCs w:val="0"/>
          <w:highlight w:val="none"/>
        </w:rPr>
      </w:pPr>
    </w:p>
    <w:p w14:paraId="78E715EE">
      <w:pPr>
        <w:bidi w:val="0"/>
        <w:rPr>
          <w:rFonts w:hint="eastAsia"/>
          <w:b w:val="0"/>
          <w:bCs w:val="0"/>
          <w:highlight w:val="none"/>
        </w:rPr>
      </w:pPr>
    </w:p>
    <w:p w14:paraId="392F2B1C">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54" w:name="_Toc12563"/>
      <w:bookmarkStart w:id="155" w:name="_Toc18589"/>
      <w:r>
        <w:rPr>
          <w:rFonts w:hint="eastAsia" w:cs="Times New Roman"/>
          <w:highlight w:val="none"/>
        </w:rPr>
        <w:t>国土空间生态修复</w:t>
      </w:r>
      <w:bookmarkEnd w:id="154"/>
      <w:bookmarkEnd w:id="155"/>
    </w:p>
    <w:p w14:paraId="4AFCCF69">
      <w:pPr>
        <w:pStyle w:val="23"/>
        <w:numPr>
          <w:ilvl w:val="0"/>
          <w:numId w:val="3"/>
        </w:numPr>
        <w:bidi w:val="0"/>
        <w:ind w:left="0" w:leftChars="0" w:firstLine="612" w:firstLineChars="0"/>
        <w:outlineLvl w:val="2"/>
        <w:rPr>
          <w:rFonts w:hint="eastAsia"/>
          <w:highlight w:val="none"/>
          <w:lang w:val="en-US"/>
        </w:rPr>
      </w:pPr>
      <w:bookmarkStart w:id="156" w:name="_Toc9366"/>
      <w:r>
        <w:rPr>
          <w:rFonts w:hint="eastAsia"/>
          <w:highlight w:val="none"/>
          <w:lang w:val="en-US"/>
        </w:rPr>
        <w:t>森林生态修复</w:t>
      </w:r>
      <w:bookmarkEnd w:id="156"/>
    </w:p>
    <w:p w14:paraId="4482A64C">
      <w:pPr>
        <w:bidi w:val="0"/>
        <w:rPr>
          <w:rFonts w:hint="eastAsia"/>
          <w:b w:val="0"/>
          <w:bCs w:val="0"/>
          <w:highlight w:val="none"/>
        </w:rPr>
      </w:pPr>
      <w:r>
        <w:rPr>
          <w:rFonts w:hint="eastAsia"/>
          <w:b w:val="0"/>
          <w:bCs w:val="0"/>
          <w:highlight w:val="none"/>
        </w:rPr>
        <w:t>明确森林质量改善目标。统筹推进森林生态质量改善，规划至2025年，森林生态系统得到有效保护，生态系统稳定性与服务功能明显增强，生物多样性得到有效保护。规划至2035年，太行山生态屏障功能显著增强，自然保护地体系健全完善，濒危野生动物及其栖息地得到全面保护。</w:t>
      </w:r>
    </w:p>
    <w:p w14:paraId="69F473E8">
      <w:pPr>
        <w:pStyle w:val="23"/>
        <w:numPr>
          <w:ilvl w:val="0"/>
          <w:numId w:val="3"/>
        </w:numPr>
        <w:bidi w:val="0"/>
        <w:ind w:left="0" w:leftChars="0" w:firstLine="612" w:firstLineChars="0"/>
        <w:outlineLvl w:val="2"/>
        <w:rPr>
          <w:rFonts w:hint="eastAsia"/>
          <w:highlight w:val="none"/>
          <w:lang w:val="en-US"/>
        </w:rPr>
      </w:pPr>
      <w:bookmarkStart w:id="157" w:name="_Toc15448"/>
      <w:r>
        <w:rPr>
          <w:rFonts w:hint="eastAsia"/>
          <w:highlight w:val="none"/>
          <w:lang w:val="en-US"/>
        </w:rPr>
        <w:t>河湖及湿地生态修复</w:t>
      </w:r>
      <w:bookmarkEnd w:id="157"/>
    </w:p>
    <w:p w14:paraId="20841C2F">
      <w:pPr>
        <w:bidi w:val="0"/>
        <w:rPr>
          <w:rFonts w:hint="eastAsia" w:ascii="仿宋_GB2312" w:hAnsi="仿宋_GB2312" w:eastAsia="仿宋_GB2312" w:cs="仿宋_GB2312"/>
          <w:b w:val="0"/>
          <w:bCs w:val="0"/>
          <w:color w:val="auto"/>
          <w:szCs w:val="32"/>
          <w:highlight w:val="none"/>
        </w:rPr>
      </w:pPr>
      <w:r>
        <w:rPr>
          <w:rFonts w:hint="eastAsia"/>
          <w:b w:val="0"/>
          <w:bCs w:val="0"/>
          <w:highlight w:val="none"/>
        </w:rPr>
        <w:t>明确河流水系生态修复目标。规划至2025年，太行山生态屏障和丹河、沁河、</w:t>
      </w:r>
      <w:r>
        <w:rPr>
          <w:rFonts w:hint="eastAsia"/>
          <w:b w:val="0"/>
          <w:bCs w:val="0"/>
          <w:highlight w:val="none"/>
          <w:lang w:val="en-US" w:eastAsia="zh-CN"/>
        </w:rPr>
        <w:t>青天河、</w:t>
      </w:r>
      <w:r>
        <w:rPr>
          <w:rFonts w:hint="eastAsia"/>
          <w:b w:val="0"/>
          <w:bCs w:val="0"/>
          <w:highlight w:val="none"/>
        </w:rPr>
        <w:t>南水北调中线等生态廊道的功能显著增强。全县流域水生态环境状况明显提升，地表水环境质量持续改善，黑臭水体基本消除，饮用水安全得到有效保障。规划至2035年，水生态系统基本实现良性循环。</w:t>
      </w:r>
    </w:p>
    <w:p w14:paraId="723B87EA">
      <w:pPr>
        <w:pStyle w:val="23"/>
        <w:numPr>
          <w:ilvl w:val="0"/>
          <w:numId w:val="3"/>
        </w:numPr>
        <w:bidi w:val="0"/>
        <w:ind w:left="0" w:leftChars="0" w:firstLine="612" w:firstLineChars="0"/>
        <w:outlineLvl w:val="2"/>
        <w:rPr>
          <w:rFonts w:hint="eastAsia"/>
          <w:highlight w:val="none"/>
          <w:lang w:val="en-US"/>
        </w:rPr>
      </w:pPr>
      <w:bookmarkStart w:id="158" w:name="_Toc15970"/>
      <w:r>
        <w:rPr>
          <w:rFonts w:hint="eastAsia"/>
          <w:highlight w:val="none"/>
          <w:lang w:val="en-US"/>
        </w:rPr>
        <w:t>矿山生态修复</w:t>
      </w:r>
      <w:bookmarkEnd w:id="158"/>
    </w:p>
    <w:p w14:paraId="28A71819">
      <w:pPr>
        <w:bidi w:val="0"/>
        <w:rPr>
          <w:rFonts w:hint="eastAsia" w:ascii="仿宋_GB2312" w:hAnsi="仿宋_GB2312" w:eastAsia="仿宋_GB2312" w:cs="仿宋_GB2312"/>
          <w:b w:val="0"/>
          <w:bCs w:val="0"/>
          <w:color w:val="auto"/>
          <w:szCs w:val="32"/>
          <w:highlight w:val="none"/>
        </w:rPr>
      </w:pPr>
      <w:r>
        <w:rPr>
          <w:rFonts w:hint="eastAsia"/>
          <w:b w:val="0"/>
          <w:bCs w:val="0"/>
          <w:highlight w:val="none"/>
        </w:rPr>
        <w:t>明确矿山生态修复目标。2019到2021年，博爱县开展了河南省南太行地区山水林田湖草生态保护修复工程，博爱县境内矿山地质环境治理项目共分8个子项目实施，分别为玄坛庙废弃矿山地质环境恢复治理工程；小东庄废弃矿山地质环境恢复治理工程；圪垱坡废弃矿山地质环境恢复治理工程；大底村-汉高城-白坡一带废弃矿山地质环境恢复治理工程；寨豁村南废弃矿山地质环境恢复治理工程；月山水库东与半架山西废弃矿山地质环境治理工程；小东庄-馒头山-许良一带废弃矿山地质环境恢复治理工程；博爱县鑫诚矿业玄坛庙矿山地质环境治理工程项目（企业自筹资金治理）</w:t>
      </w:r>
      <w:r>
        <w:rPr>
          <w:rFonts w:hint="eastAsia"/>
          <w:b w:val="0"/>
          <w:bCs w:val="0"/>
          <w:highlight w:val="none"/>
          <w:lang w:eastAsia="zh-CN"/>
        </w:rPr>
        <w:t>。</w:t>
      </w:r>
      <w:r>
        <w:rPr>
          <w:rFonts w:hint="eastAsia"/>
          <w:b w:val="0"/>
          <w:bCs w:val="0"/>
          <w:highlight w:val="none"/>
        </w:rPr>
        <w:t>8个子项目共修复历史遗留矿山2213公顷。规划至2025年，基本完成南太行博爱区域历史遗留矿山生态修复，新建和生产矿山地质环境得到同步治理、应治尽治。规划至2035年，消除因采矿造成的地质灾害隐患，修复受损的生态系统。矿山“三废”达标排放率符合环境保护标准；持证矿山实行边开采边治理，建立矿山地质环境监测工作体系，健全监测网络。</w:t>
      </w:r>
    </w:p>
    <w:p w14:paraId="675D311E">
      <w:pPr>
        <w:pStyle w:val="23"/>
        <w:numPr>
          <w:ilvl w:val="0"/>
          <w:numId w:val="3"/>
        </w:numPr>
        <w:bidi w:val="0"/>
        <w:ind w:left="0" w:leftChars="0" w:firstLine="612" w:firstLineChars="0"/>
        <w:outlineLvl w:val="2"/>
        <w:rPr>
          <w:rFonts w:hint="eastAsia"/>
          <w:highlight w:val="none"/>
          <w:lang w:val="en-US"/>
        </w:rPr>
      </w:pPr>
      <w:bookmarkStart w:id="159" w:name="_Toc15298"/>
      <w:r>
        <w:rPr>
          <w:rFonts w:hint="eastAsia"/>
          <w:highlight w:val="none"/>
          <w:lang w:val="en-US"/>
        </w:rPr>
        <w:t>水土流失敏感区修复</w:t>
      </w:r>
      <w:bookmarkEnd w:id="159"/>
    </w:p>
    <w:p w14:paraId="5CE04E66">
      <w:pPr>
        <w:bidi w:val="0"/>
        <w:rPr>
          <w:rFonts w:hint="eastAsia"/>
          <w:b w:val="0"/>
          <w:bCs w:val="0"/>
          <w:highlight w:val="none"/>
        </w:rPr>
      </w:pPr>
      <w:r>
        <w:rPr>
          <w:rFonts w:hint="eastAsia"/>
          <w:b w:val="0"/>
          <w:bCs w:val="0"/>
          <w:highlight w:val="none"/>
        </w:rPr>
        <w:t>明确水土流失综合治理目标。规划至2025年，水土流失得到有效控制，重点地区水土流失得到有效治理。规划至2035年，林草植被得到有效保护与修复，人为水土流失得到控制，抗御水、旱、风沙灾害能力不断提升。</w:t>
      </w:r>
    </w:p>
    <w:p w14:paraId="7F79E9EB">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rPr>
        <w:t>污染土地修复</w:t>
      </w:r>
    </w:p>
    <w:p w14:paraId="4B3C9765">
      <w:pPr>
        <w:bidi w:val="0"/>
        <w:rPr>
          <w:b w:val="0"/>
          <w:bCs w:val="0"/>
          <w:highlight w:val="none"/>
        </w:rPr>
      </w:pPr>
      <w:r>
        <w:rPr>
          <w:rFonts w:hint="eastAsia"/>
          <w:b w:val="0"/>
          <w:bCs w:val="0"/>
          <w:highlight w:val="none"/>
        </w:rPr>
        <w:t>在主要农产品产地土壤环境质量状况调查的基础上，有序推进农田污染土壤的修复，制定实施受污染耕地安全利用方案，建立农田污染土壤修复示范工程。对拟开发为农用地的未利用地，组织开展土壤环境质量状况评估，不符合相应标准的，不得种植食用农产品。</w:t>
      </w:r>
    </w:p>
    <w:p w14:paraId="0A263738">
      <w:pPr>
        <w:pStyle w:val="23"/>
        <w:numPr>
          <w:ilvl w:val="0"/>
          <w:numId w:val="3"/>
        </w:numPr>
        <w:bidi w:val="0"/>
        <w:ind w:left="0" w:leftChars="0" w:firstLine="612" w:firstLineChars="0"/>
        <w:outlineLvl w:val="2"/>
        <w:rPr>
          <w:rFonts w:hint="eastAsia"/>
          <w:highlight w:val="none"/>
          <w:lang w:val="en-US"/>
        </w:rPr>
      </w:pPr>
      <w:bookmarkStart w:id="160" w:name="_Toc23259"/>
      <w:r>
        <w:rPr>
          <w:rFonts w:hint="eastAsia"/>
          <w:highlight w:val="none"/>
          <w:lang w:val="en-US"/>
        </w:rPr>
        <w:t>生态修复重点区域及重点工程</w:t>
      </w:r>
      <w:bookmarkEnd w:id="160"/>
    </w:p>
    <w:p w14:paraId="129AF88D">
      <w:pPr>
        <w:bidi w:val="0"/>
        <w:outlineLvl w:val="3"/>
        <w:rPr>
          <w:rFonts w:hint="eastAsia"/>
          <w:b w:val="0"/>
          <w:bCs w:val="0"/>
          <w:highlight w:val="none"/>
        </w:rPr>
      </w:pPr>
      <w:r>
        <w:rPr>
          <w:rFonts w:hint="eastAsia"/>
          <w:b w:val="0"/>
          <w:bCs w:val="0"/>
          <w:highlight w:val="none"/>
        </w:rPr>
        <w:t>1.重点区域</w:t>
      </w:r>
    </w:p>
    <w:p w14:paraId="1C175C7B">
      <w:pPr>
        <w:bidi w:val="0"/>
        <w:rPr>
          <w:rFonts w:hint="eastAsia"/>
          <w:b w:val="0"/>
          <w:bCs w:val="0"/>
          <w:highlight w:val="none"/>
        </w:rPr>
      </w:pPr>
      <w:r>
        <w:rPr>
          <w:rFonts w:hint="eastAsia"/>
          <w:b w:val="0"/>
          <w:bCs w:val="0"/>
          <w:highlight w:val="none"/>
        </w:rPr>
        <w:t>主要包括森林生态修复区、矿山生态修复区、湿地生态修复区、水环境和水生态修复区、污染土地修复区和水土流失治理区。按照山水林田湖草系统治理的要求，因地制宜、分类施策，采取工程措施复垦土地、恢复植被、治理地质灾害，重塑良好的生态环境。</w:t>
      </w:r>
    </w:p>
    <w:p w14:paraId="45E72A26">
      <w:pPr>
        <w:bidi w:val="0"/>
        <w:outlineLvl w:val="3"/>
        <w:rPr>
          <w:b w:val="0"/>
          <w:bCs w:val="0"/>
          <w:highlight w:val="none"/>
        </w:rPr>
      </w:pPr>
      <w:r>
        <w:rPr>
          <w:rFonts w:hint="eastAsia"/>
          <w:b w:val="0"/>
          <w:bCs w:val="0"/>
          <w:highlight w:val="none"/>
        </w:rPr>
        <w:t>2.重点工程</w:t>
      </w:r>
    </w:p>
    <w:p w14:paraId="2E0ECBA7">
      <w:pPr>
        <w:bidi w:val="0"/>
        <w:rPr>
          <w:rFonts w:hint="eastAsia"/>
          <w:b w:val="0"/>
          <w:bCs w:val="0"/>
          <w:highlight w:val="none"/>
        </w:rPr>
      </w:pPr>
      <w:r>
        <w:rPr>
          <w:rFonts w:hint="eastAsia"/>
          <w:b w:val="0"/>
          <w:bCs w:val="0"/>
          <w:highlight w:val="none"/>
        </w:rPr>
        <w:t>山水林田湖草一体化修复工程。重点实施北部矿区历史遗留矿山生态修复工程、水土保持与植被恢复工程、山区资源开发利用工程、博爱县黄河流域生态保护建设项目共 4 项工程。扎实推进博爱县北部的矿山生态环境治理，加强小流域综合治理，因地制宜营造水源涵养林、水土保持林，打造以水源涵养、水土保持、生物多样性保护为主要功能的山地生态屏障，逐步提升河湖湿地生态系统的稳定性和可持续性，使全县生态安全格局更加稳定。</w:t>
      </w:r>
    </w:p>
    <w:p w14:paraId="4CCBCD85">
      <w:pPr>
        <w:bidi w:val="0"/>
        <w:rPr>
          <w:rFonts w:hint="eastAsia" w:ascii="仿宋" w:hAnsi="仿宋" w:eastAsia="仿宋" w:cs="仿宋"/>
          <w:b w:val="0"/>
          <w:bCs w:val="0"/>
          <w:color w:val="auto"/>
          <w:sz w:val="28"/>
          <w:szCs w:val="32"/>
          <w:highlight w:val="none"/>
        </w:rPr>
      </w:pPr>
      <w:r>
        <w:rPr>
          <w:rFonts w:hint="eastAsia"/>
          <w:b w:val="0"/>
          <w:bCs w:val="0"/>
          <w:highlight w:val="none"/>
        </w:rPr>
        <w:t>重要生态廊道及生态节点修复建设工程。重点推进廊道绿化和重要节点工程建设，建设南水北调中线、丹河、沁河等生态廊道生态修复、博爱县黄河流域生态竹林保护、博爱县青天河、月山水库除险加固及灾后重建共5项工程。突出廊道两侧绿化以及河流水岸储备林建设，以栽植乔木树种为重点，按照“以水养绿、以绿护水”的生态模式，促进林水融合发展。全面增强南水北调中线博爱段及其他重要生态廊道沿线水土保持、水源涵养能力，提高重要生态廊道质量和系统稳定性，构筑完善的生态廊道网络。</w:t>
      </w:r>
    </w:p>
    <w:p w14:paraId="72DAFFC9">
      <w:pPr>
        <w:bidi w:val="0"/>
        <w:ind w:left="0" w:leftChars="0" w:firstLine="0" w:firstLineChars="0"/>
        <w:rPr>
          <w:rFonts w:hint="eastAsia"/>
          <w:b w:val="0"/>
          <w:bCs w:val="0"/>
          <w:highlight w:val="none"/>
        </w:rPr>
      </w:pPr>
      <w:bookmarkStart w:id="161" w:name="_Toc13039"/>
    </w:p>
    <w:p w14:paraId="0EA3C640">
      <w:pPr>
        <w:tabs>
          <w:tab w:val="left" w:pos="428"/>
        </w:tabs>
        <w:bidi w:val="0"/>
        <w:ind w:left="0" w:leftChars="0" w:firstLine="0" w:firstLineChars="0"/>
        <w:jc w:val="left"/>
        <w:rPr>
          <w:rFonts w:hint="eastAsia" w:eastAsia="仿宋_GB2312"/>
          <w:lang w:eastAsia="zh-CN"/>
        </w:rPr>
        <w:sectPr>
          <w:pgSz w:w="11906" w:h="16838"/>
          <w:pgMar w:top="1440" w:right="1797" w:bottom="1440" w:left="1797" w:header="850" w:footer="850" w:gutter="0"/>
          <w:pgNumType w:fmt="decimal"/>
          <w:cols w:space="720" w:num="1"/>
          <w:rtlGutter w:val="0"/>
          <w:docGrid w:type="lines" w:linePitch="436" w:charSpace="0"/>
        </w:sectPr>
      </w:pPr>
    </w:p>
    <w:p w14:paraId="5BA30902">
      <w:pPr>
        <w:keepNext w:val="0"/>
        <w:keepLines w:val="0"/>
        <w:pageBreakBefore w:val="0"/>
        <w:widowControl w:val="0"/>
        <w:numPr>
          <w:ilvl w:val="0"/>
          <w:numId w:val="2"/>
        </w:numPr>
        <w:kinsoku/>
        <w:wordWrap/>
        <w:overflowPunct/>
        <w:topLinePunct w:val="0"/>
        <w:autoSpaceDE/>
        <w:autoSpaceDN/>
        <w:bidi w:val="0"/>
        <w:adjustRightInd/>
        <w:snapToGrid/>
        <w:spacing w:before="200" w:after="400" w:line="596" w:lineRule="exact"/>
        <w:ind w:firstLine="0" w:firstLineChars="0"/>
        <w:jc w:val="center"/>
        <w:textAlignment w:val="auto"/>
        <w:outlineLvl w:val="0"/>
        <w:rPr>
          <w:rStyle w:val="18"/>
          <w:rFonts w:hint="eastAsia" w:cs="Times New Roman"/>
          <w:b w:val="0"/>
          <w:bCs w:val="0"/>
          <w:highlight w:val="none"/>
          <w:lang w:val="zh-CN" w:eastAsia="zh-CN"/>
        </w:rPr>
      </w:pPr>
      <w:bookmarkStart w:id="162" w:name="_Toc12147"/>
      <w:r>
        <w:rPr>
          <w:rStyle w:val="18"/>
          <w:rFonts w:hint="eastAsia" w:cs="Times New Roman"/>
          <w:b w:val="0"/>
          <w:bCs w:val="0"/>
          <w:highlight w:val="none"/>
          <w:lang w:val="zh-CN" w:eastAsia="zh-CN"/>
        </w:rPr>
        <w:t>强化城乡统筹，优化城镇空间布局</w:t>
      </w:r>
      <w:bookmarkEnd w:id="161"/>
      <w:bookmarkEnd w:id="162"/>
    </w:p>
    <w:p w14:paraId="54BFBCF8">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63" w:name="_Toc23130"/>
      <w:bookmarkStart w:id="164" w:name="_Toc31372"/>
      <w:r>
        <w:rPr>
          <w:rFonts w:hint="eastAsia" w:cs="Times New Roman"/>
          <w:highlight w:val="none"/>
        </w:rPr>
        <w:t>推进新型城镇化</w:t>
      </w:r>
      <w:bookmarkEnd w:id="163"/>
      <w:bookmarkEnd w:id="164"/>
    </w:p>
    <w:p w14:paraId="17922E05">
      <w:pPr>
        <w:pStyle w:val="23"/>
        <w:numPr>
          <w:ilvl w:val="0"/>
          <w:numId w:val="3"/>
        </w:numPr>
        <w:bidi w:val="0"/>
        <w:ind w:left="0" w:leftChars="0" w:firstLine="612" w:firstLineChars="0"/>
        <w:outlineLvl w:val="2"/>
        <w:rPr>
          <w:rFonts w:hint="eastAsia"/>
          <w:highlight w:val="none"/>
          <w:lang w:val="en-US"/>
        </w:rPr>
      </w:pPr>
      <w:bookmarkStart w:id="165" w:name="_Toc26610"/>
      <w:r>
        <w:rPr>
          <w:rFonts w:hint="eastAsia"/>
          <w:highlight w:val="none"/>
          <w:lang w:val="en-US"/>
        </w:rPr>
        <w:t>城镇化发展目标</w:t>
      </w:r>
      <w:bookmarkEnd w:id="165"/>
    </w:p>
    <w:p w14:paraId="30C5CFD2">
      <w:pPr>
        <w:bidi w:val="0"/>
        <w:rPr>
          <w:rFonts w:hint="eastAsia"/>
          <w:b w:val="0"/>
          <w:bCs w:val="0"/>
          <w:highlight w:val="none"/>
        </w:rPr>
      </w:pPr>
      <w:r>
        <w:rPr>
          <w:rFonts w:hint="eastAsia"/>
          <w:b w:val="0"/>
          <w:bCs w:val="0"/>
          <w:highlight w:val="none"/>
        </w:rPr>
        <w:t>到2035年，城镇化进入稳定期，全县常住人口城镇化率达到78%左右，农村转移人口市民化基本实现，以人为核心的城镇化质量明显提高。城乡区域发展差距和居民生活水平差距显著缩小，基本公共服务均等化基本实现，城乡治理体系和治理能力现代化基本实现，社会充满活力、和谐有序，更多人民群众享有更高品质的城市生活。</w:t>
      </w:r>
    </w:p>
    <w:p w14:paraId="293729FF">
      <w:pPr>
        <w:pStyle w:val="23"/>
        <w:numPr>
          <w:ilvl w:val="0"/>
          <w:numId w:val="3"/>
        </w:numPr>
        <w:bidi w:val="0"/>
        <w:ind w:left="0" w:leftChars="0" w:firstLine="612" w:firstLineChars="0"/>
        <w:outlineLvl w:val="2"/>
        <w:rPr>
          <w:rFonts w:hint="eastAsia"/>
          <w:highlight w:val="none"/>
          <w:lang w:val="en-US"/>
        </w:rPr>
      </w:pPr>
      <w:bookmarkStart w:id="166" w:name="_Toc15170"/>
      <w:r>
        <w:rPr>
          <w:rFonts w:hint="eastAsia"/>
          <w:highlight w:val="none"/>
          <w:lang w:val="en-US"/>
        </w:rPr>
        <w:t>城镇化发展策略</w:t>
      </w:r>
      <w:bookmarkEnd w:id="166"/>
    </w:p>
    <w:p w14:paraId="7676AE64">
      <w:pPr>
        <w:bidi w:val="0"/>
        <w:rPr>
          <w:rFonts w:hint="eastAsia"/>
          <w:b w:val="0"/>
          <w:bCs w:val="0"/>
          <w:highlight w:val="none"/>
        </w:rPr>
      </w:pPr>
      <w:r>
        <w:rPr>
          <w:rFonts w:hint="eastAsia"/>
          <w:b w:val="0"/>
          <w:bCs w:val="0"/>
          <w:highlight w:val="none"/>
        </w:rPr>
        <w:t>构建统筹协调的新型城镇化格局。通过焦修博武一体化发展融入郑州都市圈，带动博爱加快发展。科学布局生产、生活、生态三大空间，形成网络化、集约型城镇空间形态，打造更具竞争力、更具发展活力、更可持续发展的现代化城市。</w:t>
      </w:r>
    </w:p>
    <w:p w14:paraId="1B7C433F">
      <w:pPr>
        <w:bidi w:val="0"/>
        <w:rPr>
          <w:rFonts w:hint="eastAsia"/>
          <w:b w:val="0"/>
          <w:bCs w:val="0"/>
          <w:highlight w:val="none"/>
        </w:rPr>
      </w:pPr>
      <w:r>
        <w:rPr>
          <w:rFonts w:hint="eastAsia"/>
          <w:b w:val="0"/>
          <w:bCs w:val="0"/>
          <w:highlight w:val="none"/>
        </w:rPr>
        <w:t>强化城市创新和产业支撑。积极融入河南省“三区一群”国家战略</w:t>
      </w:r>
      <w:r>
        <w:rPr>
          <w:rFonts w:hint="eastAsia" w:ascii="仿宋_GB2312" w:hAnsi="仿宋_GB2312" w:eastAsia="仿宋_GB2312"/>
          <w:b w:val="0"/>
          <w:bCs w:val="0"/>
          <w:highlight w:val="none"/>
          <w:lang w:eastAsia="zh-CN"/>
        </w:rPr>
        <w:t>（</w:t>
      </w:r>
      <w:r>
        <w:rPr>
          <w:rFonts w:hint="eastAsia"/>
          <w:b w:val="0"/>
          <w:bCs w:val="0"/>
          <w:highlight w:val="none"/>
        </w:rPr>
        <w:t>郑州航空港经济综合实验区、中国</w:t>
      </w:r>
      <w:r>
        <w:rPr>
          <w:rFonts w:hint="eastAsia" w:ascii="仿宋_GB2312" w:hAnsi="仿宋_GB2312" w:eastAsia="仿宋_GB2312"/>
          <w:b w:val="0"/>
          <w:bCs w:val="0"/>
          <w:highlight w:val="none"/>
          <w:lang w:eastAsia="zh-CN"/>
        </w:rPr>
        <w:t>（</w:t>
      </w:r>
      <w:r>
        <w:rPr>
          <w:rFonts w:hint="eastAsia"/>
          <w:b w:val="0"/>
          <w:bCs w:val="0"/>
          <w:highlight w:val="none"/>
        </w:rPr>
        <w:t>河南</w:t>
      </w:r>
      <w:r>
        <w:rPr>
          <w:rFonts w:hint="eastAsia" w:ascii="仿宋_GB2312" w:hAnsi="仿宋_GB2312" w:eastAsia="仿宋_GB2312"/>
          <w:b w:val="0"/>
          <w:bCs w:val="0"/>
          <w:highlight w:val="none"/>
          <w:lang w:eastAsia="zh-CN"/>
        </w:rPr>
        <w:t>）</w:t>
      </w:r>
      <w:r>
        <w:rPr>
          <w:rFonts w:hint="eastAsia"/>
          <w:b w:val="0"/>
          <w:bCs w:val="0"/>
          <w:highlight w:val="none"/>
        </w:rPr>
        <w:t>自由贸易试验区、郑洛新国家自主创新示范区、中原城市群</w:t>
      </w:r>
      <w:r>
        <w:rPr>
          <w:rFonts w:hint="eastAsia" w:ascii="仿宋_GB2312" w:hAnsi="仿宋_GB2312" w:eastAsia="仿宋_GB2312"/>
          <w:b w:val="0"/>
          <w:bCs w:val="0"/>
          <w:highlight w:val="none"/>
          <w:lang w:eastAsia="zh-CN"/>
        </w:rPr>
        <w:t>）</w:t>
      </w:r>
      <w:r>
        <w:rPr>
          <w:rFonts w:hint="eastAsia"/>
          <w:b w:val="0"/>
          <w:bCs w:val="0"/>
          <w:highlight w:val="none"/>
        </w:rPr>
        <w:t>，建设国家创新型城市，打造国家创新高地。强化开发区对城镇产业聚集的重要载体作用，深入推进产城融合发展，增强城镇化发展动能，为就地就近城镇化提供优良载体。</w:t>
      </w:r>
    </w:p>
    <w:p w14:paraId="2C0548B2">
      <w:pPr>
        <w:bidi w:val="0"/>
        <w:rPr>
          <w:rFonts w:hint="eastAsia"/>
          <w:b w:val="0"/>
          <w:bCs w:val="0"/>
          <w:highlight w:val="none"/>
        </w:rPr>
      </w:pPr>
      <w:r>
        <w:rPr>
          <w:rFonts w:hint="eastAsia"/>
          <w:b w:val="0"/>
          <w:bCs w:val="0"/>
          <w:highlight w:val="none"/>
        </w:rPr>
        <w:t>推动农业转移人口全面融入城市。打通市民化制度性通道，统筹推进户籍制度改革和城镇基本公共服务均等化，促进城镇非户籍常住人口市民化，提升市民化技能素质，完善市民化配套政策体系，推动常住人口全面享有高质量城市基本公共服务。同时切实推进生态保护和安全风险地区人口转移。</w:t>
      </w:r>
    </w:p>
    <w:p w14:paraId="12D25468">
      <w:pPr>
        <w:bidi w:val="0"/>
        <w:rPr>
          <w:rFonts w:hint="eastAsia"/>
          <w:b w:val="0"/>
          <w:bCs w:val="0"/>
          <w:highlight w:val="none"/>
        </w:rPr>
      </w:pPr>
      <w:r>
        <w:rPr>
          <w:rFonts w:hint="eastAsia"/>
          <w:b w:val="0"/>
          <w:bCs w:val="0"/>
          <w:highlight w:val="none"/>
        </w:rPr>
        <w:t>建设以人为本的现代化城市。以打造宜居、便捷、韧性、绿色、魅力、智慧的现代化城市为目标，精心规划设计、精致建设实施、精细管理运营，全方位打造居民高品质生活空间，让人民群众在城市生活中更方便、更舒适、更美好、更安全。</w:t>
      </w:r>
    </w:p>
    <w:p w14:paraId="050623EA">
      <w:pPr>
        <w:bidi w:val="0"/>
        <w:rPr>
          <w:rFonts w:hint="eastAsia"/>
          <w:b w:val="0"/>
          <w:bCs w:val="0"/>
          <w:highlight w:val="none"/>
        </w:rPr>
      </w:pPr>
      <w:r>
        <w:rPr>
          <w:rFonts w:hint="eastAsia"/>
          <w:b w:val="0"/>
          <w:bCs w:val="0"/>
          <w:highlight w:val="none"/>
        </w:rPr>
        <w:t>促进城乡深度融合发展。强化城乡融合要素保障，以实现城乡要素配置合理化、基本公共服务均等化、基础设施联通化、产业发展融合化、居民收入均衡化为目标，有序引导城乡之间人才、土地、资金、技术等要素双向流动，推进农业现代化建设，实施乡村建设行动，缩小城乡收入差距，加快形成工农互促、城乡互补、全面融合、共同繁荣的新型工农城乡关系。</w:t>
      </w:r>
    </w:p>
    <w:p w14:paraId="4617C160">
      <w:pPr>
        <w:bidi w:val="0"/>
        <w:rPr>
          <w:rFonts w:hint="eastAsia"/>
          <w:b w:val="0"/>
          <w:bCs w:val="0"/>
          <w:highlight w:val="none"/>
        </w:rPr>
      </w:pPr>
      <w:r>
        <w:rPr>
          <w:rFonts w:hint="eastAsia"/>
          <w:b w:val="0"/>
          <w:bCs w:val="0"/>
          <w:highlight w:val="none"/>
        </w:rPr>
        <w:t>推动城市治理体系和治理能力现代化。树立全生命周期理念，坚持人民城市人民建、人民管，注重科学化、精细化、智慧化建设管理，提高城市规划空间治理水平，提升城乡社会治理水平，深化体制机制改革，完善城市治理结构、创新治理方式，以绣花功夫推进城市治理精细化，提高城市运营和资源配置效率。</w:t>
      </w:r>
    </w:p>
    <w:p w14:paraId="59E40ADB">
      <w:pPr>
        <w:pStyle w:val="23"/>
        <w:numPr>
          <w:ilvl w:val="0"/>
          <w:numId w:val="3"/>
        </w:numPr>
        <w:bidi w:val="0"/>
        <w:ind w:left="0" w:leftChars="0" w:firstLine="612" w:firstLineChars="0"/>
        <w:outlineLvl w:val="2"/>
        <w:rPr>
          <w:rFonts w:hint="eastAsia"/>
          <w:highlight w:val="none"/>
          <w:lang w:val="en-US"/>
        </w:rPr>
      </w:pPr>
      <w:bookmarkStart w:id="167" w:name="_Toc4857"/>
      <w:r>
        <w:rPr>
          <w:rFonts w:hint="eastAsia"/>
          <w:highlight w:val="none"/>
          <w:lang w:val="en-US"/>
        </w:rPr>
        <w:t>县域人口和城镇化水平预测</w:t>
      </w:r>
      <w:bookmarkEnd w:id="167"/>
    </w:p>
    <w:p w14:paraId="6BD6731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规划至2035年，博爱县全域常住人口规划34.</w:t>
      </w:r>
      <w:r>
        <w:rPr>
          <w:rFonts w:hint="eastAsia"/>
          <w:b w:val="0"/>
          <w:bCs w:val="0"/>
          <w:highlight w:val="none"/>
          <w:lang w:val="en-US" w:eastAsia="zh-CN"/>
        </w:rPr>
        <w:t>10</w:t>
      </w:r>
      <w:r>
        <w:rPr>
          <w:rFonts w:hint="eastAsia"/>
          <w:b w:val="0"/>
          <w:bCs w:val="0"/>
          <w:highlight w:val="none"/>
        </w:rPr>
        <w:t>万人，全域城镇人口26.6</w:t>
      </w:r>
      <w:r>
        <w:rPr>
          <w:rFonts w:hint="eastAsia"/>
          <w:b w:val="0"/>
          <w:bCs w:val="0"/>
          <w:highlight w:val="none"/>
          <w:lang w:val="en-US" w:eastAsia="zh-CN"/>
        </w:rPr>
        <w:t>0</w:t>
      </w:r>
      <w:r>
        <w:rPr>
          <w:rFonts w:hint="eastAsia"/>
          <w:b w:val="0"/>
          <w:bCs w:val="0"/>
          <w:highlight w:val="none"/>
        </w:rPr>
        <w:t>万人，城镇化率78%，中心城区城镇人口24</w:t>
      </w:r>
      <w:r>
        <w:rPr>
          <w:rFonts w:hint="eastAsia"/>
          <w:b w:val="0"/>
          <w:bCs w:val="0"/>
          <w:highlight w:val="none"/>
          <w:lang w:val="en-US" w:eastAsia="zh-CN"/>
        </w:rPr>
        <w:t>.00</w:t>
      </w:r>
      <w:r>
        <w:rPr>
          <w:rFonts w:hint="eastAsia"/>
          <w:b w:val="0"/>
          <w:bCs w:val="0"/>
          <w:highlight w:val="none"/>
        </w:rPr>
        <w:t>万人。</w:t>
      </w:r>
    </w:p>
    <w:p w14:paraId="7C3A7D31">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68" w:name="_Toc28065"/>
      <w:bookmarkStart w:id="169" w:name="_Toc1299"/>
      <w:r>
        <w:rPr>
          <w:rFonts w:hint="eastAsia" w:cs="Times New Roman"/>
          <w:highlight w:val="none"/>
        </w:rPr>
        <w:t>城镇体系规划</w:t>
      </w:r>
      <w:bookmarkEnd w:id="168"/>
      <w:bookmarkEnd w:id="169"/>
    </w:p>
    <w:p w14:paraId="6292C443">
      <w:pPr>
        <w:pStyle w:val="23"/>
        <w:numPr>
          <w:ilvl w:val="0"/>
          <w:numId w:val="3"/>
        </w:numPr>
        <w:bidi w:val="0"/>
        <w:ind w:left="0" w:leftChars="0" w:firstLine="612" w:firstLineChars="0"/>
        <w:outlineLvl w:val="2"/>
        <w:rPr>
          <w:rFonts w:hint="eastAsia"/>
          <w:highlight w:val="none"/>
          <w:lang w:val="en-US"/>
        </w:rPr>
      </w:pPr>
      <w:bookmarkStart w:id="170" w:name="_Toc14455"/>
      <w:r>
        <w:rPr>
          <w:rFonts w:hint="eastAsia"/>
          <w:highlight w:val="none"/>
          <w:lang w:val="en-US"/>
        </w:rPr>
        <w:t>城镇体系空间结构</w:t>
      </w:r>
      <w:bookmarkEnd w:id="170"/>
    </w:p>
    <w:p w14:paraId="5D2B3E8A">
      <w:pPr>
        <w:bidi w:val="0"/>
        <w:rPr>
          <w:rFonts w:hint="eastAsia"/>
          <w:b w:val="0"/>
          <w:bCs w:val="0"/>
          <w:highlight w:val="none"/>
        </w:rPr>
      </w:pPr>
      <w:r>
        <w:rPr>
          <w:rFonts w:hint="eastAsia"/>
          <w:b w:val="0"/>
          <w:bCs w:val="0"/>
          <w:highlight w:val="none"/>
        </w:rPr>
        <w:t>规划为“一核两轴三心、多点带动网络”的开放式、网络化、集约型、生态化的城镇体系空间结构。</w:t>
      </w:r>
    </w:p>
    <w:p w14:paraId="275DC69E">
      <w:pPr>
        <w:bidi w:val="0"/>
        <w:rPr>
          <w:rFonts w:hint="eastAsia"/>
          <w:b w:val="0"/>
          <w:bCs w:val="0"/>
          <w:highlight w:val="none"/>
        </w:rPr>
      </w:pPr>
      <w:r>
        <w:rPr>
          <w:rFonts w:hint="eastAsia"/>
          <w:b w:val="0"/>
          <w:bCs w:val="0"/>
          <w:highlight w:val="none"/>
        </w:rPr>
        <w:t>“一核”：中心城区核心，通过对外交通联系轴，向东与焦作市一体发展，中心城区与柏山镇镇区、月山镇镇区统筹发展。</w:t>
      </w:r>
    </w:p>
    <w:p w14:paraId="01D8EC43">
      <w:pPr>
        <w:bidi w:val="0"/>
        <w:rPr>
          <w:rFonts w:hint="eastAsia"/>
          <w:b w:val="0"/>
          <w:bCs w:val="0"/>
          <w:highlight w:val="none"/>
        </w:rPr>
      </w:pPr>
      <w:r>
        <w:rPr>
          <w:rFonts w:hint="eastAsia"/>
          <w:b w:val="0"/>
          <w:bCs w:val="0"/>
          <w:highlight w:val="none"/>
        </w:rPr>
        <w:t>“两轴”：人民路和鸿昌路形成的区域综合发展轴，是向东对接焦作的区域发展主轴。县域南北轴，连接县域生态、城镇、农业的县域发展轴。</w:t>
      </w:r>
    </w:p>
    <w:p w14:paraId="33A01BDE">
      <w:pPr>
        <w:bidi w:val="0"/>
        <w:rPr>
          <w:rFonts w:hint="eastAsia"/>
          <w:b w:val="0"/>
          <w:bCs w:val="0"/>
          <w:highlight w:val="none"/>
        </w:rPr>
      </w:pPr>
      <w:r>
        <w:rPr>
          <w:rFonts w:hint="eastAsia"/>
          <w:b w:val="0"/>
          <w:bCs w:val="0"/>
          <w:highlight w:val="none"/>
        </w:rPr>
        <w:t>“三心”：许良镇、磨头镇、孝敬镇。</w:t>
      </w:r>
    </w:p>
    <w:p w14:paraId="0661FF1C">
      <w:pPr>
        <w:bidi w:val="0"/>
        <w:rPr>
          <w:rFonts w:hint="eastAsia"/>
          <w:b w:val="0"/>
          <w:bCs w:val="0"/>
          <w:highlight w:val="none"/>
        </w:rPr>
      </w:pPr>
      <w:bookmarkStart w:id="171" w:name="_Toc24798"/>
      <w:r>
        <w:rPr>
          <w:rFonts w:hint="eastAsia"/>
          <w:b w:val="0"/>
          <w:bCs w:val="0"/>
          <w:highlight w:val="none"/>
        </w:rPr>
        <w:t>“多点带动网络”：在高速、铁路、公路基础上，连接中心城区、3个重点镇、4个一般</w:t>
      </w:r>
      <w:r>
        <w:rPr>
          <w:rFonts w:hint="eastAsia"/>
          <w:b w:val="0"/>
          <w:bCs w:val="0"/>
          <w:highlight w:val="none"/>
          <w:lang w:eastAsia="zh-CN"/>
        </w:rPr>
        <w:t>乡（镇）</w:t>
      </w:r>
      <w:r>
        <w:rPr>
          <w:rFonts w:hint="eastAsia"/>
          <w:b w:val="0"/>
          <w:bCs w:val="0"/>
          <w:highlight w:val="none"/>
        </w:rPr>
        <w:t>和县域居民点，形成开放式网络化的城镇体系。</w:t>
      </w:r>
    </w:p>
    <w:p w14:paraId="40C25071">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rPr>
        <w:t>城镇规模等级体系</w:t>
      </w:r>
      <w:bookmarkEnd w:id="171"/>
    </w:p>
    <w:p w14:paraId="3B2248E1">
      <w:pPr>
        <w:bidi w:val="0"/>
        <w:rPr>
          <w:rFonts w:hint="eastAsia"/>
          <w:b w:val="0"/>
          <w:bCs w:val="0"/>
          <w:highlight w:val="none"/>
        </w:rPr>
      </w:pPr>
      <w:bookmarkStart w:id="172" w:name="_Toc16607"/>
      <w:r>
        <w:rPr>
          <w:rFonts w:hint="eastAsia"/>
          <w:b w:val="0"/>
          <w:bCs w:val="0"/>
          <w:highlight w:val="none"/>
        </w:rPr>
        <w:t>规划三级城镇规模等级体系，一中心，3个重点镇，4个一般</w:t>
      </w:r>
      <w:r>
        <w:rPr>
          <w:rFonts w:hint="eastAsia"/>
          <w:b w:val="0"/>
          <w:bCs w:val="0"/>
          <w:highlight w:val="none"/>
          <w:lang w:eastAsia="zh-CN"/>
        </w:rPr>
        <w:t>乡（镇）</w:t>
      </w:r>
      <w:r>
        <w:rPr>
          <w:rFonts w:hint="eastAsia"/>
          <w:b w:val="0"/>
          <w:bCs w:val="0"/>
          <w:highlight w:val="none"/>
        </w:rPr>
        <w:t>。</w:t>
      </w:r>
    </w:p>
    <w:p w14:paraId="7BA63DFE">
      <w:pPr>
        <w:bidi w:val="0"/>
        <w:rPr>
          <w:rFonts w:hint="eastAsia"/>
          <w:b w:val="0"/>
          <w:bCs w:val="0"/>
          <w:highlight w:val="none"/>
        </w:rPr>
      </w:pPr>
      <w:r>
        <w:rPr>
          <w:rFonts w:hint="eastAsia"/>
          <w:b w:val="0"/>
          <w:bCs w:val="0"/>
          <w:highlight w:val="none"/>
        </w:rPr>
        <w:t>“一中心”包括两街道，以及月山镇和柏山镇的部分，规划人口24万人。其中规划月山镇镇区、柏山镇镇区人口各0.5</w:t>
      </w:r>
      <w:r>
        <w:rPr>
          <w:rFonts w:hint="eastAsia" w:ascii="仿宋_GB2312" w:hAnsi="仿宋_GB2312" w:eastAsia="仿宋_GB2312"/>
          <w:b w:val="0"/>
          <w:bCs w:val="0"/>
          <w:highlight w:val="none"/>
          <w:lang w:eastAsia="zh-CN"/>
        </w:rPr>
        <w:t>-</w:t>
      </w:r>
      <w:r>
        <w:rPr>
          <w:rFonts w:hint="eastAsia"/>
          <w:b w:val="0"/>
          <w:bCs w:val="0"/>
          <w:highlight w:val="none"/>
        </w:rPr>
        <w:t>1万人。</w:t>
      </w:r>
    </w:p>
    <w:p w14:paraId="48E9497B">
      <w:pPr>
        <w:bidi w:val="0"/>
        <w:rPr>
          <w:rFonts w:hint="eastAsia"/>
          <w:b w:val="0"/>
          <w:bCs w:val="0"/>
          <w:highlight w:val="none"/>
        </w:rPr>
      </w:pPr>
      <w:r>
        <w:rPr>
          <w:rFonts w:hint="eastAsia"/>
          <w:b w:val="0"/>
          <w:bCs w:val="0"/>
          <w:highlight w:val="none"/>
        </w:rPr>
        <w:t>许良镇、磨头镇规划城镇人口0.8</w:t>
      </w:r>
      <w:r>
        <w:rPr>
          <w:rFonts w:hint="eastAsia" w:ascii="仿宋_GB2312" w:hAnsi="仿宋_GB2312" w:eastAsia="仿宋_GB2312"/>
          <w:b w:val="0"/>
          <w:bCs w:val="0"/>
          <w:highlight w:val="none"/>
          <w:lang w:eastAsia="zh-CN"/>
        </w:rPr>
        <w:t>-</w:t>
      </w:r>
      <w:r>
        <w:rPr>
          <w:rFonts w:hint="eastAsia"/>
          <w:b w:val="0"/>
          <w:bCs w:val="0"/>
          <w:highlight w:val="none"/>
        </w:rPr>
        <w:t>1.2万人，孝敬镇规划城镇人口0.7</w:t>
      </w:r>
      <w:r>
        <w:rPr>
          <w:rFonts w:hint="eastAsia" w:ascii="仿宋_GB2312" w:hAnsi="仿宋_GB2312" w:eastAsia="仿宋_GB2312"/>
          <w:b w:val="0"/>
          <w:bCs w:val="0"/>
          <w:highlight w:val="none"/>
          <w:lang w:eastAsia="zh-CN"/>
        </w:rPr>
        <w:t>-</w:t>
      </w:r>
      <w:r>
        <w:rPr>
          <w:rFonts w:hint="eastAsia"/>
          <w:b w:val="0"/>
          <w:bCs w:val="0"/>
          <w:highlight w:val="none"/>
        </w:rPr>
        <w:t>1万人。</w:t>
      </w:r>
    </w:p>
    <w:p w14:paraId="0007066E">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rPr>
        <w:t>城镇体系职能结构</w:t>
      </w:r>
      <w:bookmarkEnd w:id="172"/>
    </w:p>
    <w:p w14:paraId="5ADC85D8">
      <w:pPr>
        <w:bidi w:val="0"/>
        <w:rPr>
          <w:rFonts w:hint="eastAsia"/>
          <w:b w:val="0"/>
          <w:bCs w:val="0"/>
          <w:highlight w:val="none"/>
        </w:rPr>
      </w:pPr>
      <w:r>
        <w:rPr>
          <w:rFonts w:hint="eastAsia"/>
          <w:b w:val="0"/>
          <w:bCs w:val="0"/>
          <w:highlight w:val="none"/>
        </w:rPr>
        <w:t>城镇职能规划三种类型：综合型、旅游型、工业型。</w:t>
      </w:r>
    </w:p>
    <w:p w14:paraId="6B8BACEB">
      <w:pPr>
        <w:bidi w:val="0"/>
        <w:rPr>
          <w:rFonts w:hint="eastAsia"/>
          <w:b w:val="0"/>
          <w:bCs w:val="0"/>
          <w:highlight w:val="none"/>
        </w:rPr>
      </w:pPr>
      <w:r>
        <w:rPr>
          <w:rFonts w:hint="eastAsia"/>
          <w:b w:val="0"/>
          <w:bCs w:val="0"/>
          <w:highlight w:val="none"/>
        </w:rPr>
        <w:t>综合型：磨头镇、孝敬镇、金城乡、月山镇、柏山镇。以农业发展、综合服务为主。</w:t>
      </w:r>
    </w:p>
    <w:p w14:paraId="0768CDC7">
      <w:pPr>
        <w:bidi w:val="0"/>
        <w:rPr>
          <w:rFonts w:hint="eastAsia"/>
          <w:b w:val="0"/>
          <w:bCs w:val="0"/>
          <w:highlight w:val="none"/>
        </w:rPr>
      </w:pPr>
      <w:r>
        <w:rPr>
          <w:rFonts w:hint="eastAsia"/>
          <w:b w:val="0"/>
          <w:bCs w:val="0"/>
          <w:highlight w:val="none"/>
        </w:rPr>
        <w:t>旅游型：寨豁乡。以生态旅游、休闲度假、康体养生为主题的特色旅游</w:t>
      </w:r>
      <w:r>
        <w:rPr>
          <w:rFonts w:hint="eastAsia"/>
          <w:b w:val="0"/>
          <w:bCs w:val="0"/>
          <w:highlight w:val="none"/>
          <w:lang w:val="en-US" w:eastAsia="zh-CN"/>
        </w:rPr>
        <w:t>城镇</w:t>
      </w:r>
      <w:r>
        <w:rPr>
          <w:rFonts w:hint="eastAsia"/>
          <w:b w:val="0"/>
          <w:bCs w:val="0"/>
          <w:highlight w:val="none"/>
        </w:rPr>
        <w:t>。主导产业包括生态旅游、特色农业等。</w:t>
      </w:r>
    </w:p>
    <w:p w14:paraId="383185FE">
      <w:pPr>
        <w:bidi w:val="0"/>
        <w:rPr>
          <w:rFonts w:hint="eastAsia"/>
          <w:b w:val="0"/>
          <w:bCs w:val="0"/>
          <w:highlight w:val="none"/>
        </w:rPr>
      </w:pPr>
      <w:r>
        <w:rPr>
          <w:rFonts w:hint="eastAsia"/>
          <w:b w:val="0"/>
          <w:bCs w:val="0"/>
          <w:highlight w:val="none"/>
        </w:rPr>
        <w:t>工业型：许良镇。以汽车零部件、竹制品生产销售、煤炭物流为主的工业型城镇。</w:t>
      </w:r>
    </w:p>
    <w:p w14:paraId="5637696C">
      <w:pPr>
        <w:bidi w:val="0"/>
        <w:rPr>
          <w:rFonts w:hint="eastAsia"/>
          <w:b w:val="0"/>
          <w:bCs w:val="0"/>
          <w:highlight w:val="none"/>
        </w:rPr>
      </w:pPr>
    </w:p>
    <w:p w14:paraId="3138ADCB">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73" w:name="_Toc29292"/>
      <w:bookmarkStart w:id="174" w:name="_Toc23988"/>
      <w:r>
        <w:rPr>
          <w:rFonts w:hint="eastAsia" w:cs="Times New Roman"/>
          <w:highlight w:val="none"/>
        </w:rPr>
        <w:t>产业布局</w:t>
      </w:r>
      <w:bookmarkEnd w:id="173"/>
      <w:bookmarkEnd w:id="174"/>
    </w:p>
    <w:p w14:paraId="23983CAF">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rPr>
        <w:t>产业空间布局</w:t>
      </w:r>
    </w:p>
    <w:p w14:paraId="7025933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完善县</w:t>
      </w:r>
      <w:r>
        <w:rPr>
          <w:rFonts w:hint="eastAsia" w:ascii="仿宋_GB2312" w:hAnsi="仿宋_GB2312" w:eastAsia="仿宋_GB2312"/>
          <w:b w:val="0"/>
          <w:bCs w:val="0"/>
          <w:highlight w:val="none"/>
          <w:lang w:eastAsia="zh-CN"/>
        </w:rPr>
        <w:t>-</w:t>
      </w:r>
      <w:r>
        <w:rPr>
          <w:rFonts w:hint="eastAsia"/>
          <w:b w:val="0"/>
          <w:bCs w:val="0"/>
          <w:highlight w:val="none"/>
          <w:lang w:eastAsia="zh-CN"/>
        </w:rPr>
        <w:t>乡（镇）</w:t>
      </w:r>
      <w:r>
        <w:rPr>
          <w:rFonts w:hint="eastAsia" w:ascii="仿宋_GB2312" w:hAnsi="仿宋_GB2312" w:eastAsia="仿宋_GB2312"/>
          <w:b w:val="0"/>
          <w:bCs w:val="0"/>
          <w:highlight w:val="none"/>
          <w:lang w:eastAsia="zh-CN"/>
        </w:rPr>
        <w:t>-</w:t>
      </w:r>
      <w:r>
        <w:rPr>
          <w:rFonts w:hint="eastAsia"/>
          <w:b w:val="0"/>
          <w:bCs w:val="0"/>
          <w:highlight w:val="none"/>
        </w:rPr>
        <w:t>村产业空间布局，以开发区作为产业发展核心，提升县城产业承载和配套服务能力，增强重点镇集聚功能。</w:t>
      </w:r>
    </w:p>
    <w:p w14:paraId="5F1465D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ascii="Times New Roman" w:hAnsi="Times New Roman"/>
          <w:lang w:val="en-US" w:eastAsia="zh-CN"/>
        </w:rPr>
        <w:t>以省级开发区为核心空间载体，培育壮大农产品加工、冷链物流等主导产业，加快建设经济强县</w:t>
      </w:r>
      <w:r>
        <w:rPr>
          <w:rFonts w:hint="eastAsia"/>
          <w:b w:val="0"/>
          <w:bCs w:val="0"/>
          <w:highlight w:val="none"/>
        </w:rPr>
        <w:t>。统筹布局建设农产品加工产业园，支持许良镇、磨头镇等</w:t>
      </w:r>
      <w:r>
        <w:rPr>
          <w:rFonts w:hint="eastAsia"/>
          <w:b w:val="0"/>
          <w:bCs w:val="0"/>
          <w:highlight w:val="none"/>
          <w:lang w:eastAsia="zh-CN"/>
        </w:rPr>
        <w:t>乡（镇）</w:t>
      </w:r>
      <w:r>
        <w:rPr>
          <w:rFonts w:hint="eastAsia"/>
          <w:b w:val="0"/>
          <w:bCs w:val="0"/>
          <w:highlight w:val="none"/>
        </w:rPr>
        <w:t>专业园区以及分散企业作为工业空间的重要补充，支撑发展先进制造业产业体系。把省级开发区作为博爱县工业物流、研发创新的主要空间，并作为经济发展的主战场、主引擎。</w:t>
      </w:r>
    </w:p>
    <w:p w14:paraId="6BF83E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充分利用许良镇、磨头镇分散现状建设用地，并作为工业发展重要的空间补充。乡村发展区作为乡村振兴点状项目的核心载体。农业保护区作为粮食生产主要载体，村庄建设区和一般农业区作为三次产业融合主要载体。</w:t>
      </w:r>
    </w:p>
    <w:p w14:paraId="380D570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s="Times New Roman"/>
          <w:b w:val="0"/>
          <w:bCs w:val="0"/>
          <w:highlight w:val="none"/>
        </w:rPr>
      </w:pPr>
      <w:r>
        <w:rPr>
          <w:rFonts w:hint="eastAsia" w:cs="Times New Roman"/>
          <w:b w:val="0"/>
          <w:bCs w:val="0"/>
          <w:highlight w:val="none"/>
        </w:rPr>
        <w:t>引导农产品加工企业、冷链物流服务网络向产地下沉、向园区集中。另外，重点打造寨豁乡生态文化旅游，推进第一二三产业融合发展。</w:t>
      </w:r>
    </w:p>
    <w:p w14:paraId="6B22479D">
      <w:pPr>
        <w:pStyle w:val="23"/>
        <w:numPr>
          <w:ilvl w:val="0"/>
          <w:numId w:val="3"/>
        </w:numPr>
        <w:bidi w:val="0"/>
        <w:ind w:left="0" w:leftChars="0" w:firstLine="612" w:firstLineChars="0"/>
        <w:outlineLvl w:val="2"/>
        <w:rPr>
          <w:rFonts w:hint="eastAsia"/>
          <w:highlight w:val="none"/>
          <w:lang w:val="en-US"/>
        </w:rPr>
      </w:pPr>
      <w:bookmarkStart w:id="175" w:name="_Toc4489"/>
      <w:r>
        <w:rPr>
          <w:rFonts w:hint="eastAsia"/>
          <w:highlight w:val="none"/>
          <w:lang w:val="en-US"/>
        </w:rPr>
        <w:t>开发区规划</w:t>
      </w:r>
      <w:bookmarkEnd w:id="175"/>
    </w:p>
    <w:p w14:paraId="325E578E">
      <w:pPr>
        <w:bidi w:val="0"/>
        <w:rPr>
          <w:rFonts w:hint="eastAsia"/>
          <w:b w:val="0"/>
          <w:bCs w:val="0"/>
          <w:highlight w:val="none"/>
        </w:rPr>
      </w:pPr>
      <w:r>
        <w:rPr>
          <w:rFonts w:hint="eastAsia"/>
          <w:b w:val="0"/>
          <w:bCs w:val="0"/>
          <w:highlight w:val="none"/>
        </w:rPr>
        <w:t>博爱县经济技术开发区规划总面积12.75平方公里。规划打造为河南省重要的装备制造产业基地、豫北区域具有特色优势的食品加工产业基地、中原地区领先的先进无机非金属及前沿新材料产业基地。到2035年，规划产业用地亩均税收不低于15万元。</w:t>
      </w:r>
    </w:p>
    <w:p w14:paraId="2B33262D">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76" w:name="_Toc7729"/>
      <w:bookmarkStart w:id="177" w:name="_Toc24476"/>
      <w:r>
        <w:rPr>
          <w:rFonts w:hint="eastAsia" w:cs="Times New Roman"/>
          <w:highlight w:val="none"/>
        </w:rPr>
        <w:t>城乡统筹</w:t>
      </w:r>
      <w:bookmarkEnd w:id="176"/>
      <w:bookmarkEnd w:id="177"/>
    </w:p>
    <w:p w14:paraId="27344C94">
      <w:pPr>
        <w:pStyle w:val="23"/>
        <w:numPr>
          <w:ilvl w:val="0"/>
          <w:numId w:val="3"/>
        </w:numPr>
        <w:bidi w:val="0"/>
        <w:ind w:left="0" w:leftChars="0" w:firstLine="612" w:firstLineChars="0"/>
        <w:outlineLvl w:val="2"/>
        <w:rPr>
          <w:rFonts w:hint="eastAsia"/>
          <w:highlight w:val="none"/>
          <w:lang w:val="en-US"/>
        </w:rPr>
      </w:pPr>
      <w:bookmarkStart w:id="178" w:name="_Toc24339"/>
      <w:r>
        <w:rPr>
          <w:rFonts w:hint="eastAsia"/>
          <w:highlight w:val="none"/>
          <w:lang w:val="en-US"/>
        </w:rPr>
        <w:t>城乡统筹发展战略</w:t>
      </w:r>
      <w:bookmarkEnd w:id="178"/>
    </w:p>
    <w:p w14:paraId="77736984">
      <w:pPr>
        <w:bidi w:val="0"/>
        <w:rPr>
          <w:rFonts w:hint="eastAsia"/>
          <w:b w:val="0"/>
          <w:bCs w:val="0"/>
          <w:highlight w:val="none"/>
        </w:rPr>
      </w:pPr>
      <w:r>
        <w:rPr>
          <w:rFonts w:hint="eastAsia"/>
          <w:b w:val="0"/>
          <w:bCs w:val="0"/>
          <w:highlight w:val="none"/>
        </w:rPr>
        <w:t>推进基本公共服务均等化、普惠化、便捷化，建设覆盖全民、统筹城乡、保障适度、多层次、全方位的公共服务保障。健全基本公共服务体系，提高公共服务水平，增强均衡性和可及性，建设网络化、覆盖全域、全民共享的公共服务格局。健全面向全年龄段、全人群、全要素的教育、医疗、文化、体育、社会保障等公共服务设施体系。实现更均衡的高等级公共服务和更人性的社区级基本公共服务，让人民群众获得感、幸福感、安全感更加充实、更有保障、更可持续。</w:t>
      </w:r>
    </w:p>
    <w:p w14:paraId="6D615388">
      <w:pPr>
        <w:pStyle w:val="23"/>
        <w:numPr>
          <w:ilvl w:val="0"/>
          <w:numId w:val="3"/>
        </w:numPr>
        <w:bidi w:val="0"/>
        <w:ind w:left="0" w:leftChars="0" w:firstLine="612" w:firstLineChars="0"/>
        <w:outlineLvl w:val="2"/>
        <w:rPr>
          <w:rFonts w:hint="eastAsia"/>
          <w:highlight w:val="none"/>
          <w:lang w:val="en-US"/>
        </w:rPr>
      </w:pPr>
      <w:bookmarkStart w:id="179" w:name="_Toc8137"/>
      <w:r>
        <w:rPr>
          <w:rFonts w:hint="eastAsia"/>
          <w:highlight w:val="none"/>
          <w:lang w:val="en-US"/>
        </w:rPr>
        <w:t>公共服务一体化</w:t>
      </w:r>
      <w:bookmarkEnd w:id="179"/>
    </w:p>
    <w:p w14:paraId="574B6506">
      <w:pPr>
        <w:bidi w:val="0"/>
        <w:rPr>
          <w:rFonts w:hint="eastAsia"/>
          <w:b w:val="0"/>
          <w:bCs w:val="0"/>
          <w:highlight w:val="none"/>
        </w:rPr>
      </w:pPr>
      <w:r>
        <w:rPr>
          <w:rFonts w:hint="eastAsia"/>
          <w:b w:val="0"/>
          <w:bCs w:val="0"/>
          <w:highlight w:val="none"/>
        </w:rPr>
        <w:t>建立涵盖“学有所教、病有所医、老有所养、残有所助、文体有获”等基本民生需求的全民覆盖、普惠共享、因地制宜、城乡一体、满足高品质生活需求的公共服务体系，努力提升人民群众的获得感、公平感、安全感和幸福感。按照空间布局合理的要求，规划形成县、街镇、社区</w:t>
      </w:r>
      <w:r>
        <w:rPr>
          <w:rFonts w:hint="eastAsia" w:ascii="仿宋_GB2312" w:hAnsi="仿宋_GB2312" w:eastAsia="仿宋_GB2312"/>
          <w:b w:val="0"/>
          <w:bCs w:val="0"/>
          <w:highlight w:val="none"/>
          <w:lang w:eastAsia="zh-CN"/>
        </w:rPr>
        <w:t>（</w:t>
      </w:r>
      <w:r>
        <w:rPr>
          <w:rFonts w:hint="eastAsia"/>
          <w:b w:val="0"/>
          <w:bCs w:val="0"/>
          <w:highlight w:val="none"/>
        </w:rPr>
        <w:t>村</w:t>
      </w:r>
      <w:r>
        <w:rPr>
          <w:rFonts w:hint="eastAsia" w:ascii="仿宋_GB2312" w:hAnsi="仿宋_GB2312" w:eastAsia="仿宋_GB2312"/>
          <w:b w:val="0"/>
          <w:bCs w:val="0"/>
          <w:highlight w:val="none"/>
          <w:lang w:eastAsia="zh-CN"/>
        </w:rPr>
        <w:t>）</w:t>
      </w:r>
      <w:r>
        <w:rPr>
          <w:rFonts w:hint="eastAsia"/>
          <w:b w:val="0"/>
          <w:bCs w:val="0"/>
          <w:highlight w:val="none"/>
        </w:rPr>
        <w:t>三级公共服务体系。引导与鼓励重点镇和特色镇提升公共服务设施建设标准，为周边城镇圈内其他</w:t>
      </w:r>
      <w:r>
        <w:rPr>
          <w:rFonts w:hint="eastAsia"/>
          <w:b w:val="0"/>
          <w:bCs w:val="0"/>
          <w:highlight w:val="none"/>
          <w:lang w:eastAsia="zh-CN"/>
        </w:rPr>
        <w:t>乡（镇）</w:t>
      </w:r>
      <w:r>
        <w:rPr>
          <w:rFonts w:hint="eastAsia"/>
          <w:b w:val="0"/>
          <w:bCs w:val="0"/>
          <w:highlight w:val="none"/>
        </w:rPr>
        <w:t xml:space="preserve">就近提供更好的公共服务。 </w:t>
      </w:r>
    </w:p>
    <w:p w14:paraId="7E584AFE">
      <w:pPr>
        <w:bidi w:val="0"/>
        <w:rPr>
          <w:rFonts w:hint="eastAsia"/>
          <w:b w:val="0"/>
          <w:bCs w:val="0"/>
          <w:highlight w:val="none"/>
        </w:rPr>
      </w:pPr>
      <w:r>
        <w:rPr>
          <w:rFonts w:hint="eastAsia"/>
          <w:b w:val="0"/>
          <w:bCs w:val="0"/>
          <w:highlight w:val="none"/>
        </w:rPr>
        <w:t>在中心城区构建“县级</w:t>
      </w:r>
      <w:r>
        <w:rPr>
          <w:rFonts w:hint="eastAsia" w:ascii="仿宋_GB2312" w:hAnsi="仿宋_GB2312" w:eastAsia="仿宋_GB2312"/>
          <w:b w:val="0"/>
          <w:bCs w:val="0"/>
          <w:highlight w:val="none"/>
          <w:lang w:eastAsia="zh-CN"/>
        </w:rPr>
        <w:t>--</w:t>
      </w:r>
      <w:r>
        <w:rPr>
          <w:rFonts w:hint="eastAsia"/>
          <w:b w:val="0"/>
          <w:bCs w:val="0"/>
          <w:highlight w:val="none"/>
        </w:rPr>
        <w:t>社区级”两级公共设施配套体系。县级公共设施服务中心城区和县域，社区级公共设施服务以居住功能为主的15分钟生活圈为核心，服务半径为800</w:t>
      </w:r>
      <w:r>
        <w:rPr>
          <w:rFonts w:hint="eastAsia" w:ascii="仿宋_GB2312" w:hAnsi="仿宋_GB2312" w:eastAsia="仿宋_GB2312"/>
          <w:b w:val="0"/>
          <w:bCs w:val="0"/>
          <w:highlight w:val="none"/>
          <w:lang w:eastAsia="zh-CN"/>
        </w:rPr>
        <w:t>-</w:t>
      </w:r>
      <w:r>
        <w:rPr>
          <w:rFonts w:hint="eastAsia"/>
          <w:b w:val="0"/>
          <w:bCs w:val="0"/>
          <w:highlight w:val="none"/>
        </w:rPr>
        <w:t>1000米，人口规模为3</w:t>
      </w:r>
      <w:r>
        <w:rPr>
          <w:rFonts w:hint="eastAsia" w:ascii="仿宋_GB2312" w:hAnsi="仿宋_GB2312" w:eastAsia="仿宋_GB2312"/>
          <w:b w:val="0"/>
          <w:bCs w:val="0"/>
          <w:highlight w:val="none"/>
          <w:lang w:eastAsia="zh-CN"/>
        </w:rPr>
        <w:t>-</w:t>
      </w:r>
      <w:r>
        <w:rPr>
          <w:rFonts w:hint="eastAsia"/>
          <w:b w:val="0"/>
          <w:bCs w:val="0"/>
          <w:highlight w:val="none"/>
        </w:rPr>
        <w:t>5万人左右。</w:t>
      </w:r>
    </w:p>
    <w:p w14:paraId="596D8B73">
      <w:pPr>
        <w:spacing w:beforeLines="0" w:afterLines="0"/>
        <w:rPr>
          <w:rFonts w:hint="eastAsia" w:ascii="Times New Roman" w:hAnsi="Times New Roman" w:cs="Times New Roman"/>
          <w:sz w:val="32"/>
          <w:szCs w:val="24"/>
          <w:highlight w:val="none"/>
        </w:rPr>
      </w:pPr>
      <w:r>
        <w:rPr>
          <w:rFonts w:hint="eastAsia" w:ascii="Times New Roman" w:hAnsi="Times New Roman" w:cs="Times New Roman"/>
          <w:sz w:val="32"/>
          <w:szCs w:val="24"/>
          <w:highlight w:val="none"/>
          <w:lang w:eastAsia="zh-CN"/>
        </w:rPr>
        <w:t>规划</w:t>
      </w:r>
      <w:r>
        <w:rPr>
          <w:rFonts w:hint="eastAsia" w:ascii="Times New Roman" w:hAnsi="Times New Roman" w:cs="Times New Roman"/>
          <w:sz w:val="32"/>
          <w:szCs w:val="24"/>
          <w:highlight w:val="none"/>
        </w:rPr>
        <w:t>至少建成1个不少于100亩的城市公益性公墓，每个乡镇至少建成1个面积不少于50亩的示范性农村公益性公墓，殡葬基础设施实现县乡两级全覆盖。</w:t>
      </w:r>
    </w:p>
    <w:p w14:paraId="09D38F01">
      <w:pPr>
        <w:bidi w:val="0"/>
        <w:rPr>
          <w:rFonts w:hint="eastAsia"/>
          <w:b w:val="0"/>
          <w:bCs w:val="0"/>
          <w:highlight w:val="none"/>
        </w:rPr>
      </w:pPr>
      <w:r>
        <w:rPr>
          <w:rFonts w:hint="eastAsia"/>
          <w:b w:val="0"/>
          <w:bCs w:val="0"/>
          <w:highlight w:val="none"/>
        </w:rPr>
        <w:t xml:space="preserve">在乡村地区构建“街镇生活圈、中心村生活圈、基层村生活圈”三级公共设施配套体系。街镇生活圈结合镇区中心组织，提供较为综合、全面的公共服务项目；中心村生活圈结合中心村组织，提供齐全完善的日常生活服务项目；基层村生活圈结合基层村组织，提供最基本的日常生产生活服务项目。 </w:t>
      </w:r>
      <w:bookmarkStart w:id="180" w:name="_Toc27588"/>
      <w:bookmarkStart w:id="181" w:name="_Toc23442"/>
    </w:p>
    <w:p w14:paraId="788AA0D4">
      <w:pPr>
        <w:tabs>
          <w:tab w:val="left" w:pos="864"/>
        </w:tabs>
        <w:bidi w:val="0"/>
        <w:ind w:left="0" w:leftChars="0" w:firstLine="0" w:firstLineChars="0"/>
        <w:jc w:val="left"/>
        <w:rPr>
          <w:rFonts w:hint="eastAsia" w:eastAsia="仿宋_GB2312"/>
          <w:lang w:eastAsia="zh-CN"/>
        </w:rPr>
        <w:sectPr>
          <w:pgSz w:w="11906" w:h="16838"/>
          <w:pgMar w:top="1440" w:right="1797" w:bottom="1440" w:left="1797" w:header="850" w:footer="850" w:gutter="0"/>
          <w:pgNumType w:fmt="decimal"/>
          <w:cols w:space="720" w:num="1"/>
          <w:rtlGutter w:val="0"/>
          <w:docGrid w:type="lines" w:linePitch="436" w:charSpace="0"/>
        </w:sectPr>
      </w:pPr>
    </w:p>
    <w:bookmarkEnd w:id="180"/>
    <w:bookmarkEnd w:id="181"/>
    <w:p w14:paraId="18D34076">
      <w:pPr>
        <w:numPr>
          <w:ilvl w:val="0"/>
          <w:numId w:val="2"/>
        </w:numPr>
        <w:spacing w:before="200" w:beforeLines="0" w:after="400" w:afterLines="0"/>
        <w:ind w:firstLine="0" w:firstLineChars="0"/>
        <w:jc w:val="center"/>
        <w:outlineLvl w:val="0"/>
        <w:rPr>
          <w:rFonts w:hint="eastAsia" w:ascii="黑体" w:hAnsi="黑体" w:eastAsia="黑体" w:cs="黑体"/>
          <w:color w:val="auto"/>
          <w:sz w:val="44"/>
          <w:szCs w:val="44"/>
        </w:rPr>
      </w:pPr>
      <w:bookmarkStart w:id="182" w:name="_Toc9353"/>
      <w:bookmarkStart w:id="183" w:name="_Toc9708"/>
      <w:bookmarkStart w:id="184" w:name="_Toc3283"/>
      <w:r>
        <w:rPr>
          <w:rStyle w:val="18"/>
          <w:rFonts w:hint="eastAsia"/>
          <w:sz w:val="36"/>
          <w:szCs w:val="24"/>
          <w:lang w:val="zh-CN"/>
        </w:rPr>
        <w:t>中心城区空间布局</w:t>
      </w:r>
      <w:bookmarkEnd w:id="182"/>
    </w:p>
    <w:p w14:paraId="05A28BB9">
      <w:pPr>
        <w:pStyle w:val="3"/>
        <w:numPr>
          <w:ilvl w:val="1"/>
          <w:numId w:val="2"/>
        </w:numPr>
        <w:ind w:firstLine="0"/>
        <w:rPr>
          <w:rFonts w:hint="eastAsia" w:cs="Times New Roman"/>
          <w:sz w:val="32"/>
          <w:szCs w:val="24"/>
        </w:rPr>
      </w:pPr>
      <w:bookmarkStart w:id="185" w:name="_Toc3142"/>
      <w:r>
        <w:rPr>
          <w:rFonts w:hint="eastAsia" w:cs="Times New Roman"/>
          <w:sz w:val="32"/>
          <w:szCs w:val="24"/>
        </w:rPr>
        <w:t>中心城区总体空间结构和用地布局</w:t>
      </w:r>
      <w:bookmarkEnd w:id="185"/>
    </w:p>
    <w:p w14:paraId="2E6C1A3E">
      <w:pPr>
        <w:pStyle w:val="23"/>
        <w:numPr>
          <w:ilvl w:val="0"/>
          <w:numId w:val="3"/>
        </w:numPr>
        <w:spacing w:beforeLines="0" w:afterLines="0"/>
        <w:outlineLvl w:val="2"/>
        <w:rPr>
          <w:rFonts w:hint="eastAsia"/>
          <w:sz w:val="32"/>
          <w:szCs w:val="32"/>
          <w:lang w:val="en-US"/>
        </w:rPr>
      </w:pPr>
      <w:r>
        <w:rPr>
          <w:rFonts w:hint="eastAsia"/>
          <w:sz w:val="32"/>
          <w:szCs w:val="32"/>
          <w:lang w:val="en-US"/>
        </w:rPr>
        <w:t>中心城区范围</w:t>
      </w:r>
    </w:p>
    <w:p w14:paraId="4AB0F54D">
      <w:pPr>
        <w:spacing w:beforeLines="0" w:afterLines="0"/>
        <w:rPr>
          <w:rFonts w:hint="eastAsia"/>
          <w:sz w:val="32"/>
          <w:szCs w:val="24"/>
        </w:rPr>
      </w:pPr>
      <w:r>
        <w:rPr>
          <w:rFonts w:hint="eastAsia"/>
          <w:sz w:val="32"/>
          <w:szCs w:val="24"/>
        </w:rPr>
        <w:t>中心城区范围44.</w:t>
      </w:r>
      <w:r>
        <w:rPr>
          <w:rFonts w:hint="eastAsia"/>
          <w:sz w:val="32"/>
          <w:szCs w:val="24"/>
          <w:lang w:val="en-US" w:eastAsia="zh-CN"/>
        </w:rPr>
        <w:t>80</w:t>
      </w:r>
      <w:r>
        <w:rPr>
          <w:rFonts w:hint="eastAsia"/>
          <w:sz w:val="32"/>
          <w:szCs w:val="24"/>
        </w:rPr>
        <w:t>平方公里，包括月山镇镇区和柏山镇镇区，作为中心城区发展的重要组团，另外包括博爱县经济技术开发区12.75平方公里。</w:t>
      </w:r>
    </w:p>
    <w:p w14:paraId="3F1B06FF">
      <w:pPr>
        <w:spacing w:beforeLines="0" w:afterLines="0"/>
        <w:rPr>
          <w:rFonts w:hint="eastAsia" w:ascii="Times New Roman" w:hAnsi="Times New Roman" w:eastAsia="仿宋_GB2312" w:cs="Times New Roman"/>
          <w:sz w:val="32"/>
          <w:szCs w:val="24"/>
          <w:highlight w:val="none"/>
          <w:lang w:eastAsia="zh-CN"/>
        </w:rPr>
      </w:pPr>
      <w:r>
        <w:rPr>
          <w:rFonts w:hint="eastAsia" w:ascii="Times New Roman" w:hAnsi="Times New Roman" w:cs="Times New Roman"/>
          <w:sz w:val="32"/>
          <w:szCs w:val="24"/>
          <w:highlight w:val="none"/>
        </w:rPr>
        <w:t>在中心城区范围内、城镇开发边界外的区域，编制乡镇级国土空间规划或村庄规划，作为规划实施和管理的依据</w:t>
      </w:r>
      <w:r>
        <w:rPr>
          <w:rFonts w:hint="eastAsia" w:ascii="Times New Roman" w:hAnsi="Times New Roman" w:cs="Times New Roman"/>
          <w:sz w:val="32"/>
          <w:szCs w:val="24"/>
          <w:highlight w:val="none"/>
          <w:lang w:eastAsia="zh-CN"/>
        </w:rPr>
        <w:t>。</w:t>
      </w:r>
    </w:p>
    <w:p w14:paraId="1F82FEED">
      <w:pPr>
        <w:pStyle w:val="23"/>
        <w:numPr>
          <w:ilvl w:val="0"/>
          <w:numId w:val="3"/>
        </w:numPr>
        <w:spacing w:beforeLines="0" w:afterLines="0"/>
        <w:outlineLvl w:val="2"/>
        <w:rPr>
          <w:rFonts w:hint="eastAsia"/>
          <w:sz w:val="32"/>
          <w:szCs w:val="32"/>
          <w:lang w:val="en-US"/>
        </w:rPr>
      </w:pPr>
      <w:r>
        <w:rPr>
          <w:rFonts w:hint="eastAsia"/>
          <w:sz w:val="32"/>
          <w:szCs w:val="32"/>
          <w:lang w:val="en-US"/>
        </w:rPr>
        <w:t>中心城区人口及用地规模</w:t>
      </w:r>
    </w:p>
    <w:p w14:paraId="659C6F79">
      <w:pPr>
        <w:spacing w:beforeLines="0" w:afterLines="0"/>
        <w:rPr>
          <w:rFonts w:hint="eastAsia" w:ascii="Times New Roman" w:hAnsi="Times New Roman" w:cs="Times New Roman"/>
          <w:sz w:val="32"/>
          <w:szCs w:val="24"/>
          <w:highlight w:val="none"/>
        </w:rPr>
      </w:pPr>
      <w:r>
        <w:rPr>
          <w:rFonts w:hint="eastAsia" w:ascii="Times New Roman" w:hAnsi="Times New Roman" w:cs="Times New Roman"/>
          <w:sz w:val="32"/>
          <w:szCs w:val="24"/>
          <w:highlight w:val="none"/>
        </w:rPr>
        <w:t>至2035年，中心城区城镇开发边界面积41</w:t>
      </w:r>
      <w:r>
        <w:rPr>
          <w:rFonts w:hint="eastAsia" w:ascii="Times New Roman" w:hAnsi="Times New Roman" w:cs="Times New Roman"/>
          <w:sz w:val="32"/>
          <w:szCs w:val="24"/>
          <w:highlight w:val="none"/>
          <w:lang w:val="en-US" w:eastAsia="zh-CN"/>
        </w:rPr>
        <w:t>17.44</w:t>
      </w:r>
      <w:r>
        <w:rPr>
          <w:rFonts w:hint="eastAsia" w:ascii="Times New Roman" w:hAnsi="Times New Roman" w:cs="Times New Roman"/>
          <w:sz w:val="32"/>
          <w:szCs w:val="24"/>
          <w:highlight w:val="none"/>
        </w:rPr>
        <w:t>公顷。规划人口24万人，含柏山镇和月山镇镇区规划人口。</w:t>
      </w:r>
    </w:p>
    <w:p w14:paraId="3189E6AE">
      <w:pPr>
        <w:spacing w:beforeLines="0" w:afterLines="0"/>
        <w:rPr>
          <w:rFonts w:hint="eastAsia" w:ascii="Times New Roman" w:hAnsi="Times New Roman" w:cs="Times New Roman"/>
          <w:sz w:val="32"/>
          <w:szCs w:val="24"/>
          <w:highlight w:val="none"/>
        </w:rPr>
      </w:pPr>
      <w:r>
        <w:rPr>
          <w:rFonts w:hint="eastAsia" w:ascii="Times New Roman" w:hAnsi="Times New Roman" w:cs="Times New Roman"/>
          <w:sz w:val="32"/>
          <w:szCs w:val="24"/>
          <w:highlight w:val="none"/>
        </w:rPr>
        <w:t>月山镇镇区组团规划城镇人口0.5-1万人。柏山镇镇区组团规划城镇人口0.5-1万人。</w:t>
      </w:r>
    </w:p>
    <w:p w14:paraId="7AB9D344">
      <w:pPr>
        <w:pStyle w:val="23"/>
        <w:numPr>
          <w:ilvl w:val="0"/>
          <w:numId w:val="3"/>
        </w:numPr>
        <w:spacing w:beforeLines="0" w:afterLines="0"/>
        <w:outlineLvl w:val="2"/>
        <w:rPr>
          <w:rFonts w:hint="eastAsia"/>
          <w:sz w:val="32"/>
          <w:szCs w:val="32"/>
          <w:lang w:val="en-US"/>
        </w:rPr>
      </w:pPr>
      <w:r>
        <w:rPr>
          <w:rFonts w:hint="eastAsia"/>
          <w:sz w:val="32"/>
          <w:szCs w:val="32"/>
          <w:lang w:val="en-US"/>
        </w:rPr>
        <w:t>中心城区空间结构及中心体系</w:t>
      </w:r>
    </w:p>
    <w:p w14:paraId="4A662876">
      <w:pPr>
        <w:spacing w:beforeLines="0" w:afterLines="0"/>
        <w:rPr>
          <w:rFonts w:hint="eastAsia"/>
          <w:sz w:val="32"/>
          <w:szCs w:val="24"/>
        </w:rPr>
      </w:pPr>
      <w:r>
        <w:rPr>
          <w:rFonts w:hint="eastAsia"/>
          <w:sz w:val="32"/>
          <w:szCs w:val="24"/>
        </w:rPr>
        <w:t>构建“三心四块五轴”的城市空间结构。</w:t>
      </w:r>
    </w:p>
    <w:p w14:paraId="22E3B8F1">
      <w:pPr>
        <w:spacing w:beforeLines="0" w:afterLines="0"/>
        <w:rPr>
          <w:rFonts w:hint="eastAsia"/>
          <w:sz w:val="32"/>
          <w:szCs w:val="24"/>
        </w:rPr>
      </w:pPr>
      <w:r>
        <w:rPr>
          <w:rFonts w:hint="eastAsia"/>
          <w:sz w:val="32"/>
          <w:szCs w:val="24"/>
        </w:rPr>
        <w:t>三心：高铁新城商务商业中心、老城商业综合服务中心、幸福湖公园生态休闲核心。</w:t>
      </w:r>
    </w:p>
    <w:p w14:paraId="265F31F3">
      <w:pPr>
        <w:spacing w:beforeLines="0" w:afterLines="0"/>
        <w:rPr>
          <w:rFonts w:hint="eastAsia"/>
          <w:sz w:val="32"/>
          <w:szCs w:val="24"/>
        </w:rPr>
      </w:pPr>
      <w:r>
        <w:rPr>
          <w:rFonts w:hint="eastAsia"/>
          <w:sz w:val="32"/>
          <w:szCs w:val="24"/>
        </w:rPr>
        <w:t>四块：以用地主导功能为基础，通过主干道、水系生态廊道分割与联系，规划的高铁新城综合板块、中部老城生活板块、城东和城南两个产业板块。</w:t>
      </w:r>
    </w:p>
    <w:p w14:paraId="21411088">
      <w:pPr>
        <w:spacing w:beforeLines="0" w:afterLines="0"/>
        <w:rPr>
          <w:rFonts w:hint="eastAsia"/>
          <w:sz w:val="32"/>
          <w:szCs w:val="24"/>
        </w:rPr>
      </w:pPr>
      <w:r>
        <w:rPr>
          <w:rFonts w:hint="eastAsia"/>
          <w:sz w:val="32"/>
          <w:szCs w:val="24"/>
        </w:rPr>
        <w:t>五轴：以人民路、中山路为两条东西对接焦作市区的空间生长轴，沿海华路形成的南北向城市内部空间生长轴，沿发展大道和葵城路高效组织城市的生产、生活功能，形成城市的两条功能拓展轴。</w:t>
      </w:r>
    </w:p>
    <w:p w14:paraId="3F1E5675">
      <w:pPr>
        <w:pStyle w:val="23"/>
        <w:numPr>
          <w:ilvl w:val="0"/>
          <w:numId w:val="3"/>
        </w:numPr>
        <w:spacing w:beforeLines="0" w:afterLines="0"/>
        <w:outlineLvl w:val="2"/>
        <w:rPr>
          <w:rFonts w:hint="eastAsia"/>
          <w:sz w:val="32"/>
          <w:szCs w:val="32"/>
          <w:lang w:val="en-US"/>
        </w:rPr>
      </w:pPr>
      <w:r>
        <w:rPr>
          <w:rFonts w:hint="eastAsia"/>
          <w:sz w:val="32"/>
          <w:szCs w:val="32"/>
          <w:lang w:val="en-US"/>
        </w:rPr>
        <w:t>中心城区规划分区及管控要求</w:t>
      </w:r>
    </w:p>
    <w:p w14:paraId="79DDE616">
      <w:pPr>
        <w:spacing w:beforeLines="0" w:afterLines="0"/>
        <w:rPr>
          <w:rFonts w:hint="eastAsia"/>
          <w:sz w:val="32"/>
          <w:szCs w:val="24"/>
        </w:rPr>
      </w:pPr>
      <w:r>
        <w:rPr>
          <w:rFonts w:hint="eastAsia"/>
          <w:sz w:val="32"/>
          <w:szCs w:val="24"/>
        </w:rPr>
        <w:t>规划居住生活区14个，包括老城，新城，开发区，柏山和月山组团等。规划综合服务区13个，其中1个城市级、12个片区级。规划商业商务区2个，分别为高铁商务区和老城商业区。规划工业发展区2个，由省级开发区的两部分组成，分别为城东和城南两个区块。规划物流仓储区2个，分别为城南物流区和日照港片区。规划绿地休闲区2个，分别为李商隐文化园片区和带状幸福河湿地公园片区。规划交通枢纽区1个，为焦作西站片区。战略预留区1个，位于铁路北侧。</w:t>
      </w:r>
    </w:p>
    <w:p w14:paraId="5EE1168D">
      <w:pPr>
        <w:spacing w:beforeLines="0" w:afterLines="0"/>
        <w:rPr>
          <w:rFonts w:hint="eastAsia"/>
          <w:sz w:val="32"/>
          <w:szCs w:val="24"/>
        </w:rPr>
      </w:pPr>
      <w:r>
        <w:rPr>
          <w:rFonts w:hint="eastAsia"/>
          <w:sz w:val="32"/>
          <w:szCs w:val="24"/>
        </w:rPr>
        <w:t>居住生活区以居住用地为主，兼容公共服务设施用地、绿地与广场用地、商服用地，面积1855.61公顷。以住宅建筑和居住配套设施为主要功能，分为14个居住生活区，主要位于中心城区中部和北部。</w:t>
      </w:r>
    </w:p>
    <w:p w14:paraId="2CDDA038">
      <w:pPr>
        <w:spacing w:beforeLines="0" w:afterLines="0"/>
        <w:rPr>
          <w:rFonts w:hint="eastAsia"/>
          <w:sz w:val="32"/>
          <w:szCs w:val="24"/>
        </w:rPr>
      </w:pPr>
      <w:r>
        <w:rPr>
          <w:rFonts w:hint="eastAsia"/>
          <w:sz w:val="32"/>
          <w:szCs w:val="24"/>
        </w:rPr>
        <w:t>商业商务区以商业、商务用地为主，面积138.17公顷。以公共管理与公共服务用地、绿地与广场用地、居住用地为辅。以提供商业、商务办公等就业岗位为主要功能，包括为高铁商务区和老城商业区。</w:t>
      </w:r>
    </w:p>
    <w:p w14:paraId="42E2A33B">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综合服务区以公共管理与公共服务用地、商业、商务用地为主，以绿地与广场用地、居住用地为辅。以提供行政办公、文化、教育、医疗等服务为主要功能。在北部新城中心博爱公园片区形成县级综合服务区，结合生活圈规划12个片区级综合服务区，面积419.85公顷。</w:t>
      </w:r>
    </w:p>
    <w:p w14:paraId="4FF4E8BD">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工业发展区以工业、物流用地为主，适当布局为企业服务的商业、商务用地，面积1332.83公顷。以工业及其配套产业为主导功能，主要位于中心城区南部和东部。包括装备制造产业园区、先进无机非金属及前沿新材料产业园区、食品加工产业园区、智慧物流园区等5区。</w:t>
      </w:r>
    </w:p>
    <w:p w14:paraId="59642C6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物流仓储区以物流仓储用地为主，以物流仓储用地及其配套产业为主要功能导向的区域，主要位于中心城区北部和南部。包括城南物流区、日照港片区2个区，面积约92.40公顷。</w:t>
      </w:r>
    </w:p>
    <w:p w14:paraId="5B2E513B">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绿地休闲区以绿地与广场用地为主，可兼容少量商服用地、公共管理与公共服务用地，面积148.18公顷。以公园绿地、广场用地、滨水开放空间、防护绿地等为主要功能，主要位于李商隐文化园和幸福河两侧的区域。</w:t>
      </w:r>
    </w:p>
    <w:p w14:paraId="567BFF6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ascii="仿宋_GB2312" w:hAnsi="仿宋_GB2312" w:cs="仿宋_GB2312"/>
          <w:color w:val="auto"/>
          <w:sz w:val="32"/>
          <w:szCs w:val="32"/>
        </w:rPr>
      </w:pPr>
      <w:r>
        <w:rPr>
          <w:rFonts w:hint="eastAsia"/>
          <w:sz w:val="32"/>
          <w:szCs w:val="24"/>
        </w:rPr>
        <w:t>交通枢纽区以铁路用地、公路用地等区域基础设施用地，以及道路与交通设施用地为主，适当兼容仓储用地、商服用地、居住用地，面积77.05公顷。以铁路客货运站等大型交通设施为主要功能，为北部高铁站周边区域。</w:t>
      </w:r>
    </w:p>
    <w:p w14:paraId="11F1351B">
      <w:pPr>
        <w:pStyle w:val="23"/>
        <w:numPr>
          <w:ilvl w:val="0"/>
          <w:numId w:val="3"/>
        </w:numPr>
        <w:spacing w:beforeLines="0" w:afterLines="0"/>
        <w:outlineLvl w:val="2"/>
        <w:rPr>
          <w:rFonts w:hint="eastAsia"/>
          <w:sz w:val="32"/>
          <w:szCs w:val="32"/>
          <w:lang w:val="en-US"/>
        </w:rPr>
      </w:pPr>
      <w:r>
        <w:rPr>
          <w:rFonts w:hint="eastAsia"/>
          <w:sz w:val="32"/>
          <w:szCs w:val="32"/>
          <w:lang w:val="en-US"/>
        </w:rPr>
        <w:t>中心城区建设用地布局</w:t>
      </w:r>
    </w:p>
    <w:p w14:paraId="6A33E8F9">
      <w:pPr>
        <w:spacing w:beforeLines="0" w:afterLines="0"/>
        <w:outlineLvl w:val="3"/>
        <w:rPr>
          <w:rFonts w:hint="eastAsia"/>
          <w:sz w:val="32"/>
          <w:szCs w:val="24"/>
        </w:rPr>
      </w:pPr>
      <w:r>
        <w:rPr>
          <w:rFonts w:hint="eastAsia"/>
          <w:sz w:val="32"/>
          <w:szCs w:val="24"/>
        </w:rPr>
        <w:t>1．优化生活空间布局，合理配置公共服务资源</w:t>
      </w:r>
    </w:p>
    <w:p w14:paraId="3B404649">
      <w:pPr>
        <w:spacing w:beforeLines="0" w:afterLines="0"/>
        <w:rPr>
          <w:rFonts w:hint="eastAsia"/>
          <w:sz w:val="32"/>
          <w:szCs w:val="24"/>
        </w:rPr>
      </w:pPr>
      <w:r>
        <w:rPr>
          <w:rFonts w:hint="eastAsia"/>
          <w:sz w:val="32"/>
          <w:szCs w:val="24"/>
        </w:rPr>
        <w:t>适度增加城镇住宅用地规模，主要位于高铁新城综合板块、中部老城生活板块。规划居住用地731.08公顷，占比22.67%。</w:t>
      </w:r>
    </w:p>
    <w:p w14:paraId="134DE545">
      <w:pPr>
        <w:spacing w:beforeLines="0" w:afterLines="0"/>
        <w:rPr>
          <w:rFonts w:hint="eastAsia"/>
          <w:sz w:val="32"/>
          <w:szCs w:val="24"/>
        </w:rPr>
      </w:pPr>
      <w:r>
        <w:rPr>
          <w:rFonts w:hint="eastAsia"/>
          <w:sz w:val="32"/>
          <w:szCs w:val="24"/>
        </w:rPr>
        <w:t>增加公共服务设施用地供给，规划公共管理与公共服务用地249.12公顷，占比7.72%。</w:t>
      </w:r>
    </w:p>
    <w:p w14:paraId="54A94F75">
      <w:pPr>
        <w:spacing w:beforeLines="0" w:afterLines="0"/>
        <w:outlineLvl w:val="3"/>
        <w:rPr>
          <w:rFonts w:hint="eastAsia"/>
          <w:sz w:val="32"/>
          <w:szCs w:val="24"/>
        </w:rPr>
      </w:pPr>
      <w:r>
        <w:rPr>
          <w:rFonts w:hint="eastAsia"/>
          <w:sz w:val="32"/>
          <w:szCs w:val="24"/>
        </w:rPr>
        <w:t>2．保障产业空间，促进产业优化转型</w:t>
      </w:r>
    </w:p>
    <w:p w14:paraId="6DE88815">
      <w:pPr>
        <w:spacing w:beforeLines="0" w:afterLines="0"/>
        <w:rPr>
          <w:rFonts w:hint="eastAsia"/>
          <w:sz w:val="32"/>
          <w:szCs w:val="24"/>
        </w:rPr>
      </w:pPr>
      <w:r>
        <w:rPr>
          <w:rFonts w:hint="eastAsia"/>
          <w:sz w:val="32"/>
          <w:szCs w:val="24"/>
        </w:rPr>
        <w:t>保障博爱县经济技术开发区产业用地规模，引导零散分布的企业向开发区集中，提高土地利用率。推进低效存量工业仓储用地转型升级和土地多功能复合利用。规划工矿用地 954.47公顷，占比29.60%。规划仓储用地69.95公顷，占比2.17%。</w:t>
      </w:r>
    </w:p>
    <w:p w14:paraId="32228020">
      <w:pPr>
        <w:spacing w:beforeLines="0" w:afterLines="0"/>
        <w:outlineLvl w:val="3"/>
        <w:rPr>
          <w:rFonts w:hint="eastAsia" w:cs="Times New Roman"/>
          <w:sz w:val="32"/>
          <w:szCs w:val="24"/>
        </w:rPr>
      </w:pPr>
      <w:r>
        <w:rPr>
          <w:rFonts w:hint="eastAsia" w:cs="Times New Roman"/>
          <w:sz w:val="32"/>
          <w:szCs w:val="24"/>
        </w:rPr>
        <w:t>3．增加绿地与开敞空间，提升城市环境品质</w:t>
      </w:r>
    </w:p>
    <w:p w14:paraId="32D16C45">
      <w:pPr>
        <w:spacing w:beforeLines="0" w:afterLines="0"/>
        <w:rPr>
          <w:rFonts w:hint="eastAsia" w:cs="Times New Roman"/>
          <w:sz w:val="32"/>
          <w:szCs w:val="24"/>
        </w:rPr>
      </w:pPr>
      <w:r>
        <w:rPr>
          <w:rFonts w:hint="eastAsia" w:cs="Times New Roman"/>
          <w:sz w:val="32"/>
          <w:szCs w:val="24"/>
        </w:rPr>
        <w:t>结合蓝绿空间，以生活圈为服务半径建设一批城市公园绿地和休闲游憩场所。中心城区规划绿地与开敞空间用地 355.02公顷，占比11.01%。</w:t>
      </w:r>
    </w:p>
    <w:p w14:paraId="66BE427B">
      <w:pPr>
        <w:spacing w:beforeLines="0" w:afterLines="0"/>
        <w:outlineLvl w:val="3"/>
        <w:rPr>
          <w:rFonts w:hint="eastAsia"/>
          <w:sz w:val="32"/>
          <w:szCs w:val="24"/>
        </w:rPr>
      </w:pPr>
      <w:r>
        <w:rPr>
          <w:rFonts w:hint="eastAsia"/>
          <w:sz w:val="32"/>
          <w:szCs w:val="24"/>
        </w:rPr>
        <w:t>4．合理控制其他用地比例，优化用地结构</w:t>
      </w:r>
    </w:p>
    <w:p w14:paraId="0D35D804">
      <w:pPr>
        <w:spacing w:beforeLines="0" w:afterLines="0"/>
        <w:rPr>
          <w:rFonts w:hint="eastAsia"/>
          <w:sz w:val="32"/>
          <w:szCs w:val="24"/>
        </w:rPr>
      </w:pPr>
      <w:r>
        <w:rPr>
          <w:rFonts w:hint="eastAsia"/>
          <w:sz w:val="32"/>
          <w:szCs w:val="24"/>
        </w:rPr>
        <w:t>规划商业服务业用地166.09公顷，占比5.15%；规划交通运输用地596.02公顷，占比18.48%；规划公用设施用地17.68公顷，占比0.55%，规划留白用地85.51公顷，占比2.65%。</w:t>
      </w:r>
    </w:p>
    <w:p w14:paraId="484FE99B">
      <w:pPr>
        <w:spacing w:beforeLines="0" w:afterLines="0"/>
        <w:rPr>
          <w:rFonts w:hint="eastAsia"/>
          <w:sz w:val="32"/>
          <w:szCs w:val="24"/>
        </w:rPr>
      </w:pPr>
      <w:r>
        <w:rPr>
          <w:rFonts w:hint="eastAsia"/>
          <w:sz w:val="32"/>
          <w:szCs w:val="24"/>
        </w:rPr>
        <w:t>规划将柏山镇镇区和月山镇镇区统筹纳入中心城区规划建设。同时保障乡（镇）政府事权，规划留白用地的具体用地功能由</w:t>
      </w:r>
      <w:r>
        <w:rPr>
          <w:rFonts w:hint="eastAsia" w:ascii="仿宋_GB2312" w:hAnsi="仿宋_GB2312"/>
          <w:sz w:val="32"/>
          <w:szCs w:val="24"/>
        </w:rPr>
        <w:t>乡镇国土空间规划</w:t>
      </w:r>
      <w:r>
        <w:rPr>
          <w:rFonts w:hint="eastAsia"/>
          <w:sz w:val="32"/>
          <w:szCs w:val="24"/>
        </w:rPr>
        <w:t>细化。</w:t>
      </w:r>
    </w:p>
    <w:p w14:paraId="759B6FDD">
      <w:pPr>
        <w:pStyle w:val="23"/>
        <w:numPr>
          <w:ilvl w:val="0"/>
          <w:numId w:val="3"/>
        </w:numPr>
        <w:spacing w:beforeLines="0" w:afterLines="0"/>
        <w:outlineLvl w:val="2"/>
        <w:rPr>
          <w:rFonts w:hint="eastAsia"/>
          <w:sz w:val="32"/>
          <w:szCs w:val="32"/>
          <w:lang w:val="en-US"/>
        </w:rPr>
      </w:pPr>
      <w:r>
        <w:rPr>
          <w:rFonts w:hint="eastAsia"/>
          <w:sz w:val="32"/>
          <w:szCs w:val="32"/>
          <w:lang w:val="en-US"/>
        </w:rPr>
        <w:t>构建宜居社区生活圈</w:t>
      </w:r>
    </w:p>
    <w:p w14:paraId="03611BF3">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hint="eastAsia"/>
          <w:sz w:val="32"/>
          <w:szCs w:val="24"/>
        </w:rPr>
      </w:pPr>
      <w:r>
        <w:rPr>
          <w:rFonts w:hint="eastAsia"/>
          <w:sz w:val="32"/>
          <w:szCs w:val="24"/>
        </w:rPr>
        <w:t>构建“15</w:t>
      </w:r>
      <w:r>
        <w:rPr>
          <w:rFonts w:hint="eastAsia" w:ascii="仿宋_GB2312" w:hAnsi="仿宋_GB2312" w:cs="仿宋_GB2312"/>
          <w:sz w:val="32"/>
          <w:szCs w:val="24"/>
        </w:rPr>
        <w:t>-</w:t>
      </w:r>
      <w:r>
        <w:rPr>
          <w:rFonts w:hint="eastAsia"/>
          <w:sz w:val="32"/>
          <w:szCs w:val="24"/>
        </w:rPr>
        <w:t>10</w:t>
      </w:r>
      <w:r>
        <w:rPr>
          <w:rFonts w:hint="eastAsia" w:ascii="仿宋_GB2312" w:hAnsi="仿宋_GB2312" w:cs="仿宋_GB2312"/>
          <w:sz w:val="32"/>
          <w:szCs w:val="24"/>
        </w:rPr>
        <w:t>-</w:t>
      </w:r>
      <w:r>
        <w:rPr>
          <w:rFonts w:hint="eastAsia"/>
          <w:sz w:val="32"/>
          <w:szCs w:val="24"/>
        </w:rPr>
        <w:t>5”分钟三级社区生活圈体系，旨在打造博爱“宜居、宜业、宜游、宜学、宜养”的五宜家园，努力推动实现幼有善育、学有优教、劳有厚得、病有良医、老有颐养、住有宜居、弱有众扶。按照生活便利、自然和干路交通分割的空间划定思路，博爱县中心城区共划分为6个十五分钟生活圈。分层引导居住空间布局和设施配置，构建宜居社区。15分钟生活圈服务半径为1000米，服务人口规模为3</w:t>
      </w:r>
      <w:r>
        <w:rPr>
          <w:rFonts w:hint="eastAsia" w:ascii="仿宋_GB2312" w:hAnsi="仿宋_GB2312"/>
          <w:sz w:val="32"/>
          <w:szCs w:val="24"/>
        </w:rPr>
        <w:t>-</w:t>
      </w:r>
      <w:r>
        <w:rPr>
          <w:rFonts w:hint="eastAsia"/>
          <w:sz w:val="32"/>
          <w:szCs w:val="24"/>
        </w:rPr>
        <w:t>5万人，配置初中、社区服务中心、卫生服务中心、大型多功能运动场地、文化活动中心、养老</w:t>
      </w:r>
      <w:r>
        <w:rPr>
          <w:rFonts w:hint="eastAsia" w:ascii="仿宋_GB2312" w:hAnsi="仿宋_GB2312"/>
          <w:sz w:val="32"/>
          <w:szCs w:val="24"/>
        </w:rPr>
        <w:t>（</w:t>
      </w:r>
      <w:r>
        <w:rPr>
          <w:rFonts w:hint="eastAsia"/>
          <w:sz w:val="32"/>
          <w:szCs w:val="24"/>
        </w:rPr>
        <w:t>护</w:t>
      </w:r>
      <w:r>
        <w:rPr>
          <w:rFonts w:hint="eastAsia" w:ascii="仿宋_GB2312" w:hAnsi="仿宋_GB2312"/>
          <w:sz w:val="32"/>
          <w:szCs w:val="24"/>
        </w:rPr>
        <w:t>）</w:t>
      </w:r>
      <w:r>
        <w:rPr>
          <w:rFonts w:hint="eastAsia"/>
          <w:sz w:val="32"/>
          <w:szCs w:val="24"/>
        </w:rPr>
        <w:t>院等设施；10分钟生活圈服务半径为500米，服务人口规模1.5</w:t>
      </w:r>
      <w:r>
        <w:rPr>
          <w:rFonts w:hint="eastAsia" w:ascii="仿宋_GB2312" w:hAnsi="仿宋_GB2312"/>
          <w:sz w:val="32"/>
          <w:szCs w:val="24"/>
        </w:rPr>
        <w:t>-</w:t>
      </w:r>
      <w:r>
        <w:rPr>
          <w:rFonts w:hint="eastAsia"/>
          <w:sz w:val="32"/>
          <w:szCs w:val="24"/>
        </w:rPr>
        <w:t>2.5万人，配置小学和中型多功能运动场地；5分钟生活圈服务半径为300米，服务人口规模0.5</w:t>
      </w:r>
      <w:r>
        <w:rPr>
          <w:rFonts w:hint="eastAsia" w:ascii="仿宋_GB2312" w:hAnsi="仿宋_GB2312"/>
          <w:sz w:val="32"/>
          <w:szCs w:val="24"/>
        </w:rPr>
        <w:t>-</w:t>
      </w:r>
      <w:r>
        <w:rPr>
          <w:rFonts w:hint="eastAsia"/>
          <w:sz w:val="32"/>
          <w:szCs w:val="24"/>
        </w:rPr>
        <w:t>1.2万人，配置幼儿园、社区卫生服务站、小型多功能运动场地、室外综合健身场地、文化活动站、社区服务站、老年日间照料中心、居家养老服务站等设施。</w:t>
      </w:r>
    </w:p>
    <w:p w14:paraId="25858E7C">
      <w:pPr>
        <w:pStyle w:val="23"/>
        <w:numPr>
          <w:ilvl w:val="0"/>
          <w:numId w:val="3"/>
        </w:numPr>
        <w:spacing w:beforeLines="0" w:afterLines="0"/>
        <w:outlineLvl w:val="2"/>
        <w:rPr>
          <w:rFonts w:hint="eastAsia"/>
          <w:sz w:val="32"/>
          <w:szCs w:val="32"/>
          <w:lang w:val="en-US"/>
        </w:rPr>
      </w:pPr>
      <w:r>
        <w:rPr>
          <w:rFonts w:hint="eastAsia"/>
          <w:sz w:val="32"/>
          <w:szCs w:val="32"/>
          <w:lang w:val="en-US"/>
        </w:rPr>
        <w:t>夯实住房保障空间</w:t>
      </w:r>
    </w:p>
    <w:p w14:paraId="19CF76DA">
      <w:pPr>
        <w:keepNext w:val="0"/>
        <w:keepLines w:val="0"/>
        <w:pageBreakBefore w:val="0"/>
        <w:widowControl w:val="0"/>
        <w:kinsoku/>
        <w:wordWrap/>
        <w:overflowPunct/>
        <w:topLinePunct w:val="0"/>
        <w:autoSpaceDE/>
        <w:autoSpaceDN/>
        <w:bidi w:val="0"/>
        <w:adjustRightInd/>
        <w:snapToGrid/>
        <w:spacing w:beforeLines="0" w:afterLines="0" w:line="550" w:lineRule="atLeast"/>
        <w:textAlignment w:val="auto"/>
        <w:rPr>
          <w:rFonts w:hint="eastAsia"/>
          <w:sz w:val="32"/>
          <w:szCs w:val="24"/>
        </w:rPr>
      </w:pPr>
      <w:r>
        <w:rPr>
          <w:rFonts w:hint="eastAsia"/>
          <w:sz w:val="32"/>
          <w:szCs w:val="24"/>
        </w:rPr>
        <w:t>构建可持续的住房供应和保障体系，建立包括商品住房、棚改安置房、租赁住房、人才公寓等多种类型的住房供应体系。突出住房居住功能，坚持以保障和改善民生为优先导向，满足合理住房需求，努力实现人民群众住有所居。以建立多主体供给、多渠道保障、租购并举的住房制度为主要方向，以政府为主提供基本住房保障，以市场为主满足多样性住房需求，完善住房供应体系。</w:t>
      </w:r>
    </w:p>
    <w:p w14:paraId="16E880D5">
      <w:pPr>
        <w:keepNext w:val="0"/>
        <w:keepLines w:val="0"/>
        <w:pageBreakBefore w:val="0"/>
        <w:widowControl w:val="0"/>
        <w:kinsoku/>
        <w:wordWrap/>
        <w:overflowPunct/>
        <w:topLinePunct w:val="0"/>
        <w:autoSpaceDE/>
        <w:autoSpaceDN/>
        <w:bidi w:val="0"/>
        <w:adjustRightInd/>
        <w:snapToGrid/>
        <w:spacing w:beforeLines="0" w:afterLines="0" w:line="550" w:lineRule="atLeast"/>
        <w:textAlignment w:val="auto"/>
        <w:rPr>
          <w:rFonts w:hint="eastAsia"/>
          <w:sz w:val="32"/>
          <w:szCs w:val="24"/>
        </w:rPr>
      </w:pPr>
      <w:r>
        <w:rPr>
          <w:rFonts w:hint="eastAsia"/>
          <w:sz w:val="32"/>
          <w:szCs w:val="24"/>
        </w:rPr>
        <w:t>优化住房供应结构。提高保障性住房供应比例，提高中小套型普通商品住房供应比例，增加包括产业配套住房、棚改安置房、公共租赁住房、商品房在内的多种住房，满足城市人口多元化的居住需求。</w:t>
      </w:r>
    </w:p>
    <w:p w14:paraId="684DA8CE">
      <w:pPr>
        <w:spacing w:beforeLines="0" w:afterLines="0"/>
        <w:rPr>
          <w:rFonts w:hint="default"/>
          <w:sz w:val="32"/>
          <w:szCs w:val="24"/>
        </w:rPr>
      </w:pPr>
      <w:r>
        <w:rPr>
          <w:rFonts w:hint="eastAsia"/>
          <w:sz w:val="32"/>
          <w:szCs w:val="24"/>
        </w:rPr>
        <w:t>构建产城融合的住房空间格局。统筹住房布局与就业岗位分布公共交通、公共服务配套等在空间上的联动发展。增加产业社区居住和公共服务配套，优化大型居住社区公共服务和就业岗位配套，促进产城融合。</w:t>
      </w:r>
    </w:p>
    <w:p w14:paraId="1F60C892">
      <w:pPr>
        <w:pStyle w:val="23"/>
        <w:numPr>
          <w:ilvl w:val="0"/>
          <w:numId w:val="3"/>
        </w:numPr>
        <w:spacing w:beforeLines="0" w:afterLines="0"/>
        <w:outlineLvl w:val="2"/>
        <w:rPr>
          <w:rFonts w:hint="eastAsia"/>
          <w:sz w:val="32"/>
          <w:szCs w:val="32"/>
          <w:lang w:val="en-US"/>
        </w:rPr>
      </w:pPr>
      <w:r>
        <w:rPr>
          <w:rFonts w:hint="eastAsia"/>
          <w:sz w:val="32"/>
          <w:szCs w:val="32"/>
          <w:lang w:val="en-US"/>
        </w:rPr>
        <w:t>提升公共服务水平</w:t>
      </w:r>
    </w:p>
    <w:p w14:paraId="7ABF0369">
      <w:pPr>
        <w:spacing w:beforeLines="0" w:afterLines="0"/>
        <w:rPr>
          <w:rFonts w:hint="eastAsia"/>
          <w:sz w:val="32"/>
          <w:szCs w:val="24"/>
          <w:u w:val="single"/>
        </w:rPr>
      </w:pPr>
      <w:r>
        <w:rPr>
          <w:rFonts w:hint="eastAsia"/>
          <w:sz w:val="32"/>
          <w:szCs w:val="24"/>
          <w:u w:val="single"/>
        </w:rPr>
        <w:t>至2035年，中心城区人均公共管理与公共服务设施用地不低于9平方米/人</w:t>
      </w:r>
      <w:r>
        <w:rPr>
          <w:rFonts w:hint="eastAsia"/>
          <w:sz w:val="32"/>
          <w:szCs w:val="24"/>
        </w:rPr>
        <w:t>。</w:t>
      </w:r>
    </w:p>
    <w:p w14:paraId="291E9A68">
      <w:pPr>
        <w:spacing w:beforeLines="0" w:afterLines="0"/>
        <w:outlineLvl w:val="3"/>
        <w:rPr>
          <w:rFonts w:hint="eastAsia"/>
          <w:sz w:val="32"/>
          <w:szCs w:val="24"/>
        </w:rPr>
      </w:pPr>
      <w:r>
        <w:rPr>
          <w:rFonts w:hint="eastAsia"/>
          <w:sz w:val="32"/>
          <w:szCs w:val="24"/>
        </w:rPr>
        <w:t>1．均衡发展教育设施</w:t>
      </w:r>
    </w:p>
    <w:p w14:paraId="1A396501">
      <w:pPr>
        <w:spacing w:beforeLines="0" w:afterLines="0"/>
        <w:rPr>
          <w:rFonts w:hint="eastAsia"/>
          <w:sz w:val="32"/>
          <w:szCs w:val="24"/>
        </w:rPr>
      </w:pPr>
      <w:r>
        <w:rPr>
          <w:rFonts w:hint="eastAsia"/>
          <w:sz w:val="32"/>
          <w:szCs w:val="24"/>
        </w:rPr>
        <w:t>持续增加义务教育资源供给,优化中高等教育结构。老城片区未达标的居住区应由政府统筹新建或扩建学校，推动义务教育优质均衡发展。依托焦作新材料职业学院、博爱县县职业中专，提升博爱县中高等教育发展。完善特殊教育学校的建设,实现以职业教育为主的残疾人高中阶段教育,全面提升特殊群体的文化水平。</w:t>
      </w:r>
    </w:p>
    <w:p w14:paraId="20F6EBB5">
      <w:pPr>
        <w:spacing w:beforeLines="0" w:afterLines="0"/>
        <w:outlineLvl w:val="3"/>
        <w:rPr>
          <w:rFonts w:hint="eastAsia"/>
          <w:sz w:val="32"/>
          <w:szCs w:val="24"/>
        </w:rPr>
      </w:pPr>
      <w:r>
        <w:rPr>
          <w:rFonts w:hint="eastAsia"/>
          <w:sz w:val="32"/>
          <w:szCs w:val="24"/>
        </w:rPr>
        <w:t>2．完善公共卫生服务体系</w:t>
      </w:r>
    </w:p>
    <w:p w14:paraId="30B6C4D2">
      <w:pPr>
        <w:spacing w:beforeLines="0" w:afterLines="0"/>
        <w:rPr>
          <w:rFonts w:hint="eastAsia"/>
          <w:sz w:val="32"/>
          <w:szCs w:val="24"/>
        </w:rPr>
      </w:pPr>
      <w:r>
        <w:rPr>
          <w:rFonts w:hint="eastAsia"/>
          <w:sz w:val="32"/>
          <w:szCs w:val="24"/>
        </w:rPr>
        <w:t>重点保障各类医疗机构的标准化建设用地需求,加强优质医疗资源扩容和均衡布局。全面提升公立医院综合服务能力。健全医疗救治、科技支撑、物资保障体系，提高应对突发公共卫生事件能力。支持医养结合健康服务业发展，增强医疗机构为老年人提供便捷、优先优惠医疗服务的能力，鼓励建设医疗和养老机构结合体。</w:t>
      </w:r>
      <w:r>
        <w:rPr>
          <w:rFonts w:hint="eastAsia"/>
          <w:sz w:val="32"/>
          <w:szCs w:val="24"/>
          <w:u w:val="single"/>
        </w:rPr>
        <w:t>至2035年，中心城区人均医疗卫生用地指标不低于0.8平方米/人</w:t>
      </w:r>
      <w:r>
        <w:rPr>
          <w:rFonts w:hint="eastAsia"/>
          <w:sz w:val="32"/>
          <w:szCs w:val="24"/>
        </w:rPr>
        <w:t>。</w:t>
      </w:r>
    </w:p>
    <w:p w14:paraId="6A930D5D">
      <w:pPr>
        <w:spacing w:beforeLines="0" w:afterLines="0"/>
        <w:rPr>
          <w:rFonts w:hint="eastAsia"/>
          <w:sz w:val="32"/>
          <w:szCs w:val="24"/>
        </w:rPr>
      </w:pPr>
    </w:p>
    <w:p w14:paraId="2D577BF2">
      <w:pPr>
        <w:spacing w:beforeLines="0" w:afterLines="0"/>
        <w:rPr>
          <w:rFonts w:hint="default"/>
          <w:sz w:val="32"/>
          <w:szCs w:val="24"/>
        </w:rPr>
      </w:pPr>
      <w:r>
        <w:rPr>
          <w:rFonts w:hint="eastAsia"/>
          <w:sz w:val="32"/>
          <w:szCs w:val="24"/>
        </w:rPr>
        <w:t>完善城市传染病医疗救治体系，依托博爱县人民医院建设相对独立的传染院院区或符合规范的病房楼。配置疾病预防控制机构、卫生健康监督机构、妇幼保健机构、健康教育机构、精神卫生机构、急救中心（站）、采供血机构等专业公共卫生机构，妇幼保健机构按照二级甲等标准设置。</w:t>
      </w:r>
    </w:p>
    <w:p w14:paraId="7D499E71">
      <w:pPr>
        <w:spacing w:beforeLines="0" w:afterLines="0"/>
        <w:rPr>
          <w:rFonts w:hint="default"/>
          <w:sz w:val="32"/>
          <w:szCs w:val="24"/>
        </w:rPr>
      </w:pPr>
      <w:r>
        <w:rPr>
          <w:rFonts w:hint="eastAsia"/>
          <w:sz w:val="32"/>
          <w:szCs w:val="24"/>
        </w:rPr>
        <w:t>乡（镇）办好1所乡（镇）卫生院，城市街道办事处每3万</w:t>
      </w:r>
      <w:r>
        <w:rPr>
          <w:rFonts w:hint="eastAsia" w:ascii="仿宋_GB2312" w:hAnsi="仿宋_GB2312"/>
          <w:sz w:val="32"/>
          <w:szCs w:val="24"/>
        </w:rPr>
        <w:t>-</w:t>
      </w:r>
      <w:r>
        <w:rPr>
          <w:rFonts w:hint="eastAsia"/>
          <w:sz w:val="32"/>
          <w:szCs w:val="24"/>
        </w:rPr>
        <w:t>10万居民原则上设置1所社区卫生服务中心，每个行政村建设1所标准化公有产权村卫生室。推动乡（镇）卫生院、社区卫生服务中心（站）、村卫生室建设和服务能力全部达标。新建社区的社区医疗卫生设施，应当与住宅建设项目同步规划、同步建设、同步验收、同步交付使用。</w:t>
      </w:r>
    </w:p>
    <w:p w14:paraId="5CACD160">
      <w:pPr>
        <w:spacing w:beforeLines="0" w:afterLines="0"/>
        <w:outlineLvl w:val="3"/>
        <w:rPr>
          <w:rFonts w:hint="eastAsia"/>
          <w:sz w:val="32"/>
          <w:szCs w:val="24"/>
        </w:rPr>
      </w:pPr>
      <w:r>
        <w:rPr>
          <w:rFonts w:hint="eastAsia"/>
          <w:sz w:val="32"/>
          <w:szCs w:val="24"/>
        </w:rPr>
        <w:t>3．提升公共文化服务水平</w:t>
      </w:r>
    </w:p>
    <w:p w14:paraId="28DF9BF0">
      <w:pPr>
        <w:spacing w:beforeLines="0" w:afterLines="0"/>
        <w:rPr>
          <w:rFonts w:hint="eastAsia"/>
          <w:sz w:val="32"/>
          <w:szCs w:val="24"/>
        </w:rPr>
      </w:pPr>
      <w:r>
        <w:rPr>
          <w:rFonts w:hint="eastAsia"/>
          <w:sz w:val="32"/>
          <w:szCs w:val="24"/>
        </w:rPr>
        <w:t>全面提升公共文化设施网络，提高服务效能。加快重大文化设施项目建设。加强基层文化服务设施建设，提升基层综合性文化服务中心功能。创新实施文化惠民工程，广泛开展群众性文化活动，推动公共文化数字化建设，以文化服务数字平台的建设推动文化资源的保护和利用。推进全民阅读，支持实体书店发展。</w:t>
      </w:r>
      <w:r>
        <w:rPr>
          <w:rFonts w:hint="eastAsia"/>
          <w:sz w:val="32"/>
          <w:szCs w:val="24"/>
          <w:u w:val="single"/>
        </w:rPr>
        <w:t>至2035年，中心城区人均文化设施用地指标不低于0.5平方米/人</w:t>
      </w:r>
      <w:r>
        <w:rPr>
          <w:rFonts w:hint="eastAsia"/>
          <w:sz w:val="32"/>
          <w:szCs w:val="24"/>
        </w:rPr>
        <w:t>。</w:t>
      </w:r>
    </w:p>
    <w:p w14:paraId="728E7E16">
      <w:pPr>
        <w:spacing w:beforeLines="0" w:afterLines="0"/>
        <w:outlineLvl w:val="3"/>
        <w:rPr>
          <w:rFonts w:hint="eastAsia"/>
          <w:sz w:val="32"/>
          <w:szCs w:val="24"/>
        </w:rPr>
      </w:pPr>
      <w:r>
        <w:rPr>
          <w:rFonts w:hint="eastAsia"/>
          <w:sz w:val="32"/>
          <w:szCs w:val="24"/>
        </w:rPr>
        <w:t>4．强化全民健身服务供给</w:t>
      </w:r>
    </w:p>
    <w:p w14:paraId="7C93AE1F">
      <w:pPr>
        <w:spacing w:beforeLines="0" w:afterLines="0"/>
        <w:rPr>
          <w:rFonts w:hint="eastAsia"/>
          <w:sz w:val="32"/>
          <w:szCs w:val="24"/>
        </w:rPr>
      </w:pPr>
      <w:r>
        <w:rPr>
          <w:rFonts w:hint="eastAsia"/>
          <w:sz w:val="32"/>
          <w:szCs w:val="24"/>
        </w:rPr>
        <w:t>依托县体育场等现有体育场馆，推动设施全面升级。健全公共体育设施配置体系，补齐体育发展短板，新增3处县级体育设施用地，完善社会足球场等各类户外运动场地设施。加快全民建设活动中心项目落地实施。</w:t>
      </w:r>
      <w:r>
        <w:rPr>
          <w:rFonts w:hint="eastAsia"/>
          <w:sz w:val="32"/>
          <w:szCs w:val="24"/>
          <w:u w:val="single"/>
        </w:rPr>
        <w:t>至2035年，中心城区人均体育设施用地指标不低于0.28平方米/人</w:t>
      </w:r>
      <w:r>
        <w:rPr>
          <w:rFonts w:hint="eastAsia"/>
          <w:sz w:val="32"/>
          <w:szCs w:val="24"/>
        </w:rPr>
        <w:t>。</w:t>
      </w:r>
    </w:p>
    <w:p w14:paraId="12F4FF54">
      <w:pPr>
        <w:spacing w:beforeLines="0" w:afterLines="0"/>
        <w:outlineLvl w:val="3"/>
        <w:rPr>
          <w:rFonts w:hint="eastAsia"/>
          <w:sz w:val="32"/>
          <w:szCs w:val="24"/>
        </w:rPr>
      </w:pPr>
      <w:r>
        <w:rPr>
          <w:rFonts w:hint="eastAsia"/>
          <w:sz w:val="32"/>
          <w:szCs w:val="24"/>
        </w:rPr>
        <w:t>5．健全社会福利设施</w:t>
      </w:r>
    </w:p>
    <w:p w14:paraId="69D13CBD">
      <w:pPr>
        <w:spacing w:beforeLines="0" w:afterLines="0"/>
        <w:rPr>
          <w:rFonts w:hint="eastAsia"/>
          <w:sz w:val="32"/>
          <w:szCs w:val="24"/>
        </w:rPr>
      </w:pPr>
      <w:r>
        <w:rPr>
          <w:rFonts w:hint="eastAsia"/>
          <w:sz w:val="32"/>
          <w:szCs w:val="24"/>
        </w:rPr>
        <w:t>对现状县社会福利中心进行扩容提升，新增10处社会福利设施。健全以扶老、爱幼、助残、济困为重点的社会福利体系，加强对困难家庭的高龄、失能留守老年人的关爱。完善社会救助资金、物资保障机制，健全面向特困户、残疾人、受灾群众等的分层分类救助体系，积极发展服务类社会救助，鼓励社会力量参与。</w:t>
      </w:r>
      <w:r>
        <w:rPr>
          <w:rFonts w:hint="eastAsia"/>
          <w:sz w:val="32"/>
          <w:szCs w:val="24"/>
          <w:u w:val="single"/>
        </w:rPr>
        <w:t>至2035年，中心城区人均社会福利设施用地指标不低于0.3平方米/人</w:t>
      </w:r>
      <w:r>
        <w:rPr>
          <w:rFonts w:hint="eastAsia"/>
          <w:sz w:val="32"/>
          <w:szCs w:val="24"/>
        </w:rPr>
        <w:t>。</w:t>
      </w:r>
    </w:p>
    <w:p w14:paraId="284F238F">
      <w:pPr>
        <w:widowControl/>
        <w:spacing w:beforeLines="0" w:afterLines="0" w:line="560" w:lineRule="exact"/>
        <w:ind w:firstLine="640"/>
        <w:jc w:val="left"/>
        <w:rPr>
          <w:rFonts w:hint="eastAsia" w:ascii="仿宋_GB2312" w:hAnsi="楷体" w:cs="Times New Roman"/>
          <w:color w:val="auto"/>
          <w:sz w:val="32"/>
          <w:szCs w:val="24"/>
        </w:rPr>
      </w:pPr>
      <w:r>
        <w:rPr>
          <w:rFonts w:hint="eastAsia" w:ascii="仿宋_GB2312" w:hAnsi="楷体" w:cs="Times New Roman"/>
          <w:color w:val="auto"/>
          <w:sz w:val="32"/>
          <w:szCs w:val="24"/>
        </w:rPr>
        <w:t>加强老年医疗服务体系建设，支持医疗资源丰富的地方将部分公立医疗机构转型为老年医院、康复医院。规划人均养老服务设施用地不少于0.2平方米。新建城镇居住区应当根据规划要求和建设标准，按照每一百户不低于五十平方米的标准配套建设社区养老服务设施,并与首期住宅建设项目做到“四个同步”。每个乡镇（街道</w:t>
      </w:r>
      <w:r>
        <w:rPr>
          <w:rFonts w:hint="eastAsia" w:ascii="仿宋_GB2312" w:hAnsi="仿宋_GB2312" w:cs="Times New Roman"/>
          <w:color w:val="auto"/>
          <w:sz w:val="32"/>
          <w:szCs w:val="24"/>
        </w:rPr>
        <w:t>）</w:t>
      </w:r>
      <w:r>
        <w:rPr>
          <w:rFonts w:hint="eastAsia" w:ascii="仿宋_GB2312" w:hAnsi="楷体" w:cs="Times New Roman"/>
          <w:color w:val="auto"/>
          <w:sz w:val="32"/>
          <w:szCs w:val="24"/>
        </w:rPr>
        <w:t>建有1处综合养老服务设施，每个社区建有1处养老服务场所。加强医养结合服务基础设施建设，合理布局医养结合机构，整合优化乡（镇）（街道）、社区医疗卫生和养老服务资源，健全居家、社区、机构相协调的医养康养服务网络。新建社区应当合理配套规划建设社区医疗卫生和养老服务设施，实现毗邻建设、服务衔接、融合发展。加强社区托育设施建设，提高婴幼儿家庭获得服务的公平性和可行性。</w:t>
      </w:r>
    </w:p>
    <w:p w14:paraId="2C83874D">
      <w:pPr>
        <w:pStyle w:val="3"/>
        <w:numPr>
          <w:ilvl w:val="1"/>
          <w:numId w:val="2"/>
        </w:numPr>
        <w:ind w:firstLine="0"/>
        <w:rPr>
          <w:rFonts w:hint="eastAsia" w:cs="Times New Roman"/>
          <w:sz w:val="32"/>
          <w:szCs w:val="24"/>
        </w:rPr>
      </w:pPr>
      <w:bookmarkStart w:id="186" w:name="_Toc11826"/>
      <w:r>
        <w:rPr>
          <w:rFonts w:hint="eastAsia" w:cs="Times New Roman"/>
          <w:sz w:val="32"/>
          <w:szCs w:val="24"/>
        </w:rPr>
        <w:t>优化蓝绿空间布局</w:t>
      </w:r>
      <w:bookmarkEnd w:id="186"/>
    </w:p>
    <w:p w14:paraId="6DC8E34C">
      <w:pPr>
        <w:pStyle w:val="23"/>
        <w:numPr>
          <w:ilvl w:val="0"/>
          <w:numId w:val="3"/>
        </w:numPr>
        <w:spacing w:beforeLines="0" w:afterLines="0"/>
        <w:outlineLvl w:val="2"/>
        <w:rPr>
          <w:rFonts w:hint="eastAsia"/>
          <w:sz w:val="32"/>
          <w:szCs w:val="32"/>
          <w:lang w:val="en-US"/>
        </w:rPr>
      </w:pPr>
      <w:r>
        <w:rPr>
          <w:rFonts w:hint="eastAsia"/>
          <w:sz w:val="32"/>
          <w:szCs w:val="32"/>
          <w:lang w:val="en-US"/>
        </w:rPr>
        <w:t>绿地系统结构</w:t>
      </w:r>
    </w:p>
    <w:p w14:paraId="0969707C">
      <w:pPr>
        <w:spacing w:beforeLines="0" w:afterLines="0"/>
        <w:rPr>
          <w:rFonts w:hint="eastAsia"/>
          <w:sz w:val="32"/>
          <w:szCs w:val="24"/>
        </w:rPr>
      </w:pPr>
      <w:r>
        <w:rPr>
          <w:rFonts w:hint="eastAsia"/>
          <w:sz w:val="32"/>
          <w:szCs w:val="24"/>
        </w:rPr>
        <w:t>构建“城水共依，三区辉映；环带相间，蓝绿交织；绿核镶嵌，多园均布”的中心城区绿地系统结构。</w:t>
      </w:r>
    </w:p>
    <w:p w14:paraId="665CC27F">
      <w:pPr>
        <w:spacing w:beforeLines="0" w:afterLines="0"/>
        <w:rPr>
          <w:rFonts w:hint="eastAsia"/>
          <w:sz w:val="32"/>
          <w:szCs w:val="24"/>
        </w:rPr>
      </w:pPr>
      <w:r>
        <w:rPr>
          <w:rFonts w:hint="eastAsia"/>
          <w:sz w:val="32"/>
          <w:szCs w:val="24"/>
        </w:rPr>
        <w:t>城水共依：实施水－城结合、水－绿结合、水－文结合“三结合”策略，打造独具地方特色的魅力县城。</w:t>
      </w:r>
    </w:p>
    <w:p w14:paraId="23953814">
      <w:pPr>
        <w:spacing w:beforeLines="0" w:afterLines="0"/>
        <w:rPr>
          <w:rFonts w:hint="eastAsia"/>
          <w:sz w:val="32"/>
          <w:szCs w:val="24"/>
        </w:rPr>
      </w:pPr>
      <w:r>
        <w:rPr>
          <w:rFonts w:hint="eastAsia"/>
          <w:sz w:val="32"/>
          <w:szCs w:val="24"/>
        </w:rPr>
        <w:t>三区辉映：三区指老城景观风貌区、新城景观风貌区和工业景观风貌区。</w:t>
      </w:r>
    </w:p>
    <w:p w14:paraId="6E27CD27">
      <w:pPr>
        <w:spacing w:beforeLines="0" w:afterLines="0"/>
        <w:rPr>
          <w:rFonts w:hint="eastAsia"/>
          <w:sz w:val="32"/>
          <w:szCs w:val="24"/>
        </w:rPr>
      </w:pPr>
      <w:r>
        <w:rPr>
          <w:rFonts w:hint="eastAsia"/>
          <w:sz w:val="32"/>
          <w:szCs w:val="24"/>
        </w:rPr>
        <w:t>环带相间：指沿老城区水系（幸福河、城南河、运粮河和北横河）形成老城景观内环；沿博爱县中心城区外围的防护绿带形成生态防护外环；沿贯穿城区南北的幸福河形成滨水景观带，环带相间。</w:t>
      </w:r>
    </w:p>
    <w:p w14:paraId="2E40AC4E">
      <w:pPr>
        <w:spacing w:beforeLines="0" w:afterLines="0"/>
        <w:rPr>
          <w:rFonts w:hint="eastAsia"/>
          <w:sz w:val="32"/>
          <w:szCs w:val="24"/>
        </w:rPr>
      </w:pPr>
      <w:r>
        <w:rPr>
          <w:rFonts w:hint="eastAsia"/>
          <w:sz w:val="32"/>
          <w:szCs w:val="24"/>
        </w:rPr>
        <w:t>蓝绿交织：以博爱中心城区的主要河流为主体，形成城区的水网蓝脉；沿博爱县城区内的主要交通干道形成城区的绿色网络，蓝脉绿网构成城区绿地系统的基本骨架。</w:t>
      </w:r>
    </w:p>
    <w:p w14:paraId="06E9C6B2">
      <w:pPr>
        <w:spacing w:beforeLines="0" w:afterLines="0"/>
        <w:rPr>
          <w:rFonts w:hint="eastAsia"/>
          <w:sz w:val="32"/>
          <w:szCs w:val="24"/>
        </w:rPr>
      </w:pPr>
      <w:r>
        <w:rPr>
          <w:rFonts w:hint="eastAsia"/>
          <w:sz w:val="32"/>
          <w:szCs w:val="24"/>
        </w:rPr>
        <w:t>绿核镶嵌：以博爱公园和幸福湖公园两大综合公园形成的景观核心。</w:t>
      </w:r>
    </w:p>
    <w:p w14:paraId="1CADDC57">
      <w:pPr>
        <w:spacing w:beforeLines="0" w:afterLines="0"/>
        <w:rPr>
          <w:rFonts w:hint="eastAsia"/>
          <w:sz w:val="32"/>
          <w:szCs w:val="24"/>
        </w:rPr>
      </w:pPr>
      <w:r>
        <w:rPr>
          <w:rFonts w:hint="eastAsia"/>
          <w:sz w:val="32"/>
          <w:szCs w:val="24"/>
        </w:rPr>
        <w:t>多园均布：以老城区见缝插绿，新城区和工业区适当增绿，做到大、中、小不同规模的绿地均匀分布。</w:t>
      </w:r>
    </w:p>
    <w:p w14:paraId="3B62592B">
      <w:pPr>
        <w:pStyle w:val="23"/>
        <w:numPr>
          <w:ilvl w:val="0"/>
          <w:numId w:val="3"/>
        </w:numPr>
        <w:spacing w:beforeLines="0" w:afterLines="0"/>
        <w:outlineLvl w:val="2"/>
        <w:rPr>
          <w:rFonts w:hint="eastAsia"/>
          <w:sz w:val="32"/>
          <w:szCs w:val="32"/>
          <w:lang w:val="en-US"/>
        </w:rPr>
      </w:pPr>
      <w:r>
        <w:rPr>
          <w:rFonts w:hint="eastAsia"/>
          <w:sz w:val="32"/>
          <w:szCs w:val="32"/>
          <w:lang w:val="en-US"/>
        </w:rPr>
        <w:t>完善城市绿地体系</w:t>
      </w:r>
    </w:p>
    <w:p w14:paraId="14F5091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至2035年，规划人均公园绿地面积不低于12平方米/人，公园绿地、广场步行5分钟覆盖率达到</w:t>
      </w:r>
      <w:r>
        <w:rPr>
          <w:rFonts w:hint="eastAsia"/>
          <w:sz w:val="32"/>
          <w:szCs w:val="24"/>
          <w:lang w:val="en-US" w:eastAsia="zh-CN"/>
        </w:rPr>
        <w:t>95</w:t>
      </w:r>
      <w:r>
        <w:rPr>
          <w:rFonts w:hint="eastAsia"/>
          <w:sz w:val="32"/>
          <w:szCs w:val="24"/>
        </w:rPr>
        <w:t>%，绿化覆盖率达到45%。</w:t>
      </w:r>
    </w:p>
    <w:p w14:paraId="556DBF00">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构建综合公园</w:t>
      </w:r>
      <w:r>
        <w:rPr>
          <w:rFonts w:hint="eastAsia" w:ascii="仿宋_GB2312" w:hAnsi="仿宋_GB2312"/>
          <w:sz w:val="32"/>
          <w:szCs w:val="24"/>
        </w:rPr>
        <w:t>-</w:t>
      </w:r>
      <w:r>
        <w:rPr>
          <w:rFonts w:hint="eastAsia"/>
          <w:sz w:val="32"/>
          <w:szCs w:val="24"/>
        </w:rPr>
        <w:t>社区公园</w:t>
      </w:r>
      <w:r>
        <w:rPr>
          <w:rFonts w:hint="eastAsia" w:ascii="仿宋_GB2312" w:hAnsi="仿宋_GB2312"/>
          <w:sz w:val="32"/>
          <w:szCs w:val="24"/>
        </w:rPr>
        <w:t>-</w:t>
      </w:r>
      <w:r>
        <w:rPr>
          <w:rFonts w:hint="eastAsia"/>
          <w:sz w:val="32"/>
          <w:szCs w:val="24"/>
        </w:rPr>
        <w:t>专类公园</w:t>
      </w:r>
      <w:r>
        <w:rPr>
          <w:rFonts w:hint="eastAsia" w:ascii="仿宋_GB2312" w:hAnsi="仿宋_GB2312"/>
          <w:sz w:val="32"/>
          <w:szCs w:val="24"/>
        </w:rPr>
        <w:t>-</w:t>
      </w:r>
      <w:r>
        <w:rPr>
          <w:rFonts w:hint="eastAsia"/>
          <w:sz w:val="32"/>
          <w:szCs w:val="24"/>
        </w:rPr>
        <w:t>口袋公园的四级城市公园绿地体系。多措并举增加城市绿量，丰富景观色彩，提升园林绿化艺术水平。新城区增加应用场景丰富的社区公园，老城区建设富有特色文化符号和生活情趣的小游园、微绿地。</w:t>
      </w:r>
    </w:p>
    <w:p w14:paraId="258875D0">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按照防护绿地相关规范、对高速公路、城市快速路、建成区内铁路、城市水厂、污水处理厂、高压走廊等区域布置防护绿地。</w:t>
      </w:r>
    </w:p>
    <w:p w14:paraId="76488BDB">
      <w:pPr>
        <w:pStyle w:val="23"/>
        <w:numPr>
          <w:ilvl w:val="0"/>
          <w:numId w:val="3"/>
        </w:numPr>
        <w:spacing w:beforeLines="0" w:afterLines="0"/>
        <w:outlineLvl w:val="2"/>
        <w:rPr>
          <w:rFonts w:hint="eastAsia"/>
          <w:sz w:val="32"/>
          <w:szCs w:val="32"/>
          <w:lang w:val="en-US"/>
        </w:rPr>
      </w:pPr>
      <w:r>
        <w:rPr>
          <w:rFonts w:hint="eastAsia"/>
          <w:sz w:val="32"/>
          <w:szCs w:val="32"/>
          <w:lang w:val="en-US"/>
        </w:rPr>
        <w:t>蓝色空间优化</w:t>
      </w:r>
    </w:p>
    <w:p w14:paraId="355294B2">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构建“三纵五横、两湖一湿地”的整体城市河道水网的水系网络。</w:t>
      </w:r>
    </w:p>
    <w:p w14:paraId="1754186B">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三纵：指运粮河、勒马河、幸福河。</w:t>
      </w:r>
    </w:p>
    <w:p w14:paraId="5A72706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五横：指上秦河、下秦河、发展大道明渠、北横河、下秦河补源渠。</w:t>
      </w:r>
    </w:p>
    <w:p w14:paraId="27994531">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两湖：指幸福湖和李商隐文化园湖。</w:t>
      </w:r>
    </w:p>
    <w:p w14:paraId="7A0AB5FF">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一湿地：指幸福河湿地。</w:t>
      </w:r>
    </w:p>
    <w:p w14:paraId="0EADEFFF">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color w:val="auto"/>
          <w:sz w:val="32"/>
          <w:szCs w:val="24"/>
        </w:rPr>
      </w:pPr>
      <w:r>
        <w:rPr>
          <w:rFonts w:hint="eastAsia"/>
          <w:sz w:val="32"/>
          <w:szCs w:val="24"/>
        </w:rPr>
        <w:t>结合幸福河、勒马河扩大城市开敞空间，形成复合型生态斑块。承担城市休闲游憩和文化体验功能，同时扩大生态斑块范围，提供日常健身、休闲娱乐，提升城市居住生活圈品质。</w:t>
      </w:r>
    </w:p>
    <w:p w14:paraId="308BFA9F">
      <w:pPr>
        <w:pStyle w:val="23"/>
        <w:numPr>
          <w:ilvl w:val="0"/>
          <w:numId w:val="3"/>
        </w:numPr>
        <w:spacing w:beforeLines="0" w:afterLines="0"/>
        <w:outlineLvl w:val="2"/>
        <w:rPr>
          <w:rFonts w:hint="eastAsia"/>
          <w:sz w:val="32"/>
          <w:szCs w:val="32"/>
          <w:lang w:val="en-US"/>
        </w:rPr>
      </w:pPr>
      <w:r>
        <w:rPr>
          <w:rFonts w:hint="eastAsia"/>
          <w:sz w:val="32"/>
          <w:szCs w:val="32"/>
          <w:lang w:val="en-US"/>
        </w:rPr>
        <w:t>带状蓝绿空间管控</w:t>
      </w:r>
    </w:p>
    <w:p w14:paraId="10B1AF70">
      <w:pPr>
        <w:keepNext w:val="0"/>
        <w:keepLines w:val="0"/>
        <w:pageBreakBefore w:val="0"/>
        <w:widowControl w:val="0"/>
        <w:kinsoku/>
        <w:wordWrap/>
        <w:overflowPunct/>
        <w:topLinePunct w:val="0"/>
        <w:autoSpaceDE/>
        <w:autoSpaceDN/>
        <w:bidi w:val="0"/>
        <w:adjustRightInd/>
        <w:snapToGrid/>
        <w:spacing w:beforeLines="0" w:afterLines="0" w:line="520" w:lineRule="exact"/>
        <w:textAlignment w:val="auto"/>
        <w:rPr>
          <w:rFonts w:hint="eastAsia"/>
          <w:sz w:val="32"/>
          <w:szCs w:val="24"/>
        </w:rPr>
      </w:pPr>
      <w:r>
        <w:rPr>
          <w:rFonts w:hint="eastAsia"/>
          <w:sz w:val="32"/>
          <w:szCs w:val="24"/>
        </w:rPr>
        <w:t>发展大道按照31.5米绿带控制，鸿昌路按照22.5米绿带控制，人民路、世纪大道按照20米绿带控制，文化路按照16米绿带控制，葵城路、团结路、群英路、中山路两侧按照10米绿带控制，月山路按照12.5米绿带控制。</w:t>
      </w:r>
    </w:p>
    <w:p w14:paraId="36A8BAA8">
      <w:pPr>
        <w:pStyle w:val="3"/>
        <w:numPr>
          <w:ilvl w:val="1"/>
          <w:numId w:val="2"/>
        </w:numPr>
        <w:ind w:firstLine="0"/>
        <w:rPr>
          <w:rFonts w:hint="eastAsia" w:cs="Times New Roman"/>
          <w:sz w:val="32"/>
          <w:szCs w:val="24"/>
        </w:rPr>
      </w:pPr>
      <w:bookmarkStart w:id="187" w:name="_Toc8367"/>
      <w:r>
        <w:rPr>
          <w:rFonts w:hint="eastAsia" w:cs="Times New Roman"/>
          <w:sz w:val="32"/>
          <w:szCs w:val="24"/>
        </w:rPr>
        <w:t>稳步推进城市更新</w:t>
      </w:r>
      <w:bookmarkEnd w:id="187"/>
    </w:p>
    <w:p w14:paraId="629097A4">
      <w:pPr>
        <w:pStyle w:val="23"/>
        <w:numPr>
          <w:ilvl w:val="0"/>
          <w:numId w:val="3"/>
        </w:numPr>
        <w:spacing w:beforeLines="0" w:afterLines="0"/>
        <w:outlineLvl w:val="2"/>
        <w:rPr>
          <w:rFonts w:hint="eastAsia"/>
          <w:sz w:val="32"/>
          <w:szCs w:val="32"/>
          <w:lang w:val="en-US"/>
        </w:rPr>
      </w:pPr>
      <w:r>
        <w:rPr>
          <w:rFonts w:hint="eastAsia"/>
          <w:sz w:val="32"/>
          <w:szCs w:val="32"/>
          <w:lang w:val="en-US"/>
        </w:rPr>
        <w:t>更新区域规划</w:t>
      </w:r>
    </w:p>
    <w:p w14:paraId="36A2580B">
      <w:pPr>
        <w:spacing w:beforeLines="0" w:afterLines="0"/>
        <w:rPr>
          <w:rFonts w:hint="eastAsia"/>
          <w:sz w:val="32"/>
          <w:szCs w:val="24"/>
        </w:rPr>
      </w:pPr>
      <w:r>
        <w:rPr>
          <w:rFonts w:hint="eastAsia"/>
          <w:sz w:val="32"/>
          <w:szCs w:val="24"/>
        </w:rPr>
        <w:t>针对不同类型更新区域的特征，明确差别化的城市更新方向。划分为保护复兴区、优化提升区、战略发展区、强化发展区四大类更新政策区。</w:t>
      </w:r>
    </w:p>
    <w:p w14:paraId="2336DA27">
      <w:pPr>
        <w:spacing w:beforeLines="0" w:afterLines="0"/>
        <w:rPr>
          <w:rFonts w:hint="eastAsia"/>
          <w:sz w:val="32"/>
          <w:szCs w:val="24"/>
        </w:rPr>
      </w:pPr>
      <w:r>
        <w:rPr>
          <w:rFonts w:hint="eastAsia"/>
          <w:sz w:val="32"/>
          <w:szCs w:val="24"/>
        </w:rPr>
        <w:t>保护复兴区加强老城肌理和文化保护与利用，提升博爱县清化街历史文化街区，以历史要素保护、活化利用为主，对用地功能、现状环境进行更新。</w:t>
      </w:r>
    </w:p>
    <w:p w14:paraId="0E3ED0DF">
      <w:pPr>
        <w:spacing w:beforeLines="0" w:afterLines="0"/>
        <w:rPr>
          <w:rFonts w:hint="eastAsia"/>
          <w:sz w:val="32"/>
          <w:szCs w:val="24"/>
        </w:rPr>
      </w:pPr>
      <w:r>
        <w:rPr>
          <w:rFonts w:hint="eastAsia"/>
          <w:sz w:val="32"/>
          <w:szCs w:val="24"/>
        </w:rPr>
        <w:t>优化提升区促进功能提升与设施完善，重塑发展活力，重点完善服务设施，增补绿化空间，优化人居环境。</w:t>
      </w:r>
    </w:p>
    <w:p w14:paraId="5586FE1B">
      <w:pPr>
        <w:spacing w:beforeLines="0" w:afterLines="0"/>
        <w:rPr>
          <w:rFonts w:hint="eastAsia"/>
          <w:sz w:val="32"/>
          <w:szCs w:val="24"/>
        </w:rPr>
      </w:pPr>
      <w:r>
        <w:rPr>
          <w:rFonts w:hint="eastAsia"/>
          <w:sz w:val="32"/>
          <w:szCs w:val="24"/>
        </w:rPr>
        <w:t>战略发展区推动功能提升，凸显地区形象。主要为高铁新城。高标准建设城市公共服务与基础设施，引进生产线服务业，重点发展商务服务，打造城市新的创新性经济活力区域。</w:t>
      </w:r>
    </w:p>
    <w:p w14:paraId="4F1A0BB3">
      <w:pPr>
        <w:spacing w:beforeLines="0" w:afterLines="0"/>
        <w:rPr>
          <w:rFonts w:hint="eastAsia"/>
          <w:sz w:val="32"/>
          <w:szCs w:val="24"/>
        </w:rPr>
      </w:pPr>
      <w:r>
        <w:rPr>
          <w:rFonts w:hint="eastAsia"/>
          <w:sz w:val="32"/>
          <w:szCs w:val="24"/>
        </w:rPr>
        <w:t>强化发展区包括博爱公园周边商务商业、综合服务功能的强化，以及城东和城南开发区实施产业提质强化发展战略。</w:t>
      </w:r>
    </w:p>
    <w:p w14:paraId="6A8B9932">
      <w:pPr>
        <w:pStyle w:val="23"/>
        <w:numPr>
          <w:ilvl w:val="0"/>
          <w:numId w:val="3"/>
        </w:numPr>
        <w:spacing w:beforeLines="0" w:afterLines="0"/>
        <w:outlineLvl w:val="2"/>
        <w:rPr>
          <w:rFonts w:hint="eastAsia"/>
          <w:sz w:val="32"/>
          <w:szCs w:val="32"/>
          <w:lang w:val="en-US"/>
        </w:rPr>
      </w:pPr>
      <w:r>
        <w:rPr>
          <w:rFonts w:hint="eastAsia"/>
          <w:sz w:val="32"/>
          <w:szCs w:val="32"/>
          <w:lang w:val="en-US"/>
        </w:rPr>
        <w:t>更新策略</w:t>
      </w:r>
    </w:p>
    <w:p w14:paraId="3316B5C0">
      <w:pPr>
        <w:numPr>
          <w:ilvl w:val="0"/>
          <w:numId w:val="4"/>
        </w:numPr>
        <w:spacing w:beforeLines="0" w:afterLines="0"/>
        <w:ind w:firstLine="640"/>
        <w:outlineLvl w:val="3"/>
        <w:rPr>
          <w:rFonts w:hint="eastAsia"/>
          <w:sz w:val="32"/>
          <w:szCs w:val="24"/>
        </w:rPr>
      </w:pPr>
      <w:r>
        <w:rPr>
          <w:rFonts w:hint="eastAsia"/>
          <w:sz w:val="32"/>
          <w:szCs w:val="24"/>
        </w:rPr>
        <w:t>盘活闲置、低效用地，提高土地利用绩效。</w:t>
      </w:r>
    </w:p>
    <w:p w14:paraId="22C0BD72">
      <w:pPr>
        <w:spacing w:beforeLines="0" w:afterLines="0"/>
        <w:rPr>
          <w:rFonts w:hint="eastAsia"/>
          <w:sz w:val="32"/>
          <w:szCs w:val="24"/>
        </w:rPr>
      </w:pPr>
      <w:r>
        <w:rPr>
          <w:rFonts w:hint="eastAsia"/>
          <w:sz w:val="32"/>
          <w:szCs w:val="24"/>
        </w:rPr>
        <w:t>重点挖掘批而未用和低效用地两类存量建设用地潜力，以提高城市活力和品质为目标，积极探索渐进式、可持续的有机更新模式，以存量用地和城市更新的利用来满足城市未来发展的空间需求，同时做好城市文化的保护与传承，倒逼土地利用方式由外延粗放式扩张向内涵式效益提升转变，促进空间利用向集约紧凑、功能复合、低碳高效转变。借助城镇低效用地以及其他闲置低效建设用地整治的更新契机，完善公共服务设施配套，完善城市综合服务功能，优化用地结构布局，拓展城镇建设发展空间，形成新的发展格局。</w:t>
      </w:r>
    </w:p>
    <w:p w14:paraId="778E9FD5">
      <w:pPr>
        <w:numPr>
          <w:ilvl w:val="0"/>
          <w:numId w:val="4"/>
        </w:numPr>
        <w:spacing w:beforeLines="0" w:afterLines="0"/>
        <w:ind w:firstLine="640"/>
        <w:outlineLvl w:val="3"/>
        <w:rPr>
          <w:rFonts w:hint="eastAsia" w:cs="Times New Roman"/>
          <w:sz w:val="32"/>
          <w:szCs w:val="24"/>
        </w:rPr>
      </w:pPr>
      <w:r>
        <w:rPr>
          <w:rFonts w:hint="eastAsia" w:cs="Times New Roman"/>
          <w:sz w:val="32"/>
          <w:szCs w:val="24"/>
        </w:rPr>
        <w:t>改善环境，提升空间品质，打造宜居城区。</w:t>
      </w:r>
    </w:p>
    <w:p w14:paraId="75A571A3">
      <w:pPr>
        <w:spacing w:beforeLines="0" w:afterLines="0"/>
        <w:rPr>
          <w:rFonts w:hint="eastAsia"/>
          <w:sz w:val="32"/>
          <w:szCs w:val="24"/>
        </w:rPr>
      </w:pPr>
      <w:r>
        <w:rPr>
          <w:rFonts w:hint="eastAsia"/>
          <w:sz w:val="32"/>
          <w:szCs w:val="24"/>
        </w:rPr>
        <w:t>完善老城区道路网络建设，完善停车设施系统；消除老城内重大安全隐患，改善老城内部及周边地区的生态环境、景观环境、交通环境及其他生活环境；加强绿化建设，尤其是运粮河、幸福河沿岸绿化空间以及街头绿地的建设，增加绿地面积和公共开敞空间，提升城区环境质量。</w:t>
      </w:r>
    </w:p>
    <w:p w14:paraId="66DA584A">
      <w:pPr>
        <w:numPr>
          <w:ilvl w:val="0"/>
          <w:numId w:val="4"/>
        </w:numPr>
        <w:spacing w:beforeLines="0" w:afterLines="0"/>
        <w:ind w:firstLine="640"/>
        <w:rPr>
          <w:rFonts w:hint="eastAsia" w:cs="Times New Roman"/>
          <w:sz w:val="32"/>
          <w:szCs w:val="24"/>
        </w:rPr>
      </w:pPr>
      <w:r>
        <w:rPr>
          <w:rFonts w:hint="eastAsia" w:cs="Times New Roman"/>
          <w:sz w:val="32"/>
          <w:szCs w:val="24"/>
        </w:rPr>
        <w:t>老旧小区类更新策略-分类施策。发挥市场主体作用，多元参与，建立长期管理机制。</w:t>
      </w:r>
    </w:p>
    <w:p w14:paraId="1631ABEB">
      <w:pPr>
        <w:spacing w:beforeLines="0" w:afterLines="0"/>
        <w:rPr>
          <w:rFonts w:hint="eastAsia"/>
          <w:sz w:val="32"/>
          <w:szCs w:val="24"/>
        </w:rPr>
      </w:pPr>
      <w:r>
        <w:rPr>
          <w:rFonts w:hint="eastAsia"/>
          <w:sz w:val="32"/>
          <w:szCs w:val="24"/>
        </w:rPr>
        <w:t>根据其不同类型采取微改造+微更新、保护修缮、现状提升、综合整治等更新手段。</w:t>
      </w:r>
    </w:p>
    <w:p w14:paraId="1604DDB4">
      <w:pPr>
        <w:numPr>
          <w:ilvl w:val="0"/>
          <w:numId w:val="4"/>
        </w:numPr>
        <w:spacing w:beforeLines="0" w:afterLines="0"/>
        <w:ind w:firstLine="640"/>
        <w:rPr>
          <w:rFonts w:hint="eastAsia" w:cs="Times New Roman"/>
          <w:sz w:val="32"/>
          <w:szCs w:val="24"/>
        </w:rPr>
      </w:pPr>
      <w:r>
        <w:rPr>
          <w:rFonts w:hint="eastAsia" w:cs="Times New Roman"/>
          <w:sz w:val="32"/>
          <w:szCs w:val="24"/>
        </w:rPr>
        <w:t>低效工业用地更新策略-退城进园、提升现状满足企业需求、按规划产业板块进行发展指引，发挥主导产业集聚。</w:t>
      </w:r>
    </w:p>
    <w:p w14:paraId="6F516D0B">
      <w:pPr>
        <w:spacing w:beforeLines="0" w:afterLines="0"/>
        <w:rPr>
          <w:rFonts w:hint="eastAsia"/>
          <w:sz w:val="32"/>
          <w:szCs w:val="24"/>
        </w:rPr>
      </w:pPr>
      <w:r>
        <w:rPr>
          <w:rFonts w:hint="eastAsia"/>
          <w:sz w:val="32"/>
          <w:szCs w:val="24"/>
        </w:rPr>
        <w:t>对于布局分散、结构不合理、与城市用地功能布局相冲突用地采取逐步外迁、退城进园的处理方式；</w:t>
      </w:r>
    </w:p>
    <w:p w14:paraId="52163D60">
      <w:pPr>
        <w:spacing w:beforeLines="0" w:afterLines="0"/>
        <w:rPr>
          <w:rFonts w:hint="eastAsia"/>
          <w:sz w:val="32"/>
          <w:szCs w:val="24"/>
        </w:rPr>
      </w:pPr>
      <w:r>
        <w:rPr>
          <w:rFonts w:hint="eastAsia"/>
          <w:sz w:val="32"/>
          <w:szCs w:val="24"/>
        </w:rPr>
        <w:t>对于城镇开发边界外的乡（镇）外围小微企业用地采取退二进一的处理方式；</w:t>
      </w:r>
    </w:p>
    <w:p w14:paraId="6B04D6B2">
      <w:pPr>
        <w:spacing w:beforeLines="0" w:afterLines="0"/>
        <w:rPr>
          <w:rFonts w:hint="eastAsia"/>
          <w:sz w:val="32"/>
          <w:szCs w:val="24"/>
        </w:rPr>
      </w:pPr>
      <w:r>
        <w:rPr>
          <w:rFonts w:hint="eastAsia"/>
          <w:sz w:val="32"/>
          <w:szCs w:val="24"/>
        </w:rPr>
        <w:t>对于高污染或技术落后的企业用地，采取评估前景、改进工艺或腾笼换鸟的处理方式；</w:t>
      </w:r>
    </w:p>
    <w:p w14:paraId="67609ACF">
      <w:pPr>
        <w:spacing w:beforeLines="0" w:afterLines="0"/>
        <w:rPr>
          <w:rFonts w:hint="eastAsia"/>
          <w:sz w:val="32"/>
          <w:szCs w:val="24"/>
        </w:rPr>
      </w:pPr>
      <w:r>
        <w:rPr>
          <w:rFonts w:hint="eastAsia"/>
          <w:sz w:val="32"/>
          <w:szCs w:val="24"/>
        </w:rPr>
        <w:t>对于零散、小规模的企业用地采取暂时改造为街头绿地，弥补城市局部地块公共绿地不足的处理方式；</w:t>
      </w:r>
    </w:p>
    <w:p w14:paraId="6675C47B">
      <w:pPr>
        <w:spacing w:beforeLines="0" w:afterLines="0"/>
        <w:rPr>
          <w:rFonts w:hint="eastAsia"/>
          <w:sz w:val="32"/>
          <w:szCs w:val="24"/>
        </w:rPr>
      </w:pPr>
      <w:r>
        <w:rPr>
          <w:rFonts w:hint="eastAsia"/>
          <w:sz w:val="32"/>
          <w:szCs w:val="24"/>
        </w:rPr>
        <w:t>对于空间利用不足的企业，鼓励建标准化厂房或地下厂房、标准地出让的处理方式。</w:t>
      </w:r>
    </w:p>
    <w:p w14:paraId="405B7AE1">
      <w:pPr>
        <w:numPr>
          <w:ilvl w:val="0"/>
          <w:numId w:val="4"/>
        </w:numPr>
        <w:spacing w:beforeLines="0" w:afterLines="0"/>
        <w:ind w:firstLine="640"/>
        <w:rPr>
          <w:rFonts w:hint="eastAsia" w:cs="Times New Roman"/>
          <w:sz w:val="32"/>
          <w:szCs w:val="24"/>
        </w:rPr>
      </w:pPr>
      <w:r>
        <w:rPr>
          <w:rFonts w:hint="eastAsia" w:cs="Times New Roman"/>
          <w:sz w:val="32"/>
          <w:szCs w:val="24"/>
        </w:rPr>
        <w:t>低效商业用地更新策略-根据体量和现状多维度盘活，鼓励政府和企业合作开发，加强监管，提供服务保障。</w:t>
      </w:r>
    </w:p>
    <w:p w14:paraId="585606F3">
      <w:pPr>
        <w:spacing w:beforeLines="0" w:afterLines="0"/>
        <w:rPr>
          <w:rFonts w:hint="eastAsia"/>
          <w:sz w:val="32"/>
          <w:szCs w:val="24"/>
        </w:rPr>
      </w:pPr>
      <w:r>
        <w:rPr>
          <w:rFonts w:hint="eastAsia"/>
          <w:sz w:val="32"/>
          <w:szCs w:val="24"/>
        </w:rPr>
        <w:t>对于闲置率较高的大型商业综合体采取转型升级或融合科创文创园区、众创空间的处理方式；</w:t>
      </w:r>
    </w:p>
    <w:p w14:paraId="7C4BC05B">
      <w:pPr>
        <w:spacing w:beforeLines="0" w:afterLines="0"/>
        <w:rPr>
          <w:rFonts w:hint="eastAsia"/>
          <w:sz w:val="32"/>
          <w:szCs w:val="24"/>
        </w:rPr>
      </w:pPr>
      <w:r>
        <w:rPr>
          <w:rFonts w:hint="eastAsia"/>
          <w:sz w:val="32"/>
          <w:szCs w:val="24"/>
        </w:rPr>
        <w:t>对于老城区零散的商业采取按照用地规划布局，疏解外迁、腾退重建的处理方式；</w:t>
      </w:r>
    </w:p>
    <w:p w14:paraId="19E224CB">
      <w:pPr>
        <w:spacing w:beforeLines="0" w:afterLines="0"/>
        <w:rPr>
          <w:rFonts w:hint="eastAsia"/>
          <w:sz w:val="32"/>
          <w:szCs w:val="24"/>
        </w:rPr>
      </w:pPr>
      <w:r>
        <w:rPr>
          <w:rFonts w:hint="eastAsia"/>
          <w:sz w:val="32"/>
          <w:szCs w:val="24"/>
        </w:rPr>
        <w:t>对于空间利用率较低的大型商业采取按照用地规划布局，主导空间腾退或转型的处理方式；</w:t>
      </w:r>
    </w:p>
    <w:p w14:paraId="392B7002">
      <w:pPr>
        <w:spacing w:beforeLines="0" w:afterLines="0"/>
        <w:rPr>
          <w:rFonts w:hint="eastAsia"/>
          <w:sz w:val="32"/>
          <w:szCs w:val="24"/>
        </w:rPr>
      </w:pPr>
      <w:r>
        <w:rPr>
          <w:rFonts w:hint="eastAsia"/>
          <w:sz w:val="32"/>
          <w:szCs w:val="24"/>
        </w:rPr>
        <w:t>对于混合功能的宿舍楼鼓励采取将商业用房等按规定改建为租赁住房的处理方式；</w:t>
      </w:r>
    </w:p>
    <w:p w14:paraId="2764CA23">
      <w:pPr>
        <w:spacing w:beforeLines="0" w:afterLines="0"/>
        <w:rPr>
          <w:rFonts w:hint="eastAsia"/>
          <w:sz w:val="32"/>
          <w:szCs w:val="24"/>
        </w:rPr>
      </w:pPr>
      <w:r>
        <w:rPr>
          <w:rFonts w:hint="eastAsia"/>
          <w:sz w:val="32"/>
          <w:szCs w:val="24"/>
        </w:rPr>
        <w:t>对于老城底商可结合立面改造进行街道风貌综合整治；</w:t>
      </w:r>
    </w:p>
    <w:p w14:paraId="0224D420">
      <w:pPr>
        <w:spacing w:beforeLines="0" w:afterLines="0"/>
        <w:rPr>
          <w:rFonts w:hint="eastAsia"/>
          <w:sz w:val="32"/>
          <w:szCs w:val="24"/>
        </w:rPr>
      </w:pPr>
      <w:r>
        <w:rPr>
          <w:rFonts w:hint="eastAsia"/>
          <w:sz w:val="32"/>
          <w:szCs w:val="24"/>
        </w:rPr>
        <w:t>对于城区规模化市场可按照规划布局进行原址重建或者疏解外迁。</w:t>
      </w:r>
    </w:p>
    <w:p w14:paraId="05C7C5D9">
      <w:pPr>
        <w:numPr>
          <w:ilvl w:val="0"/>
          <w:numId w:val="4"/>
        </w:numPr>
        <w:spacing w:beforeLines="0" w:afterLines="0"/>
        <w:ind w:firstLine="640"/>
        <w:outlineLvl w:val="3"/>
        <w:rPr>
          <w:rFonts w:hint="eastAsia" w:cs="Times New Roman"/>
          <w:sz w:val="32"/>
          <w:szCs w:val="24"/>
        </w:rPr>
      </w:pPr>
      <w:r>
        <w:rPr>
          <w:rFonts w:hint="eastAsia" w:cs="Times New Roman"/>
          <w:sz w:val="32"/>
          <w:szCs w:val="24"/>
        </w:rPr>
        <w:t>城中村更新策略-拆除重建、综合整治、保护修缮。</w:t>
      </w:r>
    </w:p>
    <w:p w14:paraId="1EC0584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对位于中心城区开发边界范围周边的村庄采取土地征收方式，按照规划进行用地更新；</w:t>
      </w:r>
    </w:p>
    <w:p w14:paraId="459C7570">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对位于中心城区开发边界范围内，近期开发建设尚不涉及，部分基础设施和公共服务设施不完善、环境需提升的边缘型村庄，采取近期改造，远期征收的方式；</w:t>
      </w:r>
    </w:p>
    <w:p w14:paraId="3F184644">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对位于中心城区开发边界范围周边的村庄，结合民宿改造、家庭农场、都市农业改造等，采取保护修缮、综合整治的措施。</w:t>
      </w:r>
    </w:p>
    <w:p w14:paraId="3861AB6A">
      <w:pPr>
        <w:keepNext w:val="0"/>
        <w:keepLines w:val="0"/>
        <w:pageBreakBefore w:val="0"/>
        <w:widowControl w:val="0"/>
        <w:numPr>
          <w:ilvl w:val="0"/>
          <w:numId w:val="4"/>
        </w:numPr>
        <w:kinsoku/>
        <w:wordWrap/>
        <w:overflowPunct/>
        <w:topLinePunct w:val="0"/>
        <w:autoSpaceDE/>
        <w:autoSpaceDN/>
        <w:bidi w:val="0"/>
        <w:adjustRightInd/>
        <w:snapToGrid/>
        <w:spacing w:beforeLines="0" w:afterLines="0" w:line="560" w:lineRule="exact"/>
        <w:ind w:firstLine="640"/>
        <w:textAlignment w:val="auto"/>
        <w:outlineLvl w:val="3"/>
        <w:rPr>
          <w:rFonts w:hint="eastAsia" w:cs="Times New Roman"/>
          <w:sz w:val="32"/>
          <w:szCs w:val="24"/>
        </w:rPr>
      </w:pPr>
      <w:r>
        <w:rPr>
          <w:rFonts w:hint="eastAsia" w:cs="Times New Roman"/>
          <w:sz w:val="32"/>
          <w:szCs w:val="24"/>
        </w:rPr>
        <w:t>已批未建用地更新策略。</w:t>
      </w:r>
    </w:p>
    <w:p w14:paraId="435F3E3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根据企业原因、政府原因以及其他闲置原因分类，限期处理，建立排查、盘点和监督机制。</w:t>
      </w:r>
    </w:p>
    <w:p w14:paraId="5783BD63">
      <w:pPr>
        <w:pStyle w:val="3"/>
        <w:numPr>
          <w:ilvl w:val="1"/>
          <w:numId w:val="2"/>
        </w:numPr>
        <w:ind w:firstLine="0"/>
        <w:rPr>
          <w:rFonts w:hint="eastAsia" w:cs="Times New Roman"/>
          <w:sz w:val="32"/>
          <w:szCs w:val="24"/>
        </w:rPr>
      </w:pPr>
      <w:bookmarkStart w:id="188" w:name="_Toc21862"/>
      <w:r>
        <w:rPr>
          <w:rFonts w:hint="eastAsia" w:cs="Times New Roman"/>
          <w:sz w:val="32"/>
          <w:szCs w:val="24"/>
        </w:rPr>
        <w:t>合理推进地下空间利用</w:t>
      </w:r>
      <w:bookmarkEnd w:id="188"/>
    </w:p>
    <w:p w14:paraId="31F8253E">
      <w:pPr>
        <w:pStyle w:val="23"/>
        <w:numPr>
          <w:ilvl w:val="0"/>
          <w:numId w:val="3"/>
        </w:numPr>
        <w:spacing w:beforeLines="0" w:afterLines="0"/>
        <w:outlineLvl w:val="2"/>
        <w:rPr>
          <w:rFonts w:hint="eastAsia"/>
          <w:sz w:val="32"/>
          <w:szCs w:val="32"/>
          <w:lang w:val="en-US"/>
        </w:rPr>
      </w:pPr>
      <w:r>
        <w:rPr>
          <w:rFonts w:hint="eastAsia"/>
          <w:sz w:val="32"/>
          <w:szCs w:val="32"/>
          <w:lang w:val="en-US"/>
        </w:rPr>
        <w:t>分类分层开发地下空间资源</w:t>
      </w:r>
    </w:p>
    <w:p w14:paraId="631BB083">
      <w:pPr>
        <w:spacing w:beforeLines="0" w:afterLines="0"/>
        <w:rPr>
          <w:rFonts w:hint="eastAsia"/>
          <w:sz w:val="32"/>
          <w:szCs w:val="24"/>
        </w:rPr>
      </w:pPr>
      <w:r>
        <w:rPr>
          <w:rFonts w:hint="eastAsia"/>
          <w:sz w:val="32"/>
          <w:szCs w:val="24"/>
        </w:rPr>
        <w:t>根据地下空间开发深度，合理安排地下空间功能。地下空间总体分为浅层（0至</w:t>
      </w:r>
      <w:r>
        <w:rPr>
          <w:rFonts w:hint="eastAsia" w:ascii="仿宋_GB2312" w:hAnsi="仿宋_GB2312"/>
          <w:sz w:val="32"/>
          <w:szCs w:val="24"/>
        </w:rPr>
        <w:t>-</w:t>
      </w:r>
      <w:r>
        <w:rPr>
          <w:rFonts w:hint="eastAsia"/>
          <w:sz w:val="32"/>
          <w:szCs w:val="24"/>
        </w:rPr>
        <w:t>15米）、中层（</w:t>
      </w:r>
      <w:r>
        <w:rPr>
          <w:rFonts w:hint="eastAsia" w:ascii="仿宋_GB2312" w:hAnsi="仿宋_GB2312"/>
          <w:sz w:val="32"/>
          <w:szCs w:val="24"/>
        </w:rPr>
        <w:t>-</w:t>
      </w:r>
      <w:r>
        <w:rPr>
          <w:rFonts w:hint="eastAsia"/>
          <w:sz w:val="32"/>
          <w:szCs w:val="24"/>
        </w:rPr>
        <w:t>15至</w:t>
      </w:r>
      <w:r>
        <w:rPr>
          <w:rFonts w:hint="eastAsia" w:ascii="仿宋_GB2312" w:hAnsi="仿宋_GB2312"/>
          <w:sz w:val="32"/>
          <w:szCs w:val="24"/>
        </w:rPr>
        <w:t>-</w:t>
      </w:r>
      <w:r>
        <w:rPr>
          <w:rFonts w:hint="eastAsia"/>
          <w:sz w:val="32"/>
          <w:szCs w:val="24"/>
        </w:rPr>
        <w:t>30米）、次深层（</w:t>
      </w:r>
      <w:r>
        <w:rPr>
          <w:rFonts w:hint="eastAsia" w:ascii="仿宋_GB2312" w:hAnsi="仿宋_GB2312"/>
          <w:sz w:val="32"/>
          <w:szCs w:val="24"/>
        </w:rPr>
        <w:t>-</w:t>
      </w:r>
      <w:r>
        <w:rPr>
          <w:rFonts w:hint="eastAsia"/>
          <w:sz w:val="32"/>
          <w:szCs w:val="24"/>
        </w:rPr>
        <w:t>30至</w:t>
      </w:r>
      <w:r>
        <w:rPr>
          <w:rFonts w:hint="eastAsia" w:ascii="仿宋_GB2312" w:hAnsi="仿宋_GB2312"/>
          <w:sz w:val="32"/>
          <w:szCs w:val="24"/>
        </w:rPr>
        <w:t>-</w:t>
      </w:r>
      <w:r>
        <w:rPr>
          <w:rFonts w:hint="eastAsia"/>
          <w:sz w:val="32"/>
          <w:szCs w:val="24"/>
        </w:rPr>
        <w:t>50米）、深层（</w:t>
      </w:r>
      <w:r>
        <w:rPr>
          <w:rFonts w:hint="eastAsia" w:ascii="仿宋_GB2312" w:hAnsi="仿宋_GB2312"/>
          <w:sz w:val="32"/>
          <w:szCs w:val="24"/>
        </w:rPr>
        <w:t>-</w:t>
      </w:r>
      <w:r>
        <w:rPr>
          <w:rFonts w:hint="eastAsia"/>
          <w:sz w:val="32"/>
          <w:szCs w:val="24"/>
        </w:rPr>
        <w:t>50米以下空间）。浅、中层地下空间优先安排交通、市政、防灾等功能，适度安排商业功能；次深层地下空间做好快速交通、物流调配空间预留；深层地下空间做好雨水调蓄、能源输送、特种工程等功能系统的预留控制。</w:t>
      </w:r>
    </w:p>
    <w:p w14:paraId="5E6FC697">
      <w:pPr>
        <w:spacing w:beforeLines="0" w:afterLines="0"/>
        <w:rPr>
          <w:rFonts w:hint="eastAsia"/>
          <w:sz w:val="32"/>
          <w:szCs w:val="24"/>
        </w:rPr>
      </w:pPr>
      <w:r>
        <w:rPr>
          <w:rFonts w:hint="eastAsia"/>
          <w:sz w:val="32"/>
          <w:szCs w:val="24"/>
        </w:rPr>
        <w:t>分区管控地下空间资源开发，有效利用地下空间资源，限制地下空间过度开发，维护城市良好的生态功能。</w:t>
      </w:r>
    </w:p>
    <w:p w14:paraId="175F41AB">
      <w:pPr>
        <w:pStyle w:val="23"/>
        <w:numPr>
          <w:ilvl w:val="0"/>
          <w:numId w:val="3"/>
        </w:numPr>
        <w:spacing w:beforeLines="0" w:afterLines="0"/>
        <w:outlineLvl w:val="2"/>
        <w:rPr>
          <w:rFonts w:hint="eastAsia"/>
          <w:sz w:val="32"/>
          <w:szCs w:val="32"/>
          <w:lang w:val="en-US"/>
        </w:rPr>
      </w:pPr>
      <w:r>
        <w:rPr>
          <w:rFonts w:hint="eastAsia"/>
          <w:sz w:val="32"/>
          <w:szCs w:val="32"/>
          <w:lang w:val="en-US"/>
        </w:rPr>
        <w:t>明确地下空间分区管控要求</w:t>
      </w:r>
    </w:p>
    <w:p w14:paraId="1831409E">
      <w:pPr>
        <w:spacing w:beforeLines="0" w:afterLines="0" w:line="580" w:lineRule="exact"/>
        <w:rPr>
          <w:rFonts w:hint="eastAsia"/>
          <w:sz w:val="32"/>
          <w:szCs w:val="24"/>
          <w:u w:val="single"/>
        </w:rPr>
      </w:pPr>
      <w:r>
        <w:rPr>
          <w:rFonts w:hint="eastAsia"/>
          <w:sz w:val="32"/>
          <w:szCs w:val="24"/>
          <w:u w:val="single"/>
        </w:rPr>
        <w:t>以地质条件受限区、地下文物埋藏区，以及具有一定生态功能的公园绿地等为主的限制开发区，原则上禁止与自身配套无关的地下空间资源开发，如有特殊需求，根据实际情况进行可行性与安全性评估论证</w:t>
      </w:r>
      <w:r>
        <w:rPr>
          <w:rFonts w:hint="eastAsia"/>
          <w:sz w:val="32"/>
          <w:szCs w:val="24"/>
        </w:rPr>
        <w:t>。</w:t>
      </w:r>
    </w:p>
    <w:p w14:paraId="1D209DF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sz w:val="32"/>
          <w:szCs w:val="24"/>
          <w:u w:val="single"/>
        </w:rPr>
      </w:pPr>
      <w:r>
        <w:rPr>
          <w:rFonts w:hint="eastAsia"/>
          <w:sz w:val="32"/>
          <w:szCs w:val="24"/>
          <w:u w:val="single"/>
        </w:rPr>
        <w:t>以公共活动中心地区等区域为主的重点开发区，应坚持地下空间统筹规划、整体设计、统一建设、集中管理，做好地下功能空间的整体协调，深化地下空间的通道、管线等接口的预留控制，实现地下空间横向互联互</w:t>
      </w:r>
      <w:r>
        <w:rPr>
          <w:rFonts w:hint="eastAsia"/>
          <w:sz w:val="32"/>
          <w:szCs w:val="24"/>
        </w:rPr>
        <w:t>。</w:t>
      </w:r>
    </w:p>
    <w:p w14:paraId="6A41F5F6">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以高铁站片区、博爱公园片区、历史街区片区为重点开发区周边、公共功能相对集中区为主的鼓励开发区，应以补充完善停车、商业及配套服务等地面所需功能为主，促进地下空间互联互通。河湖水库、铁路以及文保要求的区域为禁止开发区。其他区域为地下空间一般区，地下空间开发以配建功能为主，不宜做商业开发。</w:t>
      </w:r>
    </w:p>
    <w:p w14:paraId="786963F7">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结合地上用地功能布局，合理利用地下空间资源。在确保使用安全的前提下，充分利用地下空间，强化地下空间功能对地面功能的补充完善，形成地上、地下一体化发展格局。加大地下综合管廊建设力度，着力推动市政基础设施地下化。</w:t>
      </w:r>
    </w:p>
    <w:p w14:paraId="67642BEE">
      <w:pPr>
        <w:pStyle w:val="3"/>
        <w:numPr>
          <w:ilvl w:val="1"/>
          <w:numId w:val="2"/>
        </w:numPr>
        <w:spacing w:before="180" w:after="180" w:line="580" w:lineRule="exact"/>
        <w:ind w:firstLine="0"/>
        <w:rPr>
          <w:rFonts w:hint="eastAsia" w:cs="Times New Roman"/>
          <w:sz w:val="32"/>
          <w:szCs w:val="24"/>
        </w:rPr>
      </w:pPr>
      <w:bookmarkStart w:id="189" w:name="_Toc5094"/>
      <w:r>
        <w:rPr>
          <w:rFonts w:hint="eastAsia" w:cs="Times New Roman"/>
          <w:sz w:val="32"/>
          <w:szCs w:val="24"/>
        </w:rPr>
        <w:t>四线划定及管控</w:t>
      </w:r>
      <w:bookmarkEnd w:id="189"/>
    </w:p>
    <w:p w14:paraId="268732C3">
      <w:pPr>
        <w:pStyle w:val="23"/>
        <w:numPr>
          <w:ilvl w:val="0"/>
          <w:numId w:val="3"/>
        </w:numPr>
        <w:spacing w:beforeLines="0" w:afterLines="0"/>
        <w:outlineLvl w:val="2"/>
        <w:rPr>
          <w:rFonts w:hint="eastAsia"/>
          <w:sz w:val="32"/>
          <w:szCs w:val="32"/>
          <w:lang w:val="en-US"/>
        </w:rPr>
      </w:pPr>
      <w:r>
        <w:rPr>
          <w:rFonts w:hint="eastAsia"/>
          <w:sz w:val="32"/>
          <w:szCs w:val="32"/>
          <w:lang w:val="en-US"/>
        </w:rPr>
        <w:t>城市“绿线”划定及管控</w:t>
      </w:r>
    </w:p>
    <w:p w14:paraId="2D9F84B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u w:val="single"/>
        </w:rPr>
        <w:t>将综合公园、专类公园、社区公园、主要防护绿地、广场划定为城市绿线，划定城市绿线117.71公顷，包括博爱公园17.94公顷、幸福湖公园17.00公顷、滨河路明渠游园21.98公顷等结构性绿地</w:t>
      </w:r>
      <w:r>
        <w:rPr>
          <w:rFonts w:hint="eastAsia"/>
          <w:sz w:val="32"/>
          <w:szCs w:val="24"/>
          <w:u w:val="none"/>
          <w:lang w:eastAsia="zh-CN"/>
        </w:rPr>
        <w:t>。</w:t>
      </w:r>
      <w:r>
        <w:rPr>
          <w:rFonts w:hint="eastAsia"/>
          <w:sz w:val="32"/>
          <w:szCs w:val="24"/>
        </w:rPr>
        <w:t>对影响城市布局的结构性绿地参照城市绿线管理。城市绿线内的用地，不得改作他用，不得违反法律法规、强制性标准以及批准的规划进行开发建设。城市绿线严格按照《城市绿线管理办法》管控。</w:t>
      </w:r>
    </w:p>
    <w:p w14:paraId="6A31346F">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p>
    <w:p w14:paraId="7FC3F9D4">
      <w:pPr>
        <w:pStyle w:val="23"/>
        <w:numPr>
          <w:ilvl w:val="0"/>
          <w:numId w:val="3"/>
        </w:numPr>
        <w:spacing w:beforeLines="0" w:afterLines="0"/>
        <w:outlineLvl w:val="2"/>
        <w:rPr>
          <w:rFonts w:hint="eastAsia"/>
          <w:sz w:val="32"/>
          <w:szCs w:val="32"/>
          <w:lang w:val="en-US"/>
        </w:rPr>
      </w:pPr>
      <w:r>
        <w:rPr>
          <w:rFonts w:hint="eastAsia"/>
          <w:sz w:val="32"/>
          <w:szCs w:val="32"/>
          <w:lang w:val="en-US"/>
        </w:rPr>
        <w:t>城市“紫线”规划</w:t>
      </w:r>
    </w:p>
    <w:p w14:paraId="54C0B89C">
      <w:pPr>
        <w:spacing w:beforeLines="0" w:afterLines="0"/>
        <w:rPr>
          <w:rFonts w:hint="eastAsia"/>
          <w:sz w:val="32"/>
          <w:szCs w:val="24"/>
        </w:rPr>
      </w:pPr>
      <w:r>
        <w:rPr>
          <w:rFonts w:hint="eastAsia"/>
          <w:sz w:val="32"/>
          <w:szCs w:val="24"/>
          <w:u w:val="single"/>
        </w:rPr>
        <w:t>紫线主要包括博爱县清化街历史文化街区，以及大王庙、祖师庙等文物保护单位</w:t>
      </w:r>
      <w:r>
        <w:rPr>
          <w:rFonts w:hint="eastAsia"/>
          <w:sz w:val="32"/>
          <w:szCs w:val="24"/>
        </w:rPr>
        <w:t>。</w:t>
      </w:r>
    </w:p>
    <w:p w14:paraId="4DAE406B">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hint="eastAsia"/>
          <w:sz w:val="32"/>
          <w:szCs w:val="24"/>
        </w:rPr>
      </w:pPr>
      <w:r>
        <w:rPr>
          <w:rFonts w:hint="eastAsia"/>
          <w:sz w:val="32"/>
          <w:szCs w:val="24"/>
          <w:u w:val="single"/>
        </w:rPr>
        <w:t>在城市紫线范围内禁止进行下列活动：违反保护规划的大面积拆除、开发；损坏或者拆毁保护规划确定保护的建筑物、构筑物和其他设施；对历史文化街区传统格局和风貌构成影响的大面积改建；修建破坏历史文化街区传统风貌的建筑物、构筑物和其他设施；占用或者破坏保护规划确定保留的园林绿地、河湖水系、道路和古树名木等；其他对历史建筑的保护构成破坏性影响的活动。在城市紫线范围内确定各类建设项目，必须先由博爱县人民政府规划行政主管部门依据保护规划进行审查，组织专家论证并进行公示后核发选址意见书。在城市紫线范围内进行新建或者改建各类建筑物、构筑物和其他设施，对规划确定保护的建筑物、构筑物和其他设施进行修缮和维修以及改变建筑物、构筑物的使用性质，应当依照相关法律、法规的规定，办理相关手续后方可进行</w:t>
      </w:r>
      <w:r>
        <w:rPr>
          <w:rFonts w:hint="eastAsia"/>
          <w:sz w:val="32"/>
          <w:szCs w:val="24"/>
        </w:rPr>
        <w:t>。</w:t>
      </w:r>
    </w:p>
    <w:p w14:paraId="6217D050">
      <w:pPr>
        <w:pStyle w:val="23"/>
        <w:numPr>
          <w:ilvl w:val="0"/>
          <w:numId w:val="3"/>
        </w:numPr>
        <w:spacing w:beforeLines="0" w:afterLines="0"/>
        <w:outlineLvl w:val="2"/>
        <w:rPr>
          <w:rFonts w:hint="eastAsia"/>
          <w:sz w:val="32"/>
          <w:szCs w:val="32"/>
          <w:lang w:val="en-US"/>
        </w:rPr>
      </w:pPr>
      <w:r>
        <w:rPr>
          <w:rFonts w:hint="eastAsia"/>
          <w:sz w:val="32"/>
          <w:szCs w:val="32"/>
          <w:lang w:val="en-US"/>
        </w:rPr>
        <w:t>城市“蓝线”规划</w:t>
      </w:r>
    </w:p>
    <w:p w14:paraId="12C8BE67">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hint="eastAsia"/>
          <w:sz w:val="32"/>
          <w:szCs w:val="24"/>
        </w:rPr>
      </w:pPr>
      <w:r>
        <w:rPr>
          <w:rFonts w:hint="eastAsia"/>
          <w:sz w:val="32"/>
          <w:szCs w:val="24"/>
          <w:u w:val="single"/>
        </w:rPr>
        <w:t>依据水利部门河道管理范围，划定幸福河、运粮河、勒马河以及上秦河作为城市“蓝线”</w:t>
      </w:r>
      <w:r>
        <w:rPr>
          <w:rFonts w:hint="eastAsia"/>
          <w:sz w:val="32"/>
          <w:szCs w:val="24"/>
        </w:rPr>
        <w:t>。</w:t>
      </w:r>
    </w:p>
    <w:p w14:paraId="1B9DF93F">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hint="eastAsia"/>
          <w:sz w:val="32"/>
          <w:szCs w:val="24"/>
        </w:rPr>
      </w:pPr>
      <w:r>
        <w:rPr>
          <w:rFonts w:hint="eastAsia"/>
          <w:sz w:val="32"/>
          <w:szCs w:val="24"/>
        </w:rPr>
        <w:t>纳入蓝线划定的各类用地、建（构）筑物、自然景观、人文景观及其控制范围，县规划行政主管部门应当按照要求做好规划控制工作。</w:t>
      </w:r>
    </w:p>
    <w:p w14:paraId="5084EECA">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hint="default"/>
          <w:sz w:val="32"/>
          <w:szCs w:val="24"/>
        </w:rPr>
      </w:pPr>
      <w:r>
        <w:rPr>
          <w:rFonts w:hint="eastAsia"/>
          <w:sz w:val="32"/>
          <w:szCs w:val="24"/>
          <w:u w:val="single"/>
        </w:rPr>
        <w:t>在城市蓝线内禁止进行下列活动：违反城市蓝线保护和控制要求的建设活动；擅自填埋、占用城市蓝线内水域；影响水系安全的爆破、采石、取土；擅自建设各类排污设施；其它对城市水系保护构成破坏的活动</w:t>
      </w:r>
      <w:r>
        <w:rPr>
          <w:rFonts w:hint="eastAsia"/>
          <w:sz w:val="32"/>
          <w:szCs w:val="24"/>
        </w:rPr>
        <w:t>。</w:t>
      </w:r>
    </w:p>
    <w:p w14:paraId="2C505C2B">
      <w:pPr>
        <w:keepNext w:val="0"/>
        <w:keepLines w:val="0"/>
        <w:pageBreakBefore w:val="0"/>
        <w:widowControl w:val="0"/>
        <w:kinsoku/>
        <w:wordWrap/>
        <w:overflowPunct/>
        <w:topLinePunct w:val="0"/>
        <w:autoSpaceDE/>
        <w:autoSpaceDN/>
        <w:bidi w:val="0"/>
        <w:adjustRightInd/>
        <w:snapToGrid/>
        <w:spacing w:beforeLines="0" w:afterLines="0" w:line="550" w:lineRule="exact"/>
        <w:textAlignment w:val="auto"/>
        <w:rPr>
          <w:rFonts w:hint="eastAsia"/>
          <w:sz w:val="32"/>
          <w:szCs w:val="24"/>
        </w:rPr>
      </w:pPr>
      <w:r>
        <w:rPr>
          <w:rFonts w:hint="eastAsia"/>
          <w:sz w:val="32"/>
          <w:szCs w:val="24"/>
          <w:u w:val="single"/>
        </w:rPr>
        <w:t>对现有不符合蓝线所确定性质的用地，应当限期整改，对不符合蓝线的建（构）筑物及其他设施，应当限期拆除迁出</w:t>
      </w:r>
      <w:r>
        <w:rPr>
          <w:rFonts w:hint="eastAsia"/>
          <w:sz w:val="32"/>
          <w:szCs w:val="24"/>
        </w:rPr>
        <w:t>。</w:t>
      </w:r>
    </w:p>
    <w:p w14:paraId="2B092814">
      <w:pPr>
        <w:pStyle w:val="23"/>
        <w:numPr>
          <w:ilvl w:val="0"/>
          <w:numId w:val="3"/>
        </w:numPr>
        <w:spacing w:beforeLines="0" w:afterLines="0" w:line="576" w:lineRule="exact"/>
        <w:outlineLvl w:val="2"/>
        <w:rPr>
          <w:rFonts w:hint="eastAsia"/>
          <w:sz w:val="32"/>
          <w:szCs w:val="32"/>
          <w:lang w:val="en-US"/>
        </w:rPr>
      </w:pPr>
      <w:r>
        <w:rPr>
          <w:rFonts w:hint="eastAsia"/>
          <w:sz w:val="32"/>
          <w:szCs w:val="32"/>
          <w:lang w:val="en-US"/>
        </w:rPr>
        <w:t>城市“黄线”规划</w:t>
      </w:r>
    </w:p>
    <w:p w14:paraId="4618407B">
      <w:pPr>
        <w:keepNext w:val="0"/>
        <w:keepLines w:val="0"/>
        <w:pageBreakBefore w:val="0"/>
        <w:widowControl w:val="0"/>
        <w:kinsoku/>
        <w:wordWrap/>
        <w:overflowPunct/>
        <w:topLinePunct w:val="0"/>
        <w:autoSpaceDE/>
        <w:autoSpaceDN/>
        <w:bidi w:val="0"/>
        <w:adjustRightInd/>
        <w:snapToGrid/>
        <w:spacing w:beforeLines="0" w:afterLines="0" w:line="540" w:lineRule="atLeast"/>
        <w:textAlignment w:val="auto"/>
        <w:rPr>
          <w:rFonts w:hint="eastAsia"/>
          <w:sz w:val="32"/>
          <w:szCs w:val="24"/>
        </w:rPr>
      </w:pPr>
      <w:r>
        <w:rPr>
          <w:rFonts w:hint="eastAsia"/>
          <w:sz w:val="32"/>
          <w:szCs w:val="24"/>
        </w:rPr>
        <w:t>将中心城区重要的市政、交通基础设施用地划定为黄线。</w:t>
      </w:r>
      <w:r>
        <w:rPr>
          <w:rFonts w:hint="eastAsia"/>
          <w:sz w:val="32"/>
          <w:szCs w:val="24"/>
          <w:u w:val="single"/>
        </w:rPr>
        <w:t>中心城区共划定黄线包括三座给水厂、第一污水厂和第二污水厂、变电站、龙源电厂、燃气门站、储配站、通信设施、铁路站场、公路客运站等基础设施用地控制范围</w:t>
      </w:r>
      <w:r>
        <w:rPr>
          <w:rFonts w:hint="eastAsia"/>
          <w:sz w:val="32"/>
          <w:szCs w:val="24"/>
        </w:rPr>
        <w:t>。城市黄线控制范围应充分保障设施自身运行安全，同时应考虑与周围其他建（构）物的间距要求。</w:t>
      </w:r>
    </w:p>
    <w:p w14:paraId="4C53240E">
      <w:pPr>
        <w:keepNext w:val="0"/>
        <w:keepLines w:val="0"/>
        <w:pageBreakBefore w:val="0"/>
        <w:widowControl w:val="0"/>
        <w:kinsoku/>
        <w:wordWrap/>
        <w:overflowPunct/>
        <w:topLinePunct w:val="0"/>
        <w:autoSpaceDE/>
        <w:autoSpaceDN/>
        <w:bidi w:val="0"/>
        <w:adjustRightInd/>
        <w:snapToGrid/>
        <w:spacing w:beforeLines="0" w:afterLines="0" w:line="540" w:lineRule="atLeast"/>
        <w:textAlignment w:val="auto"/>
        <w:rPr>
          <w:rFonts w:hint="eastAsia"/>
          <w:sz w:val="32"/>
          <w:szCs w:val="24"/>
        </w:rPr>
      </w:pPr>
      <w:r>
        <w:rPr>
          <w:rFonts w:hint="eastAsia"/>
          <w:sz w:val="32"/>
          <w:szCs w:val="24"/>
        </w:rPr>
        <w:t>在城市黄线内进行建设，迁移、拆除黄线内基础设施的，应依据有关法律、法规办理相关审批手续。因建设或其他特殊情况需要临时占用城市黄线内土地的，应当依法办理相关审批手续。城市黄线严格按照《城市黄线管理办法》管控。</w:t>
      </w:r>
    </w:p>
    <w:p w14:paraId="55BAAC5B">
      <w:pPr>
        <w:pStyle w:val="3"/>
        <w:numPr>
          <w:ilvl w:val="1"/>
          <w:numId w:val="2"/>
        </w:numPr>
        <w:ind w:firstLine="0"/>
        <w:rPr>
          <w:rFonts w:hint="eastAsia" w:cs="Times New Roman"/>
          <w:sz w:val="32"/>
          <w:szCs w:val="24"/>
        </w:rPr>
      </w:pPr>
      <w:bookmarkStart w:id="190" w:name="_Toc32489"/>
      <w:r>
        <w:rPr>
          <w:rFonts w:hint="eastAsia" w:cs="Times New Roman"/>
          <w:sz w:val="32"/>
          <w:szCs w:val="24"/>
        </w:rPr>
        <w:t>工业用地控制线划定及管控</w:t>
      </w:r>
      <w:bookmarkEnd w:id="190"/>
    </w:p>
    <w:p w14:paraId="7D7C8BF8">
      <w:pPr>
        <w:pStyle w:val="23"/>
        <w:numPr>
          <w:ilvl w:val="0"/>
          <w:numId w:val="3"/>
        </w:numPr>
        <w:spacing w:beforeLines="0" w:afterLines="0"/>
        <w:outlineLvl w:val="2"/>
        <w:rPr>
          <w:rFonts w:hint="eastAsia"/>
          <w:sz w:val="32"/>
          <w:szCs w:val="32"/>
          <w:lang w:val="en-US"/>
        </w:rPr>
      </w:pPr>
      <w:r>
        <w:rPr>
          <w:rFonts w:hint="eastAsia"/>
          <w:sz w:val="32"/>
          <w:szCs w:val="32"/>
          <w:lang w:val="en-US"/>
        </w:rPr>
        <w:t>工业用地控制线划定及管控</w:t>
      </w:r>
    </w:p>
    <w:p w14:paraId="546596CD">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u w:val="single"/>
        </w:rPr>
        <w:t>中心城区划定工业用地红线921.29公顷，主要位于博爱县经济技术开发区内</w:t>
      </w:r>
      <w:r>
        <w:rPr>
          <w:rFonts w:hint="eastAsia"/>
          <w:sz w:val="32"/>
          <w:szCs w:val="24"/>
        </w:rPr>
        <w:t>。</w:t>
      </w:r>
    </w:p>
    <w:p w14:paraId="257002B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sz w:val="32"/>
          <w:szCs w:val="24"/>
        </w:rPr>
      </w:pPr>
      <w:r>
        <w:rPr>
          <w:rFonts w:hint="eastAsia"/>
          <w:sz w:val="32"/>
          <w:szCs w:val="24"/>
        </w:rPr>
        <w:t>提高工业控制线外新增工业用地门槛，鼓励线外现状工业用地迁移至工业控制线内。工业用地保护红线内按照“退二优二”原则，保护和盘活城区存量工业用地，推动低效工业企业加快退出，为培育先进产业腾挪发展空间。</w:t>
      </w:r>
    </w:p>
    <w:p w14:paraId="60EEC21B">
      <w:pPr>
        <w:keepNext w:val="0"/>
        <w:keepLines w:val="0"/>
        <w:pageBreakBefore w:val="0"/>
        <w:widowControl w:val="0"/>
        <w:numPr>
          <w:ilvl w:val="0"/>
          <w:numId w:val="2"/>
        </w:numPr>
        <w:kinsoku/>
        <w:wordWrap/>
        <w:overflowPunct/>
        <w:topLinePunct w:val="0"/>
        <w:autoSpaceDE/>
        <w:autoSpaceDN/>
        <w:bidi w:val="0"/>
        <w:adjustRightInd/>
        <w:snapToGrid/>
        <w:spacing w:before="200" w:after="400" w:line="580" w:lineRule="exact"/>
        <w:ind w:firstLine="0" w:firstLineChars="0"/>
        <w:jc w:val="center"/>
        <w:textAlignment w:val="auto"/>
        <w:outlineLvl w:val="0"/>
        <w:rPr>
          <w:rStyle w:val="18"/>
          <w:rFonts w:hint="eastAsia" w:cs="Times New Roman"/>
          <w:b w:val="0"/>
          <w:bCs w:val="0"/>
          <w:highlight w:val="none"/>
          <w:lang w:val="zh-CN" w:eastAsia="zh-CN"/>
        </w:rPr>
      </w:pPr>
      <w:bookmarkStart w:id="191" w:name="_Toc21768"/>
      <w:r>
        <w:rPr>
          <w:rStyle w:val="18"/>
          <w:rFonts w:hint="eastAsia" w:cs="Times New Roman"/>
          <w:b w:val="0"/>
          <w:bCs w:val="0"/>
          <w:highlight w:val="none"/>
          <w:lang w:val="zh-CN" w:eastAsia="zh-CN"/>
        </w:rPr>
        <w:t>资源保护与利用</w:t>
      </w:r>
      <w:bookmarkEnd w:id="191"/>
    </w:p>
    <w:bookmarkEnd w:id="183"/>
    <w:bookmarkEnd w:id="184"/>
    <w:p w14:paraId="149BF639">
      <w:pPr>
        <w:pStyle w:val="3"/>
        <w:keepNext/>
        <w:keepLines/>
        <w:pageBreakBefore w:val="0"/>
        <w:widowControl w:val="0"/>
        <w:numPr>
          <w:ilvl w:val="1"/>
          <w:numId w:val="2"/>
        </w:numPr>
        <w:kinsoku/>
        <w:wordWrap/>
        <w:overflowPunct/>
        <w:topLinePunct w:val="0"/>
        <w:autoSpaceDE/>
        <w:autoSpaceDN/>
        <w:bidi w:val="0"/>
        <w:adjustRightInd/>
        <w:snapToGrid/>
        <w:spacing w:line="580" w:lineRule="exact"/>
        <w:ind w:firstLine="0"/>
        <w:textAlignment w:val="auto"/>
        <w:rPr>
          <w:rFonts w:hint="eastAsia" w:cs="Times New Roman"/>
          <w:highlight w:val="none"/>
        </w:rPr>
      </w:pPr>
      <w:bookmarkStart w:id="192" w:name="_Toc11558"/>
      <w:bookmarkStart w:id="193" w:name="_Toc17409"/>
      <w:r>
        <w:rPr>
          <w:rFonts w:hint="eastAsia" w:cs="Times New Roman"/>
          <w:highlight w:val="none"/>
        </w:rPr>
        <w:t>强化建设用地节约集约</w:t>
      </w:r>
      <w:bookmarkEnd w:id="192"/>
      <w:bookmarkEnd w:id="193"/>
    </w:p>
    <w:p w14:paraId="0BAB6E92">
      <w:pPr>
        <w:pStyle w:val="23"/>
        <w:keepNext w:val="0"/>
        <w:keepLines w:val="0"/>
        <w:pageBreakBefore w:val="0"/>
        <w:widowControl w:val="0"/>
        <w:numPr>
          <w:ilvl w:val="0"/>
          <w:numId w:val="3"/>
        </w:numPr>
        <w:kinsoku/>
        <w:wordWrap/>
        <w:overflowPunct/>
        <w:topLinePunct w:val="0"/>
        <w:autoSpaceDE/>
        <w:autoSpaceDN/>
        <w:bidi w:val="0"/>
        <w:adjustRightInd/>
        <w:snapToGrid/>
        <w:spacing w:line="580" w:lineRule="atLeast"/>
        <w:ind w:left="0" w:leftChars="0" w:firstLine="612" w:firstLineChars="0"/>
        <w:textAlignment w:val="auto"/>
        <w:outlineLvl w:val="2"/>
        <w:rPr>
          <w:rFonts w:hint="eastAsia"/>
          <w:highlight w:val="none"/>
          <w:lang w:val="en-US"/>
        </w:rPr>
      </w:pPr>
      <w:bookmarkStart w:id="194" w:name="_Toc20072"/>
      <w:r>
        <w:rPr>
          <w:rFonts w:hint="eastAsia"/>
          <w:highlight w:val="none"/>
          <w:lang w:val="en-US"/>
        </w:rPr>
        <w:t>总量控制</w:t>
      </w:r>
      <w:bookmarkEnd w:id="194"/>
    </w:p>
    <w:p w14:paraId="271FCA69">
      <w:pPr>
        <w:keepNext w:val="0"/>
        <w:keepLines w:val="0"/>
        <w:pageBreakBefore w:val="0"/>
        <w:widowControl w:val="0"/>
        <w:kinsoku/>
        <w:wordWrap/>
        <w:overflowPunct/>
        <w:topLinePunct w:val="0"/>
        <w:autoSpaceDE/>
        <w:autoSpaceDN/>
        <w:bidi w:val="0"/>
        <w:adjustRightInd/>
        <w:snapToGrid/>
        <w:spacing w:line="568" w:lineRule="atLeast"/>
        <w:textAlignment w:val="auto"/>
        <w:rPr>
          <w:rFonts w:hint="eastAsia" w:cs="Times New Roman"/>
          <w:b w:val="0"/>
          <w:bCs w:val="0"/>
          <w:highlight w:val="none"/>
          <w:lang w:val="en-US"/>
        </w:rPr>
      </w:pPr>
      <w:r>
        <w:rPr>
          <w:rFonts w:hint="eastAsia" w:cs="Times New Roman"/>
          <w:b w:val="0"/>
          <w:bCs w:val="0"/>
          <w:highlight w:val="none"/>
          <w:lang w:val="en-US"/>
        </w:rPr>
        <w:t>严格控制建设用地总量。从严控制城乡建设用地规模，强化刚性约束，遏制土地过度开发和建设用地粗放利用。规划至2035年，博爱县城乡建设用地总规模控制在7875公顷以内，其中城镇建设用地规模控制在3603公顷以内，村庄建设用地规模控制在4272公顷以内。</w:t>
      </w:r>
    </w:p>
    <w:p w14:paraId="3B3F3914">
      <w:pPr>
        <w:pStyle w:val="23"/>
        <w:keepNext w:val="0"/>
        <w:keepLines w:val="0"/>
        <w:pageBreakBefore w:val="0"/>
        <w:widowControl w:val="0"/>
        <w:numPr>
          <w:ilvl w:val="0"/>
          <w:numId w:val="3"/>
        </w:numPr>
        <w:kinsoku/>
        <w:wordWrap/>
        <w:overflowPunct/>
        <w:topLinePunct w:val="0"/>
        <w:autoSpaceDE/>
        <w:autoSpaceDN/>
        <w:bidi w:val="0"/>
        <w:adjustRightInd/>
        <w:snapToGrid/>
        <w:spacing w:line="580" w:lineRule="atLeast"/>
        <w:ind w:left="0" w:leftChars="0" w:firstLine="612" w:firstLineChars="0"/>
        <w:textAlignment w:val="auto"/>
        <w:outlineLvl w:val="2"/>
        <w:rPr>
          <w:rFonts w:hint="eastAsia"/>
          <w:highlight w:val="none"/>
          <w:lang w:val="en-US"/>
        </w:rPr>
      </w:pPr>
      <w:bookmarkStart w:id="195" w:name="_Toc14510"/>
      <w:r>
        <w:rPr>
          <w:rFonts w:hint="eastAsia"/>
          <w:highlight w:val="none"/>
          <w:lang w:val="en-US"/>
        </w:rPr>
        <w:t>节约集约利用目标</w:t>
      </w:r>
      <w:bookmarkEnd w:id="195"/>
    </w:p>
    <w:p w14:paraId="643E8F56">
      <w:pPr>
        <w:keepNext w:val="0"/>
        <w:keepLines w:val="0"/>
        <w:pageBreakBefore w:val="0"/>
        <w:widowControl w:val="0"/>
        <w:kinsoku/>
        <w:wordWrap/>
        <w:overflowPunct/>
        <w:topLinePunct w:val="0"/>
        <w:autoSpaceDE/>
        <w:autoSpaceDN/>
        <w:bidi w:val="0"/>
        <w:adjustRightInd/>
        <w:snapToGrid/>
        <w:spacing w:line="568" w:lineRule="atLeast"/>
        <w:textAlignment w:val="auto"/>
        <w:rPr>
          <w:rFonts w:hint="eastAsia" w:cs="Times New Roman"/>
          <w:b w:val="0"/>
          <w:bCs w:val="0"/>
          <w:highlight w:val="none"/>
          <w:lang w:val="en-US"/>
        </w:rPr>
      </w:pPr>
      <w:r>
        <w:rPr>
          <w:rFonts w:hint="eastAsia" w:cs="Times New Roman"/>
          <w:b w:val="0"/>
          <w:bCs w:val="0"/>
          <w:highlight w:val="none"/>
          <w:lang w:val="en-US"/>
        </w:rPr>
        <w:t>推动新增建设用地与土地节约集约利用水平挂钩。以高质量发展为主线，深化供给侧结构性改革，统筹推进产业基础高级化和产业链现代化，优化产业布局，提升结构层次，提高质量效益。优化要素资源集中高效配置，深化“亩均论英雄”改革，盘活闲置低效用地，强化工业用地收储、标准化厂房建设，形成以开发区为基础、先进制造业专业园区为引领的高能级产业载体体系；提高优势产业质量效益，发挥市场机制的作用，用好增量、优化存量、扶优汰劣，全面提高工艺装备、产品技术、能效水效、环境保护水平。至2035年，每万元国内生产总值建设用地使用面积下降不低于20%。</w:t>
      </w:r>
    </w:p>
    <w:p w14:paraId="0A8366BC">
      <w:pPr>
        <w:keepNext w:val="0"/>
        <w:keepLines w:val="0"/>
        <w:pageBreakBefore w:val="0"/>
        <w:widowControl w:val="0"/>
        <w:kinsoku/>
        <w:wordWrap/>
        <w:overflowPunct/>
        <w:topLinePunct w:val="0"/>
        <w:autoSpaceDE/>
        <w:autoSpaceDN/>
        <w:bidi w:val="0"/>
        <w:adjustRightInd/>
        <w:snapToGrid/>
        <w:spacing w:line="568" w:lineRule="atLeast"/>
        <w:textAlignment w:val="auto"/>
        <w:rPr>
          <w:rFonts w:hint="eastAsia" w:cs="Times New Roman"/>
          <w:b w:val="0"/>
          <w:bCs w:val="0"/>
          <w:highlight w:val="none"/>
          <w:lang w:val="en-US"/>
        </w:rPr>
      </w:pPr>
      <w:r>
        <w:rPr>
          <w:rFonts w:hint="eastAsia" w:cs="Times New Roman"/>
          <w:b w:val="0"/>
          <w:bCs w:val="0"/>
          <w:highlight w:val="none"/>
          <w:lang w:val="en-US" w:eastAsia="zh-CN"/>
        </w:rPr>
        <w:t>县域和中心城区的</w:t>
      </w:r>
      <w:r>
        <w:rPr>
          <w:rFonts w:hint="eastAsia" w:cs="Times New Roman"/>
          <w:b w:val="0"/>
          <w:bCs w:val="0"/>
          <w:highlight w:val="none"/>
          <w:lang w:val="en-US"/>
        </w:rPr>
        <w:t>人均城镇建设</w:t>
      </w:r>
      <w:r>
        <w:rPr>
          <w:rFonts w:hint="eastAsia" w:cs="Times New Roman"/>
          <w:b w:val="0"/>
          <w:bCs w:val="0"/>
          <w:highlight w:val="none"/>
          <w:lang w:val="en-US" w:eastAsia="zh-CN"/>
        </w:rPr>
        <w:t>用地</w:t>
      </w:r>
      <w:r>
        <w:rPr>
          <w:rFonts w:hint="eastAsia" w:cs="Times New Roman"/>
          <w:b w:val="0"/>
          <w:bCs w:val="0"/>
          <w:highlight w:val="none"/>
          <w:lang w:val="en-US"/>
        </w:rPr>
        <w:t>分别由2020年的135.58平方米和135.44平方米调整至2035年</w:t>
      </w:r>
      <w:r>
        <w:rPr>
          <w:rFonts w:hint="eastAsia" w:cs="Times New Roman"/>
          <w:b w:val="0"/>
          <w:bCs w:val="0"/>
          <w:highlight w:val="none"/>
          <w:lang w:val="en-US" w:eastAsia="zh-CN"/>
        </w:rPr>
        <w:t>的</w:t>
      </w:r>
      <w:r>
        <w:rPr>
          <w:rFonts w:hint="eastAsia" w:cs="Times New Roman"/>
          <w:b w:val="0"/>
          <w:bCs w:val="0"/>
          <w:highlight w:val="none"/>
          <w:lang w:val="en-US"/>
        </w:rPr>
        <w:t>135.45平方米和134.40平方米。</w:t>
      </w:r>
    </w:p>
    <w:p w14:paraId="221800F3">
      <w:pPr>
        <w:keepNext w:val="0"/>
        <w:keepLines w:val="0"/>
        <w:pageBreakBefore w:val="0"/>
        <w:widowControl w:val="0"/>
        <w:kinsoku/>
        <w:wordWrap/>
        <w:overflowPunct/>
        <w:topLinePunct w:val="0"/>
        <w:autoSpaceDE/>
        <w:autoSpaceDN/>
        <w:bidi w:val="0"/>
        <w:adjustRightInd/>
        <w:snapToGrid/>
        <w:spacing w:line="568" w:lineRule="atLeast"/>
        <w:textAlignment w:val="auto"/>
        <w:rPr>
          <w:rFonts w:hint="eastAsia" w:cs="Times New Roman"/>
          <w:b w:val="0"/>
          <w:bCs w:val="0"/>
          <w:highlight w:val="none"/>
          <w:lang w:val="en-US"/>
        </w:rPr>
      </w:pPr>
    </w:p>
    <w:p w14:paraId="7EAB04B6">
      <w:pPr>
        <w:pStyle w:val="23"/>
        <w:numPr>
          <w:ilvl w:val="0"/>
          <w:numId w:val="3"/>
        </w:numPr>
        <w:bidi w:val="0"/>
        <w:ind w:left="0" w:leftChars="0" w:firstLine="612" w:firstLineChars="0"/>
        <w:outlineLvl w:val="2"/>
        <w:rPr>
          <w:rFonts w:hint="eastAsia"/>
          <w:highlight w:val="none"/>
          <w:lang w:val="en-US"/>
        </w:rPr>
      </w:pPr>
      <w:bookmarkStart w:id="196" w:name="_Toc30492"/>
      <w:r>
        <w:rPr>
          <w:rFonts w:hint="eastAsia"/>
          <w:highlight w:val="none"/>
          <w:lang w:val="en-US"/>
        </w:rPr>
        <w:t>盘活存量建设用地</w:t>
      </w:r>
      <w:bookmarkEnd w:id="196"/>
    </w:p>
    <w:p w14:paraId="109F05B8">
      <w:pPr>
        <w:bidi w:val="0"/>
        <w:rPr>
          <w:rFonts w:hint="eastAsia"/>
          <w:b w:val="0"/>
          <w:bCs w:val="0"/>
          <w:highlight w:val="none"/>
          <w:lang w:val="en-US"/>
        </w:rPr>
      </w:pPr>
      <w:r>
        <w:rPr>
          <w:rFonts w:hint="eastAsia"/>
          <w:b w:val="0"/>
          <w:bCs w:val="0"/>
          <w:highlight w:val="none"/>
          <w:lang w:val="en-US"/>
        </w:rPr>
        <w:t>大力推进城镇存量和低效用地盘活利用。挖掘城镇存量建设用地，对批而未供、闲置用地、僵尸企业、低效用地进行专项梳理，通过加快推动项目开工、依法处置闲置土地、化解涉法涉诉土地等方式提高实际土地供应率，严格落实“增存挂钩”机制。全县存量建设用地共计134.91公顷，其中批而未用63.08公顷、闲置用地31.21公顷、僵尸企业8.00公顷、低效用地32.61公顷，主要分布在清化镇街道、鸿昌街道、月山镇、柏山镇。县域土地闲置或低效主要由于土地用途发生变化、企业经营不善，或受经济冲击而处于半停产或停产状态，规划期内坚持以用为先的原则，加大土地征收和供应力度，加快消化批而未供土地，提高已批土地供地率。在符合相关规划的前提下，通过收储、置换、功能转型提升等方式，分类施策，推进存量用地再开发。</w:t>
      </w:r>
    </w:p>
    <w:p w14:paraId="454D00B7">
      <w:pPr>
        <w:bidi w:val="0"/>
        <w:rPr>
          <w:rFonts w:hint="eastAsia"/>
          <w:b w:val="0"/>
          <w:bCs w:val="0"/>
          <w:highlight w:val="none"/>
          <w:lang w:val="en-US"/>
        </w:rPr>
      </w:pPr>
      <w:r>
        <w:rPr>
          <w:rFonts w:hint="eastAsia"/>
          <w:b w:val="0"/>
          <w:bCs w:val="0"/>
          <w:highlight w:val="none"/>
          <w:lang w:val="en-US"/>
        </w:rPr>
        <w:t>挖掘农村存量建设用地潜力。严格按照</w:t>
      </w:r>
      <w:r>
        <w:rPr>
          <w:rFonts w:hint="eastAsia"/>
          <w:b w:val="0"/>
          <w:bCs w:val="0"/>
          <w:highlight w:val="none"/>
          <w:lang w:val="en-US" w:eastAsia="zh-CN"/>
        </w:rPr>
        <w:t>乡（镇）</w:t>
      </w:r>
      <w:r>
        <w:rPr>
          <w:rFonts w:hint="eastAsia"/>
          <w:b w:val="0"/>
          <w:bCs w:val="0"/>
          <w:highlight w:val="none"/>
          <w:lang w:val="en-US"/>
        </w:rPr>
        <w:t>规划确定的村庄建设用地边界，开展村庄建设，控制村庄建设用地总量。以尊重农民意愿为前提，以改善农民生活条件为目标，按照“一户一宅”和“户有所居”的基本原则，合理确定农村居民点规模。平原地区每户宅基地面积不得超过134平方米；山地、丘陵地区，每户宅基地面积不得超过200平方米。</w:t>
      </w:r>
    </w:p>
    <w:p w14:paraId="1B4CDA21">
      <w:pPr>
        <w:bidi w:val="0"/>
        <w:rPr>
          <w:rFonts w:hint="eastAsia"/>
          <w:b w:val="0"/>
          <w:bCs w:val="0"/>
          <w:highlight w:val="none"/>
          <w:lang w:val="en-US"/>
        </w:rPr>
      </w:pPr>
      <w:r>
        <w:rPr>
          <w:rFonts w:hint="eastAsia"/>
          <w:b w:val="0"/>
          <w:bCs w:val="0"/>
          <w:highlight w:val="none"/>
          <w:lang w:val="en-US"/>
        </w:rPr>
        <w:t>通过农村居民点布局的优化、空心村的治理、集体建设用地流转、荒废建设用地复垦等多项措施，积极实施城乡建设用地增减挂钩，促进农村低效和空闲土地盘活利用，建立并逐步完善农村宅基地退出机制，作为新增城镇建设用地流量指标的主要来源，缓解建设用地一地难求与侵占耕地之间的矛盾。</w:t>
      </w:r>
    </w:p>
    <w:p w14:paraId="3001A918">
      <w:pPr>
        <w:pStyle w:val="23"/>
        <w:numPr>
          <w:ilvl w:val="0"/>
          <w:numId w:val="3"/>
        </w:numPr>
        <w:bidi w:val="0"/>
        <w:ind w:left="0" w:leftChars="0" w:firstLine="612" w:firstLineChars="0"/>
        <w:outlineLvl w:val="2"/>
        <w:rPr>
          <w:rFonts w:hint="eastAsia"/>
          <w:highlight w:val="none"/>
          <w:lang w:val="en-US"/>
        </w:rPr>
      </w:pPr>
      <w:bookmarkStart w:id="197" w:name="_Toc14082"/>
      <w:r>
        <w:rPr>
          <w:rFonts w:hint="eastAsia"/>
          <w:highlight w:val="none"/>
          <w:lang w:val="en-US"/>
        </w:rPr>
        <w:t>强化区域基础设施用地节地评价</w:t>
      </w:r>
      <w:bookmarkEnd w:id="197"/>
    </w:p>
    <w:p w14:paraId="660AD161">
      <w:pPr>
        <w:bidi w:val="0"/>
        <w:rPr>
          <w:rFonts w:hint="eastAsia"/>
          <w:b w:val="0"/>
          <w:bCs w:val="0"/>
          <w:highlight w:val="none"/>
          <w:lang w:val="en-US"/>
        </w:rPr>
      </w:pPr>
      <w:r>
        <w:rPr>
          <w:rFonts w:hint="eastAsia"/>
          <w:b w:val="0"/>
          <w:bCs w:val="0"/>
          <w:highlight w:val="none"/>
          <w:lang w:val="en-US"/>
        </w:rPr>
        <w:t>交通、水利、能源等各类基础设施项目应合理避让耕地和永久基本农田、生态保护红线、自然灾害高风险区等区域，降低工程对自然生态空间的分割和环境影响。加强水利、交通、能源、环境、通信等基础设施的空间统筹，预留基础设施廊道空间，促进传统与新型基础设施功能融合，提高复合利用水平。强化节约集约用地评价，项目用地总规模、单位用地水平、各功能分区建设内容及用地规模应符合对应的工程项目建设用地指标。应采用先进的工艺流程、施工工艺和技术减少占用土地，不得设置不必要的功能分区，不得存在“搭车用地”，在满足安全生产等要求的前提下，尽量选用标准的中、低值，减少占地。</w:t>
      </w:r>
    </w:p>
    <w:p w14:paraId="1A1C9704">
      <w:pPr>
        <w:pStyle w:val="23"/>
        <w:numPr>
          <w:ilvl w:val="0"/>
          <w:numId w:val="3"/>
        </w:numPr>
        <w:bidi w:val="0"/>
        <w:ind w:left="0" w:leftChars="0" w:firstLine="612" w:firstLineChars="0"/>
        <w:outlineLvl w:val="2"/>
        <w:rPr>
          <w:rFonts w:hint="eastAsia"/>
          <w:highlight w:val="none"/>
          <w:lang w:val="en-US"/>
        </w:rPr>
      </w:pPr>
      <w:bookmarkStart w:id="198" w:name="_Toc27888"/>
      <w:r>
        <w:rPr>
          <w:rFonts w:hint="eastAsia"/>
          <w:highlight w:val="none"/>
          <w:lang w:val="en-US"/>
        </w:rPr>
        <w:t>提升建设用地投入产出效益</w:t>
      </w:r>
      <w:bookmarkEnd w:id="198"/>
    </w:p>
    <w:p w14:paraId="23DF173A">
      <w:pPr>
        <w:bidi w:val="0"/>
        <w:rPr>
          <w:rFonts w:hint="eastAsia"/>
          <w:b w:val="0"/>
          <w:bCs w:val="0"/>
          <w:highlight w:val="none"/>
          <w:lang w:val="en-US"/>
        </w:rPr>
      </w:pPr>
      <w:r>
        <w:rPr>
          <w:rFonts w:hint="eastAsia"/>
          <w:b w:val="0"/>
          <w:bCs w:val="0"/>
          <w:highlight w:val="none"/>
          <w:lang w:val="en-US"/>
        </w:rPr>
        <w:t>推动新增建设用地与土地节约集约利用水平挂钩。以高质量发展为主线，深化供给侧结构性改革，统筹推进产业基础高级化和产业链现代化，优化产业布局，提升结构层次，提高质量效益。优化要素资源集中高效配置，深化“亩均论英雄”改革，盘活闲置低效用地，强化工业用地收储、标准化厂房建设，形成以开发区为基础、先进制造业专业园区为引领的高能级产业载体体系；提高优势产业质量效益，充分发挥市场机制的作用，用好增量、优化存量、扶优汰劣，全面提高工艺装备、产品技术、能效水效、环境保护水平。推动用地计划指标与现状土地绩效水平挂钩，实施正向激励与反向倒逼相结合的差别化政策措施，建立奖惩机制。</w:t>
      </w:r>
    </w:p>
    <w:p w14:paraId="72B447CE">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199" w:name="_Toc29877"/>
      <w:bookmarkStart w:id="200" w:name="_Toc30094"/>
      <w:r>
        <w:rPr>
          <w:rFonts w:hint="eastAsia" w:cs="Times New Roman"/>
          <w:highlight w:val="none"/>
        </w:rPr>
        <w:t>统筹林地湿地资源保护与利用</w:t>
      </w:r>
      <w:bookmarkEnd w:id="199"/>
      <w:bookmarkEnd w:id="200"/>
    </w:p>
    <w:p w14:paraId="044097FF">
      <w:pPr>
        <w:pStyle w:val="23"/>
        <w:numPr>
          <w:ilvl w:val="0"/>
          <w:numId w:val="3"/>
        </w:numPr>
        <w:bidi w:val="0"/>
        <w:ind w:left="0" w:leftChars="0" w:firstLine="612" w:firstLineChars="0"/>
        <w:outlineLvl w:val="2"/>
        <w:rPr>
          <w:rFonts w:hint="eastAsia"/>
          <w:highlight w:val="none"/>
          <w:lang w:val="en-US"/>
        </w:rPr>
      </w:pPr>
      <w:bookmarkStart w:id="201" w:name="_Toc357"/>
      <w:r>
        <w:rPr>
          <w:rFonts w:hint="eastAsia"/>
          <w:highlight w:val="none"/>
          <w:lang w:val="en-US"/>
        </w:rPr>
        <w:t>森林保护目标</w:t>
      </w:r>
      <w:bookmarkEnd w:id="201"/>
    </w:p>
    <w:p w14:paraId="366B11EE">
      <w:pPr>
        <w:bidi w:val="0"/>
        <w:rPr>
          <w:rFonts w:hint="eastAsia"/>
          <w:b w:val="0"/>
          <w:bCs w:val="0"/>
          <w:highlight w:val="none"/>
        </w:rPr>
      </w:pPr>
      <w:r>
        <w:rPr>
          <w:rFonts w:hint="eastAsia"/>
          <w:b w:val="0"/>
          <w:bCs w:val="0"/>
          <w:highlight w:val="none"/>
        </w:rPr>
        <w:t>全面提高森林覆盖率，提升森林质量。加强林地资源保护与配置，增强区域生态功能和水源涵养功能。</w:t>
      </w:r>
      <w:r>
        <w:rPr>
          <w:rFonts w:hint="eastAsia"/>
          <w:b w:val="0"/>
          <w:bCs w:val="0"/>
          <w:highlight w:val="none"/>
          <w:u w:val="single"/>
        </w:rPr>
        <w:t>规划至2035年，全县森林覆盖率</w:t>
      </w:r>
      <w:r>
        <w:rPr>
          <w:rFonts w:hint="eastAsia"/>
          <w:b w:val="0"/>
          <w:bCs w:val="0"/>
          <w:highlight w:val="none"/>
          <w:u w:val="single"/>
          <w:lang w:val="en-US" w:eastAsia="zh-CN"/>
        </w:rPr>
        <w:t>不低于6.11%</w:t>
      </w:r>
      <w:r>
        <w:rPr>
          <w:rFonts w:hint="eastAsia"/>
          <w:b w:val="0"/>
          <w:bCs w:val="0"/>
          <w:highlight w:val="none"/>
        </w:rPr>
        <w:t>。</w:t>
      </w:r>
    </w:p>
    <w:p w14:paraId="2E8F080B">
      <w:pPr>
        <w:pStyle w:val="23"/>
        <w:numPr>
          <w:ilvl w:val="0"/>
          <w:numId w:val="3"/>
        </w:numPr>
        <w:bidi w:val="0"/>
        <w:ind w:left="0" w:leftChars="0" w:firstLine="612" w:firstLineChars="0"/>
        <w:outlineLvl w:val="2"/>
        <w:rPr>
          <w:rFonts w:hint="eastAsia"/>
          <w:highlight w:val="none"/>
          <w:lang w:val="en-US"/>
        </w:rPr>
      </w:pPr>
      <w:bookmarkStart w:id="202" w:name="_Toc19786"/>
      <w:r>
        <w:rPr>
          <w:rFonts w:hint="eastAsia"/>
          <w:highlight w:val="none"/>
          <w:lang w:val="en-US"/>
        </w:rPr>
        <w:t>造林绿化空间</w:t>
      </w:r>
      <w:bookmarkEnd w:id="202"/>
    </w:p>
    <w:p w14:paraId="10735995">
      <w:pPr>
        <w:bidi w:val="0"/>
        <w:rPr>
          <w:rFonts w:hint="eastAsia"/>
          <w:b w:val="0"/>
          <w:bCs w:val="0"/>
          <w:highlight w:val="none"/>
        </w:rPr>
      </w:pPr>
      <w:r>
        <w:rPr>
          <w:rFonts w:hint="eastAsia"/>
          <w:b w:val="0"/>
          <w:bCs w:val="0"/>
          <w:highlight w:val="none"/>
        </w:rPr>
        <w:t>加快国土空间绿化，划定造林绿化空间。规划至2035年，规划新增造林绿化空间23.51公顷。</w:t>
      </w:r>
    </w:p>
    <w:p w14:paraId="09C06DFA">
      <w:pPr>
        <w:bidi w:val="0"/>
        <w:rPr>
          <w:b w:val="0"/>
          <w:bCs w:val="0"/>
          <w:highlight w:val="none"/>
        </w:rPr>
      </w:pPr>
      <w:r>
        <w:rPr>
          <w:rFonts w:hint="eastAsia"/>
          <w:b w:val="0"/>
          <w:bCs w:val="0"/>
          <w:highlight w:val="none"/>
        </w:rPr>
        <w:t>巩固提升生态系统碳汇能力，加强重大林业有害生物防治，保护古树名木及其自然环境，推进森林城市建设。</w:t>
      </w:r>
    </w:p>
    <w:p w14:paraId="1B087AC5">
      <w:pPr>
        <w:pStyle w:val="23"/>
        <w:numPr>
          <w:ilvl w:val="0"/>
          <w:numId w:val="3"/>
        </w:numPr>
        <w:bidi w:val="0"/>
        <w:ind w:left="0" w:leftChars="0" w:firstLine="612" w:firstLineChars="0"/>
        <w:outlineLvl w:val="2"/>
        <w:rPr>
          <w:rFonts w:hint="eastAsia"/>
          <w:highlight w:val="none"/>
          <w:lang w:val="en-US"/>
        </w:rPr>
      </w:pPr>
      <w:bookmarkStart w:id="203" w:name="_Toc14831"/>
      <w:r>
        <w:rPr>
          <w:rFonts w:hint="eastAsia"/>
          <w:highlight w:val="none"/>
          <w:lang w:val="en-US"/>
        </w:rPr>
        <w:t>森林资源管控措施</w:t>
      </w:r>
      <w:bookmarkEnd w:id="203"/>
    </w:p>
    <w:p w14:paraId="3FF52136">
      <w:pPr>
        <w:bidi w:val="0"/>
        <w:rPr>
          <w:b w:val="0"/>
          <w:bCs w:val="0"/>
          <w:highlight w:val="none"/>
        </w:rPr>
      </w:pPr>
      <w:r>
        <w:rPr>
          <w:rFonts w:hint="eastAsia"/>
          <w:b w:val="0"/>
          <w:bCs w:val="0"/>
          <w:highlight w:val="none"/>
        </w:rPr>
        <w:t>严格执行限额采伐和凭证采伐的管理制度，全面停止天然林商业性采伐，不得将天然林改造为人工林，不得擅自将公益林改为商品林。</w:t>
      </w:r>
    </w:p>
    <w:p w14:paraId="28D00B81">
      <w:pPr>
        <w:bidi w:val="0"/>
        <w:rPr>
          <w:rFonts w:hint="eastAsia"/>
          <w:b w:val="0"/>
          <w:bCs w:val="0"/>
          <w:highlight w:val="none"/>
        </w:rPr>
      </w:pPr>
      <w:r>
        <w:rPr>
          <w:rFonts w:hint="eastAsia"/>
          <w:b w:val="0"/>
          <w:bCs w:val="0"/>
          <w:highlight w:val="none"/>
        </w:rPr>
        <w:t>加强对各类森林资源的统筹管理，深化完善森林资源用途管制制度，强化森林资源监测。</w:t>
      </w:r>
    </w:p>
    <w:p w14:paraId="2A332115">
      <w:pPr>
        <w:bidi w:val="0"/>
        <w:rPr>
          <w:rFonts w:hint="eastAsia"/>
          <w:b w:val="0"/>
          <w:bCs w:val="0"/>
          <w:highlight w:val="none"/>
        </w:rPr>
      </w:pPr>
      <w:r>
        <w:rPr>
          <w:rFonts w:hint="eastAsia"/>
          <w:b w:val="0"/>
          <w:bCs w:val="0"/>
          <w:highlight w:val="none"/>
        </w:rPr>
        <w:t>落实森林面积占补平衡制度，建立林地分级管理制度，并制定差异化的分级管理措施，规范林地保护。</w:t>
      </w:r>
    </w:p>
    <w:p w14:paraId="3768FC61">
      <w:pPr>
        <w:pStyle w:val="23"/>
        <w:numPr>
          <w:ilvl w:val="0"/>
          <w:numId w:val="3"/>
        </w:numPr>
        <w:bidi w:val="0"/>
        <w:ind w:left="0" w:leftChars="0" w:firstLine="612" w:firstLineChars="0"/>
        <w:outlineLvl w:val="2"/>
        <w:rPr>
          <w:rFonts w:hint="eastAsia"/>
          <w:highlight w:val="none"/>
          <w:lang w:val="en-US"/>
        </w:rPr>
      </w:pPr>
      <w:bookmarkStart w:id="204" w:name="_Toc20596"/>
      <w:r>
        <w:rPr>
          <w:rFonts w:hint="eastAsia"/>
          <w:highlight w:val="none"/>
          <w:lang w:val="en-US"/>
        </w:rPr>
        <w:t>森林资源分级保护</w:t>
      </w:r>
      <w:bookmarkEnd w:id="204"/>
    </w:p>
    <w:p w14:paraId="3DC9416F">
      <w:pPr>
        <w:bidi w:val="0"/>
        <w:rPr>
          <w:rFonts w:hint="eastAsia"/>
          <w:b w:val="0"/>
          <w:bCs w:val="0"/>
          <w:highlight w:val="none"/>
        </w:rPr>
      </w:pPr>
      <w:r>
        <w:rPr>
          <w:rFonts w:hint="eastAsia"/>
          <w:b w:val="0"/>
          <w:bCs w:val="0"/>
          <w:highlight w:val="none"/>
        </w:rPr>
        <w:t>合理划定林地保护等级，建立相应的保护措施。</w:t>
      </w:r>
    </w:p>
    <w:p w14:paraId="794CCF6B">
      <w:pPr>
        <w:pStyle w:val="23"/>
        <w:numPr>
          <w:ilvl w:val="0"/>
          <w:numId w:val="0"/>
        </w:numPr>
        <w:bidi w:val="0"/>
        <w:ind w:left="612" w:leftChars="0"/>
        <w:outlineLvl w:val="2"/>
        <w:rPr>
          <w:rFonts w:hint="eastAsia"/>
          <w:highlight w:val="none"/>
          <w:lang w:val="en-US"/>
        </w:rPr>
      </w:pPr>
      <w:bookmarkStart w:id="205" w:name="_Toc20285"/>
    </w:p>
    <w:p w14:paraId="6EB1BB70">
      <w:pPr>
        <w:pStyle w:val="23"/>
        <w:numPr>
          <w:ilvl w:val="0"/>
          <w:numId w:val="3"/>
        </w:numPr>
        <w:bidi w:val="0"/>
        <w:ind w:left="0" w:leftChars="0" w:firstLine="612" w:firstLineChars="0"/>
        <w:outlineLvl w:val="2"/>
        <w:rPr>
          <w:rFonts w:hint="eastAsia" w:ascii="Times New Roman" w:hAnsi="Times New Roman"/>
          <w:highlight w:val="none"/>
          <w:lang w:val="en-US"/>
        </w:rPr>
      </w:pPr>
      <w:r>
        <w:rPr>
          <w:rFonts w:hint="eastAsia" w:ascii="Times New Roman" w:hAnsi="Times New Roman"/>
          <w:highlight w:val="none"/>
          <w:lang w:val="en-US"/>
        </w:rPr>
        <w:t>湿地资源保护与利用</w:t>
      </w:r>
      <w:bookmarkEnd w:id="205"/>
    </w:p>
    <w:p w14:paraId="02ECD631">
      <w:pPr>
        <w:bidi w:val="0"/>
        <w:rPr>
          <w:rFonts w:hint="eastAsia"/>
          <w:b w:val="0"/>
          <w:bCs w:val="0"/>
          <w:highlight w:val="none"/>
        </w:rPr>
      </w:pPr>
      <w:r>
        <w:rPr>
          <w:rFonts w:hint="eastAsia"/>
          <w:b w:val="0"/>
          <w:bCs w:val="0"/>
          <w:highlight w:val="none"/>
        </w:rPr>
        <w:t>加强湿地资源保护。规划至2035年，全县湿地面积保持稳定。明确湿地边界和保护管理主体职责；严禁在湿地保护范围内兴建生态以外用途和功能的项目；禁止开垦、填埋、排干湿地，禁止向湿地超标排放污染物，禁止对湿地野生动物栖息地造成破坏。针对湿地功能退化问题，有序实施湿地封育保护、退耕还湿等生态保护和建设措施，推动湿地自然恢复。因地制宜推进幸福河湿地公园建设。</w:t>
      </w:r>
    </w:p>
    <w:p w14:paraId="46057146">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206" w:name="_Toc17605"/>
      <w:bookmarkStart w:id="207" w:name="_Toc18818"/>
      <w:r>
        <w:rPr>
          <w:rFonts w:hint="eastAsia" w:cs="Times New Roman"/>
          <w:highlight w:val="none"/>
        </w:rPr>
        <w:t>水资源保护利用</w:t>
      </w:r>
      <w:bookmarkEnd w:id="206"/>
      <w:bookmarkEnd w:id="207"/>
    </w:p>
    <w:p w14:paraId="79EB9D42">
      <w:pPr>
        <w:pStyle w:val="23"/>
        <w:numPr>
          <w:ilvl w:val="0"/>
          <w:numId w:val="3"/>
        </w:numPr>
        <w:bidi w:val="0"/>
        <w:ind w:left="0" w:leftChars="0" w:firstLine="612" w:firstLineChars="0"/>
        <w:outlineLvl w:val="2"/>
        <w:rPr>
          <w:rFonts w:hint="eastAsia"/>
          <w:highlight w:val="none"/>
          <w:lang w:val="en-US"/>
        </w:rPr>
      </w:pPr>
      <w:bookmarkStart w:id="208" w:name="_Toc9138"/>
      <w:r>
        <w:rPr>
          <w:rFonts w:hint="eastAsia"/>
          <w:highlight w:val="none"/>
          <w:lang w:val="en-US"/>
        </w:rPr>
        <w:t>用水控制目标及水资源供需平衡</w:t>
      </w:r>
      <w:bookmarkEnd w:id="208"/>
    </w:p>
    <w:p w14:paraId="61F692C9">
      <w:pPr>
        <w:bidi w:val="0"/>
        <w:rPr>
          <w:rFonts w:hint="eastAsia"/>
          <w:b w:val="0"/>
          <w:bCs w:val="0"/>
          <w:color w:val="auto"/>
          <w:highlight w:val="none"/>
        </w:rPr>
      </w:pPr>
      <w:r>
        <w:rPr>
          <w:rFonts w:hint="eastAsia"/>
          <w:b w:val="0"/>
          <w:bCs w:val="0"/>
          <w:highlight w:val="none"/>
        </w:rPr>
        <w:t>强化用水总量控制。</w:t>
      </w:r>
      <w:r>
        <w:rPr>
          <w:rFonts w:hint="eastAsia"/>
          <w:b w:val="0"/>
          <w:bCs w:val="0"/>
          <w:color w:val="auto"/>
          <w:highlight w:val="none"/>
          <w:lang w:val="en-US" w:eastAsia="zh-CN"/>
        </w:rPr>
        <w:t>落实</w:t>
      </w:r>
      <w:r>
        <w:rPr>
          <w:rFonts w:hint="eastAsia"/>
          <w:b w:val="0"/>
          <w:bCs w:val="0"/>
          <w:color w:val="auto"/>
          <w:highlight w:val="none"/>
        </w:rPr>
        <w:t>最严格的水资源管理制度，坚持以水定城、以水定地、以水定人、以水定产原则，促进经济社会发展与水资源水环境承载能力相协调。严格落实用水总量和强度“双控”</w:t>
      </w:r>
      <w:r>
        <w:rPr>
          <w:rFonts w:hint="eastAsia"/>
          <w:b w:val="0"/>
          <w:bCs w:val="0"/>
          <w:color w:val="auto"/>
          <w:highlight w:val="none"/>
          <w:lang w:eastAsia="zh-CN"/>
        </w:rPr>
        <w:t>。</w:t>
      </w:r>
      <w:r>
        <w:rPr>
          <w:rFonts w:hint="eastAsia"/>
          <w:b w:val="0"/>
          <w:bCs w:val="0"/>
          <w:color w:val="auto"/>
          <w:highlight w:val="none"/>
          <w:u w:val="none"/>
        </w:rPr>
        <w:t>至2035年，博爱县年度用水总量</w:t>
      </w:r>
      <w:r>
        <w:rPr>
          <w:rFonts w:hint="eastAsia"/>
          <w:b w:val="0"/>
          <w:bCs w:val="0"/>
          <w:color w:val="auto"/>
          <w:highlight w:val="none"/>
          <w:u w:val="none"/>
          <w:lang w:val="en-US" w:eastAsia="zh-CN"/>
        </w:rPr>
        <w:t>依据上级下达指标确定</w:t>
      </w:r>
      <w:r>
        <w:rPr>
          <w:rFonts w:hint="eastAsia"/>
          <w:b w:val="0"/>
          <w:bCs w:val="0"/>
          <w:color w:val="auto"/>
          <w:highlight w:val="none"/>
          <w:u w:val="none"/>
        </w:rPr>
        <w:t>。</w:t>
      </w:r>
    </w:p>
    <w:p w14:paraId="45481EE2">
      <w:pPr>
        <w:bidi w:val="0"/>
        <w:rPr>
          <w:rFonts w:hint="eastAsia"/>
          <w:b w:val="0"/>
          <w:bCs w:val="0"/>
          <w:highlight w:val="none"/>
        </w:rPr>
      </w:pPr>
      <w:r>
        <w:rPr>
          <w:rFonts w:hint="eastAsia"/>
          <w:b w:val="0"/>
          <w:bCs w:val="0"/>
          <w:highlight w:val="none"/>
        </w:rPr>
        <w:t>预计2035年，博爱县总需水量为1.97亿立方米，其中生态需水0.04亿立方米、农业需水1.15亿立方米、城镇（工业+生活）需水0.78亿立方米。</w:t>
      </w:r>
    </w:p>
    <w:p w14:paraId="0BDBD140">
      <w:pPr>
        <w:bidi w:val="0"/>
        <w:rPr>
          <w:rFonts w:hint="eastAsia"/>
          <w:b w:val="0"/>
          <w:bCs w:val="0"/>
          <w:highlight w:val="none"/>
        </w:rPr>
      </w:pPr>
      <w:r>
        <w:rPr>
          <w:rFonts w:hint="eastAsia"/>
          <w:b w:val="0"/>
          <w:bCs w:val="0"/>
          <w:highlight w:val="none"/>
        </w:rPr>
        <w:t>规划至2035年，用水总量按1.97亿立方米配置，其中地表水0.24亿立方米、地下水0.43亿立方米、外调水1.05亿立方米、其他水源0.25亿立方米，达到供需平衡。</w:t>
      </w:r>
    </w:p>
    <w:p w14:paraId="5A7A8DB7">
      <w:pPr>
        <w:bidi w:val="0"/>
        <w:rPr>
          <w:rFonts w:hint="eastAsia"/>
          <w:b w:val="0"/>
          <w:bCs w:val="0"/>
          <w:highlight w:val="none"/>
        </w:rPr>
      </w:pPr>
    </w:p>
    <w:p w14:paraId="37BBDD23">
      <w:pPr>
        <w:pStyle w:val="23"/>
        <w:numPr>
          <w:ilvl w:val="0"/>
          <w:numId w:val="3"/>
        </w:numPr>
        <w:bidi w:val="0"/>
        <w:ind w:left="0" w:leftChars="0" w:firstLine="612" w:firstLineChars="0"/>
        <w:outlineLvl w:val="2"/>
        <w:rPr>
          <w:rFonts w:hint="eastAsia"/>
          <w:highlight w:val="none"/>
          <w:lang w:val="en-US"/>
        </w:rPr>
      </w:pPr>
      <w:bookmarkStart w:id="209" w:name="_Toc18635"/>
      <w:r>
        <w:rPr>
          <w:rFonts w:hint="eastAsia"/>
          <w:highlight w:val="none"/>
          <w:lang w:val="en-US"/>
        </w:rPr>
        <w:t>水资源保护</w:t>
      </w:r>
      <w:bookmarkEnd w:id="209"/>
    </w:p>
    <w:p w14:paraId="00E3469F">
      <w:pPr>
        <w:bidi w:val="0"/>
        <w:rPr>
          <w:rFonts w:hint="eastAsia"/>
          <w:b w:val="0"/>
          <w:bCs w:val="0"/>
          <w:highlight w:val="none"/>
        </w:rPr>
      </w:pPr>
      <w:r>
        <w:rPr>
          <w:rFonts w:hint="eastAsia"/>
          <w:b w:val="0"/>
          <w:bCs w:val="0"/>
          <w:highlight w:val="none"/>
        </w:rPr>
        <w:t>河湖水系规划布局。博爱县水系网络由三条河道</w:t>
      </w:r>
      <w:r>
        <w:rPr>
          <w:rFonts w:hint="eastAsia" w:ascii="仿宋_GB2312" w:hAnsi="仿宋_GB2312" w:eastAsia="仿宋_GB2312"/>
          <w:b w:val="0"/>
          <w:bCs w:val="0"/>
          <w:highlight w:val="none"/>
          <w:lang w:eastAsia="zh-CN"/>
        </w:rPr>
        <w:t>-</w:t>
      </w:r>
      <w:r>
        <w:rPr>
          <w:rFonts w:hint="eastAsia"/>
          <w:b w:val="0"/>
          <w:bCs w:val="0"/>
          <w:highlight w:val="none"/>
        </w:rPr>
        <w:t>沁河、丹河、大沙河，1个湿地公园</w:t>
      </w:r>
      <w:r>
        <w:rPr>
          <w:rFonts w:hint="eastAsia" w:ascii="仿宋_GB2312" w:hAnsi="仿宋_GB2312" w:eastAsia="仿宋_GB2312"/>
          <w:b w:val="0"/>
          <w:bCs w:val="0"/>
          <w:highlight w:val="none"/>
          <w:lang w:eastAsia="zh-CN"/>
        </w:rPr>
        <w:t>-</w:t>
      </w:r>
      <w:r>
        <w:rPr>
          <w:rFonts w:hint="eastAsia"/>
          <w:b w:val="0"/>
          <w:bCs w:val="0"/>
          <w:highlight w:val="none"/>
          <w:lang w:val="en-US" w:eastAsia="zh-CN"/>
        </w:rPr>
        <w:t>河南博爱</w:t>
      </w:r>
      <w:r>
        <w:rPr>
          <w:rFonts w:hint="eastAsia"/>
          <w:b w:val="0"/>
          <w:bCs w:val="0"/>
          <w:highlight w:val="none"/>
        </w:rPr>
        <w:t>幸福河</w:t>
      </w:r>
      <w:r>
        <w:rPr>
          <w:rFonts w:hint="eastAsia"/>
          <w:b w:val="0"/>
          <w:bCs w:val="0"/>
          <w:highlight w:val="none"/>
          <w:lang w:val="en-US" w:eastAsia="zh-CN"/>
        </w:rPr>
        <w:t>省级</w:t>
      </w:r>
      <w:r>
        <w:rPr>
          <w:rFonts w:hint="eastAsia"/>
          <w:b w:val="0"/>
          <w:bCs w:val="0"/>
          <w:highlight w:val="none"/>
        </w:rPr>
        <w:t>湿地公园，</w:t>
      </w:r>
      <w:r>
        <w:rPr>
          <w:rFonts w:hint="eastAsia"/>
          <w:b w:val="0"/>
          <w:bCs w:val="0"/>
          <w:highlight w:val="none"/>
          <w:lang w:val="en-US" w:eastAsia="zh-CN"/>
        </w:rPr>
        <w:t>4</w:t>
      </w:r>
      <w:r>
        <w:rPr>
          <w:rFonts w:hint="eastAsia"/>
          <w:b w:val="0"/>
          <w:bCs w:val="0"/>
          <w:highlight w:val="none"/>
        </w:rPr>
        <w:t>个</w:t>
      </w:r>
      <w:r>
        <w:rPr>
          <w:rFonts w:hint="eastAsia"/>
          <w:b w:val="0"/>
          <w:bCs w:val="0"/>
          <w:highlight w:val="none"/>
          <w:lang w:val="en-US" w:eastAsia="zh-CN"/>
        </w:rPr>
        <w:t>饮用</w:t>
      </w:r>
      <w:r>
        <w:rPr>
          <w:rFonts w:hint="eastAsia"/>
          <w:b w:val="0"/>
          <w:bCs w:val="0"/>
          <w:highlight w:val="none"/>
        </w:rPr>
        <w:t>水</w:t>
      </w:r>
      <w:r>
        <w:rPr>
          <w:rFonts w:hint="eastAsia"/>
          <w:b w:val="0"/>
          <w:bCs w:val="0"/>
          <w:highlight w:val="none"/>
          <w:lang w:val="en-US" w:eastAsia="zh-CN"/>
        </w:rPr>
        <w:t>水</w:t>
      </w:r>
      <w:r>
        <w:rPr>
          <w:rFonts w:hint="eastAsia"/>
          <w:b w:val="0"/>
          <w:bCs w:val="0"/>
          <w:highlight w:val="none"/>
        </w:rPr>
        <w:t>源地</w:t>
      </w:r>
      <w:r>
        <w:rPr>
          <w:rFonts w:hint="eastAsia" w:ascii="仿宋_GB2312" w:hAnsi="仿宋_GB2312" w:eastAsia="仿宋_GB2312"/>
          <w:b w:val="0"/>
          <w:bCs w:val="0"/>
          <w:highlight w:val="none"/>
          <w:lang w:eastAsia="zh-CN"/>
        </w:rPr>
        <w:t>-</w:t>
      </w:r>
      <w:r>
        <w:rPr>
          <w:rFonts w:hint="eastAsia"/>
          <w:b w:val="0"/>
          <w:bCs w:val="0"/>
          <w:highlight w:val="none"/>
          <w:lang w:val="en-US" w:eastAsia="zh-CN"/>
        </w:rPr>
        <w:t>博爱县自来水厂地下水井群、博爱县二街水厂地下水井群、博爱县</w:t>
      </w:r>
      <w:r>
        <w:rPr>
          <w:rFonts w:hint="eastAsia"/>
          <w:b w:val="0"/>
          <w:bCs w:val="0"/>
          <w:highlight w:val="none"/>
        </w:rPr>
        <w:t>丹河</w:t>
      </w:r>
      <w:r>
        <w:rPr>
          <w:rFonts w:hint="eastAsia"/>
          <w:b w:val="0"/>
          <w:bCs w:val="0"/>
          <w:highlight w:val="none"/>
          <w:lang w:val="en-US" w:eastAsia="zh-CN"/>
        </w:rPr>
        <w:t>后寨</w:t>
      </w:r>
      <w:r>
        <w:rPr>
          <w:rFonts w:hint="eastAsia"/>
          <w:b w:val="0"/>
          <w:bCs w:val="0"/>
          <w:highlight w:val="none"/>
        </w:rPr>
        <w:t>饮用水</w:t>
      </w:r>
      <w:r>
        <w:rPr>
          <w:rFonts w:hint="eastAsia"/>
          <w:b w:val="0"/>
          <w:bCs w:val="0"/>
          <w:highlight w:val="none"/>
          <w:lang w:val="en-US" w:eastAsia="zh-CN"/>
        </w:rPr>
        <w:t>水</w:t>
      </w:r>
      <w:r>
        <w:rPr>
          <w:rFonts w:hint="eastAsia"/>
          <w:b w:val="0"/>
          <w:bCs w:val="0"/>
          <w:highlight w:val="none"/>
        </w:rPr>
        <w:t>源地</w:t>
      </w:r>
      <w:r>
        <w:rPr>
          <w:rFonts w:hint="eastAsia"/>
          <w:b w:val="0"/>
          <w:bCs w:val="0"/>
          <w:highlight w:val="none"/>
          <w:lang w:eastAsia="zh-CN"/>
        </w:rPr>
        <w:t>、</w:t>
      </w:r>
      <w:r>
        <w:rPr>
          <w:rFonts w:hint="eastAsia"/>
          <w:b w:val="0"/>
          <w:bCs w:val="0"/>
          <w:highlight w:val="none"/>
          <w:lang w:val="en-US" w:eastAsia="zh-CN"/>
        </w:rPr>
        <w:t>南水北调中线饮用水水源地</w:t>
      </w:r>
      <w:r>
        <w:rPr>
          <w:rFonts w:hint="eastAsia"/>
          <w:b w:val="0"/>
          <w:bCs w:val="0"/>
          <w:highlight w:val="none"/>
        </w:rPr>
        <w:t>及大辛河、勒马河、南横河、上秦河、下秦河、运粮河、幸福河、南蒋沟河、北蒋沟河9条河道组成。</w:t>
      </w:r>
    </w:p>
    <w:p w14:paraId="54192EA3">
      <w:pPr>
        <w:bidi w:val="0"/>
        <w:rPr>
          <w:rFonts w:hint="eastAsia"/>
          <w:b w:val="0"/>
          <w:bCs w:val="0"/>
          <w:highlight w:val="none"/>
        </w:rPr>
      </w:pPr>
      <w:r>
        <w:rPr>
          <w:rFonts w:hint="eastAsia"/>
          <w:b w:val="0"/>
          <w:bCs w:val="0"/>
          <w:highlight w:val="none"/>
        </w:rPr>
        <w:t>河湖空间管控。河湖是水资源的重要载体，水利工程是实施防洪排涝、农业灌溉、抗旱供水、生态调节的重要基础设施。准确划定河湖和水利工程管理范围，明确管理界线，设立界桩标志，办理土地权属登记手续，建立信息共享系统。严格落实河长责任，加强河湖生态空间管控，持续改善河湖生态环境。恢复河湖自然形态，实现河势稳定，确保防洪标准符合防洪规划及有关规定要求。对入河排污口进行规范整治，控制农业面源污染，改善河道水质。对河湖岸线进行造林绿化，栽植护岸植被，实现生态驳岸。合理建设滨水滨岸地带，营造宜人的河滨景观，合理布置亲水便民配套设施，实现人水和谐。</w:t>
      </w:r>
    </w:p>
    <w:p w14:paraId="5CC71D29">
      <w:pPr>
        <w:bidi w:val="0"/>
        <w:rPr>
          <w:rFonts w:hint="default"/>
          <w:b w:val="0"/>
          <w:bCs w:val="0"/>
          <w:highlight w:val="none"/>
          <w:lang w:val="en-US" w:eastAsia="zh-CN"/>
        </w:rPr>
      </w:pPr>
      <w:r>
        <w:rPr>
          <w:rFonts w:hint="eastAsia"/>
          <w:b w:val="0"/>
          <w:bCs w:val="0"/>
          <w:highlight w:val="none"/>
          <w:lang w:val="en-US" w:eastAsia="zh-CN"/>
        </w:rPr>
        <w:t>饮用水水源保护区范围及管控。博爱县自来水厂地下水井群（共1眼井）</w:t>
      </w:r>
      <w:r>
        <w:rPr>
          <w:rFonts w:hint="eastAsia"/>
          <w:b w:val="0"/>
          <w:bCs w:val="0"/>
          <w:highlight w:val="none"/>
        </w:rPr>
        <w:t>一级保护区范围</w:t>
      </w:r>
      <w:r>
        <w:rPr>
          <w:rFonts w:hint="eastAsia"/>
          <w:b w:val="0"/>
          <w:bCs w:val="0"/>
          <w:highlight w:val="none"/>
          <w:lang w:val="en-US" w:eastAsia="zh-CN"/>
        </w:rPr>
        <w:t>为</w:t>
      </w:r>
      <w:r>
        <w:rPr>
          <w:rFonts w:hint="eastAsia"/>
          <w:b w:val="0"/>
          <w:bCs w:val="0"/>
          <w:highlight w:val="none"/>
        </w:rPr>
        <w:t>自来水厂厂区</w:t>
      </w:r>
      <w:r>
        <w:rPr>
          <w:rFonts w:hint="eastAsia"/>
          <w:b w:val="0"/>
          <w:bCs w:val="0"/>
          <w:highlight w:val="none"/>
          <w:lang w:eastAsia="zh-CN"/>
        </w:rPr>
        <w:t>。</w:t>
      </w:r>
      <w:r>
        <w:rPr>
          <w:rFonts w:hint="eastAsia"/>
          <w:b w:val="0"/>
          <w:bCs w:val="0"/>
          <w:highlight w:val="none"/>
          <w:lang w:val="en-US" w:eastAsia="zh-CN"/>
        </w:rPr>
        <w:t>博爱县二街水厂地下水井群（共3眼井）</w:t>
      </w:r>
      <w:r>
        <w:rPr>
          <w:rFonts w:hint="eastAsia"/>
          <w:b w:val="0"/>
          <w:bCs w:val="0"/>
          <w:highlight w:val="none"/>
        </w:rPr>
        <w:t>一级保护区范围</w:t>
      </w:r>
      <w:r>
        <w:rPr>
          <w:rFonts w:hint="eastAsia"/>
          <w:b w:val="0"/>
          <w:bCs w:val="0"/>
          <w:highlight w:val="none"/>
          <w:lang w:val="en-US" w:eastAsia="zh-CN"/>
        </w:rPr>
        <w:t>为</w:t>
      </w:r>
      <w:r>
        <w:rPr>
          <w:rFonts w:hint="eastAsia"/>
          <w:b w:val="0"/>
          <w:bCs w:val="0"/>
          <w:highlight w:val="none"/>
        </w:rPr>
        <w:t>二街水厂厂区</w:t>
      </w:r>
      <w:r>
        <w:rPr>
          <w:rFonts w:hint="eastAsia"/>
          <w:b w:val="0"/>
          <w:bCs w:val="0"/>
          <w:highlight w:val="none"/>
          <w:lang w:eastAsia="zh-CN"/>
        </w:rPr>
        <w:t>。</w:t>
      </w:r>
      <w:r>
        <w:rPr>
          <w:rFonts w:hint="eastAsia"/>
          <w:b w:val="0"/>
          <w:bCs w:val="0"/>
          <w:highlight w:val="none"/>
        </w:rPr>
        <w:t>博爱县丹河后寨一级保护区范围</w:t>
      </w:r>
      <w:r>
        <w:rPr>
          <w:rFonts w:hint="eastAsia"/>
          <w:b w:val="0"/>
          <w:bCs w:val="0"/>
          <w:highlight w:val="none"/>
          <w:lang w:val="en-US" w:eastAsia="zh-CN"/>
        </w:rPr>
        <w:t>为</w:t>
      </w:r>
      <w:r>
        <w:rPr>
          <w:rFonts w:hint="eastAsia"/>
          <w:b w:val="0"/>
          <w:bCs w:val="0"/>
          <w:highlight w:val="none"/>
        </w:rPr>
        <w:t>丹河取水口上游1000米至下游100米河道及右岸50米、左岸至太月铁路的区域</w:t>
      </w:r>
      <w:r>
        <w:rPr>
          <w:rFonts w:hint="eastAsia"/>
          <w:b w:val="0"/>
          <w:bCs w:val="0"/>
          <w:highlight w:val="none"/>
          <w:lang w:eastAsia="zh-CN"/>
        </w:rPr>
        <w:t>；</w:t>
      </w:r>
      <w:r>
        <w:rPr>
          <w:rFonts w:hint="eastAsia"/>
          <w:b w:val="0"/>
          <w:bCs w:val="0"/>
          <w:highlight w:val="none"/>
        </w:rPr>
        <w:t>引丹干渠取水口至孟庄渠道及两侧各50米的区域</w:t>
      </w:r>
      <w:r>
        <w:rPr>
          <w:rFonts w:hint="eastAsia"/>
          <w:b w:val="0"/>
          <w:bCs w:val="0"/>
          <w:highlight w:val="none"/>
          <w:lang w:eastAsia="zh-CN"/>
        </w:rPr>
        <w:t>；</w:t>
      </w:r>
      <w:r>
        <w:rPr>
          <w:rFonts w:hint="eastAsia"/>
          <w:b w:val="0"/>
          <w:bCs w:val="0"/>
          <w:highlight w:val="none"/>
        </w:rPr>
        <w:t>引丹干渠孟庄至5万吨/天净水厂引水支渠处暗渠两侧各50米的区域</w:t>
      </w:r>
      <w:r>
        <w:rPr>
          <w:rFonts w:hint="eastAsia"/>
          <w:b w:val="0"/>
          <w:bCs w:val="0"/>
          <w:highlight w:val="none"/>
          <w:lang w:eastAsia="zh-CN"/>
        </w:rPr>
        <w:t>；</w:t>
      </w:r>
      <w:r>
        <w:rPr>
          <w:rFonts w:hint="eastAsia"/>
          <w:b w:val="0"/>
          <w:bCs w:val="0"/>
          <w:highlight w:val="none"/>
        </w:rPr>
        <w:t>月山供水厂引水支渠两侧各50米及厂区外围30米的区域</w:t>
      </w:r>
      <w:r>
        <w:rPr>
          <w:rFonts w:hint="eastAsia"/>
          <w:b w:val="0"/>
          <w:bCs w:val="0"/>
          <w:highlight w:val="none"/>
          <w:lang w:eastAsia="zh-CN"/>
        </w:rPr>
        <w:t>；</w:t>
      </w:r>
      <w:r>
        <w:rPr>
          <w:rFonts w:hint="eastAsia"/>
          <w:b w:val="0"/>
          <w:bCs w:val="0"/>
          <w:highlight w:val="none"/>
        </w:rPr>
        <w:t>在建5万吨/天净水厂引水支渠两侧各50米及厂区外围30米的区域。二级保护区范围</w:t>
      </w:r>
      <w:r>
        <w:rPr>
          <w:rFonts w:hint="eastAsia"/>
          <w:b w:val="0"/>
          <w:bCs w:val="0"/>
          <w:highlight w:val="none"/>
          <w:lang w:val="en-US" w:eastAsia="zh-CN"/>
        </w:rPr>
        <w:t>为</w:t>
      </w:r>
      <w:r>
        <w:rPr>
          <w:rFonts w:hint="eastAsia"/>
          <w:b w:val="0"/>
          <w:bCs w:val="0"/>
          <w:highlight w:val="none"/>
        </w:rPr>
        <w:t>一级保护区外</w:t>
      </w:r>
      <w:r>
        <w:rPr>
          <w:rFonts w:hint="eastAsia"/>
          <w:b w:val="0"/>
          <w:bCs w:val="0"/>
          <w:highlight w:val="none"/>
          <w:lang w:eastAsia="zh-CN"/>
        </w:rPr>
        <w:t>，</w:t>
      </w:r>
      <w:r>
        <w:rPr>
          <w:rFonts w:hint="eastAsia"/>
          <w:b w:val="0"/>
          <w:bCs w:val="0"/>
          <w:highlight w:val="none"/>
        </w:rPr>
        <w:t>丹河上游2000米至下游200米两侧至山脊线的区域</w:t>
      </w:r>
      <w:r>
        <w:rPr>
          <w:rFonts w:hint="eastAsia"/>
          <w:b w:val="0"/>
          <w:bCs w:val="0"/>
          <w:highlight w:val="none"/>
          <w:lang w:eastAsia="zh-CN"/>
        </w:rPr>
        <w:t>。</w:t>
      </w:r>
      <w:r>
        <w:rPr>
          <w:rFonts w:hint="eastAsia"/>
          <w:b w:val="0"/>
          <w:bCs w:val="0"/>
          <w:highlight w:val="none"/>
        </w:rPr>
        <w:t>准保护区范围</w:t>
      </w:r>
      <w:r>
        <w:rPr>
          <w:rFonts w:hint="eastAsia"/>
          <w:b w:val="0"/>
          <w:bCs w:val="0"/>
          <w:highlight w:val="none"/>
          <w:lang w:val="en-US" w:eastAsia="zh-CN"/>
        </w:rPr>
        <w:t>为</w:t>
      </w:r>
      <w:r>
        <w:rPr>
          <w:rFonts w:hint="eastAsia"/>
          <w:b w:val="0"/>
          <w:bCs w:val="0"/>
          <w:highlight w:val="none"/>
        </w:rPr>
        <w:t>天河水库正常水位线</w:t>
      </w:r>
      <w:r>
        <w:rPr>
          <w:rFonts w:hint="eastAsia"/>
          <w:b w:val="0"/>
          <w:bCs w:val="0"/>
          <w:highlight w:val="none"/>
          <w:lang w:eastAsia="zh-CN"/>
        </w:rPr>
        <w:t>（</w:t>
      </w:r>
      <w:r>
        <w:rPr>
          <w:rFonts w:hint="eastAsia"/>
          <w:b w:val="0"/>
          <w:bCs w:val="0"/>
          <w:highlight w:val="none"/>
        </w:rPr>
        <w:t>359米</w:t>
      </w:r>
      <w:r>
        <w:rPr>
          <w:rFonts w:hint="eastAsia"/>
          <w:b w:val="0"/>
          <w:bCs w:val="0"/>
          <w:highlight w:val="none"/>
          <w:lang w:eastAsia="zh-CN"/>
        </w:rPr>
        <w:t>）</w:t>
      </w:r>
      <w:r>
        <w:rPr>
          <w:rFonts w:hint="eastAsia"/>
          <w:b w:val="0"/>
          <w:bCs w:val="0"/>
          <w:highlight w:val="none"/>
        </w:rPr>
        <w:t>以下区域及二级保护区外丹河上游至青天河水库河道内区域。</w:t>
      </w:r>
      <w:r>
        <w:rPr>
          <w:rFonts w:hint="eastAsia"/>
          <w:b w:val="0"/>
          <w:bCs w:val="0"/>
          <w:highlight w:val="none"/>
          <w:lang w:val="en-US" w:eastAsia="zh-CN"/>
        </w:rPr>
        <w:t>南水北调中线饮用水水源地一级保护区范围自干渠管理范围（防护栏网）外延50米至100米，二级保护区范围自干渠管理范围（防护栏网）外延500米至1000米。</w:t>
      </w:r>
    </w:p>
    <w:p w14:paraId="277751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在饮用水水源保护区内，禁止设置排污口。水源保护区施行分级管控。在饮用水水源一级保护区内，禁止新建、改建、扩建与供水设施和保护水源无关的建设项目；已建成的与供水设施和保护水源无关的建设项目，由县级以上人民政府责令拆除或者关闭。禁止在饮用水水源一级保护区内从事网箱养殖、旅游、游泳、垂钓或者其他可能污染饮用水水体的活动。在饮用水水源二级保护区内，禁止新建、改建、扩建排放污染物的建设项目；已建成的排放污染物的建设项目，由县级以上人民政府责令拆除或者关闭。在饮用水水源二级保护区内从事网</w:t>
      </w:r>
      <w:r>
        <w:rPr>
          <w:rFonts w:hint="eastAsia" w:cs="Times New Roman"/>
          <w:b w:val="0"/>
          <w:bCs w:val="0"/>
          <w:highlight w:val="none"/>
        </w:rPr>
        <w:t>箱养殖、旅游等活动的，应当按照规定采取措施，防止污染饮用水水体。在饮用水水源准保护区内，禁止新建、扩建对水体污染严重的建设项目；改建建设项目，</w:t>
      </w:r>
      <w:r>
        <w:rPr>
          <w:rFonts w:hint="eastAsia"/>
          <w:b w:val="0"/>
          <w:bCs w:val="0"/>
          <w:highlight w:val="none"/>
        </w:rPr>
        <w:t>不得增加排污量。</w:t>
      </w:r>
    </w:p>
    <w:p w14:paraId="141D7E6E">
      <w:pPr>
        <w:pStyle w:val="23"/>
        <w:keepNext w:val="0"/>
        <w:keepLines w:val="0"/>
        <w:pageBreakBefore w:val="0"/>
        <w:widowControl w:val="0"/>
        <w:numPr>
          <w:ilvl w:val="0"/>
          <w:numId w:val="3"/>
        </w:numPr>
        <w:kinsoku/>
        <w:wordWrap/>
        <w:overflowPunct/>
        <w:topLinePunct w:val="0"/>
        <w:autoSpaceDE/>
        <w:autoSpaceDN/>
        <w:bidi w:val="0"/>
        <w:adjustRightInd/>
        <w:snapToGrid/>
        <w:spacing w:line="586" w:lineRule="exact"/>
        <w:ind w:left="0" w:leftChars="0" w:firstLine="612" w:firstLineChars="0"/>
        <w:textAlignment w:val="auto"/>
        <w:outlineLvl w:val="2"/>
        <w:rPr>
          <w:rFonts w:hint="eastAsia"/>
          <w:highlight w:val="none"/>
          <w:lang w:val="en-US"/>
        </w:rPr>
      </w:pPr>
      <w:bookmarkStart w:id="210" w:name="_Toc21138"/>
      <w:r>
        <w:rPr>
          <w:rFonts w:hint="eastAsia"/>
          <w:highlight w:val="none"/>
          <w:lang w:val="en-US"/>
        </w:rPr>
        <w:t>提高水资源利用水平</w:t>
      </w:r>
      <w:bookmarkEnd w:id="210"/>
    </w:p>
    <w:p w14:paraId="122E0FE3">
      <w:pPr>
        <w:keepNext w:val="0"/>
        <w:keepLines w:val="0"/>
        <w:pageBreakBefore w:val="0"/>
        <w:widowControl w:val="0"/>
        <w:kinsoku/>
        <w:wordWrap/>
        <w:overflowPunct/>
        <w:topLinePunct w:val="0"/>
        <w:autoSpaceDE/>
        <w:autoSpaceDN/>
        <w:bidi w:val="0"/>
        <w:adjustRightInd/>
        <w:snapToGrid/>
        <w:spacing w:line="586" w:lineRule="exact"/>
        <w:textAlignment w:val="auto"/>
        <w:rPr>
          <w:rFonts w:hint="eastAsia"/>
          <w:b w:val="0"/>
          <w:bCs w:val="0"/>
          <w:highlight w:val="none"/>
        </w:rPr>
      </w:pPr>
      <w:r>
        <w:rPr>
          <w:rFonts w:hint="eastAsia"/>
          <w:b w:val="0"/>
          <w:bCs w:val="0"/>
          <w:highlight w:val="none"/>
        </w:rPr>
        <w:t>提高水资源利用效率。降低工业耗水定额和提高重复利用率，推广节水灌溉技术，推进老旧供水管网改造，普及生活节水器具。规划至2035年，万元国内生产总值水耗</w:t>
      </w:r>
      <w:r>
        <w:rPr>
          <w:rFonts w:hint="eastAsia"/>
          <w:b w:val="0"/>
          <w:bCs w:val="0"/>
          <w:highlight w:val="none"/>
          <w:lang w:val="en-US" w:eastAsia="zh-CN"/>
        </w:rPr>
        <w:t>不超过72.7立方米/万元</w:t>
      </w:r>
      <w:r>
        <w:rPr>
          <w:rFonts w:hint="eastAsia"/>
          <w:b w:val="0"/>
          <w:bCs w:val="0"/>
          <w:highlight w:val="none"/>
          <w:lang w:eastAsia="zh-CN"/>
        </w:rPr>
        <w:t>、</w:t>
      </w:r>
      <w:r>
        <w:rPr>
          <w:rFonts w:hint="eastAsia"/>
          <w:b w:val="0"/>
          <w:bCs w:val="0"/>
          <w:highlight w:val="none"/>
          <w:lang w:val="en-US" w:eastAsia="zh-CN"/>
        </w:rPr>
        <w:t>万元工业增加值用水量不超过22.1立方米/万元、</w:t>
      </w:r>
      <w:r>
        <w:rPr>
          <w:rFonts w:hint="eastAsia"/>
          <w:b w:val="0"/>
          <w:bCs w:val="0"/>
          <w:highlight w:val="none"/>
        </w:rPr>
        <w:t>农田灌溉水</w:t>
      </w:r>
      <w:r>
        <w:rPr>
          <w:rFonts w:hint="eastAsia"/>
          <w:b w:val="0"/>
          <w:bCs w:val="0"/>
          <w:highlight w:val="none"/>
          <w:lang w:val="en-US" w:eastAsia="zh-CN"/>
        </w:rPr>
        <w:t>有效</w:t>
      </w:r>
      <w:r>
        <w:rPr>
          <w:rFonts w:hint="eastAsia"/>
          <w:b w:val="0"/>
          <w:bCs w:val="0"/>
          <w:highlight w:val="none"/>
        </w:rPr>
        <w:t>利用系数</w:t>
      </w:r>
      <w:r>
        <w:rPr>
          <w:rFonts w:hint="eastAsia"/>
          <w:b w:val="0"/>
          <w:bCs w:val="0"/>
          <w:highlight w:val="none"/>
          <w:lang w:val="en-US" w:eastAsia="zh-CN"/>
        </w:rPr>
        <w:t>达0.624以上、</w:t>
      </w:r>
      <w:r>
        <w:rPr>
          <w:rFonts w:hint="eastAsia"/>
          <w:b w:val="0"/>
          <w:bCs w:val="0"/>
          <w:highlight w:val="none"/>
        </w:rPr>
        <w:t>降低管网漏损率至8%。</w:t>
      </w:r>
    </w:p>
    <w:p w14:paraId="2C7566CE">
      <w:pPr>
        <w:pStyle w:val="3"/>
        <w:keepNext/>
        <w:keepLines/>
        <w:pageBreakBefore w:val="0"/>
        <w:widowControl w:val="0"/>
        <w:numPr>
          <w:ilvl w:val="1"/>
          <w:numId w:val="2"/>
        </w:numPr>
        <w:kinsoku/>
        <w:wordWrap/>
        <w:overflowPunct/>
        <w:topLinePunct w:val="0"/>
        <w:autoSpaceDE/>
        <w:autoSpaceDN/>
        <w:bidi w:val="0"/>
        <w:adjustRightInd/>
        <w:snapToGrid/>
        <w:spacing w:line="580" w:lineRule="exact"/>
        <w:ind w:firstLine="0"/>
        <w:textAlignment w:val="auto"/>
        <w:rPr>
          <w:rFonts w:hint="eastAsia" w:cs="Times New Roman"/>
          <w:highlight w:val="none"/>
        </w:rPr>
      </w:pPr>
      <w:bookmarkStart w:id="211" w:name="_Toc10191"/>
      <w:bookmarkStart w:id="212" w:name="_Toc19963"/>
      <w:r>
        <w:rPr>
          <w:rFonts w:hint="eastAsia" w:cs="Times New Roman"/>
          <w:highlight w:val="none"/>
        </w:rPr>
        <w:t>矿产资源保护利用</w:t>
      </w:r>
      <w:bookmarkEnd w:id="211"/>
      <w:bookmarkEnd w:id="212"/>
    </w:p>
    <w:p w14:paraId="234C186E">
      <w:pPr>
        <w:pStyle w:val="23"/>
        <w:numPr>
          <w:ilvl w:val="0"/>
          <w:numId w:val="3"/>
        </w:numPr>
        <w:bidi w:val="0"/>
        <w:ind w:left="0" w:leftChars="0" w:firstLine="612" w:firstLineChars="0"/>
        <w:outlineLvl w:val="2"/>
        <w:rPr>
          <w:rFonts w:hint="eastAsia"/>
          <w:highlight w:val="none"/>
          <w:lang w:val="en-US"/>
        </w:rPr>
      </w:pPr>
      <w:bookmarkStart w:id="213" w:name="_Toc17844"/>
      <w:r>
        <w:rPr>
          <w:rFonts w:hint="eastAsia"/>
          <w:highlight w:val="none"/>
          <w:lang w:val="en-US"/>
        </w:rPr>
        <w:t>矿产资源保护及利用</w:t>
      </w:r>
      <w:bookmarkEnd w:id="213"/>
    </w:p>
    <w:p w14:paraId="36BE91F3">
      <w:pPr>
        <w:keepNext w:val="0"/>
        <w:keepLines w:val="0"/>
        <w:pageBreakBefore w:val="0"/>
        <w:widowControl w:val="0"/>
        <w:kinsoku/>
        <w:wordWrap/>
        <w:overflowPunct/>
        <w:topLinePunct w:val="0"/>
        <w:autoSpaceDE/>
        <w:autoSpaceDN/>
        <w:bidi w:val="0"/>
        <w:adjustRightInd/>
        <w:snapToGrid/>
        <w:spacing w:line="586" w:lineRule="atLeast"/>
        <w:textAlignment w:val="auto"/>
        <w:rPr>
          <w:rFonts w:hint="eastAsia"/>
          <w:b w:val="0"/>
          <w:bCs w:val="0"/>
          <w:highlight w:val="none"/>
        </w:rPr>
      </w:pPr>
      <w:r>
        <w:rPr>
          <w:rFonts w:hint="eastAsia"/>
          <w:b w:val="0"/>
          <w:bCs w:val="0"/>
          <w:highlight w:val="none"/>
        </w:rPr>
        <w:t>强化矿产资源合理开发与保护。坚持“在保护中开发，在开发中保护”的方针，生产矿山必须依法履行矿山地质环境保护和土地复垦义务，做到边开采、边保护、边复垦，实现矿产资源开发与生态环境保护协调发展和矿业经济的持 续健康发展。</w:t>
      </w:r>
    </w:p>
    <w:p w14:paraId="62A17819">
      <w:pPr>
        <w:keepNext w:val="0"/>
        <w:keepLines w:val="0"/>
        <w:pageBreakBefore w:val="0"/>
        <w:widowControl w:val="0"/>
        <w:kinsoku/>
        <w:wordWrap/>
        <w:overflowPunct/>
        <w:topLinePunct w:val="0"/>
        <w:autoSpaceDE/>
        <w:autoSpaceDN/>
        <w:bidi w:val="0"/>
        <w:adjustRightInd/>
        <w:snapToGrid/>
        <w:spacing w:line="586" w:lineRule="atLeast"/>
        <w:textAlignment w:val="auto"/>
        <w:rPr>
          <w:rFonts w:hint="eastAsia"/>
          <w:b w:val="0"/>
          <w:bCs w:val="0"/>
          <w:highlight w:val="none"/>
        </w:rPr>
      </w:pPr>
      <w:r>
        <w:rPr>
          <w:rFonts w:hint="eastAsia"/>
          <w:b w:val="0"/>
          <w:bCs w:val="0"/>
          <w:highlight w:val="none"/>
        </w:rPr>
        <w:t>提升矿产资源开发利用水平和效率。引导矿山企业依法开采矿产资源，控制开采总量、减少矿山数量、遵守矿山准入，以市场为导向，以产品为切入点，以产业升级为核心，依靠科技进步，推广先进的采选技术，推进资源开发规模化和集约高效利用。</w:t>
      </w:r>
    </w:p>
    <w:p w14:paraId="761DF02C">
      <w:pPr>
        <w:keepNext w:val="0"/>
        <w:keepLines w:val="0"/>
        <w:pageBreakBefore w:val="0"/>
        <w:widowControl w:val="0"/>
        <w:kinsoku/>
        <w:wordWrap/>
        <w:overflowPunct/>
        <w:topLinePunct w:val="0"/>
        <w:autoSpaceDE/>
        <w:autoSpaceDN/>
        <w:bidi w:val="0"/>
        <w:adjustRightInd/>
        <w:snapToGrid/>
        <w:spacing w:line="586" w:lineRule="atLeast"/>
        <w:textAlignment w:val="auto"/>
        <w:rPr>
          <w:rFonts w:hint="eastAsia"/>
          <w:b w:val="0"/>
          <w:bCs w:val="0"/>
          <w:highlight w:val="none"/>
        </w:rPr>
      </w:pPr>
      <w:r>
        <w:rPr>
          <w:rFonts w:hint="eastAsia"/>
          <w:b w:val="0"/>
          <w:bCs w:val="0"/>
          <w:highlight w:val="none"/>
        </w:rPr>
        <w:t>全面推进绿色矿山与绿色矿业发展。主要针对</w:t>
      </w:r>
      <w:r>
        <w:rPr>
          <w:rFonts w:hint="eastAsia"/>
          <w:b w:val="0"/>
          <w:bCs w:val="0"/>
          <w:highlight w:val="none"/>
          <w:lang w:val="en-US" w:eastAsia="zh-CN"/>
        </w:rPr>
        <w:t>博爱</w:t>
      </w:r>
      <w:r>
        <w:rPr>
          <w:rFonts w:hint="eastAsia"/>
          <w:b w:val="0"/>
          <w:bCs w:val="0"/>
          <w:highlight w:val="none"/>
        </w:rPr>
        <w:t>县废弃矿区、政策性关闭矿区以及遗留采矿点进行生态恢复治理，通过废弃矿地综合整治、危岩清除、边坡综合治理、复垦复绿等措施，防止土壤污染、水土流失及地质灾害发生，鼓励和推进矿产品精深加工和矿产资源综合利用，延伸产业链，提高矿产资源附加值。</w:t>
      </w:r>
    </w:p>
    <w:p w14:paraId="735C8554">
      <w:pPr>
        <w:pStyle w:val="23"/>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12" w:firstLineChars="0"/>
        <w:textAlignment w:val="auto"/>
        <w:outlineLvl w:val="2"/>
        <w:rPr>
          <w:rFonts w:hint="eastAsia"/>
          <w:highlight w:val="none"/>
          <w:lang w:val="en-US"/>
        </w:rPr>
      </w:pPr>
      <w:bookmarkStart w:id="214" w:name="_Toc17441"/>
      <w:r>
        <w:rPr>
          <w:rFonts w:hint="eastAsia"/>
          <w:highlight w:val="none"/>
          <w:lang w:val="en-US"/>
        </w:rPr>
        <w:t>矿产资源勘察规划开采分区</w:t>
      </w:r>
      <w:bookmarkEnd w:id="214"/>
    </w:p>
    <w:p w14:paraId="2887BB1A">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s="Times New Roman"/>
          <w:b w:val="0"/>
          <w:bCs w:val="0"/>
          <w:highlight w:val="none"/>
        </w:rPr>
      </w:pPr>
      <w:r>
        <w:rPr>
          <w:rFonts w:hint="eastAsia" w:cs="Times New Roman"/>
          <w:b w:val="0"/>
          <w:bCs w:val="0"/>
          <w:highlight w:val="none"/>
        </w:rPr>
        <w:t>开采规划区：规划落实省级重点开采区99.25平方公里，市级集中开采区0.32平方公里，规划落实市级开采规划区16.76平方公里。开采规划区内应严格控制采矿权数量，合理确定矿区范围。可以整体开发的不得分割，严禁大矿小开，开采尽量不留边坡，将资源开发利用和矿山地质环境保护进行有机统一。对区内已有采矿权不符合开采条件的应限期整改或进行整合；在集中开采区内新设的采矿权必须符合开采规划准入条件，必须集约节约开采矿产资源；矿山企业切实做好地质灾害防治、水土保持、矿山复绿等方面的工作。</w:t>
      </w:r>
    </w:p>
    <w:p w14:paraId="223B98F2">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s="Times New Roman"/>
          <w:b w:val="0"/>
          <w:bCs w:val="0"/>
          <w:highlight w:val="none"/>
        </w:rPr>
      </w:pPr>
      <w:r>
        <w:rPr>
          <w:rFonts w:hint="eastAsia" w:cs="Times New Roman"/>
          <w:b w:val="0"/>
          <w:bCs w:val="0"/>
          <w:highlight w:val="none"/>
        </w:rPr>
        <w:t>限制开采区：规划将国家、省级生态公益林等区域划定为限制开采区，划定面积61.79平方公里。在限制开采区内，要严格控制限制开采矿种矿业权的设置，确实需要设置矿业权时，要严格规划审查，必须进行规划论证。</w:t>
      </w:r>
    </w:p>
    <w:p w14:paraId="70E588B3">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cs="Times New Roman"/>
          <w:b w:val="0"/>
          <w:bCs w:val="0"/>
          <w:highlight w:val="none"/>
        </w:rPr>
      </w:pPr>
      <w:r>
        <w:rPr>
          <w:rFonts w:hint="eastAsia" w:cs="Times New Roman"/>
          <w:b w:val="0"/>
          <w:bCs w:val="0"/>
          <w:highlight w:val="none"/>
        </w:rPr>
        <w:t>禁止开采区：规划将自然保护区、风景名胜区、森林公园、湿地公园、文物保护单位、水源地保护区、国家规定的其他不得开采矿产的区域划定为禁止开采区，划定面积37.09平方公里。禁止开采区内全面清理已有采矿权，在维护矿业权人合法权益的前提下，依法有序退出。</w:t>
      </w:r>
    </w:p>
    <w:p w14:paraId="45F23808">
      <w:pPr>
        <w:bidi w:val="0"/>
        <w:rPr>
          <w:rFonts w:hint="eastAsia" w:cs="Times New Roman"/>
          <w:b w:val="0"/>
          <w:bCs w:val="0"/>
          <w:highlight w:val="none"/>
        </w:rPr>
        <w:sectPr>
          <w:pgSz w:w="11906" w:h="16838"/>
          <w:pgMar w:top="1440" w:right="1797" w:bottom="1440" w:left="1797" w:header="850" w:footer="850" w:gutter="0"/>
          <w:pgNumType w:fmt="decimal"/>
          <w:cols w:space="720" w:num="1"/>
          <w:rtlGutter w:val="0"/>
          <w:docGrid w:type="lines" w:linePitch="436" w:charSpace="0"/>
        </w:sectPr>
      </w:pPr>
      <w:bookmarkStart w:id="215" w:name="_Toc28092"/>
      <w:bookmarkStart w:id="216" w:name="_Toc27459"/>
    </w:p>
    <w:p w14:paraId="03D20B59">
      <w:pPr>
        <w:keepNext w:val="0"/>
        <w:keepLines w:val="0"/>
        <w:pageBreakBefore w:val="0"/>
        <w:widowControl w:val="0"/>
        <w:numPr>
          <w:ilvl w:val="0"/>
          <w:numId w:val="2"/>
        </w:numPr>
        <w:kinsoku/>
        <w:wordWrap/>
        <w:overflowPunct/>
        <w:topLinePunct w:val="0"/>
        <w:autoSpaceDE/>
        <w:autoSpaceDN/>
        <w:bidi w:val="0"/>
        <w:adjustRightInd/>
        <w:snapToGrid/>
        <w:spacing w:before="200" w:after="400" w:line="596" w:lineRule="exact"/>
        <w:ind w:firstLine="0" w:firstLineChars="0"/>
        <w:jc w:val="center"/>
        <w:textAlignment w:val="auto"/>
        <w:outlineLvl w:val="0"/>
        <w:rPr>
          <w:rStyle w:val="18"/>
          <w:rFonts w:hint="eastAsia" w:cs="Times New Roman"/>
          <w:b w:val="0"/>
          <w:bCs w:val="0"/>
          <w:highlight w:val="none"/>
          <w:lang w:val="zh-CN" w:eastAsia="zh-CN"/>
        </w:rPr>
      </w:pPr>
      <w:bookmarkStart w:id="217" w:name="_Toc6489"/>
      <w:r>
        <w:rPr>
          <w:rStyle w:val="18"/>
          <w:rFonts w:hint="eastAsia" w:cs="Times New Roman"/>
          <w:b w:val="0"/>
          <w:bCs w:val="0"/>
          <w:highlight w:val="none"/>
          <w:lang w:val="zh-CN" w:eastAsia="zh-CN"/>
        </w:rPr>
        <w:t>历史文化保护与城乡风貌塑造</w:t>
      </w:r>
      <w:bookmarkEnd w:id="217"/>
    </w:p>
    <w:bookmarkEnd w:id="215"/>
    <w:bookmarkEnd w:id="216"/>
    <w:p w14:paraId="20856D8A">
      <w:pPr>
        <w:bidi w:val="0"/>
        <w:rPr>
          <w:rFonts w:hint="eastAsia"/>
          <w:b w:val="0"/>
          <w:bCs w:val="0"/>
          <w:highlight w:val="none"/>
        </w:rPr>
      </w:pPr>
      <w:r>
        <w:rPr>
          <w:rFonts w:hint="eastAsia"/>
          <w:b w:val="0"/>
          <w:bCs w:val="0"/>
          <w:highlight w:val="none"/>
        </w:rPr>
        <w:t>位于太行山脚下的博爱县，北枕太行山水文化带，底蕴深厚，山水秀美，既是人文生态的保护之地，也是博爱县文旅产业发展的重点区域。以人文与自然景观浑然一体的太行山水、大运河和青天河（石佛滩）摩崖石刻保护为核心，传播博爱秀丽山水文化气质；以清化街历史文化街区、月山寺等历史文化遗迹为代表，延续怀庆传统寺庙和市井文化；以革命先贤博爱精神、月山八极拳、邘新社亲、孝文化、清化竹艺等非物质文化遗产为载体，弘扬博爱、忠孝和社亲文化。着力加强城市设计引导，塑造秀美典雅的山水城市风貌，成为展现历史文化和美丽自然山水的典范区。</w:t>
      </w:r>
    </w:p>
    <w:p w14:paraId="04F00C0E">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218" w:name="_Toc3734"/>
      <w:bookmarkStart w:id="219" w:name="_Toc16692"/>
      <w:r>
        <w:rPr>
          <w:rFonts w:hint="eastAsia" w:cs="Times New Roman"/>
          <w:highlight w:val="none"/>
        </w:rPr>
        <w:t>历史文化保护体系</w:t>
      </w:r>
      <w:bookmarkEnd w:id="218"/>
      <w:bookmarkEnd w:id="219"/>
    </w:p>
    <w:p w14:paraId="6D0D093C">
      <w:pPr>
        <w:pStyle w:val="23"/>
        <w:numPr>
          <w:ilvl w:val="0"/>
          <w:numId w:val="3"/>
        </w:numPr>
        <w:bidi w:val="0"/>
        <w:ind w:left="0" w:leftChars="0" w:firstLine="612" w:firstLineChars="0"/>
        <w:outlineLvl w:val="2"/>
        <w:rPr>
          <w:rFonts w:hint="eastAsia"/>
          <w:highlight w:val="none"/>
          <w:lang w:val="en-US"/>
        </w:rPr>
      </w:pPr>
      <w:bookmarkStart w:id="220" w:name="_Toc22823"/>
      <w:r>
        <w:rPr>
          <w:rFonts w:hint="eastAsia"/>
          <w:highlight w:val="none"/>
          <w:lang w:val="en-US"/>
        </w:rPr>
        <w:t>建立历史文化保护体系</w:t>
      </w:r>
      <w:bookmarkEnd w:id="220"/>
    </w:p>
    <w:p w14:paraId="74EE3224">
      <w:pPr>
        <w:keepNext w:val="0"/>
        <w:keepLines w:val="0"/>
        <w:pageBreakBefore w:val="0"/>
        <w:widowControl w:val="0"/>
        <w:kinsoku/>
        <w:wordWrap/>
        <w:overflowPunct/>
        <w:topLinePunct w:val="0"/>
        <w:autoSpaceDE/>
        <w:autoSpaceDN/>
        <w:bidi w:val="0"/>
        <w:adjustRightInd/>
        <w:snapToGrid/>
        <w:textAlignment w:val="auto"/>
        <w:rPr>
          <w:rFonts w:hint="eastAsia"/>
          <w:b w:val="0"/>
          <w:bCs w:val="0"/>
          <w:highlight w:val="none"/>
          <w:lang w:eastAsia="zh-CN"/>
        </w:rPr>
      </w:pPr>
      <w:r>
        <w:rPr>
          <w:rFonts w:hint="eastAsia"/>
          <w:b w:val="0"/>
          <w:bCs w:val="0"/>
          <w:highlight w:val="none"/>
        </w:rPr>
        <w:t>构建博爱县“一个重点、两条轴带、五个层次”的历史文化保护体系。针对县域内</w:t>
      </w:r>
      <w:r>
        <w:rPr>
          <w:rFonts w:hint="eastAsia"/>
          <w:b w:val="0"/>
          <w:bCs w:val="0"/>
          <w:highlight w:val="none"/>
          <w:lang w:eastAsia="zh-CN"/>
        </w:rPr>
        <w:t>自然保护地和历史文化遗产包括</w:t>
      </w:r>
      <w:r>
        <w:rPr>
          <w:rFonts w:hint="eastAsia"/>
          <w:b w:val="0"/>
          <w:bCs w:val="0"/>
          <w:highlight w:val="none"/>
        </w:rPr>
        <w:t>清化老街</w:t>
      </w:r>
      <w:r>
        <w:rPr>
          <w:rFonts w:hint="eastAsia"/>
          <w:b w:val="0"/>
          <w:bCs w:val="0"/>
          <w:highlight w:val="none"/>
          <w:lang w:eastAsia="zh-CN"/>
        </w:rPr>
        <w:t>、</w:t>
      </w:r>
      <w:r>
        <w:rPr>
          <w:rFonts w:hint="eastAsia"/>
          <w:b w:val="0"/>
          <w:bCs w:val="0"/>
          <w:highlight w:val="none"/>
        </w:rPr>
        <w:t>月山寺庙</w:t>
      </w:r>
      <w:r>
        <w:rPr>
          <w:rFonts w:hint="eastAsia"/>
          <w:b w:val="0"/>
          <w:bCs w:val="0"/>
          <w:highlight w:val="none"/>
          <w:lang w:eastAsia="zh-CN"/>
        </w:rPr>
        <w:t>等，其</w:t>
      </w:r>
      <w:r>
        <w:rPr>
          <w:rFonts w:hint="eastAsia"/>
          <w:b w:val="0"/>
          <w:bCs w:val="0"/>
          <w:highlight w:val="none"/>
        </w:rPr>
        <w:t>历史文化遗存</w:t>
      </w:r>
      <w:r>
        <w:rPr>
          <w:rFonts w:hint="eastAsia"/>
          <w:b w:val="0"/>
          <w:bCs w:val="0"/>
          <w:highlight w:val="none"/>
          <w:lang w:eastAsia="zh-CN"/>
        </w:rPr>
        <w:t>所代表的核心历史价值包括历史遗产价值、生态景观和审美价值、教育和社会价值，以及包括科研、文化和文旅开发的经济价值</w:t>
      </w:r>
      <w:r>
        <w:rPr>
          <w:rFonts w:hint="eastAsia" w:ascii="Times New Roman" w:hAnsi="Times New Roman" w:cs="Times New Roman"/>
          <w:b w:val="0"/>
          <w:bCs w:val="0"/>
          <w:highlight w:val="none"/>
        </w:rPr>
        <w:t>，</w:t>
      </w:r>
      <w:r>
        <w:rPr>
          <w:rFonts w:hint="default" w:ascii="Times New Roman" w:hAnsi="Times New Roman" w:cs="Times New Roman"/>
          <w:b w:val="0"/>
          <w:bCs w:val="0"/>
          <w:highlight w:val="none"/>
          <w:lang w:val="en-US" w:eastAsia="zh-CN"/>
        </w:rPr>
        <w:t>划定核心保护范围和建设控制地带</w:t>
      </w:r>
      <w:r>
        <w:rPr>
          <w:rFonts w:hint="eastAsia" w:ascii="Times New Roman" w:hAnsi="Times New Roman" w:cs="Times New Roman"/>
          <w:b w:val="0"/>
          <w:bCs w:val="0"/>
          <w:highlight w:val="none"/>
        </w:rPr>
        <w:t>，</w:t>
      </w:r>
      <w:r>
        <w:rPr>
          <w:rFonts w:hint="eastAsia"/>
          <w:b w:val="0"/>
          <w:bCs w:val="0"/>
          <w:highlight w:val="none"/>
        </w:rPr>
        <w:t>实行文化空间保护管控。</w:t>
      </w:r>
      <w:r>
        <w:rPr>
          <w:rFonts w:hint="eastAsia"/>
          <w:b w:val="0"/>
          <w:bCs w:val="0"/>
          <w:highlight w:val="none"/>
          <w:lang w:eastAsia="zh-CN"/>
        </w:rPr>
        <w:t>在保护的前提下，开展相关历史文化资源的活化利用。</w:t>
      </w:r>
    </w:p>
    <w:p w14:paraId="4EFB12B8">
      <w:pPr>
        <w:bidi w:val="0"/>
        <w:rPr>
          <w:rFonts w:hint="eastAsia"/>
          <w:b w:val="0"/>
          <w:bCs w:val="0"/>
          <w:highlight w:val="none"/>
          <w:lang w:eastAsia="zh-CN"/>
        </w:rPr>
      </w:pPr>
    </w:p>
    <w:p w14:paraId="63BF6F54">
      <w:pPr>
        <w:bidi w:val="0"/>
        <w:rPr>
          <w:rFonts w:hint="eastAsia"/>
          <w:b w:val="0"/>
          <w:bCs w:val="0"/>
          <w:highlight w:val="none"/>
        </w:rPr>
      </w:pPr>
      <w:r>
        <w:rPr>
          <w:rFonts w:hint="eastAsia"/>
          <w:b w:val="0"/>
          <w:bCs w:val="0"/>
          <w:highlight w:val="none"/>
        </w:rPr>
        <w:t>一个重点：即强化沿太行山水文化带的整体保护与发展，重点保护青天河风景名胜区山水景观和动植物资源，加强生态修复，控制周边建设活动，引导适度旅游。</w:t>
      </w:r>
    </w:p>
    <w:p w14:paraId="4FA6061D">
      <w:pPr>
        <w:bidi w:val="0"/>
        <w:rPr>
          <w:b w:val="0"/>
          <w:bCs w:val="0"/>
          <w:highlight w:val="none"/>
        </w:rPr>
      </w:pPr>
      <w:r>
        <w:rPr>
          <w:rFonts w:hint="eastAsia"/>
          <w:b w:val="0"/>
          <w:bCs w:val="0"/>
          <w:highlight w:val="none"/>
        </w:rPr>
        <w:t>两条轴带：即加强丹河古道文化带、大运河文化带的保护与探索，积极申报符合条件的传统村落或历史文化名村，对传统民居、古墙、古庙、古墓等建筑物和构筑物，参照文物保护单位保护要求进行保护。</w:t>
      </w:r>
    </w:p>
    <w:p w14:paraId="4F8A0293">
      <w:pPr>
        <w:bidi w:val="0"/>
        <w:rPr>
          <w:rFonts w:hint="eastAsia"/>
          <w:b w:val="0"/>
          <w:bCs w:val="0"/>
          <w:highlight w:val="none"/>
        </w:rPr>
      </w:pPr>
      <w:r>
        <w:rPr>
          <w:rFonts w:hint="eastAsia"/>
          <w:b w:val="0"/>
          <w:bCs w:val="0"/>
          <w:highlight w:val="none"/>
        </w:rPr>
        <w:t>五个层次：即加强县域各级文物保护单位的保护，加强历史文化街区、传统村落的保护，加强历史建筑的普查、公布和保护，加强工业遗产的普查、公布和保护，加强非物质文化遗产的保护与传承。</w:t>
      </w:r>
    </w:p>
    <w:p w14:paraId="153F0271">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rPr>
        <w:t>文物保护单位保护</w:t>
      </w:r>
    </w:p>
    <w:p w14:paraId="19547CC6">
      <w:pPr>
        <w:bidi w:val="0"/>
        <w:rPr>
          <w:rFonts w:hint="eastAsia"/>
          <w:b w:val="0"/>
          <w:bCs w:val="0"/>
          <w:highlight w:val="none"/>
          <w:u w:val="none"/>
        </w:rPr>
      </w:pPr>
      <w:r>
        <w:rPr>
          <w:rFonts w:hint="eastAsia"/>
          <w:b w:val="0"/>
          <w:bCs w:val="0"/>
          <w:highlight w:val="none"/>
          <w:u w:val="single"/>
        </w:rPr>
        <w:t>按照《中华人民共和国文物保护法》的要求，保护博爱县文物保护单位111处，其中国家级文保单位3处：青天河摩崖石刻、西关清真寺、西金城遗址，省级文保单位25处，县级文保单位83处</w:t>
      </w:r>
      <w:r>
        <w:rPr>
          <w:rFonts w:hint="eastAsia"/>
          <w:b w:val="0"/>
          <w:bCs w:val="0"/>
          <w:highlight w:val="none"/>
          <w:u w:val="single"/>
          <w:lang w:eastAsia="zh-CN"/>
        </w:rPr>
        <w:t>，</w:t>
      </w:r>
      <w:r>
        <w:rPr>
          <w:rFonts w:hint="eastAsia"/>
          <w:b w:val="0"/>
          <w:bCs w:val="0"/>
          <w:highlight w:val="none"/>
          <w:u w:val="single"/>
          <w:lang w:val="en-US" w:eastAsia="zh-CN"/>
        </w:rPr>
        <w:t>尚未核定公布为文物保护单位的不可移动文物289处</w:t>
      </w:r>
      <w:r>
        <w:rPr>
          <w:rFonts w:hint="eastAsia"/>
          <w:b w:val="0"/>
          <w:bCs w:val="0"/>
          <w:highlight w:val="none"/>
          <w:u w:val="single"/>
        </w:rPr>
        <w:t>（见</w:t>
      </w:r>
      <w:r>
        <w:rPr>
          <w:rFonts w:hint="eastAsia"/>
          <w:b w:val="0"/>
          <w:bCs w:val="0"/>
          <w:highlight w:val="none"/>
          <w:u w:val="single"/>
          <w:lang w:val="en-US" w:eastAsia="zh-CN"/>
        </w:rPr>
        <w:t>附表7</w:t>
      </w:r>
      <w:r>
        <w:rPr>
          <w:rFonts w:hint="eastAsia"/>
          <w:b w:val="0"/>
          <w:bCs w:val="0"/>
          <w:highlight w:val="none"/>
          <w:u w:val="single"/>
        </w:rPr>
        <w:t>）</w:t>
      </w:r>
      <w:r>
        <w:rPr>
          <w:rFonts w:hint="eastAsia"/>
          <w:b w:val="0"/>
          <w:bCs w:val="0"/>
          <w:highlight w:val="none"/>
          <w:u w:val="single"/>
          <w:lang w:eastAsia="zh-CN"/>
        </w:rPr>
        <w:t>。</w:t>
      </w:r>
      <w:r>
        <w:rPr>
          <w:rFonts w:hint="eastAsia"/>
          <w:b w:val="0"/>
          <w:bCs w:val="0"/>
          <w:highlight w:val="none"/>
          <w:u w:val="single"/>
        </w:rPr>
        <w:t>省级文物保护单位，以保护范围为基准外延100米作为建设控制地带。市级文物保护单位，以保护范围为基准外延50</w:t>
      </w:r>
      <w:r>
        <w:rPr>
          <w:rFonts w:hint="eastAsia" w:ascii="仿宋_GB2312" w:hAnsi="仿宋_GB2312" w:eastAsia="仿宋_GB2312"/>
          <w:b w:val="0"/>
          <w:bCs w:val="0"/>
          <w:highlight w:val="none"/>
          <w:u w:val="single"/>
          <w:lang w:eastAsia="zh-CN"/>
        </w:rPr>
        <w:t>-</w:t>
      </w:r>
      <w:r>
        <w:rPr>
          <w:rFonts w:hint="eastAsia"/>
          <w:b w:val="0"/>
          <w:bCs w:val="0"/>
          <w:highlight w:val="none"/>
          <w:u w:val="single"/>
        </w:rPr>
        <w:t>100米作为建设控制地带，县级文保单位，以保护范围为基准外延50米作为建设控制地带</w:t>
      </w:r>
      <w:r>
        <w:rPr>
          <w:rFonts w:hint="eastAsia"/>
          <w:b w:val="0"/>
          <w:bCs w:val="0"/>
          <w:highlight w:val="none"/>
          <w:u w:val="none"/>
        </w:rPr>
        <w:t>。</w:t>
      </w:r>
    </w:p>
    <w:p w14:paraId="4EAB2E4A">
      <w:pPr>
        <w:bidi w:val="0"/>
        <w:rPr>
          <w:rFonts w:hint="eastAsia"/>
          <w:b w:val="0"/>
          <w:bCs w:val="0"/>
          <w:highlight w:val="none"/>
          <w:u w:val="none"/>
          <w:lang w:val="en-US" w:eastAsia="zh-CN"/>
        </w:rPr>
      </w:pPr>
      <w:r>
        <w:rPr>
          <w:rFonts w:hint="eastAsia"/>
          <w:b w:val="0"/>
          <w:bCs w:val="0"/>
          <w:highlight w:val="none"/>
          <w:u w:val="single"/>
          <w:lang w:val="en-US" w:eastAsia="zh-CN"/>
        </w:rPr>
        <w:t>逐步完成各级文物保护单位保护范围和建设控制地带公布工作，并纳入国土空间规划“一张图”</w:t>
      </w:r>
      <w:r>
        <w:rPr>
          <w:rFonts w:hint="eastAsia"/>
          <w:b w:val="0"/>
          <w:bCs w:val="0"/>
          <w:highlight w:val="none"/>
          <w:u w:val="none"/>
          <w:lang w:val="en-US" w:eastAsia="zh-CN"/>
        </w:rPr>
        <w:t>。</w:t>
      </w:r>
    </w:p>
    <w:p w14:paraId="62690FA7">
      <w:pPr>
        <w:pStyle w:val="23"/>
        <w:numPr>
          <w:ilvl w:val="0"/>
          <w:numId w:val="3"/>
        </w:numPr>
        <w:bidi w:val="0"/>
        <w:ind w:left="0" w:leftChars="0" w:firstLine="612" w:firstLineChars="0"/>
        <w:outlineLvl w:val="2"/>
        <w:rPr>
          <w:rFonts w:hint="eastAsia"/>
          <w:highlight w:val="none"/>
          <w:lang w:val="en-US"/>
        </w:rPr>
      </w:pPr>
      <w:bookmarkStart w:id="221" w:name="_Toc2224"/>
      <w:r>
        <w:rPr>
          <w:rFonts w:hint="eastAsia"/>
          <w:highlight w:val="none"/>
          <w:lang w:val="en-US"/>
        </w:rPr>
        <w:t>历史文化街区、传统村落保护</w:t>
      </w:r>
      <w:bookmarkEnd w:id="221"/>
    </w:p>
    <w:p w14:paraId="352133C4">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u w:val="single"/>
        </w:rPr>
        <w:t>保护</w:t>
      </w:r>
      <w:r>
        <w:rPr>
          <w:rFonts w:hint="eastAsia"/>
          <w:b w:val="0"/>
          <w:bCs w:val="0"/>
          <w:highlight w:val="none"/>
          <w:u w:val="single"/>
          <w:lang w:val="en-US" w:eastAsia="zh-CN"/>
        </w:rPr>
        <w:t>省级</w:t>
      </w:r>
      <w:r>
        <w:rPr>
          <w:rFonts w:hint="eastAsia"/>
          <w:b w:val="0"/>
          <w:bCs w:val="0"/>
          <w:highlight w:val="none"/>
          <w:u w:val="single"/>
        </w:rPr>
        <w:t>历史文化街区1处：博爱县清化街历史文化街区</w:t>
      </w:r>
      <w:r>
        <w:rPr>
          <w:rFonts w:hint="eastAsia"/>
          <w:b w:val="0"/>
          <w:bCs w:val="0"/>
          <w:highlight w:val="none"/>
        </w:rPr>
        <w:t>。重点保护性恢复清化古镇文化载体与水网系统，传承延续街巷空间与肌理，协调周边区域建筑风貌。逐步搬迁腾退老旧工业厂区、行政文化办公等功能用地，疏解腾退空间优先用于增加绿地、补充停车场和旅游服务等公共空间，完善交通市政基础设施，保障城市安全高效运行。</w:t>
      </w:r>
    </w:p>
    <w:p w14:paraId="5100DA16">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u w:val="single"/>
        </w:rPr>
        <w:t>保护传统村落10处。其中国家级传统村落5处：许湾村、于庄村、武阁寨村、张茹集村、刘村；省级传统村落5处：柏山村、下伏头村、方山村、江岭村、青天河村。积极引导村庄的整体保护，对村内有历史价值的城墙、牌坊、古塔、园林、古桥古树等进行认定、保护和修缮，严禁破坏山水格局的活动和限制房地产开发行为。控制村庄内建筑的高度、色彩、形式等，保护村落环境、街巷河道和传统建筑，提升服务设施，实现历史文化和传统风貌的保护与传承</w:t>
      </w:r>
      <w:r>
        <w:rPr>
          <w:rFonts w:hint="eastAsia"/>
          <w:b w:val="0"/>
          <w:bCs w:val="0"/>
          <w:highlight w:val="none"/>
        </w:rPr>
        <w:t>。持续推动各级历史文化名镇名村和传统村落的申报，实现应保尽报。</w:t>
      </w:r>
    </w:p>
    <w:p w14:paraId="0D35FCE0">
      <w:pPr>
        <w:pStyle w:val="23"/>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12" w:firstLineChars="0"/>
        <w:textAlignment w:val="auto"/>
        <w:outlineLvl w:val="2"/>
        <w:rPr>
          <w:rFonts w:hint="eastAsia"/>
          <w:highlight w:val="none"/>
          <w:lang w:val="en-US"/>
        </w:rPr>
      </w:pPr>
      <w:bookmarkStart w:id="222" w:name="_Toc11999"/>
      <w:r>
        <w:rPr>
          <w:rFonts w:hint="eastAsia"/>
          <w:highlight w:val="none"/>
          <w:lang w:val="en-US"/>
        </w:rPr>
        <w:t>历史建筑和工业遗产</w:t>
      </w:r>
      <w:bookmarkEnd w:id="222"/>
    </w:p>
    <w:p w14:paraId="7172ACE6">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加强历史建筑和工业遗产的普查、公布和保护利用。积极挖掘和保护古代、近现代和当代等不同时期的特色建（构）筑物，建立历史建筑保护名录，严禁拆除和破坏历史建筑。历史建筑和工业遗产在保持原有外观风貌、典型构件的基础上，可通过加建、改建和添加设施等方式适应现代生产生活需要，不再作为生产使用的工业遗产优先更新为城市公共服务设施或引入文化创意产业等新功能。</w:t>
      </w:r>
    </w:p>
    <w:p w14:paraId="0428A50F">
      <w:pPr>
        <w:pStyle w:val="23"/>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12" w:firstLineChars="0"/>
        <w:textAlignment w:val="auto"/>
        <w:outlineLvl w:val="2"/>
        <w:rPr>
          <w:rFonts w:hint="eastAsia"/>
          <w:highlight w:val="none"/>
          <w:lang w:val="en-US"/>
        </w:rPr>
      </w:pPr>
      <w:bookmarkStart w:id="223" w:name="_Toc5073"/>
      <w:r>
        <w:rPr>
          <w:rFonts w:hint="eastAsia"/>
          <w:highlight w:val="none"/>
          <w:lang w:val="en-US"/>
        </w:rPr>
        <w:t>非物质文化遗产保护与活化利用</w:t>
      </w:r>
      <w:bookmarkEnd w:id="223"/>
    </w:p>
    <w:p w14:paraId="2CB43EAE">
      <w:pPr>
        <w:keepNext w:val="0"/>
        <w:keepLines w:val="0"/>
        <w:pageBreakBefore w:val="0"/>
        <w:widowControl w:val="0"/>
        <w:kinsoku/>
        <w:wordWrap/>
        <w:overflowPunct/>
        <w:topLinePunct w:val="0"/>
        <w:autoSpaceDE/>
        <w:autoSpaceDN/>
        <w:bidi w:val="0"/>
        <w:adjustRightInd/>
        <w:snapToGrid/>
        <w:spacing w:line="540" w:lineRule="atLeast"/>
        <w:textAlignment w:val="auto"/>
        <w:rPr>
          <w:b w:val="0"/>
          <w:bCs w:val="0"/>
          <w:highlight w:val="none"/>
        </w:rPr>
      </w:pPr>
      <w:r>
        <w:rPr>
          <w:rFonts w:hint="eastAsia"/>
          <w:b w:val="0"/>
          <w:bCs w:val="0"/>
          <w:highlight w:val="none"/>
        </w:rPr>
        <w:t>博爱县已有非物质文化遗产18处，其中国家级2处、省级6处、县级10处。</w:t>
      </w:r>
    </w:p>
    <w:p w14:paraId="6A3D6924">
      <w:pPr>
        <w:keepNext w:val="0"/>
        <w:keepLines w:val="0"/>
        <w:pageBreakBefore w:val="0"/>
        <w:widowControl w:val="0"/>
        <w:kinsoku/>
        <w:wordWrap/>
        <w:overflowPunct/>
        <w:topLinePunct w:val="0"/>
        <w:autoSpaceDE/>
        <w:autoSpaceDN/>
        <w:bidi w:val="0"/>
        <w:adjustRightInd/>
        <w:snapToGrid/>
        <w:spacing w:line="540" w:lineRule="atLeast"/>
        <w:textAlignment w:val="auto"/>
        <w:rPr>
          <w:rFonts w:hint="eastAsia"/>
          <w:b w:val="0"/>
          <w:bCs w:val="0"/>
          <w:color w:val="auto"/>
          <w:highlight w:val="none"/>
        </w:rPr>
      </w:pPr>
      <w:r>
        <w:rPr>
          <w:rFonts w:hint="eastAsia"/>
          <w:b w:val="0"/>
          <w:bCs w:val="0"/>
          <w:highlight w:val="none"/>
        </w:rPr>
        <w:t>健全已有的非物质文化遗产代表作名录体系，逐步建立和形成博爱非物质文化遗产的分级保护制度。依托非物质文化遗产保护中心，加强对博爱非物质文化遗产的研究、认定、保存和继承工作，保护和培养非物质文化遗产的传承人，加强对传承人的保护，强化人才队伍建设；保护传统技艺，大力扶持传统技艺经营；保护民俗精华，通过民俗活动、节庆等文化活动，为民俗文化提供展示和活动的平台，增强传统非物质文化遗产生命力。</w:t>
      </w:r>
    </w:p>
    <w:p w14:paraId="30829FFC">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224" w:name="_Toc6124"/>
      <w:bookmarkStart w:id="225" w:name="_Toc17345"/>
      <w:r>
        <w:rPr>
          <w:rFonts w:hint="eastAsia" w:cs="Times New Roman"/>
          <w:highlight w:val="none"/>
        </w:rPr>
        <w:t>城市设计及城乡风貌塑造</w:t>
      </w:r>
      <w:bookmarkEnd w:id="224"/>
      <w:bookmarkEnd w:id="225"/>
    </w:p>
    <w:p w14:paraId="07FEA5CA">
      <w:pPr>
        <w:pStyle w:val="23"/>
        <w:numPr>
          <w:ilvl w:val="0"/>
          <w:numId w:val="3"/>
        </w:numPr>
        <w:bidi w:val="0"/>
        <w:ind w:left="0" w:leftChars="0" w:firstLine="612" w:firstLineChars="0"/>
        <w:outlineLvl w:val="2"/>
        <w:rPr>
          <w:rFonts w:hint="eastAsia"/>
          <w:highlight w:val="none"/>
          <w:lang w:val="en-US"/>
        </w:rPr>
      </w:pPr>
      <w:bookmarkStart w:id="226" w:name="_Toc1654"/>
      <w:r>
        <w:rPr>
          <w:rFonts w:hint="eastAsia"/>
          <w:highlight w:val="none"/>
          <w:lang w:val="en-US"/>
        </w:rPr>
        <w:t>中心城区城市设计框架</w:t>
      </w:r>
      <w:bookmarkEnd w:id="226"/>
    </w:p>
    <w:p w14:paraId="3E0B654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bookmarkStart w:id="227" w:name="_Toc20276"/>
      <w:r>
        <w:rPr>
          <w:rFonts w:hint="eastAsia"/>
          <w:b w:val="0"/>
          <w:bCs w:val="0"/>
          <w:highlight w:val="none"/>
        </w:rPr>
        <w:t>规划形成“山水城相依、林田城互融、一河贯全区、三园均衡布、四轴串人文、多点展绿意”的总体景观结构。</w:t>
      </w:r>
    </w:p>
    <w:p w14:paraId="1F6F52A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山水城相依：依托北部的太行山、东部的大沙河及城区以幸福河、勒马河为代表的河流，遵从山水格局，形成“山</w:t>
      </w:r>
      <w:r>
        <w:rPr>
          <w:rFonts w:hint="eastAsia" w:ascii="仿宋_GB2312" w:hAnsi="仿宋_GB2312" w:eastAsia="仿宋_GB2312"/>
          <w:b w:val="0"/>
          <w:bCs w:val="0"/>
          <w:highlight w:val="none"/>
          <w:lang w:eastAsia="zh-CN"/>
        </w:rPr>
        <w:t>-</w:t>
      </w:r>
      <w:r>
        <w:rPr>
          <w:rFonts w:hint="eastAsia"/>
          <w:b w:val="0"/>
          <w:bCs w:val="0"/>
          <w:highlight w:val="none"/>
        </w:rPr>
        <w:t>水</w:t>
      </w:r>
      <w:r>
        <w:rPr>
          <w:rFonts w:hint="eastAsia" w:ascii="仿宋_GB2312" w:hAnsi="仿宋_GB2312" w:eastAsia="仿宋_GB2312"/>
          <w:b w:val="0"/>
          <w:bCs w:val="0"/>
          <w:highlight w:val="none"/>
          <w:lang w:eastAsia="zh-CN"/>
        </w:rPr>
        <w:t>-</w:t>
      </w:r>
      <w:r>
        <w:rPr>
          <w:rFonts w:hint="eastAsia"/>
          <w:b w:val="0"/>
          <w:bCs w:val="0"/>
          <w:highlight w:val="none"/>
        </w:rPr>
        <w:t>城”交融的整体空间发展格局，突出山水城市特色。</w:t>
      </w:r>
    </w:p>
    <w:p w14:paraId="1518BE9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林田城互融：加强南部生态林田的建设保护，形成林、田、城相融的城乡绿化格局。</w:t>
      </w:r>
    </w:p>
    <w:p w14:paraId="0044D61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一河贯全区：依托幸福河</w:t>
      </w:r>
      <w:r>
        <w:rPr>
          <w:rFonts w:hint="eastAsia" w:ascii="仿宋_GB2312" w:hAnsi="仿宋_GB2312" w:eastAsia="仿宋_GB2312"/>
          <w:b w:val="0"/>
          <w:bCs w:val="0"/>
          <w:highlight w:val="none"/>
          <w:lang w:eastAsia="zh-CN"/>
        </w:rPr>
        <w:t>-</w:t>
      </w:r>
      <w:r>
        <w:rPr>
          <w:rFonts w:hint="eastAsia"/>
          <w:b w:val="0"/>
          <w:bCs w:val="0"/>
          <w:highlight w:val="none"/>
        </w:rPr>
        <w:t>勒马河水系及两侧绿地形成贯穿城市南北的综合景观带。</w:t>
      </w:r>
    </w:p>
    <w:p w14:paraId="2CFE442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三园均衡布：提升李商隐文化园、博爱公园、幸福湖公园景观。</w:t>
      </w:r>
    </w:p>
    <w:p w14:paraId="4E5F997E">
      <w:pPr>
        <w:keepNext w:val="0"/>
        <w:keepLines w:val="0"/>
        <w:pageBreakBefore w:val="0"/>
        <w:widowControl w:val="0"/>
        <w:kinsoku/>
        <w:wordWrap/>
        <w:overflowPunct/>
        <w:topLinePunct w:val="0"/>
        <w:autoSpaceDE/>
        <w:autoSpaceDN/>
        <w:bidi w:val="0"/>
        <w:adjustRightInd/>
        <w:snapToGrid/>
        <w:spacing w:line="550" w:lineRule="atLeast"/>
        <w:textAlignment w:val="auto"/>
        <w:rPr>
          <w:rFonts w:hint="eastAsia"/>
          <w:b w:val="0"/>
          <w:bCs w:val="0"/>
          <w:highlight w:val="none"/>
        </w:rPr>
      </w:pPr>
      <w:r>
        <w:rPr>
          <w:rFonts w:hint="eastAsia"/>
          <w:b w:val="0"/>
          <w:bCs w:val="0"/>
          <w:highlight w:val="none"/>
        </w:rPr>
        <w:t>四轴串人文：城市主要人文景观轴包括人民路人文景观轴、发展大道人文景观轴、中山路人文景观轴、葵城路人文景观轴。</w:t>
      </w:r>
    </w:p>
    <w:p w14:paraId="0E6B4728">
      <w:pPr>
        <w:keepNext w:val="0"/>
        <w:keepLines w:val="0"/>
        <w:pageBreakBefore w:val="0"/>
        <w:widowControl w:val="0"/>
        <w:kinsoku/>
        <w:wordWrap/>
        <w:overflowPunct/>
        <w:topLinePunct w:val="0"/>
        <w:autoSpaceDE/>
        <w:autoSpaceDN/>
        <w:bidi w:val="0"/>
        <w:adjustRightInd/>
        <w:snapToGrid/>
        <w:spacing w:line="550" w:lineRule="atLeast"/>
        <w:textAlignment w:val="auto"/>
        <w:rPr>
          <w:rFonts w:hint="eastAsia"/>
          <w:b w:val="0"/>
          <w:bCs w:val="0"/>
          <w:highlight w:val="none"/>
        </w:rPr>
      </w:pPr>
      <w:r>
        <w:rPr>
          <w:rFonts w:hint="eastAsia"/>
          <w:b w:val="0"/>
          <w:bCs w:val="0"/>
          <w:highlight w:val="none"/>
        </w:rPr>
        <w:t>多点展绿意：规划着重打造各组团的城市景观节点。</w:t>
      </w:r>
    </w:p>
    <w:p w14:paraId="3BA17EE6">
      <w:pPr>
        <w:pStyle w:val="23"/>
        <w:keepNext w:val="0"/>
        <w:keepLines w:val="0"/>
        <w:pageBreakBefore w:val="0"/>
        <w:widowControl w:val="0"/>
        <w:numPr>
          <w:ilvl w:val="0"/>
          <w:numId w:val="3"/>
        </w:numPr>
        <w:kinsoku/>
        <w:wordWrap/>
        <w:overflowPunct/>
        <w:topLinePunct w:val="0"/>
        <w:autoSpaceDE/>
        <w:autoSpaceDN/>
        <w:bidi w:val="0"/>
        <w:adjustRightInd/>
        <w:snapToGrid/>
        <w:spacing w:line="550" w:lineRule="atLeast"/>
        <w:ind w:left="0" w:leftChars="0" w:firstLine="612" w:firstLineChars="0"/>
        <w:textAlignment w:val="auto"/>
        <w:outlineLvl w:val="2"/>
        <w:rPr>
          <w:rFonts w:hint="eastAsia"/>
          <w:highlight w:val="none"/>
          <w:lang w:val="en-US"/>
        </w:rPr>
      </w:pPr>
      <w:r>
        <w:rPr>
          <w:rFonts w:hint="eastAsia"/>
          <w:highlight w:val="none"/>
          <w:lang w:val="en-US"/>
        </w:rPr>
        <w:t>中心城区重点地段风貌引导与管控</w:t>
      </w:r>
      <w:bookmarkEnd w:id="227"/>
    </w:p>
    <w:p w14:paraId="54243807">
      <w:pPr>
        <w:keepNext w:val="0"/>
        <w:keepLines w:val="0"/>
        <w:pageBreakBefore w:val="0"/>
        <w:widowControl w:val="0"/>
        <w:kinsoku/>
        <w:wordWrap/>
        <w:overflowPunct/>
        <w:topLinePunct w:val="0"/>
        <w:autoSpaceDE/>
        <w:autoSpaceDN/>
        <w:bidi w:val="0"/>
        <w:adjustRightInd/>
        <w:snapToGrid/>
        <w:spacing w:line="550" w:lineRule="atLeast"/>
        <w:textAlignment w:val="auto"/>
        <w:rPr>
          <w:rFonts w:hint="eastAsia"/>
          <w:b w:val="0"/>
          <w:bCs w:val="0"/>
          <w:highlight w:val="none"/>
        </w:rPr>
      </w:pPr>
      <w:r>
        <w:rPr>
          <w:rFonts w:hint="eastAsia"/>
          <w:b w:val="0"/>
          <w:bCs w:val="0"/>
          <w:highlight w:val="none"/>
        </w:rPr>
        <w:t>老城特色风貌区：主要为清化古镇区域，保护历史风貌特色。</w:t>
      </w:r>
    </w:p>
    <w:p w14:paraId="59B94255">
      <w:pPr>
        <w:keepNext w:val="0"/>
        <w:keepLines w:val="0"/>
        <w:pageBreakBefore w:val="0"/>
        <w:widowControl w:val="0"/>
        <w:kinsoku/>
        <w:wordWrap/>
        <w:overflowPunct/>
        <w:topLinePunct w:val="0"/>
        <w:autoSpaceDE/>
        <w:autoSpaceDN/>
        <w:bidi w:val="0"/>
        <w:adjustRightInd/>
        <w:snapToGrid/>
        <w:spacing w:line="550" w:lineRule="atLeast"/>
        <w:textAlignment w:val="auto"/>
        <w:rPr>
          <w:rFonts w:hint="eastAsia"/>
          <w:b w:val="0"/>
          <w:bCs w:val="0"/>
          <w:highlight w:val="none"/>
        </w:rPr>
      </w:pPr>
      <w:r>
        <w:rPr>
          <w:rFonts w:hint="eastAsia"/>
          <w:b w:val="0"/>
          <w:bCs w:val="0"/>
          <w:highlight w:val="none"/>
        </w:rPr>
        <w:t>老城风貌协调区：老城周边区域，分布有点状的历史文物建筑，强调与老城风貌和新城风貌相协调。</w:t>
      </w:r>
    </w:p>
    <w:p w14:paraId="35D9BC93">
      <w:pPr>
        <w:keepNext w:val="0"/>
        <w:keepLines w:val="0"/>
        <w:pageBreakBefore w:val="0"/>
        <w:widowControl w:val="0"/>
        <w:kinsoku/>
        <w:wordWrap/>
        <w:overflowPunct/>
        <w:topLinePunct w:val="0"/>
        <w:autoSpaceDE/>
        <w:autoSpaceDN/>
        <w:bidi w:val="0"/>
        <w:adjustRightInd/>
        <w:snapToGrid/>
        <w:spacing w:line="550" w:lineRule="atLeast"/>
        <w:textAlignment w:val="auto"/>
        <w:rPr>
          <w:rFonts w:hint="eastAsia"/>
          <w:b w:val="0"/>
          <w:bCs w:val="0"/>
          <w:highlight w:val="none"/>
        </w:rPr>
      </w:pPr>
      <w:r>
        <w:rPr>
          <w:rFonts w:hint="eastAsia"/>
          <w:b w:val="0"/>
          <w:bCs w:val="0"/>
          <w:highlight w:val="none"/>
        </w:rPr>
        <w:t>生态宜居风貌区：幸福湖周边，充分利用片区景观核心景观，结合幸福河景观带和勒马河景观带，强调突出生态宜居氛围。</w:t>
      </w:r>
    </w:p>
    <w:p w14:paraId="109B2D58">
      <w:pPr>
        <w:keepNext w:val="0"/>
        <w:keepLines w:val="0"/>
        <w:pageBreakBefore w:val="0"/>
        <w:widowControl w:val="0"/>
        <w:kinsoku/>
        <w:wordWrap/>
        <w:overflowPunct/>
        <w:topLinePunct w:val="0"/>
        <w:autoSpaceDE/>
        <w:autoSpaceDN/>
        <w:bidi w:val="0"/>
        <w:adjustRightInd/>
        <w:snapToGrid/>
        <w:spacing w:line="550" w:lineRule="atLeast"/>
        <w:textAlignment w:val="auto"/>
        <w:rPr>
          <w:rFonts w:hint="eastAsia"/>
          <w:b w:val="0"/>
          <w:bCs w:val="0"/>
          <w:highlight w:val="none"/>
        </w:rPr>
      </w:pPr>
      <w:r>
        <w:rPr>
          <w:rFonts w:hint="eastAsia"/>
          <w:b w:val="0"/>
          <w:bCs w:val="0"/>
          <w:highlight w:val="none"/>
        </w:rPr>
        <w:t>现代文化商务风貌区：结合行政办公、商业商务用地，强调商务氛围的打造。</w:t>
      </w:r>
    </w:p>
    <w:p w14:paraId="58F4F2AB">
      <w:pPr>
        <w:keepNext w:val="0"/>
        <w:keepLines w:val="0"/>
        <w:pageBreakBefore w:val="0"/>
        <w:widowControl w:val="0"/>
        <w:kinsoku/>
        <w:wordWrap/>
        <w:overflowPunct/>
        <w:topLinePunct w:val="0"/>
        <w:autoSpaceDE/>
        <w:autoSpaceDN/>
        <w:bidi w:val="0"/>
        <w:adjustRightInd/>
        <w:snapToGrid/>
        <w:spacing w:line="550" w:lineRule="atLeast"/>
        <w:textAlignment w:val="auto"/>
        <w:rPr>
          <w:rFonts w:hint="eastAsia"/>
          <w:b w:val="0"/>
          <w:bCs w:val="0"/>
          <w:highlight w:val="none"/>
        </w:rPr>
      </w:pPr>
      <w:r>
        <w:rPr>
          <w:rFonts w:hint="eastAsia"/>
          <w:b w:val="0"/>
          <w:bCs w:val="0"/>
          <w:highlight w:val="none"/>
        </w:rPr>
        <w:t>创新时尚风貌区：强调现代发展模式，打造现代创新城市氛围。</w:t>
      </w:r>
    </w:p>
    <w:p w14:paraId="00A097F2">
      <w:pPr>
        <w:keepNext w:val="0"/>
        <w:keepLines w:val="0"/>
        <w:pageBreakBefore w:val="0"/>
        <w:widowControl w:val="0"/>
        <w:kinsoku/>
        <w:wordWrap/>
        <w:overflowPunct/>
        <w:topLinePunct w:val="0"/>
        <w:autoSpaceDE/>
        <w:autoSpaceDN/>
        <w:bidi w:val="0"/>
        <w:adjustRightInd/>
        <w:snapToGrid/>
        <w:spacing w:line="550" w:lineRule="atLeast"/>
        <w:textAlignment w:val="auto"/>
        <w:rPr>
          <w:rFonts w:hint="eastAsia"/>
          <w:b w:val="0"/>
          <w:bCs w:val="0"/>
          <w:highlight w:val="none"/>
        </w:rPr>
      </w:pPr>
      <w:r>
        <w:rPr>
          <w:rFonts w:hint="eastAsia"/>
          <w:b w:val="0"/>
          <w:bCs w:val="0"/>
          <w:highlight w:val="none"/>
        </w:rPr>
        <w:t>现代产业风貌区：东部和南部产业片区，突出现代产业风貌特征。</w:t>
      </w:r>
    </w:p>
    <w:p w14:paraId="7D1D45EC">
      <w:pPr>
        <w:pStyle w:val="23"/>
        <w:keepNext w:val="0"/>
        <w:keepLines w:val="0"/>
        <w:pageBreakBefore w:val="0"/>
        <w:widowControl w:val="0"/>
        <w:numPr>
          <w:ilvl w:val="0"/>
          <w:numId w:val="3"/>
        </w:numPr>
        <w:kinsoku/>
        <w:wordWrap/>
        <w:overflowPunct/>
        <w:topLinePunct w:val="0"/>
        <w:autoSpaceDE/>
        <w:autoSpaceDN/>
        <w:bidi w:val="0"/>
        <w:adjustRightInd/>
        <w:snapToGrid/>
        <w:spacing w:line="550" w:lineRule="atLeast"/>
        <w:ind w:left="0" w:leftChars="0" w:firstLine="612" w:firstLineChars="0"/>
        <w:textAlignment w:val="auto"/>
        <w:outlineLvl w:val="2"/>
        <w:rPr>
          <w:rFonts w:hint="eastAsia"/>
          <w:highlight w:val="none"/>
          <w:lang w:val="en-US"/>
        </w:rPr>
      </w:pPr>
      <w:bookmarkStart w:id="228" w:name="_Toc26905"/>
      <w:r>
        <w:rPr>
          <w:rFonts w:hint="eastAsia"/>
          <w:highlight w:val="none"/>
          <w:lang w:val="en-US"/>
        </w:rPr>
        <w:t>中心城区开发强度管控</w:t>
      </w:r>
      <w:bookmarkEnd w:id="228"/>
    </w:p>
    <w:p w14:paraId="53A968A6">
      <w:pPr>
        <w:keepNext w:val="0"/>
        <w:keepLines w:val="0"/>
        <w:pageBreakBefore w:val="0"/>
        <w:widowControl w:val="0"/>
        <w:kinsoku/>
        <w:wordWrap/>
        <w:overflowPunct/>
        <w:topLinePunct w:val="0"/>
        <w:autoSpaceDE/>
        <w:autoSpaceDN/>
        <w:bidi w:val="0"/>
        <w:adjustRightInd/>
        <w:snapToGrid/>
        <w:spacing w:line="550" w:lineRule="atLeast"/>
        <w:textAlignment w:val="auto"/>
        <w:rPr>
          <w:rFonts w:hint="eastAsia"/>
          <w:b w:val="0"/>
          <w:bCs w:val="0"/>
          <w:highlight w:val="none"/>
        </w:rPr>
      </w:pPr>
      <w:r>
        <w:rPr>
          <w:rFonts w:hint="eastAsia"/>
          <w:b w:val="0"/>
          <w:bCs w:val="0"/>
          <w:highlight w:val="none"/>
        </w:rPr>
        <w:t>通过城镇开发强度分区，引导中心城区空间秩序，提高建设空间资源使用的整体协调性。原则上规划建设容积率不应超2.5，居住用地容积率不应超1.8，新建住宅以6层为主，6层及以下住宅建筑面积占比应不低于70%，新建住宅不超过18层。依法合规把控公共服务设施、商业建筑、宗教建筑的开发强度。</w:t>
      </w:r>
    </w:p>
    <w:p w14:paraId="667ECDFD">
      <w:pPr>
        <w:bidi w:val="0"/>
        <w:rPr>
          <w:rFonts w:hint="eastAsia"/>
          <w:b w:val="0"/>
          <w:bCs w:val="0"/>
          <w:highlight w:val="none"/>
        </w:rPr>
      </w:pPr>
      <w:r>
        <w:rPr>
          <w:rFonts w:hint="eastAsia"/>
          <w:b w:val="0"/>
          <w:bCs w:val="0"/>
          <w:highlight w:val="none"/>
        </w:rPr>
        <w:t>Ⅰ级强度区，容积率≤1.0。严控“水边、城边、田边”开发强度，降级紧邻自然生态、历史人文、景观敏感等重点地段开发强度，合理有序降低开发强度，保护整体风貌和环境景观。</w:t>
      </w:r>
    </w:p>
    <w:p w14:paraId="509B0DE7">
      <w:pPr>
        <w:bidi w:val="0"/>
        <w:rPr>
          <w:rFonts w:hint="eastAsia"/>
          <w:b w:val="0"/>
          <w:bCs w:val="0"/>
          <w:highlight w:val="none"/>
        </w:rPr>
      </w:pPr>
      <w:r>
        <w:rPr>
          <w:rFonts w:hint="eastAsia"/>
          <w:b w:val="0"/>
          <w:bCs w:val="0"/>
          <w:highlight w:val="none"/>
        </w:rPr>
        <w:t>Ⅱ级强度区，1.0＜容积率≤2.0。城市一般地区的中低强度居住和综合发展区，以及成片的产业园区。新建建筑应与原有的城市空间秩序相协调，防止盲目进行高密度高强度开发，形成疏密有度、错落有致的城市空间形态。</w:t>
      </w:r>
    </w:p>
    <w:p w14:paraId="4BD341D3">
      <w:pPr>
        <w:bidi w:val="0"/>
        <w:rPr>
          <w:rFonts w:hint="eastAsia"/>
          <w:b w:val="0"/>
          <w:bCs w:val="0"/>
          <w:highlight w:val="none"/>
        </w:rPr>
      </w:pPr>
      <w:r>
        <w:rPr>
          <w:rFonts w:hint="eastAsia"/>
          <w:b w:val="0"/>
          <w:bCs w:val="0"/>
          <w:highlight w:val="none"/>
        </w:rPr>
        <w:t>Ⅲ级强度区，2.0＜容积率。突出城市轴线空间，重点控制高层集中区的整体形态，对城市中心节点形成与城市规模、空间尺度相适宜的紧凑空间形态，优化城市中心区的景观形象。</w:t>
      </w:r>
    </w:p>
    <w:p w14:paraId="5BF0A6E5">
      <w:pPr>
        <w:bidi w:val="0"/>
        <w:rPr>
          <w:rFonts w:hint="eastAsia"/>
          <w:b w:val="0"/>
          <w:bCs w:val="0"/>
          <w:highlight w:val="none"/>
        </w:rPr>
      </w:pPr>
      <w:r>
        <w:rPr>
          <w:rFonts w:hint="eastAsia"/>
          <w:b w:val="0"/>
          <w:bCs w:val="0"/>
          <w:highlight w:val="none"/>
        </w:rPr>
        <w:t>生态景观控制区。滨河生态和开敞空间开敞度与公共性，增加人与自然接触面。</w:t>
      </w:r>
    </w:p>
    <w:p w14:paraId="46893F40">
      <w:pPr>
        <w:pStyle w:val="23"/>
        <w:numPr>
          <w:ilvl w:val="0"/>
          <w:numId w:val="3"/>
        </w:numPr>
        <w:bidi w:val="0"/>
        <w:ind w:left="0" w:leftChars="0" w:firstLine="612" w:firstLineChars="0"/>
        <w:outlineLvl w:val="2"/>
        <w:rPr>
          <w:rFonts w:hint="eastAsia"/>
          <w:highlight w:val="none"/>
          <w:lang w:val="en-US"/>
        </w:rPr>
      </w:pPr>
      <w:bookmarkStart w:id="229" w:name="_Toc27513"/>
      <w:r>
        <w:rPr>
          <w:rFonts w:hint="eastAsia"/>
          <w:highlight w:val="none"/>
          <w:lang w:val="en-US"/>
        </w:rPr>
        <w:t>城乡风貌引导</w:t>
      </w:r>
      <w:bookmarkEnd w:id="229"/>
    </w:p>
    <w:p w14:paraId="5B547779">
      <w:pPr>
        <w:bidi w:val="0"/>
        <w:rPr>
          <w:rFonts w:hint="eastAsia"/>
          <w:b w:val="0"/>
          <w:bCs w:val="0"/>
          <w:highlight w:val="none"/>
        </w:rPr>
      </w:pPr>
      <w:r>
        <w:rPr>
          <w:rFonts w:hint="eastAsia"/>
          <w:b w:val="0"/>
          <w:bCs w:val="0"/>
          <w:highlight w:val="none"/>
        </w:rPr>
        <w:t>衔接焦作市级风貌规划内容，整合南太行到沁河自然要素与多元富集的历史文化要素，划定秀美太行风貌区、魅力城镇风貌区、平原农业风貌区三个风貌分区。</w:t>
      </w:r>
    </w:p>
    <w:p w14:paraId="7E49FFD5">
      <w:pPr>
        <w:bidi w:val="0"/>
        <w:rPr>
          <w:rFonts w:hint="eastAsia"/>
          <w:b w:val="0"/>
          <w:bCs w:val="0"/>
          <w:highlight w:val="none"/>
        </w:rPr>
      </w:pPr>
      <w:r>
        <w:rPr>
          <w:rFonts w:hint="eastAsia"/>
          <w:b w:val="0"/>
          <w:bCs w:val="0"/>
          <w:highlight w:val="none"/>
        </w:rPr>
        <w:t>秀美太行风貌区，以青天河为自然特征代表，以散布村庄为建设特色代表。注重对山体、水网的保护，严格控制区域内</w:t>
      </w:r>
      <w:r>
        <w:rPr>
          <w:rFonts w:hint="eastAsia"/>
          <w:b w:val="0"/>
          <w:bCs w:val="0"/>
          <w:highlight w:val="none"/>
          <w:lang w:eastAsia="zh-CN"/>
        </w:rPr>
        <w:t>乡（镇）</w:t>
      </w:r>
      <w:r>
        <w:rPr>
          <w:rFonts w:hint="eastAsia"/>
          <w:b w:val="0"/>
          <w:bCs w:val="0"/>
          <w:highlight w:val="none"/>
        </w:rPr>
        <w:t>、村庄建设规模，保护和强化山区原始风貌特色，突出山水文化的人文内涵，强调文旅融合，形成秀美太行的风貌特色。</w:t>
      </w:r>
    </w:p>
    <w:p w14:paraId="51E14546">
      <w:pPr>
        <w:bidi w:val="0"/>
        <w:rPr>
          <w:rFonts w:hint="eastAsia"/>
          <w:b w:val="0"/>
          <w:bCs w:val="0"/>
          <w:highlight w:val="none"/>
        </w:rPr>
      </w:pPr>
      <w:r>
        <w:rPr>
          <w:rFonts w:hint="eastAsia"/>
          <w:b w:val="0"/>
          <w:bCs w:val="0"/>
          <w:highlight w:val="none"/>
        </w:rPr>
        <w:t>魅力城镇风貌区，以博爱中心城区为空间载体，属地势平坦、河网发达的山前平原。依托城镇特色，打造不同的魅力景观，对延续地方文脉、彰显城市特色提升空间品质有重大影响的城镇重点保护，展示地域特色阡陌田园风貌区，协调村镇风貌与区域风貌的关系，挖掘不同地域不同村镇的特点，继承和发扬历史风貌的精华，展示不同特点的风貌。</w:t>
      </w:r>
    </w:p>
    <w:p w14:paraId="7B7698D7">
      <w:pPr>
        <w:bidi w:val="0"/>
        <w:rPr>
          <w:rFonts w:hint="eastAsia"/>
          <w:b w:val="0"/>
          <w:bCs w:val="0"/>
          <w:highlight w:val="none"/>
        </w:rPr>
      </w:pPr>
      <w:r>
        <w:rPr>
          <w:rFonts w:hint="eastAsia"/>
          <w:b w:val="0"/>
          <w:bCs w:val="0"/>
          <w:highlight w:val="none"/>
        </w:rPr>
        <w:t>平原农业区风貌区，保持博爱县平原农业区乡村建筑风貌和地域文化特色，保护农业生产过程、农家生活、民俗文化等乡村原始风貌。坚持不填湖、不毁林的原则，尊重村庄自然地形地貌、居住习惯，延续村庄传统街巷肌理和建筑布局，按照“城市品质乡村味道”的理念，注重挖掘本地优秀传统文化、地域特征、气候资源、风貌特色，加强乡村传统村落和特色风貌保护，集中打造一批乡村规划建设样板。严守永久基本农田红线，保护特色田园景观，结合怀药文化等做好特色农业，保持绿色开敞风貌。</w:t>
      </w:r>
    </w:p>
    <w:p w14:paraId="5D97F71A">
      <w:pPr>
        <w:keepNext w:val="0"/>
        <w:keepLines w:val="0"/>
        <w:pageBreakBefore w:val="0"/>
        <w:widowControl w:val="0"/>
        <w:numPr>
          <w:ilvl w:val="0"/>
          <w:numId w:val="2"/>
        </w:numPr>
        <w:kinsoku/>
        <w:wordWrap/>
        <w:overflowPunct/>
        <w:topLinePunct w:val="0"/>
        <w:autoSpaceDE/>
        <w:autoSpaceDN/>
        <w:bidi w:val="0"/>
        <w:adjustRightInd/>
        <w:snapToGrid/>
        <w:spacing w:before="200" w:after="400" w:line="596" w:lineRule="exact"/>
        <w:ind w:firstLine="0" w:firstLineChars="0"/>
        <w:jc w:val="center"/>
        <w:textAlignment w:val="auto"/>
        <w:outlineLvl w:val="0"/>
        <w:rPr>
          <w:rStyle w:val="18"/>
          <w:rFonts w:hint="eastAsia" w:ascii="黑体" w:hAnsi="黑体" w:eastAsia="黑体" w:cs="黑体"/>
          <w:b w:val="0"/>
          <w:bCs w:val="0"/>
          <w:color w:val="auto"/>
          <w:highlight w:val="none"/>
        </w:rPr>
      </w:pPr>
      <w:r>
        <w:rPr>
          <w:b w:val="0"/>
          <w:bCs w:val="0"/>
          <w:color w:val="auto"/>
          <w:highlight w:val="none"/>
        </w:rPr>
        <w:br w:type="page"/>
      </w:r>
      <w:bookmarkStart w:id="230" w:name="_Toc20041"/>
      <w:bookmarkStart w:id="231" w:name="_Toc24135"/>
      <w:bookmarkStart w:id="232" w:name="_Toc11997"/>
      <w:r>
        <w:rPr>
          <w:rStyle w:val="18"/>
          <w:rFonts w:hint="eastAsia" w:cs="Times New Roman"/>
          <w:b w:val="0"/>
          <w:bCs w:val="0"/>
          <w:highlight w:val="none"/>
          <w:lang w:val="zh-CN" w:eastAsia="zh-CN"/>
        </w:rPr>
        <w:t>支撑体系</w:t>
      </w:r>
      <w:bookmarkEnd w:id="230"/>
    </w:p>
    <w:bookmarkEnd w:id="231"/>
    <w:bookmarkEnd w:id="232"/>
    <w:p w14:paraId="029CB6B2">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233" w:name="_Toc13960"/>
      <w:bookmarkStart w:id="234" w:name="_Toc5401"/>
      <w:r>
        <w:rPr>
          <w:rFonts w:hint="eastAsia" w:cs="Times New Roman"/>
          <w:highlight w:val="none"/>
        </w:rPr>
        <w:t>综合交通</w:t>
      </w:r>
      <w:bookmarkEnd w:id="233"/>
      <w:bookmarkEnd w:id="234"/>
    </w:p>
    <w:p w14:paraId="565E8B38">
      <w:pPr>
        <w:pStyle w:val="23"/>
        <w:numPr>
          <w:ilvl w:val="0"/>
          <w:numId w:val="3"/>
        </w:numPr>
        <w:bidi w:val="0"/>
        <w:ind w:left="0" w:leftChars="0" w:firstLine="612" w:firstLineChars="0"/>
        <w:outlineLvl w:val="2"/>
        <w:rPr>
          <w:rFonts w:hint="eastAsia"/>
          <w:highlight w:val="none"/>
          <w:lang w:val="en-US"/>
        </w:rPr>
      </w:pPr>
      <w:bookmarkStart w:id="235" w:name="_Toc24930"/>
      <w:r>
        <w:rPr>
          <w:rFonts w:hint="eastAsia"/>
          <w:highlight w:val="none"/>
          <w:lang w:val="en-US"/>
        </w:rPr>
        <w:t>综合交通发展目标和策略</w:t>
      </w:r>
      <w:bookmarkEnd w:id="235"/>
    </w:p>
    <w:p w14:paraId="3F102C84">
      <w:pPr>
        <w:bidi w:val="0"/>
        <w:rPr>
          <w:rFonts w:hint="eastAsia"/>
          <w:b w:val="0"/>
          <w:bCs w:val="0"/>
          <w:highlight w:val="none"/>
        </w:rPr>
      </w:pPr>
      <w:r>
        <w:rPr>
          <w:rFonts w:hint="eastAsia"/>
          <w:b w:val="0"/>
          <w:bCs w:val="0"/>
          <w:highlight w:val="none"/>
        </w:rPr>
        <w:t>构建多方式、多通道的交通融合体系。通过高铁、普铁、城轨、高速及国省道全面扩容联系通道，实现焦博深度融合，将博爱县建设成为区域性综合交通枢纽，助力博爱县全域旅游发展。</w:t>
      </w:r>
    </w:p>
    <w:p w14:paraId="079582CE">
      <w:pPr>
        <w:bidi w:val="0"/>
        <w:rPr>
          <w:rFonts w:hint="eastAsia"/>
          <w:b w:val="0"/>
          <w:bCs w:val="0"/>
          <w:highlight w:val="none"/>
        </w:rPr>
      </w:pPr>
      <w:r>
        <w:rPr>
          <w:rFonts w:hint="eastAsia"/>
          <w:b w:val="0"/>
          <w:bCs w:val="0"/>
          <w:highlight w:val="none"/>
        </w:rPr>
        <w:t>区域一体策略。构建焦修博武与郑州地区便捷高效联系的区域性综合交通枢纽格局，打造包含高铁、市域轨道交通、快速通道等多层次的直连直通的交通网络，实现铁路、道路一体成网，满足全域旅游、物流枢纽等不同出行需求；构建多方式、多通道的交通融合体系，扩大全域旅游通勤能力，加强焦博空间联系，支撑焦博深度融合。</w:t>
      </w:r>
    </w:p>
    <w:p w14:paraId="67A129A6">
      <w:pPr>
        <w:bidi w:val="0"/>
        <w:rPr>
          <w:rFonts w:hint="eastAsia"/>
          <w:b w:val="0"/>
          <w:bCs w:val="0"/>
          <w:highlight w:val="none"/>
        </w:rPr>
      </w:pPr>
      <w:r>
        <w:rPr>
          <w:rFonts w:hint="eastAsia"/>
          <w:b w:val="0"/>
          <w:bCs w:val="0"/>
          <w:highlight w:val="none"/>
        </w:rPr>
        <w:t>绿色高质策略。通过构建高质量基础设施网络及多层次交通枢纽，推动多方式有机衔接；构建多层紧密衔接、绿色低碳的出行网络。贯彻小街区、密路网理念，创造宜人的交通空间尺度，完善新能源充电设施，提高居民出行品质。</w:t>
      </w:r>
    </w:p>
    <w:p w14:paraId="18EB16B4">
      <w:pPr>
        <w:pStyle w:val="23"/>
        <w:numPr>
          <w:ilvl w:val="0"/>
          <w:numId w:val="3"/>
        </w:numPr>
        <w:bidi w:val="0"/>
        <w:ind w:left="0" w:leftChars="0" w:firstLine="612" w:firstLineChars="0"/>
        <w:outlineLvl w:val="2"/>
        <w:rPr>
          <w:rFonts w:hint="eastAsia"/>
          <w:highlight w:val="none"/>
          <w:lang w:val="en-US"/>
        </w:rPr>
      </w:pPr>
      <w:bookmarkStart w:id="236" w:name="_Toc3839"/>
      <w:r>
        <w:rPr>
          <w:rFonts w:hint="eastAsia"/>
          <w:highlight w:val="none"/>
          <w:lang w:val="en-US"/>
        </w:rPr>
        <w:t>县域综合交通体系布局</w:t>
      </w:r>
      <w:bookmarkEnd w:id="236"/>
    </w:p>
    <w:p w14:paraId="1A8B7360">
      <w:pPr>
        <w:bidi w:val="0"/>
        <w:outlineLvl w:val="3"/>
        <w:rPr>
          <w:rFonts w:hint="eastAsia"/>
          <w:b w:val="0"/>
          <w:bCs w:val="0"/>
          <w:highlight w:val="none"/>
        </w:rPr>
      </w:pPr>
      <w:r>
        <w:rPr>
          <w:rFonts w:hint="eastAsia"/>
          <w:b w:val="0"/>
          <w:bCs w:val="0"/>
          <w:highlight w:val="none"/>
        </w:rPr>
        <w:t>1.轨道交通规划</w:t>
      </w:r>
    </w:p>
    <w:p w14:paraId="288A947F">
      <w:pPr>
        <w:bidi w:val="0"/>
        <w:rPr>
          <w:rFonts w:hint="eastAsia"/>
          <w:b w:val="0"/>
          <w:bCs w:val="0"/>
          <w:highlight w:val="none"/>
          <w:u w:val="none"/>
        </w:rPr>
      </w:pPr>
      <w:bookmarkStart w:id="237" w:name="_Toc24685"/>
      <w:r>
        <w:rPr>
          <w:rFonts w:hint="eastAsia"/>
          <w:b w:val="0"/>
          <w:bCs w:val="0"/>
          <w:highlight w:val="none"/>
          <w:u w:val="single"/>
        </w:rPr>
        <w:t>落实国家高速铁路网。在</w:t>
      </w:r>
      <w:r>
        <w:rPr>
          <w:rFonts w:hint="eastAsia"/>
          <w:b w:val="0"/>
          <w:bCs w:val="0"/>
          <w:highlight w:val="none"/>
          <w:u w:val="single"/>
          <w:lang w:eastAsia="zh-CN"/>
        </w:rPr>
        <w:t>保留</w:t>
      </w:r>
      <w:r>
        <w:rPr>
          <w:rFonts w:hint="eastAsia"/>
          <w:b w:val="0"/>
          <w:bCs w:val="0"/>
          <w:highlight w:val="none"/>
          <w:u w:val="single"/>
        </w:rPr>
        <w:t>现状太焦高铁</w:t>
      </w:r>
      <w:r>
        <w:rPr>
          <w:rFonts w:hint="eastAsia"/>
          <w:b w:val="0"/>
          <w:bCs w:val="0"/>
          <w:highlight w:val="none"/>
          <w:u w:val="single"/>
          <w:lang w:eastAsia="zh-CN"/>
        </w:rPr>
        <w:t>（焦作西站）</w:t>
      </w:r>
      <w:r>
        <w:rPr>
          <w:rFonts w:hint="eastAsia"/>
          <w:b w:val="0"/>
          <w:bCs w:val="0"/>
          <w:highlight w:val="none"/>
          <w:u w:val="single"/>
        </w:rPr>
        <w:t>基础上，推进呼南高铁焦洛平线建设</w:t>
      </w:r>
      <w:r>
        <w:rPr>
          <w:rFonts w:hint="eastAsia" w:ascii="Times New Roman" w:hAnsi="Times New Roman" w:cs="Times New Roman"/>
          <w:b w:val="0"/>
          <w:bCs w:val="0"/>
          <w:highlight w:val="none"/>
          <w:u w:val="single"/>
          <w:lang w:eastAsia="zh-CN"/>
        </w:rPr>
        <w:t>，</w:t>
      </w:r>
      <w:r>
        <w:rPr>
          <w:rFonts w:hint="eastAsia"/>
          <w:b w:val="0"/>
          <w:bCs w:val="0"/>
          <w:highlight w:val="none"/>
          <w:u w:val="single"/>
        </w:rPr>
        <w:t>预控侯马至郑州高铁、郑太高铁</w:t>
      </w:r>
      <w:r>
        <w:rPr>
          <w:rFonts w:hint="eastAsia"/>
          <w:b w:val="0"/>
          <w:bCs w:val="0"/>
          <w:highlight w:val="none"/>
          <w:u w:val="none"/>
        </w:rPr>
        <w:t>。</w:t>
      </w:r>
    </w:p>
    <w:p w14:paraId="6D167334">
      <w:pPr>
        <w:bidi w:val="0"/>
        <w:rPr>
          <w:rFonts w:hint="eastAsia"/>
          <w:b w:val="0"/>
          <w:bCs w:val="0"/>
          <w:highlight w:val="none"/>
          <w:u w:val="none"/>
        </w:rPr>
      </w:pPr>
      <w:r>
        <w:rPr>
          <w:rFonts w:hint="eastAsia"/>
          <w:b w:val="0"/>
          <w:bCs w:val="0"/>
          <w:highlight w:val="none"/>
          <w:u w:val="single"/>
        </w:rPr>
        <w:t>落实省市国土空间规划，包括落实郑焦城际云台山支线、新焦城际、规划焦济洛城际、市域轨道线，衔接郑州、洛阳、济源规划市域铁路环线;</w:t>
      </w:r>
      <w:r>
        <w:rPr>
          <w:rFonts w:hint="eastAsia"/>
          <w:b w:val="0"/>
          <w:bCs w:val="0"/>
          <w:highlight w:val="none"/>
          <w:u w:val="single"/>
          <w:lang w:eastAsia="zh-CN"/>
        </w:rPr>
        <w:t>规划预留太焦线长治北至月山段扩能改造项目建设用地。</w:t>
      </w:r>
      <w:r>
        <w:rPr>
          <w:rFonts w:hint="eastAsia"/>
          <w:b w:val="0"/>
          <w:bCs w:val="0"/>
          <w:highlight w:val="none"/>
          <w:u w:val="single"/>
        </w:rPr>
        <w:t>规划云台山旅游环线，链接南太行旅游景区，带动旅游经济发展；提升区域铁路货运通道集疏运能力，在既有京广、焦柳铁路的基础上，规划月随铁路作为晋煤外运又一铁路货运大通道。规划博爱县豫北铁路物流有限公司铁路专用线，推进“公转铁”运输结构调整</w:t>
      </w:r>
      <w:r>
        <w:rPr>
          <w:rFonts w:hint="eastAsia"/>
          <w:b w:val="0"/>
          <w:bCs w:val="0"/>
          <w:highlight w:val="none"/>
          <w:u w:val="none"/>
        </w:rPr>
        <w:t>。</w:t>
      </w:r>
    </w:p>
    <w:p w14:paraId="2C8E50A1">
      <w:pPr>
        <w:bidi w:val="0"/>
        <w:outlineLvl w:val="3"/>
        <w:rPr>
          <w:rFonts w:hint="eastAsia"/>
          <w:b w:val="0"/>
          <w:bCs w:val="0"/>
          <w:highlight w:val="none"/>
        </w:rPr>
      </w:pPr>
      <w:r>
        <w:rPr>
          <w:rFonts w:hint="eastAsia"/>
          <w:b w:val="0"/>
          <w:bCs w:val="0"/>
          <w:highlight w:val="none"/>
        </w:rPr>
        <w:t>2.轨道交通站场规划</w:t>
      </w:r>
    </w:p>
    <w:p w14:paraId="5DE5D1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完善客运枢纽布局。建设焦作西站作为焦作市级主枢纽，承担晋豫、郑州都市圈北部之间的客流集散。远景规划云台山至神农山旅游线，加强太行山旅游交通联系。远景规划连接郑州</w:t>
      </w:r>
      <w:r>
        <w:rPr>
          <w:rFonts w:hint="eastAsia"/>
          <w:b w:val="0"/>
          <w:bCs w:val="0"/>
          <w:highlight w:val="none"/>
          <w:lang w:val="en-US" w:eastAsia="zh-CN"/>
        </w:rPr>
        <w:t>市</w:t>
      </w:r>
      <w:r>
        <w:rPr>
          <w:rFonts w:hint="eastAsia"/>
          <w:b w:val="0"/>
          <w:bCs w:val="0"/>
          <w:highlight w:val="none"/>
        </w:rPr>
        <w:t>、焦作</w:t>
      </w:r>
      <w:r>
        <w:rPr>
          <w:rFonts w:hint="eastAsia"/>
          <w:b w:val="0"/>
          <w:bCs w:val="0"/>
          <w:highlight w:val="none"/>
          <w:lang w:val="en-US" w:eastAsia="zh-CN"/>
        </w:rPr>
        <w:t>市</w:t>
      </w:r>
      <w:r>
        <w:rPr>
          <w:rFonts w:hint="eastAsia"/>
          <w:b w:val="0"/>
          <w:bCs w:val="0"/>
          <w:highlight w:val="none"/>
        </w:rPr>
        <w:t>、博爱</w:t>
      </w:r>
      <w:r>
        <w:rPr>
          <w:rFonts w:hint="eastAsia"/>
          <w:b w:val="0"/>
          <w:bCs w:val="0"/>
          <w:highlight w:val="none"/>
          <w:lang w:val="en-US" w:eastAsia="zh-CN"/>
        </w:rPr>
        <w:t>县</w:t>
      </w:r>
      <w:r>
        <w:rPr>
          <w:rFonts w:hint="eastAsia"/>
          <w:b w:val="0"/>
          <w:bCs w:val="0"/>
          <w:highlight w:val="none"/>
        </w:rPr>
        <w:t>、孟州</w:t>
      </w:r>
      <w:r>
        <w:rPr>
          <w:rFonts w:hint="eastAsia"/>
          <w:b w:val="0"/>
          <w:bCs w:val="0"/>
          <w:highlight w:val="none"/>
          <w:lang w:val="en-US" w:eastAsia="zh-CN"/>
        </w:rPr>
        <w:t>市</w:t>
      </w:r>
      <w:r>
        <w:rPr>
          <w:rFonts w:hint="eastAsia"/>
          <w:b w:val="0"/>
          <w:bCs w:val="0"/>
          <w:highlight w:val="none"/>
        </w:rPr>
        <w:t>的城际轨道交通，在博爱县中心城区发展大道与团结路交叉口设博爱站，作为城际轨道交通站场。</w:t>
      </w:r>
    </w:p>
    <w:p w14:paraId="3270533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合理布局货运枢纽。构建以月山站为主的铁路物流枢纽。月山站随着月随铁路的建设进行改扩建，改造为华北最先进、最智能化的货运站点。</w:t>
      </w:r>
    </w:p>
    <w:p w14:paraId="67BF7583">
      <w:pPr>
        <w:bidi w:val="0"/>
        <w:outlineLvl w:val="3"/>
        <w:rPr>
          <w:rFonts w:hint="eastAsia"/>
          <w:b w:val="0"/>
          <w:bCs w:val="0"/>
          <w:highlight w:val="none"/>
        </w:rPr>
      </w:pPr>
      <w:r>
        <w:rPr>
          <w:rFonts w:hint="eastAsia"/>
          <w:b w:val="0"/>
          <w:bCs w:val="0"/>
          <w:highlight w:val="none"/>
        </w:rPr>
        <w:t>3.</w:t>
      </w:r>
      <w:r>
        <w:rPr>
          <w:rFonts w:hint="eastAsia"/>
          <w:b w:val="0"/>
          <w:bCs w:val="0"/>
          <w:highlight w:val="none"/>
          <w:lang w:eastAsia="zh-CN"/>
        </w:rPr>
        <w:t>国省</w:t>
      </w:r>
      <w:r>
        <w:rPr>
          <w:rFonts w:hint="eastAsia"/>
          <w:b w:val="0"/>
          <w:bCs w:val="0"/>
          <w:highlight w:val="none"/>
        </w:rPr>
        <w:t>公路规划</w:t>
      </w:r>
    </w:p>
    <w:p w14:paraId="2DA4021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u w:val="none"/>
        </w:rPr>
      </w:pPr>
      <w:r>
        <w:rPr>
          <w:rFonts w:hint="eastAsia"/>
          <w:b w:val="0"/>
          <w:bCs w:val="0"/>
          <w:highlight w:val="none"/>
          <w:u w:val="single"/>
        </w:rPr>
        <w:t>规划在</w:t>
      </w:r>
      <w:r>
        <w:rPr>
          <w:rFonts w:hint="eastAsia"/>
          <w:b w:val="0"/>
          <w:bCs w:val="0"/>
          <w:highlight w:val="none"/>
          <w:u w:val="single"/>
          <w:lang w:val="en-US" w:eastAsia="zh-CN"/>
        </w:rPr>
        <w:t>保留</w:t>
      </w:r>
      <w:r>
        <w:rPr>
          <w:rFonts w:hint="eastAsia"/>
          <w:b w:val="0"/>
          <w:bCs w:val="0"/>
          <w:highlight w:val="none"/>
          <w:u w:val="single"/>
        </w:rPr>
        <w:t>现状焦桐高速、菏宝高速</w:t>
      </w:r>
      <w:r>
        <w:rPr>
          <w:rFonts w:hint="eastAsia"/>
          <w:b w:val="0"/>
          <w:bCs w:val="0"/>
          <w:highlight w:val="none"/>
          <w:u w:val="single"/>
          <w:lang w:eastAsia="zh-CN"/>
        </w:rPr>
        <w:t>、</w:t>
      </w:r>
      <w:r>
        <w:rPr>
          <w:rFonts w:hint="eastAsia"/>
          <w:b w:val="0"/>
          <w:bCs w:val="0"/>
          <w:highlight w:val="none"/>
          <w:u w:val="single"/>
          <w:lang w:val="en-US" w:eastAsia="zh-CN"/>
        </w:rPr>
        <w:t>晋新高速</w:t>
      </w:r>
      <w:r>
        <w:rPr>
          <w:rFonts w:hint="eastAsia"/>
          <w:b w:val="0"/>
          <w:bCs w:val="0"/>
          <w:highlight w:val="none"/>
          <w:u w:val="single"/>
        </w:rPr>
        <w:t>基础上。规划沿太行高速，在城市北侧规划新增高速出入口，滨河路作为高速与中心城区的连接线</w:t>
      </w:r>
      <w:r>
        <w:rPr>
          <w:rFonts w:hint="eastAsia"/>
          <w:b w:val="0"/>
          <w:bCs w:val="0"/>
          <w:highlight w:val="none"/>
          <w:u w:val="none"/>
        </w:rPr>
        <w:t>。</w:t>
      </w:r>
    </w:p>
    <w:p w14:paraId="2F4C991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u w:val="none"/>
        </w:rPr>
      </w:pPr>
      <w:r>
        <w:rPr>
          <w:rFonts w:hint="eastAsia"/>
          <w:b w:val="0"/>
          <w:bCs w:val="0"/>
          <w:highlight w:val="none"/>
          <w:u w:val="single"/>
        </w:rPr>
        <w:t>规划提升G207、G327，提升东西向和南北向的对外交通联系</w:t>
      </w:r>
      <w:r>
        <w:rPr>
          <w:rFonts w:hint="eastAsia"/>
          <w:b w:val="0"/>
          <w:bCs w:val="0"/>
          <w:highlight w:val="none"/>
          <w:u w:val="none"/>
        </w:rPr>
        <w:t>。</w:t>
      </w:r>
    </w:p>
    <w:p w14:paraId="516B5D1E">
      <w:pPr>
        <w:bidi w:val="0"/>
        <w:rPr>
          <w:rFonts w:hint="eastAsia"/>
          <w:b w:val="0"/>
          <w:bCs w:val="0"/>
          <w:highlight w:val="none"/>
          <w:u w:val="none"/>
        </w:rPr>
      </w:pPr>
      <w:r>
        <w:rPr>
          <w:rFonts w:hint="eastAsia"/>
          <w:b w:val="0"/>
          <w:bCs w:val="0"/>
          <w:highlight w:val="none"/>
          <w:u w:val="single"/>
        </w:rPr>
        <w:t>规划S104货运通道，向西连接许良镇和煤炭物流组团。规划S307，中心城区在人民路向西到许良镇，在铁路北侧向东连接焦作市。规划S237向北到寨豁乡和青天河景区；规划S230，东西向穿寨豁乡；规划S310，东连焦作市，中接发展大道，西连许良镇、磨头镇</w:t>
      </w:r>
      <w:r>
        <w:rPr>
          <w:rFonts w:hint="eastAsia"/>
          <w:b w:val="0"/>
          <w:bCs w:val="0"/>
          <w:highlight w:val="none"/>
          <w:u w:val="none"/>
        </w:rPr>
        <w:t>。</w:t>
      </w:r>
    </w:p>
    <w:p w14:paraId="2EFA30AF">
      <w:pPr>
        <w:bidi w:val="0"/>
        <w:rPr>
          <w:rFonts w:hint="eastAsia"/>
          <w:b w:val="0"/>
          <w:bCs w:val="0"/>
          <w:highlight w:val="none"/>
          <w:u w:val="none"/>
          <w:lang w:val="en-US" w:eastAsia="zh-CN"/>
        </w:rPr>
      </w:pPr>
      <w:r>
        <w:rPr>
          <w:rFonts w:hint="eastAsia"/>
          <w:b w:val="0"/>
          <w:bCs w:val="0"/>
          <w:highlight w:val="none"/>
          <w:u w:val="single"/>
          <w:lang w:val="en-US" w:eastAsia="zh-CN"/>
        </w:rPr>
        <w:t>规划落实“太行天路”一号旅游公路，包括加快推进沿太行山高速焦作至济源段等项目建设，打造S230、S231等一批精品线路。加快建成以“太行天路、畅享运动”为主题的“太行天路”一号旅游公路，为旅游发展提供交通便利</w:t>
      </w:r>
      <w:r>
        <w:rPr>
          <w:rFonts w:hint="eastAsia"/>
          <w:b w:val="0"/>
          <w:bCs w:val="0"/>
          <w:highlight w:val="none"/>
          <w:u w:val="none"/>
          <w:lang w:val="en-US" w:eastAsia="zh-CN"/>
        </w:rPr>
        <w:t>。</w:t>
      </w:r>
    </w:p>
    <w:p w14:paraId="66C25970">
      <w:pPr>
        <w:bidi w:val="0"/>
        <w:rPr>
          <w:rFonts w:hint="eastAsia" w:ascii="Times New Roman" w:hAnsi="Times New Roman" w:cs="Times New Roman"/>
          <w:b w:val="0"/>
          <w:bCs w:val="0"/>
          <w:highlight w:val="none"/>
          <w:u w:val="none"/>
          <w:lang w:val="en-US" w:eastAsia="zh-CN"/>
        </w:rPr>
      </w:pPr>
      <w:r>
        <w:rPr>
          <w:rFonts w:hint="eastAsia"/>
          <w:b w:val="0"/>
          <w:bCs w:val="0"/>
          <w:highlight w:val="none"/>
          <w:u w:val="none"/>
          <w:lang w:val="en-US" w:eastAsia="zh-CN"/>
        </w:rPr>
        <w:t>道路技术等级方面：G207、G327、S235和S307按照一级公路</w:t>
      </w:r>
      <w:r>
        <w:rPr>
          <w:rFonts w:hint="eastAsia" w:ascii="Times New Roman" w:hAnsi="Times New Roman" w:cs="Times New Roman"/>
          <w:b w:val="0"/>
          <w:bCs w:val="0"/>
          <w:highlight w:val="none"/>
          <w:u w:val="none"/>
          <w:lang w:val="en-US" w:eastAsia="zh-CN"/>
        </w:rPr>
        <w:t>标准规划建设。</w:t>
      </w:r>
      <w:r>
        <w:rPr>
          <w:rFonts w:hint="eastAsia"/>
          <w:b w:val="0"/>
          <w:bCs w:val="0"/>
          <w:highlight w:val="none"/>
          <w:u w:val="none"/>
          <w:lang w:val="en-US" w:eastAsia="zh-CN"/>
        </w:rPr>
        <w:t>S104、S230、S104、S306、S308和S237等6条</w:t>
      </w:r>
      <w:r>
        <w:rPr>
          <w:rFonts w:hint="eastAsia" w:ascii="Times New Roman" w:hAnsi="Times New Roman" w:cs="Times New Roman"/>
          <w:b w:val="0"/>
          <w:bCs w:val="0"/>
          <w:highlight w:val="none"/>
          <w:u w:val="none"/>
          <w:lang w:val="en-US" w:eastAsia="zh-CN"/>
        </w:rPr>
        <w:t>省道</w:t>
      </w:r>
      <w:r>
        <w:rPr>
          <w:rFonts w:hint="eastAsia"/>
          <w:b w:val="0"/>
          <w:bCs w:val="0"/>
          <w:highlight w:val="none"/>
          <w:u w:val="none"/>
          <w:lang w:val="en-US" w:eastAsia="zh-CN"/>
        </w:rPr>
        <w:t>照二级公路</w:t>
      </w:r>
      <w:r>
        <w:rPr>
          <w:rFonts w:hint="eastAsia" w:ascii="Times New Roman" w:hAnsi="Times New Roman" w:cs="Times New Roman"/>
          <w:b w:val="0"/>
          <w:bCs w:val="0"/>
          <w:highlight w:val="none"/>
          <w:u w:val="none"/>
          <w:lang w:val="en-US" w:eastAsia="zh-CN"/>
        </w:rPr>
        <w:t>标准规划建设。</w:t>
      </w:r>
    </w:p>
    <w:p w14:paraId="2769D55F">
      <w:pPr>
        <w:bidi w:val="0"/>
        <w:outlineLvl w:val="3"/>
        <w:rPr>
          <w:rFonts w:hint="eastAsia"/>
          <w:b w:val="0"/>
          <w:bCs w:val="0"/>
          <w:highlight w:val="none"/>
        </w:rPr>
      </w:pPr>
      <w:r>
        <w:rPr>
          <w:rFonts w:hint="eastAsia"/>
          <w:b w:val="0"/>
          <w:bCs w:val="0"/>
          <w:highlight w:val="none"/>
        </w:rPr>
        <w:t>4.县乡道路</w:t>
      </w:r>
    </w:p>
    <w:p w14:paraId="7501244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提升县乡公路网通达水平与服务质量，升级改造、新增县级、乡级道路，强化乡（镇）村交通联系，切实改善普通乡村、偏远地区的出行条件。</w:t>
      </w:r>
    </w:p>
    <w:p w14:paraId="6E7F7BB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加快县道达标建设，逐步推进重要县道改造升级，持续实施县乡道危桥和村道上的危桥改造。继续推进“四好农村路”建设，大力实施农村公路安全生命防护工程，完成县乡公路安全隐患治理。建立健全保障机制，切实做到有路必养、养必到位。</w:t>
      </w:r>
    </w:p>
    <w:p w14:paraId="0677C39D">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u w:val="none"/>
          <w:lang w:val="en-US" w:eastAsia="zh-CN"/>
        </w:rPr>
      </w:pPr>
      <w:r>
        <w:rPr>
          <w:rFonts w:hint="eastAsia"/>
          <w:b w:val="0"/>
          <w:bCs w:val="0"/>
          <w:highlight w:val="none"/>
          <w:u w:val="none"/>
          <w:lang w:val="en-US" w:eastAsia="zh-CN"/>
        </w:rPr>
        <w:t>道路技术等级方面：X013（博月路西关-磨头农场）、X022下金线(下期城-党校)、X022下金线(博许线-东金城)、X024博磨线(太子庄-郑沁线)、X026博王线(大唐线-北二环-郑沁线)、X028博连线(火车站-市人民路)、X030南南线(博许线-靳家岭停车场)、X049东留线(焦张线-西碑村-博许线-乡界-北水屯)、X049东留线(博王线-东界沟)、X058黄贵线(焦克路-铁路交叉口)和X079博武线(张如集村南-武阁寨村北)等9条县道按照二级公路</w:t>
      </w:r>
      <w:r>
        <w:rPr>
          <w:rFonts w:hint="eastAsia" w:ascii="Times New Roman" w:hAnsi="Times New Roman" w:cs="Times New Roman"/>
          <w:b w:val="0"/>
          <w:bCs w:val="0"/>
          <w:highlight w:val="none"/>
          <w:u w:val="none"/>
          <w:lang w:val="en-US" w:eastAsia="zh-CN"/>
        </w:rPr>
        <w:t>标准规划建设，</w:t>
      </w:r>
      <w:r>
        <w:rPr>
          <w:rFonts w:hint="eastAsia"/>
          <w:b w:val="0"/>
          <w:bCs w:val="0"/>
          <w:highlight w:val="none"/>
          <w:u w:val="none"/>
          <w:lang w:val="en-US" w:eastAsia="zh-CN"/>
        </w:rPr>
        <w:t>乡道Y004孤中线（焦克路-市人民路）按照二级公路</w:t>
      </w:r>
      <w:r>
        <w:rPr>
          <w:rFonts w:hint="eastAsia" w:ascii="Times New Roman" w:hAnsi="Times New Roman" w:cs="Times New Roman"/>
          <w:b w:val="0"/>
          <w:bCs w:val="0"/>
          <w:highlight w:val="none"/>
          <w:u w:val="none"/>
          <w:lang w:val="en-US" w:eastAsia="zh-CN"/>
        </w:rPr>
        <w:t>标准规划建设。</w:t>
      </w:r>
    </w:p>
    <w:p w14:paraId="4CF2F39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u w:val="none"/>
          <w:lang w:val="en-US" w:eastAsia="zh-CN"/>
        </w:rPr>
      </w:pPr>
      <w:r>
        <w:rPr>
          <w:rFonts w:hint="eastAsia"/>
          <w:b w:val="0"/>
          <w:bCs w:val="0"/>
          <w:highlight w:val="none"/>
          <w:u w:val="none"/>
          <w:lang w:val="en-US" w:eastAsia="zh-CN"/>
        </w:rPr>
        <w:t>Y008黄柏线(月山寺-超限站)和Y014前前线(前莎庄-前牛庄)等两条乡道按照三级公路</w:t>
      </w:r>
      <w:r>
        <w:rPr>
          <w:rFonts w:hint="eastAsia" w:ascii="Times New Roman" w:hAnsi="Times New Roman" w:cs="Times New Roman"/>
          <w:b w:val="0"/>
          <w:bCs w:val="0"/>
          <w:highlight w:val="none"/>
          <w:u w:val="none"/>
          <w:lang w:val="en-US" w:eastAsia="zh-CN"/>
        </w:rPr>
        <w:t>标准规划建设。</w:t>
      </w:r>
    </w:p>
    <w:p w14:paraId="5C90FC95">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u w:val="none"/>
          <w:lang w:val="en-US" w:eastAsia="zh-CN"/>
        </w:rPr>
        <w:t>Y016下小线(焦克路-郑常线)、Y008南月线（谢庄-东矾厂村北）、Y004七候线(七方-候山村)和Y008黄柏线(寨豁-东矾厂)等四条乡道按照四级公路</w:t>
      </w:r>
      <w:r>
        <w:rPr>
          <w:rFonts w:hint="eastAsia" w:ascii="Times New Roman" w:hAnsi="Times New Roman" w:cs="Times New Roman"/>
          <w:b w:val="0"/>
          <w:bCs w:val="0"/>
          <w:highlight w:val="none"/>
          <w:u w:val="none"/>
          <w:lang w:val="en-US" w:eastAsia="zh-CN"/>
        </w:rPr>
        <w:t>标准规划建设。</w:t>
      </w:r>
    </w:p>
    <w:p w14:paraId="1082D766">
      <w:pPr>
        <w:keepNext w:val="0"/>
        <w:keepLines w:val="0"/>
        <w:pageBreakBefore w:val="0"/>
        <w:widowControl w:val="0"/>
        <w:kinsoku/>
        <w:wordWrap/>
        <w:overflowPunct/>
        <w:topLinePunct w:val="0"/>
        <w:autoSpaceDE/>
        <w:autoSpaceDN/>
        <w:bidi w:val="0"/>
        <w:adjustRightInd/>
        <w:snapToGrid/>
        <w:spacing w:line="576" w:lineRule="exact"/>
        <w:textAlignment w:val="auto"/>
        <w:outlineLvl w:val="3"/>
        <w:rPr>
          <w:rFonts w:hint="eastAsia"/>
          <w:b w:val="0"/>
          <w:bCs w:val="0"/>
          <w:highlight w:val="none"/>
        </w:rPr>
      </w:pPr>
      <w:r>
        <w:rPr>
          <w:rFonts w:hint="eastAsia"/>
          <w:b w:val="0"/>
          <w:bCs w:val="0"/>
          <w:highlight w:val="none"/>
        </w:rPr>
        <w:t>5.公路客运站场规划</w:t>
      </w:r>
    </w:p>
    <w:p w14:paraId="135662AA">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u w:val="none"/>
        </w:rPr>
      </w:pPr>
      <w:r>
        <w:rPr>
          <w:rFonts w:hint="eastAsia"/>
          <w:b w:val="0"/>
          <w:bCs w:val="0"/>
          <w:highlight w:val="none"/>
          <w:u w:val="single"/>
        </w:rPr>
        <w:t>中心城区规划2处公路客运站。一处位于城北焦作西站站前，规划面积0.54公顷。一座位于滨河路与玉祥路交叉口西北角，规划面积1.96公顷</w:t>
      </w:r>
      <w:r>
        <w:rPr>
          <w:rFonts w:hint="eastAsia"/>
          <w:b w:val="0"/>
          <w:bCs w:val="0"/>
          <w:highlight w:val="none"/>
          <w:u w:val="none"/>
        </w:rPr>
        <w:t>。</w:t>
      </w:r>
    </w:p>
    <w:p w14:paraId="20520840">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u w:val="none"/>
        </w:rPr>
      </w:pPr>
      <w:r>
        <w:rPr>
          <w:rFonts w:hint="eastAsia"/>
          <w:b w:val="0"/>
          <w:bCs w:val="0"/>
          <w:highlight w:val="none"/>
          <w:u w:val="single"/>
        </w:rPr>
        <w:t>各</w:t>
      </w:r>
      <w:r>
        <w:rPr>
          <w:rFonts w:hint="eastAsia"/>
          <w:b w:val="0"/>
          <w:bCs w:val="0"/>
          <w:highlight w:val="none"/>
          <w:u w:val="single"/>
          <w:lang w:eastAsia="zh-CN"/>
        </w:rPr>
        <w:t>乡（镇）</w:t>
      </w:r>
      <w:r>
        <w:rPr>
          <w:rFonts w:hint="eastAsia"/>
          <w:b w:val="0"/>
          <w:bCs w:val="0"/>
          <w:highlight w:val="none"/>
          <w:u w:val="single"/>
        </w:rPr>
        <w:t>集镇区配建客运站场一处</w:t>
      </w:r>
      <w:r>
        <w:rPr>
          <w:rFonts w:hint="eastAsia"/>
          <w:b w:val="0"/>
          <w:bCs w:val="0"/>
          <w:highlight w:val="none"/>
          <w:u w:val="none"/>
        </w:rPr>
        <w:t>。</w:t>
      </w:r>
    </w:p>
    <w:p w14:paraId="2F180973">
      <w:pPr>
        <w:keepNext w:val="0"/>
        <w:keepLines w:val="0"/>
        <w:pageBreakBefore w:val="0"/>
        <w:widowControl w:val="0"/>
        <w:kinsoku/>
        <w:wordWrap/>
        <w:overflowPunct/>
        <w:topLinePunct w:val="0"/>
        <w:autoSpaceDE/>
        <w:autoSpaceDN/>
        <w:bidi w:val="0"/>
        <w:adjustRightInd/>
        <w:snapToGrid/>
        <w:spacing w:line="576" w:lineRule="exact"/>
        <w:textAlignment w:val="auto"/>
        <w:outlineLvl w:val="3"/>
        <w:rPr>
          <w:rFonts w:hint="eastAsia"/>
          <w:b w:val="0"/>
          <w:bCs w:val="0"/>
          <w:highlight w:val="none"/>
        </w:rPr>
      </w:pPr>
      <w:r>
        <w:rPr>
          <w:rFonts w:hint="eastAsia"/>
          <w:b w:val="0"/>
          <w:bCs w:val="0"/>
          <w:highlight w:val="none"/>
        </w:rPr>
        <w:t>6.打造“快进慢游”的全域旅游交通体系</w:t>
      </w:r>
    </w:p>
    <w:p w14:paraId="013D02F1">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在焦博一体化发展思路下，规划对接郑州</w:t>
      </w:r>
      <w:r>
        <w:rPr>
          <w:rFonts w:hint="eastAsia"/>
          <w:b w:val="0"/>
          <w:bCs w:val="0"/>
          <w:highlight w:val="none"/>
          <w:lang w:val="en-US" w:eastAsia="zh-CN"/>
        </w:rPr>
        <w:t>市</w:t>
      </w:r>
      <w:r>
        <w:rPr>
          <w:rFonts w:hint="eastAsia"/>
          <w:b w:val="0"/>
          <w:bCs w:val="0"/>
          <w:highlight w:val="none"/>
        </w:rPr>
        <w:t>、洛阳</w:t>
      </w:r>
      <w:r>
        <w:rPr>
          <w:rFonts w:hint="eastAsia"/>
          <w:b w:val="0"/>
          <w:bCs w:val="0"/>
          <w:highlight w:val="none"/>
          <w:lang w:val="en-US" w:eastAsia="zh-CN"/>
        </w:rPr>
        <w:t>市</w:t>
      </w:r>
      <w:r>
        <w:rPr>
          <w:rFonts w:hint="eastAsia"/>
          <w:b w:val="0"/>
          <w:bCs w:val="0"/>
          <w:highlight w:val="none"/>
        </w:rPr>
        <w:t>、济源</w:t>
      </w:r>
      <w:r>
        <w:rPr>
          <w:rFonts w:hint="eastAsia"/>
          <w:b w:val="0"/>
          <w:bCs w:val="0"/>
          <w:highlight w:val="none"/>
          <w:lang w:val="en-US" w:eastAsia="zh-CN"/>
        </w:rPr>
        <w:t>市</w:t>
      </w:r>
      <w:r>
        <w:rPr>
          <w:rFonts w:hint="eastAsia"/>
          <w:b w:val="0"/>
          <w:bCs w:val="0"/>
          <w:highlight w:val="none"/>
        </w:rPr>
        <w:t>、林州</w:t>
      </w:r>
      <w:r>
        <w:rPr>
          <w:rFonts w:hint="eastAsia"/>
          <w:b w:val="0"/>
          <w:bCs w:val="0"/>
          <w:highlight w:val="none"/>
          <w:lang w:val="en-US" w:eastAsia="zh-CN"/>
        </w:rPr>
        <w:t>市</w:t>
      </w:r>
      <w:r>
        <w:rPr>
          <w:rFonts w:hint="eastAsia"/>
          <w:b w:val="0"/>
          <w:bCs w:val="0"/>
          <w:highlight w:val="none"/>
        </w:rPr>
        <w:t>的城际交通、市域轨道、旅游观光轨道、高速公路网建设，构建快速可达的对外旅游交通。</w:t>
      </w:r>
    </w:p>
    <w:p w14:paraId="6FF5FA0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依托焦作西站打造焦作市级二级旅游集散中心。在青天河、月山寺设置县级旅游服务中心，提升旅游客运服务水平。通过旅游公交专线和旅游公交支线串联旅游集散中心和旅游景区。</w:t>
      </w:r>
    </w:p>
    <w:p w14:paraId="1C0126E7">
      <w:pPr>
        <w:pStyle w:val="23"/>
        <w:numPr>
          <w:ilvl w:val="0"/>
          <w:numId w:val="3"/>
        </w:numPr>
        <w:bidi w:val="0"/>
        <w:ind w:left="0" w:leftChars="0" w:firstLine="612" w:firstLineChars="0"/>
        <w:outlineLvl w:val="2"/>
        <w:rPr>
          <w:rFonts w:hint="eastAsia"/>
          <w:highlight w:val="none"/>
          <w:lang w:val="en-US"/>
        </w:rPr>
      </w:pPr>
      <w:r>
        <w:rPr>
          <w:rFonts w:hint="eastAsia"/>
          <w:highlight w:val="none"/>
          <w:lang w:val="en-US"/>
        </w:rPr>
        <w:t>中心城区交通规划</w:t>
      </w:r>
      <w:bookmarkEnd w:id="237"/>
    </w:p>
    <w:p w14:paraId="70EA137B">
      <w:pPr>
        <w:bidi w:val="0"/>
        <w:outlineLvl w:val="3"/>
        <w:rPr>
          <w:rFonts w:hint="eastAsia"/>
          <w:b w:val="0"/>
          <w:bCs w:val="0"/>
          <w:highlight w:val="none"/>
        </w:rPr>
      </w:pPr>
      <w:r>
        <w:rPr>
          <w:rFonts w:hint="eastAsia"/>
          <w:b w:val="0"/>
          <w:bCs w:val="0"/>
          <w:highlight w:val="none"/>
        </w:rPr>
        <w:t>1.路网体系规划</w:t>
      </w:r>
    </w:p>
    <w:p w14:paraId="48CCF2F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中心城区构建集约高效的城市骨干交通体系，规划形成七横八纵的骨干路网。东西向7条主干路：人民路、科技路、发展大道、文化路、中山路、玉祥路、鸿昌路。南北向8条主干路：月山路、团结路、葵城路、滨河路、海华路、靳家岭路、青天河路、兴园路。</w:t>
      </w:r>
      <w:r>
        <w:rPr>
          <w:rFonts w:hint="eastAsia"/>
          <w:b w:val="0"/>
          <w:bCs w:val="0"/>
          <w:highlight w:val="none"/>
          <w:u w:val="single"/>
        </w:rPr>
        <w:t>老城区路网密度不低于8千米/平方</w:t>
      </w:r>
      <w:r>
        <w:rPr>
          <w:rFonts w:hint="eastAsia"/>
          <w:b w:val="0"/>
          <w:bCs w:val="0"/>
          <w:highlight w:val="none"/>
          <w:u w:val="single"/>
          <w:lang w:val="en-US" w:eastAsia="zh-CN"/>
        </w:rPr>
        <w:t>千米</w:t>
      </w:r>
      <w:r>
        <w:rPr>
          <w:rFonts w:hint="eastAsia"/>
          <w:b w:val="0"/>
          <w:bCs w:val="0"/>
          <w:highlight w:val="none"/>
          <w:u w:val="single"/>
        </w:rPr>
        <w:t>，新城区、开发区不低于7千米/平方</w:t>
      </w:r>
      <w:r>
        <w:rPr>
          <w:rFonts w:hint="eastAsia"/>
          <w:b w:val="0"/>
          <w:bCs w:val="0"/>
          <w:highlight w:val="none"/>
          <w:u w:val="single"/>
          <w:lang w:val="en-US" w:eastAsia="zh-CN"/>
        </w:rPr>
        <w:t>千米</w:t>
      </w:r>
      <w:r>
        <w:rPr>
          <w:rFonts w:hint="eastAsia"/>
          <w:b w:val="0"/>
          <w:bCs w:val="0"/>
          <w:highlight w:val="none"/>
        </w:rPr>
        <w:t>。通过地上地下结合增加社会停车场数量，鼓励公共交通和新能源交通。</w:t>
      </w:r>
    </w:p>
    <w:p w14:paraId="5720294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人民路红线按照76米控制，世纪大道红线按照60米控制，发展大道红线按照57米控制，兴园路红线按照56米控制，月山路、海华路、青天河路、鸿昌路红线按照55米控制，玉祥路红线按照51米控制，滨河路红线按照50米控制，文化路红线按照48米控制，靳家岭路红线按照45米控制，中山路红线按照44米控制，葵城路红线按照42米控制，和谐路、纬三路红线按照40米控制，团结路红线按照38</w:t>
      </w:r>
      <w:r>
        <w:rPr>
          <w:rFonts w:hint="eastAsia" w:ascii="仿宋_GB2312" w:hAnsi="仿宋_GB2312" w:eastAsia="仿宋_GB2312"/>
          <w:b w:val="0"/>
          <w:bCs w:val="0"/>
          <w:highlight w:val="none"/>
          <w:lang w:eastAsia="zh-CN"/>
        </w:rPr>
        <w:t>-</w:t>
      </w:r>
      <w:r>
        <w:rPr>
          <w:rFonts w:hint="eastAsia"/>
          <w:b w:val="0"/>
          <w:bCs w:val="0"/>
          <w:highlight w:val="none"/>
        </w:rPr>
        <w:t>40米控制。</w:t>
      </w:r>
    </w:p>
    <w:p w14:paraId="0879C0CB">
      <w:pPr>
        <w:bidi w:val="0"/>
        <w:outlineLvl w:val="3"/>
        <w:rPr>
          <w:rFonts w:hint="eastAsia"/>
          <w:b w:val="0"/>
          <w:bCs w:val="0"/>
          <w:highlight w:val="none"/>
        </w:rPr>
      </w:pPr>
      <w:r>
        <w:rPr>
          <w:rFonts w:hint="eastAsia"/>
          <w:b w:val="0"/>
          <w:bCs w:val="0"/>
          <w:highlight w:val="none"/>
        </w:rPr>
        <w:t>2.中心城区慢行系统规划</w:t>
      </w:r>
    </w:p>
    <w:p w14:paraId="39F62969">
      <w:pPr>
        <w:bidi w:val="0"/>
        <w:rPr>
          <w:rFonts w:hint="eastAsia"/>
          <w:b w:val="0"/>
          <w:bCs w:val="0"/>
          <w:highlight w:val="none"/>
        </w:rPr>
      </w:pPr>
      <w:r>
        <w:rPr>
          <w:rFonts w:hint="eastAsia"/>
          <w:b w:val="0"/>
          <w:bCs w:val="0"/>
          <w:highlight w:val="none"/>
        </w:rPr>
        <w:t>突出博爱城市特色，构筑与景观相适宜、与机动车发展相协调、与公共交通紧密衔接的慢行系统，有力提升交通出行环境的人性化和可持续性，构建形成“安全、便捷、生态、宜居”的城市慢行交通系统。规划组织休闲功能为主的休闲绿道系统和以交通出行功能为主的慢行交通系统。</w:t>
      </w:r>
    </w:p>
    <w:p w14:paraId="7EE262C4">
      <w:pPr>
        <w:bidi w:val="0"/>
        <w:rPr>
          <w:rFonts w:hint="eastAsia"/>
          <w:b w:val="0"/>
          <w:bCs w:val="0"/>
          <w:highlight w:val="none"/>
        </w:rPr>
      </w:pPr>
      <w:r>
        <w:rPr>
          <w:rFonts w:hint="eastAsia"/>
          <w:b w:val="0"/>
          <w:bCs w:val="0"/>
          <w:highlight w:val="none"/>
        </w:rPr>
        <w:t>规划组织休闲功能为主的休闲绿道系统。着眼于博爱县绿地的自然连通，以幸福河、人民路明渠、勒马河等生态绿脉为网络，串接城市绿心、历史文化资源，形成兼具文旅休闲和地域文化特色的休闲绿道系统。规划以交通出行功能为主的慢行交通系统。结合公交换乘枢纽完善步行通道和非机动车停车设施，形成“B+R”</w:t>
      </w:r>
      <w:r>
        <w:rPr>
          <w:rFonts w:hint="eastAsia" w:ascii="仿宋_GB2312" w:hAnsi="仿宋_GB2312" w:eastAsia="仿宋_GB2312"/>
          <w:b w:val="0"/>
          <w:bCs w:val="0"/>
          <w:highlight w:val="none"/>
          <w:lang w:eastAsia="zh-CN"/>
        </w:rPr>
        <w:t>（</w:t>
      </w:r>
      <w:r>
        <w:rPr>
          <w:rFonts w:hint="eastAsia"/>
          <w:b w:val="0"/>
          <w:bCs w:val="0"/>
          <w:highlight w:val="none"/>
        </w:rPr>
        <w:t>自行车停车换乘</w:t>
      </w:r>
      <w:r>
        <w:rPr>
          <w:rFonts w:hint="eastAsia" w:ascii="仿宋_GB2312" w:hAnsi="仿宋_GB2312" w:eastAsia="仿宋_GB2312"/>
          <w:b w:val="0"/>
          <w:bCs w:val="0"/>
          <w:highlight w:val="none"/>
          <w:lang w:eastAsia="zh-CN"/>
        </w:rPr>
        <w:t>）</w:t>
      </w:r>
      <w:r>
        <w:rPr>
          <w:rFonts w:hint="eastAsia"/>
          <w:b w:val="0"/>
          <w:bCs w:val="0"/>
          <w:highlight w:val="none"/>
        </w:rPr>
        <w:t>慢行换乘系统。结合公园、绿地、滨河等公共开敞空间，设置独立慢行通道，串联起主要开放空间节点，形成相对独立、网络化的慢行交通系统。</w:t>
      </w:r>
    </w:p>
    <w:p w14:paraId="4CEDEF91">
      <w:pPr>
        <w:bidi w:val="0"/>
        <w:outlineLvl w:val="3"/>
        <w:rPr>
          <w:rFonts w:hint="eastAsia"/>
          <w:b w:val="0"/>
          <w:bCs w:val="0"/>
          <w:highlight w:val="none"/>
        </w:rPr>
      </w:pPr>
      <w:r>
        <w:rPr>
          <w:rFonts w:hint="eastAsia"/>
          <w:b w:val="0"/>
          <w:bCs w:val="0"/>
          <w:highlight w:val="none"/>
        </w:rPr>
        <w:t>3.中心城区停车系统规划</w:t>
      </w:r>
    </w:p>
    <w:p w14:paraId="06C5174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b w:val="0"/>
          <w:bCs w:val="0"/>
          <w:highlight w:val="none"/>
        </w:rPr>
      </w:pPr>
      <w:r>
        <w:rPr>
          <w:rFonts w:hint="eastAsia"/>
          <w:b w:val="0"/>
          <w:bCs w:val="0"/>
          <w:highlight w:val="none"/>
        </w:rPr>
        <w:t>构建合理的城市停车供给结构和停车设施布局，逐步形成以配建停车为主、公共停车场为辅、路内停车为补充的区域差异化的停车供应体系，构建城市高效和谐的停车系统。积极推进停车管理的信息化、智能化，实现停车设施利用的高效化、便捷化。</w:t>
      </w:r>
    </w:p>
    <w:p w14:paraId="6E4D42D0">
      <w:pPr>
        <w:bidi w:val="0"/>
        <w:outlineLvl w:val="3"/>
        <w:rPr>
          <w:rFonts w:hint="eastAsia"/>
          <w:b w:val="0"/>
          <w:bCs w:val="0"/>
          <w:highlight w:val="none"/>
        </w:rPr>
      </w:pPr>
      <w:r>
        <w:rPr>
          <w:rFonts w:hint="eastAsia"/>
          <w:b w:val="0"/>
          <w:bCs w:val="0"/>
          <w:highlight w:val="none"/>
        </w:rPr>
        <w:t>4.中心城区公共交通规划</w:t>
      </w:r>
    </w:p>
    <w:p w14:paraId="3F059E5E">
      <w:pPr>
        <w:bidi w:val="0"/>
        <w:rPr>
          <w:rFonts w:hint="eastAsia"/>
          <w:b w:val="0"/>
          <w:bCs w:val="0"/>
          <w:highlight w:val="none"/>
        </w:rPr>
      </w:pPr>
      <w:r>
        <w:rPr>
          <w:rFonts w:hint="eastAsia"/>
          <w:b w:val="0"/>
          <w:bCs w:val="0"/>
          <w:highlight w:val="none"/>
        </w:rPr>
        <w:t>贯彻公交优先发展理念，对接焦作市区公交线网，完善城区公交线网，构筑“干线公交、普线公交、特色公交”多方式融合、城乡统筹发展的公共交通体系，确立公共交通的居民出行中的主体地位。</w:t>
      </w:r>
    </w:p>
    <w:p w14:paraId="38FF7F75">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b w:val="0"/>
          <w:bCs w:val="0"/>
          <w:highlight w:val="none"/>
        </w:rPr>
      </w:pPr>
      <w:r>
        <w:rPr>
          <w:rFonts w:hint="eastAsia"/>
          <w:b w:val="0"/>
          <w:bCs w:val="0"/>
          <w:highlight w:val="none"/>
        </w:rPr>
        <w:t>博爱县城市公交干线分为县域干线公交、城区干线公交两个层次。其中县域干线公交主要服务中心城区与</w:t>
      </w:r>
      <w:r>
        <w:rPr>
          <w:rFonts w:hint="eastAsia"/>
          <w:b w:val="0"/>
          <w:bCs w:val="0"/>
          <w:highlight w:val="none"/>
          <w:lang w:eastAsia="zh-CN"/>
        </w:rPr>
        <w:t>乡（镇）</w:t>
      </w:r>
      <w:r>
        <w:rPr>
          <w:rFonts w:hint="eastAsia"/>
          <w:b w:val="0"/>
          <w:bCs w:val="0"/>
          <w:highlight w:val="none"/>
        </w:rPr>
        <w:t>之间的快速公交联系，城区干线公交主要服务主城区内部主要居住组团与就业地之间的快速通勤出行。规划在焦作西站、滨河路与玉祥路交叉口设置公交首末站，加强焦博交通一体化联系。</w:t>
      </w:r>
    </w:p>
    <w:p w14:paraId="1EAEF575">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规划控制公交场站用地。至2035年，万人公交车拥有率12标台，车辆规模不少于1800辆标，场站设施用地按照200平方米/标台控制，用地规模36公顷。在人口较集中的居住区以及城市边缘区域设置公交首末站，每2</w:t>
      </w:r>
      <w:r>
        <w:rPr>
          <w:rFonts w:hint="eastAsia" w:ascii="仿宋_GB2312" w:hAnsi="仿宋_GB2312" w:eastAsia="仿宋_GB2312"/>
          <w:b w:val="0"/>
          <w:bCs w:val="0"/>
          <w:highlight w:val="none"/>
          <w:lang w:eastAsia="zh-CN"/>
        </w:rPr>
        <w:t>-</w:t>
      </w:r>
      <w:r>
        <w:rPr>
          <w:rFonts w:hint="eastAsia"/>
          <w:b w:val="0"/>
          <w:bCs w:val="0"/>
          <w:highlight w:val="none"/>
        </w:rPr>
        <w:t>3万人的居住区或居住小区内设置1</w:t>
      </w:r>
      <w:r>
        <w:rPr>
          <w:rFonts w:hint="eastAsia" w:ascii="仿宋_GB2312" w:hAnsi="仿宋_GB2312" w:eastAsia="仿宋_GB2312"/>
          <w:b w:val="0"/>
          <w:bCs w:val="0"/>
          <w:highlight w:val="none"/>
          <w:lang w:eastAsia="zh-CN"/>
        </w:rPr>
        <w:t>-</w:t>
      </w:r>
      <w:r>
        <w:rPr>
          <w:rFonts w:hint="eastAsia"/>
          <w:b w:val="0"/>
          <w:bCs w:val="0"/>
          <w:highlight w:val="none"/>
        </w:rPr>
        <w:t>2个首末站，每个站的用地面积宜在1000</w:t>
      </w:r>
      <w:r>
        <w:rPr>
          <w:rFonts w:hint="eastAsia" w:ascii="仿宋_GB2312" w:hAnsi="仿宋_GB2312" w:eastAsia="仿宋_GB2312"/>
          <w:b w:val="0"/>
          <w:bCs w:val="0"/>
          <w:highlight w:val="none"/>
          <w:lang w:eastAsia="zh-CN"/>
        </w:rPr>
        <w:t>-</w:t>
      </w:r>
      <w:r>
        <w:rPr>
          <w:rFonts w:hint="eastAsia"/>
          <w:b w:val="0"/>
          <w:bCs w:val="0"/>
          <w:highlight w:val="none"/>
        </w:rPr>
        <w:t>1500平方米。</w:t>
      </w:r>
    </w:p>
    <w:p w14:paraId="2A3DC55E">
      <w:pPr>
        <w:bidi w:val="0"/>
        <w:rPr>
          <w:rFonts w:hint="eastAsia"/>
          <w:b w:val="0"/>
          <w:bCs w:val="0"/>
          <w:highlight w:val="none"/>
        </w:rPr>
      </w:pPr>
      <w:r>
        <w:rPr>
          <w:rFonts w:hint="eastAsia"/>
          <w:b w:val="0"/>
          <w:bCs w:val="0"/>
          <w:highlight w:val="none"/>
        </w:rPr>
        <w:t>提升公交服务能力。至2035年，城市公共交通站点500米半径覆盖率70%。</w:t>
      </w:r>
    </w:p>
    <w:p w14:paraId="6A529FA6">
      <w:pPr>
        <w:bidi w:val="0"/>
        <w:rPr>
          <w:rFonts w:hint="eastAsia"/>
          <w:b w:val="0"/>
          <w:bCs w:val="0"/>
          <w:highlight w:val="none"/>
        </w:rPr>
      </w:pPr>
      <w:r>
        <w:rPr>
          <w:rFonts w:hint="eastAsia"/>
          <w:b w:val="0"/>
          <w:bCs w:val="0"/>
          <w:highlight w:val="none"/>
        </w:rPr>
        <w:t>规划县域公交干线走廊依托S104、S307、S237、S230、S310等国省道干线公路布设，以中心城区为核心向外直达焦作市中心城区和周边</w:t>
      </w:r>
      <w:r>
        <w:rPr>
          <w:rFonts w:hint="eastAsia"/>
          <w:b w:val="0"/>
          <w:bCs w:val="0"/>
          <w:highlight w:val="none"/>
          <w:lang w:eastAsia="zh-CN"/>
        </w:rPr>
        <w:t>乡（镇）</w:t>
      </w:r>
      <w:r>
        <w:rPr>
          <w:rFonts w:hint="eastAsia"/>
          <w:b w:val="0"/>
          <w:bCs w:val="0"/>
          <w:highlight w:val="none"/>
        </w:rPr>
        <w:t>。中心城区公交干线走廊依托人民路、滨河路、葵城路、鸿昌路、月山路等主要干道进行布设。</w:t>
      </w:r>
    </w:p>
    <w:p w14:paraId="738D8303">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238" w:name="_Toc26690"/>
      <w:bookmarkStart w:id="239" w:name="_Toc5241"/>
      <w:r>
        <w:rPr>
          <w:rFonts w:hint="eastAsia" w:cs="Times New Roman"/>
          <w:highlight w:val="none"/>
        </w:rPr>
        <w:t>能源水利及市政基础设施</w:t>
      </w:r>
      <w:bookmarkEnd w:id="238"/>
      <w:bookmarkEnd w:id="239"/>
    </w:p>
    <w:p w14:paraId="77AF6D8C">
      <w:pPr>
        <w:pStyle w:val="23"/>
        <w:keepNext w:val="0"/>
        <w:keepLines w:val="0"/>
        <w:pageBreakBefore w:val="0"/>
        <w:widowControl w:val="0"/>
        <w:numPr>
          <w:ilvl w:val="0"/>
          <w:numId w:val="3"/>
        </w:numPr>
        <w:kinsoku/>
        <w:wordWrap/>
        <w:overflowPunct/>
        <w:topLinePunct w:val="0"/>
        <w:autoSpaceDE/>
        <w:autoSpaceDN/>
        <w:bidi w:val="0"/>
        <w:adjustRightInd/>
        <w:snapToGrid/>
        <w:ind w:left="0" w:leftChars="0" w:firstLine="612" w:firstLineChars="0"/>
        <w:textAlignment w:val="auto"/>
        <w:outlineLvl w:val="2"/>
        <w:rPr>
          <w:rFonts w:hint="eastAsia"/>
          <w:highlight w:val="none"/>
          <w:lang w:val="en-US"/>
        </w:rPr>
      </w:pPr>
      <w:bookmarkStart w:id="240" w:name="_Toc31639"/>
      <w:r>
        <w:rPr>
          <w:rFonts w:hint="eastAsia"/>
          <w:highlight w:val="none"/>
          <w:lang w:val="en-US"/>
        </w:rPr>
        <w:t>供水设施</w:t>
      </w:r>
      <w:bookmarkEnd w:id="240"/>
    </w:p>
    <w:p w14:paraId="34688D9B">
      <w:pPr>
        <w:bidi w:val="0"/>
        <w:outlineLvl w:val="3"/>
        <w:rPr>
          <w:rFonts w:hint="eastAsia"/>
          <w:b w:val="0"/>
          <w:bCs w:val="0"/>
          <w:highlight w:val="none"/>
        </w:rPr>
      </w:pPr>
      <w:r>
        <w:rPr>
          <w:rFonts w:hint="eastAsia"/>
          <w:b w:val="0"/>
          <w:bCs w:val="0"/>
          <w:highlight w:val="none"/>
        </w:rPr>
        <w:t>1.给水规划目标</w:t>
      </w:r>
    </w:p>
    <w:p w14:paraId="7F80CDB9">
      <w:pPr>
        <w:bidi w:val="0"/>
        <w:rPr>
          <w:rFonts w:hint="eastAsia"/>
          <w:b w:val="0"/>
          <w:bCs w:val="0"/>
          <w:highlight w:val="none"/>
        </w:rPr>
      </w:pPr>
      <w:r>
        <w:rPr>
          <w:rFonts w:hint="eastAsia"/>
          <w:b w:val="0"/>
          <w:bCs w:val="0"/>
          <w:highlight w:val="none"/>
        </w:rPr>
        <w:t>博爱县区域水资源实现统一调配与管理，合理利用水资源，优水优用，保证城镇供水，实现城乡供水一体化。建成城镇集中统一供水水厂，同步建设输配水管网，规划至2035年，县城、城镇、农村自来水普及率、水质达标率均达100％。</w:t>
      </w:r>
    </w:p>
    <w:p w14:paraId="3A9BC7D8">
      <w:pPr>
        <w:bidi w:val="0"/>
        <w:rPr>
          <w:rFonts w:hint="eastAsia"/>
          <w:b w:val="0"/>
          <w:bCs w:val="0"/>
          <w:highlight w:val="none"/>
        </w:rPr>
      </w:pPr>
      <w:r>
        <w:rPr>
          <w:rFonts w:hint="eastAsia"/>
          <w:b w:val="0"/>
          <w:bCs w:val="0"/>
          <w:highlight w:val="none"/>
        </w:rPr>
        <w:t>完善供水管网敷设，提升管网密度，实现主干供水管网互联互通，提高应急保障能力，结合城市更新等行动同步优化供水管网降低管网漏损。</w:t>
      </w:r>
    </w:p>
    <w:p w14:paraId="2CFC3AD8">
      <w:pPr>
        <w:bidi w:val="0"/>
        <w:outlineLvl w:val="3"/>
        <w:rPr>
          <w:rFonts w:hint="eastAsia"/>
          <w:b w:val="0"/>
          <w:bCs w:val="0"/>
          <w:highlight w:val="none"/>
        </w:rPr>
      </w:pPr>
      <w:r>
        <w:rPr>
          <w:rFonts w:hint="eastAsia"/>
          <w:b w:val="0"/>
          <w:bCs w:val="0"/>
          <w:highlight w:val="none"/>
        </w:rPr>
        <w:t>2.城乡综合用水量预测</w:t>
      </w:r>
    </w:p>
    <w:p w14:paraId="2A0DD4D5">
      <w:pPr>
        <w:bidi w:val="0"/>
        <w:rPr>
          <w:rFonts w:hint="eastAsia"/>
          <w:b w:val="0"/>
          <w:bCs w:val="0"/>
          <w:highlight w:val="none"/>
        </w:rPr>
      </w:pPr>
      <w:r>
        <w:rPr>
          <w:rFonts w:hint="eastAsia"/>
          <w:b w:val="0"/>
          <w:bCs w:val="0"/>
          <w:highlight w:val="none"/>
        </w:rPr>
        <w:t>结合《城市给水工程规划规范GB50282</w:t>
      </w:r>
      <w:r>
        <w:rPr>
          <w:rFonts w:hint="eastAsia" w:ascii="仿宋_GB2312" w:hAnsi="仿宋_GB2312" w:eastAsia="仿宋_GB2312"/>
          <w:b w:val="0"/>
          <w:bCs w:val="0"/>
          <w:highlight w:val="none"/>
          <w:lang w:eastAsia="zh-CN"/>
        </w:rPr>
        <w:t>-</w:t>
      </w:r>
      <w:r>
        <w:rPr>
          <w:rFonts w:hint="eastAsia"/>
          <w:b w:val="0"/>
          <w:bCs w:val="0"/>
          <w:highlight w:val="none"/>
        </w:rPr>
        <w:t>2016》，预测城乡综合生活用水量约为8万吨。</w:t>
      </w:r>
    </w:p>
    <w:p w14:paraId="5116EF4D">
      <w:pPr>
        <w:bidi w:val="0"/>
        <w:outlineLvl w:val="3"/>
        <w:rPr>
          <w:rFonts w:hint="eastAsia"/>
          <w:b w:val="0"/>
          <w:bCs w:val="0"/>
          <w:highlight w:val="none"/>
        </w:rPr>
      </w:pPr>
      <w:r>
        <w:rPr>
          <w:rFonts w:hint="eastAsia"/>
          <w:b w:val="0"/>
          <w:bCs w:val="0"/>
          <w:highlight w:val="none"/>
        </w:rPr>
        <w:t>3.水源选择</w:t>
      </w:r>
    </w:p>
    <w:p w14:paraId="56A9B42B">
      <w:pPr>
        <w:bidi w:val="0"/>
        <w:rPr>
          <w:rFonts w:hint="eastAsia"/>
          <w:b w:val="0"/>
          <w:bCs w:val="0"/>
          <w:highlight w:val="none"/>
        </w:rPr>
      </w:pPr>
      <w:r>
        <w:rPr>
          <w:rFonts w:hint="eastAsia"/>
          <w:b w:val="0"/>
          <w:bCs w:val="0"/>
          <w:highlight w:val="none"/>
        </w:rPr>
        <w:t>规划博爱县水源为引丹河水、南水北调水和地下水，形成以丹河地表水为骨干、南水北调水为重要组成和地下水为备用保证的供水体系。</w:t>
      </w:r>
    </w:p>
    <w:p w14:paraId="1E92FC53">
      <w:pPr>
        <w:bidi w:val="0"/>
        <w:outlineLvl w:val="3"/>
        <w:rPr>
          <w:rFonts w:hint="eastAsia"/>
          <w:b w:val="0"/>
          <w:bCs w:val="0"/>
          <w:highlight w:val="none"/>
        </w:rPr>
      </w:pPr>
      <w:r>
        <w:rPr>
          <w:rFonts w:hint="eastAsia"/>
          <w:b w:val="0"/>
          <w:bCs w:val="0"/>
          <w:highlight w:val="none"/>
        </w:rPr>
        <w:t>4.城乡供水设施规划</w:t>
      </w:r>
    </w:p>
    <w:p w14:paraId="39F5BD94">
      <w:pPr>
        <w:keepNext w:val="0"/>
        <w:keepLines w:val="0"/>
        <w:pageBreakBefore w:val="0"/>
        <w:widowControl w:val="0"/>
        <w:kinsoku/>
        <w:wordWrap/>
        <w:overflowPunct/>
        <w:topLinePunct w:val="0"/>
        <w:autoSpaceDE/>
        <w:autoSpaceDN/>
        <w:bidi w:val="0"/>
        <w:adjustRightInd/>
        <w:snapToGrid/>
        <w:spacing w:line="560" w:lineRule="atLeast"/>
        <w:textAlignment w:val="auto"/>
        <w:rPr>
          <w:rFonts w:hint="eastAsia"/>
          <w:b w:val="0"/>
          <w:bCs w:val="0"/>
          <w:highlight w:val="none"/>
        </w:rPr>
      </w:pPr>
      <w:r>
        <w:rPr>
          <w:rFonts w:hint="eastAsia"/>
          <w:b w:val="0"/>
          <w:bCs w:val="0"/>
          <w:highlight w:val="none"/>
        </w:rPr>
        <w:t>按照全县自然条件、地形地貌、人口分布、水资源配置状况等综合因素，按区域统筹、集约节约、共建共享（城乡供水一体化发展）的原则，布局供水设施，达到规划期末集中供水全覆盖。</w:t>
      </w:r>
    </w:p>
    <w:p w14:paraId="5130F568">
      <w:pPr>
        <w:keepNext w:val="0"/>
        <w:keepLines w:val="0"/>
        <w:pageBreakBefore w:val="0"/>
        <w:widowControl w:val="0"/>
        <w:kinsoku/>
        <w:wordWrap/>
        <w:overflowPunct/>
        <w:topLinePunct w:val="0"/>
        <w:autoSpaceDE/>
        <w:autoSpaceDN/>
        <w:bidi w:val="0"/>
        <w:adjustRightInd/>
        <w:snapToGrid/>
        <w:spacing w:line="560" w:lineRule="atLeast"/>
        <w:textAlignment w:val="auto"/>
        <w:rPr>
          <w:rFonts w:hint="eastAsia"/>
          <w:b w:val="0"/>
          <w:bCs w:val="0"/>
          <w:highlight w:val="none"/>
          <w:u w:val="none"/>
        </w:rPr>
      </w:pPr>
      <w:r>
        <w:rPr>
          <w:rFonts w:hint="eastAsia"/>
          <w:b w:val="0"/>
          <w:bCs w:val="0"/>
          <w:highlight w:val="none"/>
          <w:u w:val="single"/>
        </w:rPr>
        <w:t>中心城区布置自来水厂3座和应急水厂一座</w:t>
      </w:r>
      <w:r>
        <w:rPr>
          <w:rFonts w:hint="eastAsia"/>
          <w:b w:val="0"/>
          <w:bCs w:val="0"/>
          <w:highlight w:val="none"/>
          <w:u w:val="none"/>
        </w:rPr>
        <w:t>。</w:t>
      </w:r>
    </w:p>
    <w:p w14:paraId="4AE47F22">
      <w:pPr>
        <w:keepNext w:val="0"/>
        <w:keepLines w:val="0"/>
        <w:pageBreakBefore w:val="0"/>
        <w:widowControl w:val="0"/>
        <w:kinsoku/>
        <w:wordWrap/>
        <w:overflowPunct/>
        <w:topLinePunct w:val="0"/>
        <w:autoSpaceDE/>
        <w:autoSpaceDN/>
        <w:bidi w:val="0"/>
        <w:adjustRightInd/>
        <w:snapToGrid/>
        <w:spacing w:line="560" w:lineRule="atLeast"/>
        <w:textAlignment w:val="auto"/>
        <w:rPr>
          <w:rFonts w:hint="eastAsia"/>
          <w:b w:val="0"/>
          <w:bCs w:val="0"/>
          <w:highlight w:val="none"/>
          <w:u w:val="none"/>
        </w:rPr>
      </w:pPr>
      <w:r>
        <w:rPr>
          <w:rFonts w:hint="eastAsia"/>
          <w:b w:val="0"/>
          <w:bCs w:val="0"/>
          <w:highlight w:val="none"/>
          <w:u w:val="single"/>
        </w:rPr>
        <w:t>保留利用现状一水厂，占地0.67公顷，位于中心城区西北部许良镇九府庄村北半山腰平台上。以引丹河水为主要水源，供水规模仍为3.0万吨/日</w:t>
      </w:r>
      <w:r>
        <w:rPr>
          <w:rFonts w:hint="eastAsia"/>
          <w:b w:val="0"/>
          <w:bCs w:val="0"/>
          <w:highlight w:val="none"/>
          <w:u w:val="none"/>
        </w:rPr>
        <w:t>。</w:t>
      </w:r>
    </w:p>
    <w:p w14:paraId="1D4D3587">
      <w:pPr>
        <w:keepNext w:val="0"/>
        <w:keepLines w:val="0"/>
        <w:pageBreakBefore w:val="0"/>
        <w:widowControl w:val="0"/>
        <w:kinsoku/>
        <w:wordWrap/>
        <w:overflowPunct/>
        <w:topLinePunct w:val="0"/>
        <w:autoSpaceDE/>
        <w:autoSpaceDN/>
        <w:bidi w:val="0"/>
        <w:adjustRightInd/>
        <w:snapToGrid/>
        <w:spacing w:line="560" w:lineRule="atLeast"/>
        <w:textAlignment w:val="auto"/>
        <w:rPr>
          <w:rFonts w:hint="eastAsia"/>
          <w:b w:val="0"/>
          <w:bCs w:val="0"/>
          <w:highlight w:val="none"/>
          <w:u w:val="none"/>
        </w:rPr>
      </w:pPr>
      <w:r>
        <w:rPr>
          <w:rFonts w:hint="eastAsia"/>
          <w:b w:val="0"/>
          <w:bCs w:val="0"/>
          <w:highlight w:val="none"/>
          <w:u w:val="single"/>
        </w:rPr>
        <w:t>规划开通二水厂，占地4.28公顷，位于中心城区西北部月山镇上庄村北半山腰平台上。以引丹河水为主要水源，规模为5.0万吨/日。供水覆盖许良镇和磨头镇</w:t>
      </w:r>
      <w:r>
        <w:rPr>
          <w:rFonts w:hint="eastAsia"/>
          <w:b w:val="0"/>
          <w:bCs w:val="0"/>
          <w:highlight w:val="none"/>
          <w:u w:val="none"/>
        </w:rPr>
        <w:t>。</w:t>
      </w:r>
    </w:p>
    <w:p w14:paraId="25A3038C">
      <w:pPr>
        <w:keepNext w:val="0"/>
        <w:keepLines w:val="0"/>
        <w:pageBreakBefore w:val="0"/>
        <w:widowControl w:val="0"/>
        <w:kinsoku/>
        <w:wordWrap/>
        <w:overflowPunct/>
        <w:topLinePunct w:val="0"/>
        <w:autoSpaceDE/>
        <w:autoSpaceDN/>
        <w:bidi w:val="0"/>
        <w:adjustRightInd/>
        <w:snapToGrid/>
        <w:spacing w:line="560" w:lineRule="atLeast"/>
        <w:textAlignment w:val="auto"/>
        <w:rPr>
          <w:rFonts w:hint="eastAsia"/>
          <w:b w:val="0"/>
          <w:bCs w:val="0"/>
          <w:highlight w:val="none"/>
          <w:u w:val="none"/>
        </w:rPr>
      </w:pPr>
      <w:r>
        <w:rPr>
          <w:rFonts w:hint="eastAsia"/>
          <w:b w:val="0"/>
          <w:bCs w:val="0"/>
          <w:highlight w:val="none"/>
          <w:u w:val="single"/>
        </w:rPr>
        <w:t>规划保留南水北调水厂，占地3.79公顷，位于规划柏山路与科技路东北角。以南水北调水为主要水源，现状规模4.0万吨/日。供水覆盖中心城区、月山镇和柏山镇</w:t>
      </w:r>
      <w:r>
        <w:rPr>
          <w:rFonts w:hint="eastAsia"/>
          <w:b w:val="0"/>
          <w:bCs w:val="0"/>
          <w:highlight w:val="none"/>
          <w:u w:val="none"/>
        </w:rPr>
        <w:t>。</w:t>
      </w:r>
    </w:p>
    <w:p w14:paraId="6DEDB20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u w:val="single"/>
        </w:rPr>
        <w:t>城区地下应急水厂，位于中心城区西北部，规划应急水源三处，5口深水井。供水能力约为1万吨/日</w:t>
      </w:r>
      <w:r>
        <w:rPr>
          <w:rFonts w:hint="eastAsia"/>
          <w:b w:val="0"/>
          <w:bCs w:val="0"/>
          <w:highlight w:val="none"/>
        </w:rPr>
        <w:t>。</w:t>
      </w:r>
    </w:p>
    <w:p w14:paraId="7E924CB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金城乡、寨豁乡规划设置集中供水厂一座。各</w:t>
      </w:r>
      <w:r>
        <w:rPr>
          <w:rFonts w:hint="eastAsia"/>
          <w:b w:val="0"/>
          <w:bCs w:val="0"/>
          <w:highlight w:val="none"/>
          <w:lang w:eastAsia="zh-CN"/>
        </w:rPr>
        <w:t>乡（镇）</w:t>
      </w:r>
      <w:r>
        <w:rPr>
          <w:rFonts w:hint="eastAsia"/>
          <w:b w:val="0"/>
          <w:bCs w:val="0"/>
          <w:highlight w:val="none"/>
        </w:rPr>
        <w:t>及新型社区均采取城镇管网方式。</w:t>
      </w:r>
    </w:p>
    <w:p w14:paraId="48C61670">
      <w:pPr>
        <w:keepNext w:val="0"/>
        <w:keepLines w:val="0"/>
        <w:pageBreakBefore w:val="0"/>
        <w:widowControl w:val="0"/>
        <w:kinsoku/>
        <w:wordWrap/>
        <w:overflowPunct/>
        <w:topLinePunct w:val="0"/>
        <w:autoSpaceDE/>
        <w:autoSpaceDN/>
        <w:bidi w:val="0"/>
        <w:adjustRightInd/>
        <w:snapToGrid/>
        <w:spacing w:line="560" w:lineRule="exact"/>
        <w:textAlignment w:val="auto"/>
        <w:outlineLvl w:val="3"/>
        <w:rPr>
          <w:rFonts w:hint="eastAsia"/>
          <w:b w:val="0"/>
          <w:bCs w:val="0"/>
          <w:highlight w:val="none"/>
        </w:rPr>
      </w:pPr>
      <w:r>
        <w:rPr>
          <w:rFonts w:hint="eastAsia"/>
          <w:b w:val="0"/>
          <w:bCs w:val="0"/>
          <w:highlight w:val="none"/>
        </w:rPr>
        <w:t>5.水源保护规划</w:t>
      </w:r>
    </w:p>
    <w:p w14:paraId="322719F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根据《饮用水水源保护区划分技术规范（HJ/T338</w:t>
      </w:r>
      <w:r>
        <w:rPr>
          <w:rFonts w:hint="eastAsia" w:ascii="仿宋_GB2312" w:hAnsi="仿宋_GB2312" w:eastAsia="仿宋_GB2312"/>
          <w:b w:val="0"/>
          <w:bCs w:val="0"/>
          <w:highlight w:val="none"/>
          <w:lang w:eastAsia="zh-CN"/>
        </w:rPr>
        <w:t>-</w:t>
      </w:r>
      <w:r>
        <w:rPr>
          <w:rFonts w:hint="eastAsia"/>
          <w:b w:val="0"/>
          <w:bCs w:val="0"/>
          <w:highlight w:val="none"/>
        </w:rPr>
        <w:t>2007）》，划分各饮用水源地一级保护区、二级保护区及准保护区的范围。各级饮用水源保护区分别执行国家《饮用水源保护区污染防治管理规定》的标准。</w:t>
      </w:r>
    </w:p>
    <w:p w14:paraId="4A40DD3B">
      <w:pPr>
        <w:pStyle w:val="23"/>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12" w:firstLineChars="0"/>
        <w:textAlignment w:val="auto"/>
        <w:outlineLvl w:val="2"/>
        <w:rPr>
          <w:rFonts w:hint="eastAsia"/>
          <w:highlight w:val="none"/>
          <w:lang w:val="en-US"/>
        </w:rPr>
      </w:pPr>
      <w:bookmarkStart w:id="241" w:name="_Toc9095"/>
      <w:r>
        <w:rPr>
          <w:rFonts w:hint="eastAsia"/>
          <w:highlight w:val="none"/>
          <w:lang w:val="en-US"/>
        </w:rPr>
        <w:t>排水设施</w:t>
      </w:r>
      <w:bookmarkEnd w:id="241"/>
    </w:p>
    <w:p w14:paraId="6E93F150">
      <w:pPr>
        <w:keepNext w:val="0"/>
        <w:keepLines w:val="0"/>
        <w:pageBreakBefore w:val="0"/>
        <w:widowControl w:val="0"/>
        <w:kinsoku/>
        <w:wordWrap/>
        <w:overflowPunct/>
        <w:topLinePunct w:val="0"/>
        <w:autoSpaceDE/>
        <w:autoSpaceDN/>
        <w:bidi w:val="0"/>
        <w:adjustRightInd/>
        <w:snapToGrid/>
        <w:spacing w:line="560" w:lineRule="exact"/>
        <w:textAlignment w:val="auto"/>
        <w:outlineLvl w:val="3"/>
        <w:rPr>
          <w:rFonts w:hint="eastAsia"/>
          <w:b w:val="0"/>
          <w:bCs w:val="0"/>
          <w:highlight w:val="none"/>
        </w:rPr>
      </w:pPr>
      <w:r>
        <w:rPr>
          <w:rFonts w:hint="eastAsia"/>
          <w:b w:val="0"/>
          <w:bCs w:val="0"/>
          <w:highlight w:val="none"/>
        </w:rPr>
        <w:t>1.县域排污目标</w:t>
      </w:r>
    </w:p>
    <w:p w14:paraId="28CB8C8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至规划期末形成雨污分流的排水体制，城乡雨污管网全面建成，城区达到地表水准IV类标准，城区再生水利用率达到30%以上；镇区达到一级A排放标准，农村污水处理得到全面提升，水体得到有效保护，水环境质量明显提高。</w:t>
      </w:r>
    </w:p>
    <w:p w14:paraId="18D5B099">
      <w:pPr>
        <w:keepNext w:val="0"/>
        <w:keepLines w:val="0"/>
        <w:pageBreakBefore w:val="0"/>
        <w:widowControl w:val="0"/>
        <w:kinsoku/>
        <w:wordWrap/>
        <w:overflowPunct/>
        <w:topLinePunct w:val="0"/>
        <w:autoSpaceDE/>
        <w:autoSpaceDN/>
        <w:bidi w:val="0"/>
        <w:adjustRightInd/>
        <w:snapToGrid/>
        <w:spacing w:line="560" w:lineRule="exact"/>
        <w:textAlignment w:val="auto"/>
        <w:outlineLvl w:val="3"/>
        <w:rPr>
          <w:rFonts w:hint="eastAsia"/>
          <w:b w:val="0"/>
          <w:bCs w:val="0"/>
          <w:highlight w:val="none"/>
        </w:rPr>
      </w:pPr>
      <w:r>
        <w:rPr>
          <w:rFonts w:hint="eastAsia"/>
          <w:b w:val="0"/>
          <w:bCs w:val="0"/>
          <w:highlight w:val="none"/>
        </w:rPr>
        <w:t>2.县域排污量预测</w:t>
      </w:r>
    </w:p>
    <w:p w14:paraId="2DA55E9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根据城乡综合生活用水量预测，结合《城市排水工程规划规范B50318</w:t>
      </w:r>
      <w:r>
        <w:rPr>
          <w:rFonts w:hint="eastAsia" w:ascii="仿宋_GB2312" w:hAnsi="仿宋_GB2312" w:eastAsia="仿宋_GB2312"/>
          <w:b w:val="0"/>
          <w:bCs w:val="0"/>
          <w:highlight w:val="none"/>
          <w:lang w:eastAsia="zh-CN"/>
        </w:rPr>
        <w:t>-</w:t>
      </w:r>
      <w:r>
        <w:rPr>
          <w:rFonts w:hint="eastAsia"/>
          <w:b w:val="0"/>
          <w:bCs w:val="0"/>
          <w:highlight w:val="none"/>
        </w:rPr>
        <w:t>2017》城乡综合生活污水排放系数按0.9取值，城乡综合生活污水收集率按90%取值；按照单位工业用地面积计算法进行工业用水量预测，结合《城市排水工程规划规范GB50318</w:t>
      </w:r>
      <w:r>
        <w:rPr>
          <w:rFonts w:hint="eastAsia" w:ascii="仿宋_GB2312" w:hAnsi="仿宋_GB2312" w:eastAsia="仿宋_GB2312"/>
          <w:b w:val="0"/>
          <w:bCs w:val="0"/>
          <w:highlight w:val="none"/>
          <w:lang w:eastAsia="zh-CN"/>
        </w:rPr>
        <w:t>-</w:t>
      </w:r>
      <w:r>
        <w:rPr>
          <w:rFonts w:hint="eastAsia"/>
          <w:b w:val="0"/>
          <w:bCs w:val="0"/>
          <w:highlight w:val="none"/>
        </w:rPr>
        <w:t>2017》工业污水排放系数按0.8取值，污水收集率按85%取值。则城乡综合生活污水量约7万吨/日。</w:t>
      </w:r>
    </w:p>
    <w:p w14:paraId="72FEAEFB">
      <w:pPr>
        <w:keepNext w:val="0"/>
        <w:keepLines w:val="0"/>
        <w:pageBreakBefore w:val="0"/>
        <w:widowControl w:val="0"/>
        <w:kinsoku/>
        <w:wordWrap/>
        <w:overflowPunct/>
        <w:topLinePunct w:val="0"/>
        <w:autoSpaceDE/>
        <w:autoSpaceDN/>
        <w:bidi w:val="0"/>
        <w:adjustRightInd/>
        <w:snapToGrid/>
        <w:spacing w:line="540" w:lineRule="exact"/>
        <w:textAlignment w:val="auto"/>
        <w:outlineLvl w:val="3"/>
        <w:rPr>
          <w:rFonts w:hint="eastAsia"/>
          <w:b w:val="0"/>
          <w:bCs w:val="0"/>
          <w:highlight w:val="none"/>
        </w:rPr>
      </w:pPr>
      <w:r>
        <w:rPr>
          <w:rFonts w:hint="eastAsia"/>
          <w:b w:val="0"/>
          <w:bCs w:val="0"/>
          <w:highlight w:val="none"/>
        </w:rPr>
        <w:t>3.</w:t>
      </w:r>
      <w:r>
        <w:rPr>
          <w:rFonts w:hint="eastAsia"/>
          <w:b w:val="0"/>
          <w:bCs w:val="0"/>
          <w:highlight w:val="none"/>
          <w:lang w:val="en-GB"/>
        </w:rPr>
        <w:t>城乡污水处理设施规划</w:t>
      </w:r>
    </w:p>
    <w:p w14:paraId="203B148B">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u w:val="single"/>
        </w:rPr>
        <w:t>保留现状两座污水处理厂，保留现状第二污水处理厂4万吨/日，保留现状污水处理厂5万吨/日，规划结合中心城区第一污水处理厂，规划布局第一再生水厂，再生水厂与污水处理厂合建。工业污水应先由工业企业自行处理达标后再排入污水管道，收集至工业污水处理厂进行统一处理</w:t>
      </w:r>
      <w:r>
        <w:rPr>
          <w:rFonts w:hint="eastAsia"/>
          <w:b w:val="0"/>
          <w:bCs w:val="0"/>
          <w:highlight w:val="none"/>
        </w:rPr>
        <w:t>。</w:t>
      </w:r>
    </w:p>
    <w:p w14:paraId="005ADF05">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lang w:eastAsia="zh-CN"/>
        </w:rPr>
      </w:pPr>
      <w:r>
        <w:rPr>
          <w:rFonts w:hint="eastAsia"/>
          <w:b w:val="0"/>
          <w:bCs w:val="0"/>
          <w:highlight w:val="none"/>
        </w:rPr>
        <w:t>城市污泥</w:t>
      </w:r>
      <w:r>
        <w:rPr>
          <w:rFonts w:hint="eastAsia"/>
          <w:b w:val="0"/>
          <w:bCs w:val="0"/>
          <w:highlight w:val="none"/>
          <w:lang w:eastAsia="zh-CN"/>
        </w:rPr>
        <w:t>实施减量化、稳定化、无害化、资源化的处理方式，城乡</w:t>
      </w:r>
      <w:r>
        <w:rPr>
          <w:rFonts w:hint="eastAsia"/>
          <w:b w:val="0"/>
          <w:bCs w:val="0"/>
          <w:highlight w:val="none"/>
        </w:rPr>
        <w:t>建设一体化污水处理</w:t>
      </w:r>
      <w:r>
        <w:rPr>
          <w:rFonts w:hint="eastAsia"/>
          <w:b w:val="0"/>
          <w:bCs w:val="0"/>
          <w:highlight w:val="none"/>
          <w:lang w:eastAsia="zh-CN"/>
        </w:rPr>
        <w:t>设施</w:t>
      </w:r>
      <w:r>
        <w:rPr>
          <w:rFonts w:hint="eastAsia"/>
          <w:b w:val="0"/>
          <w:bCs w:val="0"/>
          <w:highlight w:val="none"/>
        </w:rPr>
        <w:t>，</w:t>
      </w:r>
      <w:r>
        <w:rPr>
          <w:rFonts w:hint="eastAsia"/>
          <w:b w:val="0"/>
          <w:bCs w:val="0"/>
          <w:highlight w:val="none"/>
          <w:lang w:eastAsia="zh-CN"/>
        </w:rPr>
        <w:t>不具备条件的</w:t>
      </w:r>
      <w:r>
        <w:rPr>
          <w:rFonts w:hint="eastAsia"/>
          <w:b w:val="0"/>
          <w:bCs w:val="0"/>
          <w:highlight w:val="none"/>
        </w:rPr>
        <w:t>村庄可采用分散处理方式建设污水处理设施。无害化处置率达到90%以上</w:t>
      </w:r>
      <w:r>
        <w:rPr>
          <w:rFonts w:hint="eastAsia"/>
          <w:b w:val="0"/>
          <w:bCs w:val="0"/>
          <w:highlight w:val="none"/>
          <w:lang w:eastAsia="zh-CN"/>
        </w:rPr>
        <w:t>。</w:t>
      </w:r>
    </w:p>
    <w:p w14:paraId="00A04428">
      <w:pPr>
        <w:keepNext w:val="0"/>
        <w:keepLines w:val="0"/>
        <w:pageBreakBefore w:val="0"/>
        <w:widowControl w:val="0"/>
        <w:kinsoku/>
        <w:wordWrap/>
        <w:overflowPunct/>
        <w:topLinePunct w:val="0"/>
        <w:autoSpaceDE/>
        <w:autoSpaceDN/>
        <w:bidi w:val="0"/>
        <w:adjustRightInd/>
        <w:snapToGrid/>
        <w:spacing w:line="540" w:lineRule="exact"/>
        <w:textAlignment w:val="auto"/>
        <w:outlineLvl w:val="3"/>
        <w:rPr>
          <w:rFonts w:hint="eastAsia"/>
          <w:b w:val="0"/>
          <w:bCs w:val="0"/>
          <w:highlight w:val="none"/>
        </w:rPr>
      </w:pPr>
      <w:r>
        <w:rPr>
          <w:rFonts w:hint="eastAsia"/>
          <w:b w:val="0"/>
          <w:bCs w:val="0"/>
          <w:highlight w:val="none"/>
        </w:rPr>
        <w:t>4.雨水工程规划</w:t>
      </w:r>
    </w:p>
    <w:p w14:paraId="5081E01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城镇雨水排水系统采用重力流排放，充分结合规划区地形，合理划分排水区域，雨水就近排入水体。结合城镇建设对已有排水系统改造扩建；在分流制实施难度较大的地区：近期采取截流制排水系统收集处理污水，远期为雨污分流系统。完善道路、广场、绿地体系，提高雨水地面入渗率，逐步推行雨水回用系统规划建设。</w:t>
      </w:r>
    </w:p>
    <w:p w14:paraId="705AAF17">
      <w:pPr>
        <w:keepNext w:val="0"/>
        <w:keepLines w:val="0"/>
        <w:pageBreakBefore w:val="0"/>
        <w:widowControl w:val="0"/>
        <w:kinsoku/>
        <w:wordWrap/>
        <w:overflowPunct/>
        <w:topLinePunct w:val="0"/>
        <w:autoSpaceDE/>
        <w:autoSpaceDN/>
        <w:bidi w:val="0"/>
        <w:adjustRightInd/>
        <w:snapToGrid/>
        <w:spacing w:line="540" w:lineRule="exact"/>
        <w:textAlignment w:val="auto"/>
        <w:outlineLvl w:val="3"/>
        <w:rPr>
          <w:rFonts w:hint="eastAsia"/>
          <w:b w:val="0"/>
          <w:bCs w:val="0"/>
          <w:highlight w:val="none"/>
        </w:rPr>
      </w:pPr>
      <w:r>
        <w:rPr>
          <w:rFonts w:hint="eastAsia"/>
          <w:b w:val="0"/>
          <w:bCs w:val="0"/>
          <w:highlight w:val="none"/>
        </w:rPr>
        <w:t>5.海绵城市建设</w:t>
      </w:r>
    </w:p>
    <w:p w14:paraId="3AF3633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博爱县按照“规划引领、统筹推进、生态优先、自然循环”的原则，综合采取“渗、滞、蓄、净、用、排”等措施，最大限度地减少城市开发建设对生态环境的影响。</w:t>
      </w:r>
    </w:p>
    <w:p w14:paraId="5F4D170E">
      <w:pPr>
        <w:pStyle w:val="23"/>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12" w:firstLineChars="0"/>
        <w:textAlignment w:val="auto"/>
        <w:outlineLvl w:val="2"/>
        <w:rPr>
          <w:rFonts w:hint="eastAsia"/>
          <w:highlight w:val="none"/>
          <w:lang w:val="en-US"/>
        </w:rPr>
      </w:pPr>
      <w:bookmarkStart w:id="242" w:name="_Toc7837"/>
      <w:r>
        <w:rPr>
          <w:rFonts w:hint="eastAsia"/>
          <w:highlight w:val="none"/>
          <w:lang w:val="en-US"/>
        </w:rPr>
        <w:t>供电设施</w:t>
      </w:r>
      <w:bookmarkEnd w:id="242"/>
    </w:p>
    <w:p w14:paraId="1DBA9521">
      <w:pPr>
        <w:keepNext w:val="0"/>
        <w:keepLines w:val="0"/>
        <w:pageBreakBefore w:val="0"/>
        <w:widowControl w:val="0"/>
        <w:kinsoku/>
        <w:wordWrap/>
        <w:overflowPunct/>
        <w:topLinePunct w:val="0"/>
        <w:autoSpaceDE/>
        <w:autoSpaceDN/>
        <w:bidi w:val="0"/>
        <w:adjustRightInd/>
        <w:snapToGrid/>
        <w:spacing w:line="540" w:lineRule="exact"/>
        <w:textAlignment w:val="auto"/>
        <w:outlineLvl w:val="3"/>
        <w:rPr>
          <w:rFonts w:hint="eastAsia"/>
          <w:b w:val="0"/>
          <w:bCs w:val="0"/>
          <w:highlight w:val="none"/>
        </w:rPr>
      </w:pPr>
      <w:r>
        <w:rPr>
          <w:rFonts w:hint="eastAsia"/>
          <w:b w:val="0"/>
          <w:bCs w:val="0"/>
          <w:highlight w:val="none"/>
        </w:rPr>
        <w:t>1.规划目标</w:t>
      </w:r>
    </w:p>
    <w:p w14:paraId="1B6A1100">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积极开发利用新能源，推进水电、风电、垃圾发电和太阳能建设开发，建成可靠的供电系统，推进城乡供给一体化建设。近期对全县电网进行升级改造，加快推进城乡一体化供电系统建设；远期继续完善电网结构，加大供电设施投入力度，改善城乡用电质量，电网改造率达到100%。</w:t>
      </w:r>
    </w:p>
    <w:p w14:paraId="387C5E9E">
      <w:pPr>
        <w:bidi w:val="0"/>
        <w:outlineLvl w:val="3"/>
        <w:rPr>
          <w:rFonts w:hint="eastAsia"/>
          <w:b w:val="0"/>
          <w:bCs w:val="0"/>
          <w:highlight w:val="none"/>
        </w:rPr>
      </w:pPr>
      <w:r>
        <w:rPr>
          <w:rFonts w:hint="eastAsia"/>
          <w:b w:val="0"/>
          <w:bCs w:val="0"/>
          <w:highlight w:val="none"/>
        </w:rPr>
        <w:t>2.县域电力设施规划</w:t>
      </w:r>
    </w:p>
    <w:p w14:paraId="3569D362">
      <w:pPr>
        <w:bidi w:val="0"/>
        <w:rPr>
          <w:rFonts w:hint="eastAsia" w:ascii="Times New Roman" w:hAnsi="Times New Roman" w:cs="Times New Roman"/>
          <w:b w:val="0"/>
          <w:bCs w:val="0"/>
          <w:highlight w:val="none"/>
        </w:rPr>
      </w:pPr>
      <w:r>
        <w:rPr>
          <w:rFonts w:hint="eastAsia" w:ascii="Times New Roman" w:hAnsi="Times New Roman" w:cs="Times New Roman"/>
          <w:b w:val="0"/>
          <w:bCs w:val="0"/>
          <w:highlight w:val="none"/>
        </w:rPr>
        <w:t>负荷预测：至2025年，县域用电负荷为</w:t>
      </w:r>
      <w:r>
        <w:rPr>
          <w:rFonts w:hint="eastAsia" w:ascii="Times New Roman" w:hAnsi="Times New Roman" w:cs="Times New Roman"/>
          <w:b w:val="0"/>
          <w:bCs w:val="0"/>
          <w:highlight w:val="none"/>
          <w:lang w:val="en-US" w:eastAsia="zh-CN"/>
        </w:rPr>
        <w:t>310</w:t>
      </w:r>
      <w:r>
        <w:rPr>
          <w:rFonts w:hint="eastAsia" w:ascii="Times New Roman" w:hAnsi="Times New Roman" w:cs="Times New Roman"/>
          <w:b w:val="0"/>
          <w:bCs w:val="0"/>
          <w:highlight w:val="none"/>
        </w:rPr>
        <w:t>兆瓦；至规划期末，县域用电负荷为</w:t>
      </w:r>
      <w:r>
        <w:rPr>
          <w:rFonts w:hint="eastAsia" w:ascii="Times New Roman" w:hAnsi="Times New Roman" w:cs="Times New Roman"/>
          <w:b w:val="0"/>
          <w:bCs w:val="0"/>
          <w:highlight w:val="none"/>
          <w:lang w:val="en-US" w:eastAsia="zh-CN"/>
        </w:rPr>
        <w:t>320</w:t>
      </w:r>
      <w:r>
        <w:rPr>
          <w:rFonts w:hint="eastAsia" w:ascii="Times New Roman" w:hAnsi="Times New Roman" w:cs="Times New Roman"/>
          <w:b w:val="0"/>
          <w:bCs w:val="0"/>
          <w:highlight w:val="none"/>
        </w:rPr>
        <w:t>兆瓦，其中，中心城区用电负荷为</w:t>
      </w:r>
      <w:r>
        <w:rPr>
          <w:rFonts w:hint="eastAsia" w:ascii="Times New Roman" w:hAnsi="Times New Roman" w:cs="Times New Roman"/>
          <w:b w:val="0"/>
          <w:bCs w:val="0"/>
          <w:highlight w:val="none"/>
          <w:lang w:val="en-US" w:eastAsia="zh-CN"/>
        </w:rPr>
        <w:t>205</w:t>
      </w:r>
      <w:r>
        <w:rPr>
          <w:rFonts w:hint="eastAsia" w:ascii="Times New Roman" w:hAnsi="Times New Roman" w:cs="Times New Roman"/>
          <w:b w:val="0"/>
          <w:bCs w:val="0"/>
          <w:highlight w:val="none"/>
        </w:rPr>
        <w:t>兆瓦。</w:t>
      </w:r>
    </w:p>
    <w:p w14:paraId="6DC49799">
      <w:pPr>
        <w:bidi w:val="0"/>
        <w:rPr>
          <w:rFonts w:hint="eastAsia"/>
          <w:b w:val="0"/>
          <w:bCs w:val="0"/>
          <w:highlight w:val="none"/>
          <w:u w:val="none"/>
        </w:rPr>
      </w:pPr>
      <w:r>
        <w:rPr>
          <w:rFonts w:hint="eastAsia"/>
          <w:b w:val="0"/>
          <w:bCs w:val="0"/>
          <w:highlight w:val="none"/>
          <w:u w:val="single"/>
        </w:rPr>
        <w:t>规划构建新能源电力供应体系，保留和规划建设蓝天垃圾电厂、青天河水电站、江岭风电场、丹东水电站</w:t>
      </w:r>
      <w:r>
        <w:rPr>
          <w:rFonts w:hint="eastAsia"/>
          <w:b w:val="0"/>
          <w:bCs w:val="0"/>
          <w:highlight w:val="none"/>
          <w:u w:val="none"/>
        </w:rPr>
        <w:t>。</w:t>
      </w:r>
    </w:p>
    <w:p w14:paraId="1BDB930A">
      <w:pPr>
        <w:bidi w:val="0"/>
        <w:rPr>
          <w:rFonts w:hint="eastAsia"/>
          <w:b w:val="0"/>
          <w:bCs w:val="0"/>
          <w:highlight w:val="none"/>
          <w:u w:val="none"/>
        </w:rPr>
      </w:pPr>
      <w:r>
        <w:rPr>
          <w:rFonts w:hint="eastAsia"/>
          <w:b w:val="0"/>
          <w:bCs w:val="0"/>
          <w:highlight w:val="none"/>
          <w:u w:val="single"/>
        </w:rPr>
        <w:t>规划保留500kv博爱变</w:t>
      </w:r>
      <w:r>
        <w:rPr>
          <w:rFonts w:hint="eastAsia"/>
          <w:b w:val="0"/>
          <w:bCs w:val="0"/>
          <w:highlight w:val="none"/>
          <w:u w:val="single"/>
          <w:lang w:val="en-US" w:eastAsia="zh-CN"/>
        </w:rPr>
        <w:t>电站</w:t>
      </w:r>
      <w:r>
        <w:rPr>
          <w:rFonts w:hint="eastAsia"/>
          <w:b w:val="0"/>
          <w:bCs w:val="0"/>
          <w:highlight w:val="none"/>
          <w:u w:val="none"/>
        </w:rPr>
        <w:t>。</w:t>
      </w:r>
    </w:p>
    <w:p w14:paraId="5159BA37">
      <w:pPr>
        <w:bidi w:val="0"/>
        <w:rPr>
          <w:rFonts w:hint="eastAsia"/>
          <w:b w:val="0"/>
          <w:bCs w:val="0"/>
          <w:highlight w:val="none"/>
          <w:u w:val="none"/>
        </w:rPr>
      </w:pPr>
      <w:r>
        <w:rPr>
          <w:rFonts w:hint="eastAsia"/>
          <w:b w:val="0"/>
          <w:bCs w:val="0"/>
          <w:highlight w:val="none"/>
          <w:u w:val="single"/>
        </w:rPr>
        <w:t>规划保留220kv变电站2座，为太子庄变</w:t>
      </w:r>
      <w:r>
        <w:rPr>
          <w:rFonts w:hint="eastAsia"/>
          <w:b w:val="0"/>
          <w:bCs w:val="0"/>
          <w:highlight w:val="none"/>
          <w:u w:val="single"/>
          <w:lang w:val="en-US" w:eastAsia="zh-CN"/>
        </w:rPr>
        <w:t>电站</w:t>
      </w:r>
      <w:r>
        <w:rPr>
          <w:rFonts w:hint="eastAsia"/>
          <w:b w:val="0"/>
          <w:bCs w:val="0"/>
          <w:highlight w:val="none"/>
          <w:u w:val="single"/>
        </w:rPr>
        <w:t>、清化变</w:t>
      </w:r>
      <w:r>
        <w:rPr>
          <w:rFonts w:hint="eastAsia"/>
          <w:b w:val="0"/>
          <w:bCs w:val="0"/>
          <w:highlight w:val="none"/>
          <w:u w:val="single"/>
          <w:lang w:val="en-US" w:eastAsia="zh-CN"/>
        </w:rPr>
        <w:t>电站</w:t>
      </w:r>
      <w:r>
        <w:rPr>
          <w:rFonts w:hint="eastAsia"/>
          <w:b w:val="0"/>
          <w:bCs w:val="0"/>
          <w:highlight w:val="none"/>
          <w:u w:val="single"/>
        </w:rPr>
        <w:t>。规划新建220kv三民变</w:t>
      </w:r>
      <w:r>
        <w:rPr>
          <w:rFonts w:hint="eastAsia"/>
          <w:b w:val="0"/>
          <w:bCs w:val="0"/>
          <w:highlight w:val="none"/>
          <w:u w:val="single"/>
          <w:lang w:val="en-US" w:eastAsia="zh-CN"/>
        </w:rPr>
        <w:t>电站</w:t>
      </w:r>
      <w:r>
        <w:rPr>
          <w:rFonts w:hint="eastAsia"/>
          <w:b w:val="0"/>
          <w:bCs w:val="0"/>
          <w:highlight w:val="none"/>
          <w:u w:val="none"/>
        </w:rPr>
        <w:t>。</w:t>
      </w:r>
    </w:p>
    <w:p w14:paraId="22FA88F0">
      <w:pPr>
        <w:bidi w:val="0"/>
        <w:rPr>
          <w:rFonts w:hint="eastAsia"/>
          <w:b w:val="0"/>
          <w:bCs w:val="0"/>
          <w:highlight w:val="none"/>
          <w:u w:val="none"/>
        </w:rPr>
      </w:pPr>
      <w:r>
        <w:rPr>
          <w:rFonts w:hint="eastAsia"/>
          <w:b w:val="0"/>
          <w:bCs w:val="0"/>
          <w:highlight w:val="none"/>
          <w:u w:val="single"/>
        </w:rPr>
        <w:t>110kv变电站，规划保留中里变</w:t>
      </w:r>
      <w:r>
        <w:rPr>
          <w:rFonts w:hint="eastAsia"/>
          <w:b w:val="0"/>
          <w:bCs w:val="0"/>
          <w:highlight w:val="none"/>
          <w:u w:val="single"/>
          <w:lang w:val="en-US" w:eastAsia="zh-CN"/>
        </w:rPr>
        <w:t>电站</w:t>
      </w:r>
      <w:r>
        <w:rPr>
          <w:rFonts w:hint="eastAsia"/>
          <w:b w:val="0"/>
          <w:bCs w:val="0"/>
          <w:highlight w:val="none"/>
          <w:u w:val="single"/>
        </w:rPr>
        <w:t>、城西变</w:t>
      </w:r>
      <w:r>
        <w:rPr>
          <w:rFonts w:hint="eastAsia"/>
          <w:b w:val="0"/>
          <w:bCs w:val="0"/>
          <w:highlight w:val="none"/>
          <w:u w:val="single"/>
          <w:lang w:val="en-US" w:eastAsia="zh-CN"/>
        </w:rPr>
        <w:t>电站</w:t>
      </w:r>
      <w:r>
        <w:rPr>
          <w:rFonts w:hint="eastAsia"/>
          <w:b w:val="0"/>
          <w:bCs w:val="0"/>
          <w:highlight w:val="none"/>
          <w:u w:val="single"/>
        </w:rPr>
        <w:t>、贵屯变</w:t>
      </w:r>
      <w:r>
        <w:rPr>
          <w:rFonts w:hint="eastAsia"/>
          <w:b w:val="0"/>
          <w:bCs w:val="0"/>
          <w:highlight w:val="none"/>
          <w:u w:val="single"/>
          <w:lang w:val="en-US" w:eastAsia="zh-CN"/>
        </w:rPr>
        <w:t>电站</w:t>
      </w:r>
      <w:r>
        <w:rPr>
          <w:rFonts w:hint="eastAsia"/>
          <w:b w:val="0"/>
          <w:bCs w:val="0"/>
          <w:highlight w:val="none"/>
          <w:u w:val="single"/>
        </w:rPr>
        <w:t>、北里变</w:t>
      </w:r>
      <w:r>
        <w:rPr>
          <w:rFonts w:hint="eastAsia"/>
          <w:b w:val="0"/>
          <w:bCs w:val="0"/>
          <w:highlight w:val="none"/>
          <w:u w:val="single"/>
          <w:lang w:val="en-US" w:eastAsia="zh-CN"/>
        </w:rPr>
        <w:t>电站</w:t>
      </w:r>
      <w:r>
        <w:rPr>
          <w:rFonts w:hint="eastAsia"/>
          <w:b w:val="0"/>
          <w:bCs w:val="0"/>
          <w:highlight w:val="none"/>
          <w:u w:val="single"/>
        </w:rPr>
        <w:t>、乔村变</w:t>
      </w:r>
      <w:r>
        <w:rPr>
          <w:rFonts w:hint="eastAsia"/>
          <w:b w:val="0"/>
          <w:bCs w:val="0"/>
          <w:highlight w:val="none"/>
          <w:u w:val="single"/>
          <w:lang w:val="en-US" w:eastAsia="zh-CN"/>
        </w:rPr>
        <w:t>电站</w:t>
      </w:r>
      <w:r>
        <w:rPr>
          <w:rFonts w:hint="eastAsia"/>
          <w:b w:val="0"/>
          <w:bCs w:val="0"/>
          <w:highlight w:val="none"/>
          <w:u w:val="single"/>
        </w:rPr>
        <w:t>、柳庄变</w:t>
      </w:r>
      <w:r>
        <w:rPr>
          <w:rFonts w:hint="eastAsia"/>
          <w:b w:val="0"/>
          <w:bCs w:val="0"/>
          <w:highlight w:val="none"/>
          <w:u w:val="single"/>
          <w:lang w:val="en-US" w:eastAsia="zh-CN"/>
        </w:rPr>
        <w:t>电站</w:t>
      </w:r>
      <w:r>
        <w:rPr>
          <w:rFonts w:hint="eastAsia"/>
          <w:b w:val="0"/>
          <w:bCs w:val="0"/>
          <w:highlight w:val="none"/>
          <w:u w:val="single"/>
        </w:rPr>
        <w:t>等6座，规划新建玉祥变</w:t>
      </w:r>
      <w:r>
        <w:rPr>
          <w:rFonts w:hint="eastAsia"/>
          <w:b w:val="0"/>
          <w:bCs w:val="0"/>
          <w:highlight w:val="none"/>
          <w:u w:val="single"/>
          <w:lang w:val="en-US" w:eastAsia="zh-CN"/>
        </w:rPr>
        <w:t>电站</w:t>
      </w:r>
      <w:r>
        <w:rPr>
          <w:rFonts w:hint="eastAsia"/>
          <w:b w:val="0"/>
          <w:bCs w:val="0"/>
          <w:highlight w:val="none"/>
          <w:u w:val="single"/>
        </w:rPr>
        <w:t>、城南变</w:t>
      </w:r>
      <w:r>
        <w:rPr>
          <w:rFonts w:hint="eastAsia"/>
          <w:b w:val="0"/>
          <w:bCs w:val="0"/>
          <w:highlight w:val="none"/>
          <w:u w:val="single"/>
          <w:lang w:val="en-US" w:eastAsia="zh-CN"/>
        </w:rPr>
        <w:t>电站</w:t>
      </w:r>
      <w:r>
        <w:rPr>
          <w:rFonts w:hint="eastAsia"/>
          <w:b w:val="0"/>
          <w:bCs w:val="0"/>
          <w:highlight w:val="none"/>
          <w:u w:val="single"/>
        </w:rPr>
        <w:t>、闫中变</w:t>
      </w:r>
      <w:r>
        <w:rPr>
          <w:rFonts w:hint="eastAsia"/>
          <w:b w:val="0"/>
          <w:bCs w:val="0"/>
          <w:highlight w:val="none"/>
          <w:u w:val="single"/>
          <w:lang w:val="en-US" w:eastAsia="zh-CN"/>
        </w:rPr>
        <w:t>电站</w:t>
      </w:r>
      <w:r>
        <w:rPr>
          <w:rFonts w:hint="eastAsia"/>
          <w:b w:val="0"/>
          <w:bCs w:val="0"/>
          <w:highlight w:val="none"/>
          <w:u w:val="single"/>
        </w:rPr>
        <w:t>、竹园变</w:t>
      </w:r>
      <w:r>
        <w:rPr>
          <w:rFonts w:hint="eastAsia"/>
          <w:b w:val="0"/>
          <w:bCs w:val="0"/>
          <w:highlight w:val="none"/>
          <w:u w:val="single"/>
          <w:lang w:val="en-US" w:eastAsia="zh-CN"/>
        </w:rPr>
        <w:t>电站</w:t>
      </w:r>
      <w:r>
        <w:rPr>
          <w:rFonts w:hint="eastAsia"/>
          <w:b w:val="0"/>
          <w:bCs w:val="0"/>
          <w:highlight w:val="none"/>
          <w:u w:val="single"/>
        </w:rPr>
        <w:t>、文化变</w:t>
      </w:r>
      <w:r>
        <w:rPr>
          <w:rFonts w:hint="eastAsia"/>
          <w:b w:val="0"/>
          <w:bCs w:val="0"/>
          <w:highlight w:val="none"/>
          <w:u w:val="single"/>
          <w:lang w:val="en-US" w:eastAsia="zh-CN"/>
        </w:rPr>
        <w:t>电站</w:t>
      </w:r>
      <w:r>
        <w:rPr>
          <w:rFonts w:hint="eastAsia"/>
          <w:b w:val="0"/>
          <w:bCs w:val="0"/>
          <w:highlight w:val="none"/>
          <w:u w:val="single"/>
        </w:rPr>
        <w:t>、柏山变</w:t>
      </w:r>
      <w:r>
        <w:rPr>
          <w:rFonts w:hint="eastAsia"/>
          <w:b w:val="0"/>
          <w:bCs w:val="0"/>
          <w:highlight w:val="none"/>
          <w:u w:val="single"/>
          <w:lang w:val="en-US" w:eastAsia="zh-CN"/>
        </w:rPr>
        <w:t>电站</w:t>
      </w:r>
      <w:r>
        <w:rPr>
          <w:rFonts w:hint="eastAsia"/>
          <w:b w:val="0"/>
          <w:bCs w:val="0"/>
          <w:highlight w:val="none"/>
          <w:u w:val="single"/>
        </w:rPr>
        <w:t>、张茹集变</w:t>
      </w:r>
      <w:r>
        <w:rPr>
          <w:rFonts w:hint="eastAsia"/>
          <w:b w:val="0"/>
          <w:bCs w:val="0"/>
          <w:highlight w:val="none"/>
          <w:u w:val="single"/>
          <w:lang w:val="en-US" w:eastAsia="zh-CN"/>
        </w:rPr>
        <w:t>电站</w:t>
      </w:r>
      <w:r>
        <w:rPr>
          <w:rFonts w:hint="eastAsia"/>
          <w:b w:val="0"/>
          <w:bCs w:val="0"/>
          <w:highlight w:val="none"/>
          <w:u w:val="single"/>
        </w:rPr>
        <w:t>、孝敬变</w:t>
      </w:r>
      <w:r>
        <w:rPr>
          <w:rFonts w:hint="eastAsia"/>
          <w:b w:val="0"/>
          <w:bCs w:val="0"/>
          <w:highlight w:val="none"/>
          <w:u w:val="single"/>
          <w:lang w:val="en-US" w:eastAsia="zh-CN"/>
        </w:rPr>
        <w:t>电站</w:t>
      </w:r>
      <w:r>
        <w:rPr>
          <w:rFonts w:hint="eastAsia"/>
          <w:b w:val="0"/>
          <w:bCs w:val="0"/>
          <w:highlight w:val="none"/>
          <w:u w:val="single"/>
        </w:rPr>
        <w:t>等</w:t>
      </w:r>
      <w:r>
        <w:rPr>
          <w:rFonts w:hint="eastAsia"/>
          <w:b w:val="0"/>
          <w:bCs w:val="0"/>
          <w:highlight w:val="none"/>
          <w:u w:val="single"/>
          <w:lang w:val="en-US" w:eastAsia="zh-CN"/>
        </w:rPr>
        <w:t>8</w:t>
      </w:r>
      <w:r>
        <w:rPr>
          <w:rFonts w:hint="eastAsia"/>
          <w:b w:val="0"/>
          <w:bCs w:val="0"/>
          <w:highlight w:val="none"/>
          <w:u w:val="single"/>
        </w:rPr>
        <w:t>座。35kv变电站，规划保留月山变</w:t>
      </w:r>
      <w:r>
        <w:rPr>
          <w:rFonts w:hint="eastAsia"/>
          <w:b w:val="0"/>
          <w:bCs w:val="0"/>
          <w:highlight w:val="none"/>
          <w:u w:val="single"/>
          <w:lang w:val="en-US" w:eastAsia="zh-CN"/>
        </w:rPr>
        <w:t>电站</w:t>
      </w:r>
      <w:r>
        <w:rPr>
          <w:rFonts w:hint="eastAsia"/>
          <w:b w:val="0"/>
          <w:bCs w:val="0"/>
          <w:highlight w:val="none"/>
          <w:u w:val="single"/>
        </w:rPr>
        <w:t>、许良变</w:t>
      </w:r>
      <w:r>
        <w:rPr>
          <w:rFonts w:hint="eastAsia"/>
          <w:b w:val="0"/>
          <w:bCs w:val="0"/>
          <w:highlight w:val="none"/>
          <w:u w:val="single"/>
          <w:lang w:val="en-US" w:eastAsia="zh-CN"/>
        </w:rPr>
        <w:t>电站</w:t>
      </w:r>
      <w:r>
        <w:rPr>
          <w:rFonts w:hint="eastAsia"/>
          <w:b w:val="0"/>
          <w:bCs w:val="0"/>
          <w:highlight w:val="none"/>
          <w:u w:val="single"/>
        </w:rPr>
        <w:t>、寨豁变</w:t>
      </w:r>
      <w:r>
        <w:rPr>
          <w:rFonts w:hint="eastAsia"/>
          <w:b w:val="0"/>
          <w:bCs w:val="0"/>
          <w:highlight w:val="none"/>
          <w:u w:val="single"/>
          <w:lang w:val="en-US" w:eastAsia="zh-CN"/>
        </w:rPr>
        <w:t>电站</w:t>
      </w:r>
      <w:r>
        <w:rPr>
          <w:rFonts w:hint="eastAsia"/>
          <w:b w:val="0"/>
          <w:bCs w:val="0"/>
          <w:highlight w:val="none"/>
          <w:u w:val="single"/>
        </w:rPr>
        <w:t>、柏山变</w:t>
      </w:r>
      <w:r>
        <w:rPr>
          <w:rFonts w:hint="eastAsia"/>
          <w:b w:val="0"/>
          <w:bCs w:val="0"/>
          <w:highlight w:val="none"/>
          <w:u w:val="single"/>
          <w:lang w:val="en-US" w:eastAsia="zh-CN"/>
        </w:rPr>
        <w:t>电站</w:t>
      </w:r>
      <w:r>
        <w:rPr>
          <w:rFonts w:hint="eastAsia"/>
          <w:b w:val="0"/>
          <w:bCs w:val="0"/>
          <w:highlight w:val="none"/>
          <w:u w:val="single"/>
        </w:rPr>
        <w:t>、金城变</w:t>
      </w:r>
      <w:r>
        <w:rPr>
          <w:rFonts w:hint="eastAsia"/>
          <w:b w:val="0"/>
          <w:bCs w:val="0"/>
          <w:highlight w:val="none"/>
          <w:u w:val="single"/>
          <w:lang w:val="en-US" w:eastAsia="zh-CN"/>
        </w:rPr>
        <w:t>电站</w:t>
      </w:r>
      <w:r>
        <w:rPr>
          <w:rFonts w:hint="eastAsia"/>
          <w:b w:val="0"/>
          <w:bCs w:val="0"/>
          <w:highlight w:val="none"/>
          <w:u w:val="single"/>
        </w:rPr>
        <w:t>、闫庄变</w:t>
      </w:r>
      <w:r>
        <w:rPr>
          <w:rFonts w:hint="eastAsia"/>
          <w:b w:val="0"/>
          <w:bCs w:val="0"/>
          <w:highlight w:val="none"/>
          <w:u w:val="single"/>
          <w:lang w:val="en-US" w:eastAsia="zh-CN"/>
        </w:rPr>
        <w:t>电站</w:t>
      </w:r>
      <w:r>
        <w:rPr>
          <w:rFonts w:hint="eastAsia"/>
          <w:b w:val="0"/>
          <w:bCs w:val="0"/>
          <w:highlight w:val="none"/>
          <w:u w:val="single"/>
        </w:rPr>
        <w:t>、磨头变</w:t>
      </w:r>
      <w:r>
        <w:rPr>
          <w:rFonts w:hint="eastAsia"/>
          <w:b w:val="0"/>
          <w:bCs w:val="0"/>
          <w:highlight w:val="none"/>
          <w:u w:val="single"/>
          <w:lang w:val="en-US" w:eastAsia="zh-CN"/>
        </w:rPr>
        <w:t>电站</w:t>
      </w:r>
      <w:r>
        <w:rPr>
          <w:rFonts w:hint="eastAsia"/>
          <w:b w:val="0"/>
          <w:bCs w:val="0"/>
          <w:highlight w:val="none"/>
          <w:u w:val="single"/>
        </w:rPr>
        <w:t>、唐村变</w:t>
      </w:r>
      <w:r>
        <w:rPr>
          <w:rFonts w:hint="eastAsia"/>
          <w:b w:val="0"/>
          <w:bCs w:val="0"/>
          <w:highlight w:val="none"/>
          <w:u w:val="single"/>
          <w:lang w:val="en-US" w:eastAsia="zh-CN"/>
        </w:rPr>
        <w:t>电站</w:t>
      </w:r>
      <w:r>
        <w:rPr>
          <w:rFonts w:hint="eastAsia"/>
          <w:b w:val="0"/>
          <w:bCs w:val="0"/>
          <w:highlight w:val="none"/>
          <w:u w:val="single"/>
        </w:rPr>
        <w:t>、药厂变</w:t>
      </w:r>
      <w:r>
        <w:rPr>
          <w:rFonts w:hint="eastAsia"/>
          <w:b w:val="0"/>
          <w:bCs w:val="0"/>
          <w:highlight w:val="none"/>
          <w:u w:val="single"/>
          <w:lang w:val="en-US" w:eastAsia="zh-CN"/>
        </w:rPr>
        <w:t>电站</w:t>
      </w:r>
      <w:r>
        <w:rPr>
          <w:rFonts w:hint="eastAsia"/>
          <w:b w:val="0"/>
          <w:bCs w:val="0"/>
          <w:highlight w:val="none"/>
          <w:u w:val="single"/>
        </w:rPr>
        <w:t>、孝敬变</w:t>
      </w:r>
      <w:r>
        <w:rPr>
          <w:rFonts w:hint="eastAsia"/>
          <w:b w:val="0"/>
          <w:bCs w:val="0"/>
          <w:highlight w:val="none"/>
          <w:u w:val="single"/>
          <w:lang w:val="en-US" w:eastAsia="zh-CN"/>
        </w:rPr>
        <w:t>电站</w:t>
      </w:r>
      <w:r>
        <w:rPr>
          <w:rFonts w:hint="eastAsia"/>
          <w:b w:val="0"/>
          <w:bCs w:val="0"/>
          <w:highlight w:val="none"/>
          <w:u w:val="single"/>
        </w:rPr>
        <w:t>、张茹集变</w:t>
      </w:r>
      <w:r>
        <w:rPr>
          <w:rFonts w:hint="eastAsia"/>
          <w:b w:val="0"/>
          <w:bCs w:val="0"/>
          <w:highlight w:val="none"/>
          <w:u w:val="single"/>
          <w:lang w:val="en-US" w:eastAsia="zh-CN"/>
        </w:rPr>
        <w:t>电站</w:t>
      </w:r>
      <w:r>
        <w:rPr>
          <w:rFonts w:hint="eastAsia"/>
          <w:b w:val="0"/>
          <w:bCs w:val="0"/>
          <w:highlight w:val="none"/>
          <w:u w:val="single"/>
        </w:rPr>
        <w:t>、桥沟变</w:t>
      </w:r>
      <w:r>
        <w:rPr>
          <w:rFonts w:hint="eastAsia"/>
          <w:b w:val="0"/>
          <w:bCs w:val="0"/>
          <w:highlight w:val="none"/>
          <w:u w:val="single"/>
          <w:lang w:val="en-US" w:eastAsia="zh-CN"/>
        </w:rPr>
        <w:t>电站</w:t>
      </w:r>
      <w:r>
        <w:rPr>
          <w:rFonts w:hint="eastAsia"/>
          <w:b w:val="0"/>
          <w:bCs w:val="0"/>
          <w:highlight w:val="none"/>
          <w:u w:val="single"/>
        </w:rPr>
        <w:t>等12座</w:t>
      </w:r>
      <w:r>
        <w:rPr>
          <w:rFonts w:hint="eastAsia"/>
          <w:b w:val="0"/>
          <w:bCs w:val="0"/>
          <w:highlight w:val="none"/>
          <w:u w:val="none"/>
        </w:rPr>
        <w:t>。</w:t>
      </w:r>
    </w:p>
    <w:p w14:paraId="172908D6">
      <w:pPr>
        <w:bidi w:val="0"/>
        <w:outlineLvl w:val="3"/>
        <w:rPr>
          <w:rFonts w:hint="eastAsia"/>
          <w:b w:val="0"/>
          <w:bCs w:val="0"/>
          <w:highlight w:val="none"/>
        </w:rPr>
      </w:pPr>
      <w:r>
        <w:rPr>
          <w:rFonts w:hint="eastAsia"/>
          <w:b w:val="0"/>
          <w:bCs w:val="0"/>
          <w:highlight w:val="none"/>
        </w:rPr>
        <w:t>3.高压线走廊</w:t>
      </w:r>
    </w:p>
    <w:p w14:paraId="49BC777D">
      <w:pPr>
        <w:bidi w:val="0"/>
        <w:rPr>
          <w:rFonts w:hint="eastAsia"/>
          <w:b w:val="0"/>
          <w:bCs w:val="0"/>
          <w:highlight w:val="none"/>
        </w:rPr>
      </w:pPr>
      <w:r>
        <w:rPr>
          <w:rFonts w:hint="eastAsia"/>
          <w:b w:val="0"/>
          <w:bCs w:val="0"/>
          <w:highlight w:val="none"/>
          <w:u w:val="single"/>
        </w:rPr>
        <w:t>500kv线路走廊宽度按60</w:t>
      </w:r>
      <w:r>
        <w:rPr>
          <w:rFonts w:hint="eastAsia" w:ascii="仿宋_GB2312" w:hAnsi="仿宋_GB2312" w:eastAsia="仿宋_GB2312"/>
          <w:b w:val="0"/>
          <w:bCs w:val="0"/>
          <w:highlight w:val="none"/>
          <w:u w:val="single"/>
          <w:lang w:eastAsia="zh-CN"/>
        </w:rPr>
        <w:t>-</w:t>
      </w:r>
      <w:r>
        <w:rPr>
          <w:rFonts w:hint="eastAsia"/>
          <w:b w:val="0"/>
          <w:bCs w:val="0"/>
          <w:highlight w:val="none"/>
          <w:u w:val="single"/>
        </w:rPr>
        <w:t>75米控制，220kv线路走廊宽度按40</w:t>
      </w:r>
      <w:r>
        <w:rPr>
          <w:rFonts w:hint="eastAsia" w:ascii="仿宋_GB2312" w:hAnsi="仿宋_GB2312" w:eastAsia="仿宋_GB2312"/>
          <w:b w:val="0"/>
          <w:bCs w:val="0"/>
          <w:highlight w:val="none"/>
          <w:u w:val="single"/>
          <w:lang w:eastAsia="zh-CN"/>
        </w:rPr>
        <w:t>-</w:t>
      </w:r>
      <w:r>
        <w:rPr>
          <w:rFonts w:hint="eastAsia"/>
          <w:b w:val="0"/>
          <w:bCs w:val="0"/>
          <w:highlight w:val="none"/>
          <w:u w:val="single"/>
        </w:rPr>
        <w:t>45米控制，110kv高压走廊宽度按25</w:t>
      </w:r>
      <w:r>
        <w:rPr>
          <w:rFonts w:hint="eastAsia" w:ascii="仿宋_GB2312" w:hAnsi="仿宋_GB2312" w:eastAsia="仿宋_GB2312"/>
          <w:b w:val="0"/>
          <w:bCs w:val="0"/>
          <w:highlight w:val="none"/>
          <w:u w:val="single"/>
          <w:lang w:eastAsia="zh-CN"/>
        </w:rPr>
        <w:t>-</w:t>
      </w:r>
      <w:r>
        <w:rPr>
          <w:rFonts w:hint="eastAsia"/>
          <w:b w:val="0"/>
          <w:bCs w:val="0"/>
          <w:highlight w:val="none"/>
          <w:u w:val="single"/>
        </w:rPr>
        <w:t>30米控制</w:t>
      </w:r>
      <w:r>
        <w:rPr>
          <w:rFonts w:hint="eastAsia"/>
          <w:b w:val="0"/>
          <w:bCs w:val="0"/>
          <w:highlight w:val="none"/>
          <w:u w:val="single"/>
          <w:lang w:eastAsia="zh-CN"/>
        </w:rPr>
        <w:t>，</w:t>
      </w:r>
      <w:r>
        <w:rPr>
          <w:rFonts w:hint="eastAsia"/>
          <w:b w:val="0"/>
          <w:bCs w:val="0"/>
          <w:highlight w:val="none"/>
          <w:u w:val="single"/>
          <w:lang w:val="en-US" w:eastAsia="zh-CN"/>
        </w:rPr>
        <w:t>35</w:t>
      </w:r>
      <w:r>
        <w:rPr>
          <w:rFonts w:hint="eastAsia"/>
          <w:b w:val="0"/>
          <w:bCs w:val="0"/>
          <w:highlight w:val="none"/>
          <w:u w:val="single"/>
        </w:rPr>
        <w:t>kv</w:t>
      </w:r>
      <w:r>
        <w:rPr>
          <w:rFonts w:hint="eastAsia"/>
          <w:b w:val="0"/>
          <w:bCs w:val="0"/>
          <w:highlight w:val="none"/>
          <w:u w:val="single"/>
          <w:lang w:val="en-US" w:eastAsia="zh-CN"/>
        </w:rPr>
        <w:t>线路预留走廊宽度20</w:t>
      </w:r>
      <w:r>
        <w:rPr>
          <w:rFonts w:hint="eastAsia" w:ascii="仿宋_GB2312" w:hAnsi="仿宋_GB2312" w:eastAsia="仿宋_GB2312"/>
          <w:b w:val="0"/>
          <w:bCs w:val="0"/>
          <w:highlight w:val="none"/>
          <w:u w:val="single"/>
          <w:lang w:val="en-US" w:eastAsia="zh-CN"/>
        </w:rPr>
        <w:t>-</w:t>
      </w:r>
      <w:r>
        <w:rPr>
          <w:rFonts w:hint="eastAsia"/>
          <w:b w:val="0"/>
          <w:bCs w:val="0"/>
          <w:highlight w:val="none"/>
          <w:u w:val="single"/>
          <w:lang w:val="en-US" w:eastAsia="zh-CN"/>
        </w:rPr>
        <w:t>25米</w:t>
      </w:r>
      <w:r>
        <w:rPr>
          <w:rFonts w:hint="eastAsia"/>
          <w:b w:val="0"/>
          <w:bCs w:val="0"/>
          <w:highlight w:val="none"/>
          <w:u w:val="single"/>
        </w:rPr>
        <w:t>。在厂矿、城镇等人口密集地区架空电力线路保护区的区域可略小于上述规定。但各级电压导线边线延伸的距离不应小于导线边线在最大计算弧垂及最大计算风偏后的水平距离和风偏后距建筑物的安全距离之和</w:t>
      </w:r>
      <w:r>
        <w:rPr>
          <w:rFonts w:hint="eastAsia"/>
          <w:b w:val="0"/>
          <w:bCs w:val="0"/>
          <w:highlight w:val="none"/>
        </w:rPr>
        <w:t>。</w:t>
      </w:r>
    </w:p>
    <w:p w14:paraId="70159D96">
      <w:pPr>
        <w:pStyle w:val="23"/>
        <w:numPr>
          <w:ilvl w:val="0"/>
          <w:numId w:val="3"/>
        </w:numPr>
        <w:bidi w:val="0"/>
        <w:ind w:left="0" w:leftChars="0" w:firstLine="612" w:firstLineChars="0"/>
        <w:outlineLvl w:val="2"/>
        <w:rPr>
          <w:rFonts w:hint="eastAsia"/>
          <w:highlight w:val="none"/>
          <w:lang w:val="en-US"/>
        </w:rPr>
      </w:pPr>
      <w:bookmarkStart w:id="243" w:name="_Toc19101"/>
      <w:r>
        <w:rPr>
          <w:rFonts w:hint="eastAsia"/>
          <w:highlight w:val="none"/>
          <w:lang w:val="en-US"/>
        </w:rPr>
        <w:t>燃气设施</w:t>
      </w:r>
      <w:bookmarkEnd w:id="243"/>
    </w:p>
    <w:p w14:paraId="2534FFFE">
      <w:pPr>
        <w:bidi w:val="0"/>
        <w:outlineLvl w:val="3"/>
        <w:rPr>
          <w:rFonts w:hint="eastAsia"/>
          <w:b w:val="0"/>
          <w:bCs w:val="0"/>
          <w:highlight w:val="none"/>
        </w:rPr>
      </w:pPr>
      <w:r>
        <w:rPr>
          <w:rFonts w:hint="eastAsia"/>
          <w:b w:val="0"/>
          <w:bCs w:val="0"/>
          <w:highlight w:val="none"/>
        </w:rPr>
        <w:t>1.规划目标</w:t>
      </w:r>
    </w:p>
    <w:p w14:paraId="4B1CD54C">
      <w:pPr>
        <w:bidi w:val="0"/>
        <w:rPr>
          <w:rFonts w:hint="eastAsia"/>
          <w:b w:val="0"/>
          <w:bCs w:val="0"/>
          <w:highlight w:val="none"/>
        </w:rPr>
      </w:pPr>
      <w:r>
        <w:rPr>
          <w:rFonts w:hint="eastAsia"/>
          <w:b w:val="0"/>
          <w:bCs w:val="0"/>
          <w:highlight w:val="none"/>
        </w:rPr>
        <w:t>规划期末形成以市政天然气为主，液化石油气为辅的燃气结构；中心城区和重点镇全覆盖，</w:t>
      </w:r>
      <w:r>
        <w:rPr>
          <w:rFonts w:hint="eastAsia"/>
          <w:b w:val="0"/>
          <w:bCs w:val="0"/>
          <w:highlight w:val="none"/>
          <w:lang w:eastAsia="zh-CN"/>
        </w:rPr>
        <w:t>乡（镇）</w:t>
      </w:r>
      <w:r>
        <w:rPr>
          <w:rFonts w:hint="eastAsia"/>
          <w:b w:val="0"/>
          <w:bCs w:val="0"/>
          <w:highlight w:val="none"/>
        </w:rPr>
        <w:t>达到80%，行政村达到75%以上。</w:t>
      </w:r>
    </w:p>
    <w:p w14:paraId="3BA977DC">
      <w:pPr>
        <w:pStyle w:val="42"/>
        <w:rPr>
          <w:rFonts w:hint="eastAsia"/>
          <w:b w:val="0"/>
          <w:bCs w:val="0"/>
          <w:highlight w:val="none"/>
        </w:rPr>
      </w:pPr>
      <w:r>
        <w:rPr>
          <w:rFonts w:hint="eastAsia"/>
          <w:highlight w:val="none"/>
        </w:rPr>
        <w:t>至2025年，</w:t>
      </w:r>
      <w:r>
        <w:rPr>
          <w:rFonts w:hint="eastAsia"/>
          <w:highlight w:val="none"/>
          <w:lang w:eastAsia="zh-CN"/>
        </w:rPr>
        <w:t>博爱</w:t>
      </w:r>
      <w:r>
        <w:rPr>
          <w:rFonts w:hint="eastAsia"/>
          <w:highlight w:val="none"/>
        </w:rPr>
        <w:t>县年总用气量为</w:t>
      </w:r>
      <w:r>
        <w:rPr>
          <w:rFonts w:hint="eastAsia"/>
          <w:highlight w:val="none"/>
          <w:lang w:val="en-US" w:eastAsia="zh-CN"/>
        </w:rPr>
        <w:t>9</w:t>
      </w:r>
      <w:r>
        <w:rPr>
          <w:rFonts w:hint="eastAsia"/>
          <w:highlight w:val="none"/>
        </w:rPr>
        <w:t>7</w:t>
      </w:r>
      <w:r>
        <w:rPr>
          <w:rFonts w:hint="eastAsia"/>
          <w:highlight w:val="none"/>
          <w:lang w:val="en-US" w:eastAsia="zh-CN"/>
        </w:rPr>
        <w:t>4</w:t>
      </w:r>
      <w:r>
        <w:rPr>
          <w:rFonts w:hint="eastAsia"/>
          <w:highlight w:val="none"/>
        </w:rPr>
        <w:t>4.3</w:t>
      </w:r>
      <w:r>
        <w:rPr>
          <w:rFonts w:hint="eastAsia"/>
          <w:highlight w:val="none"/>
          <w:lang w:val="en-US" w:eastAsia="zh-CN"/>
        </w:rPr>
        <w:t>9</w:t>
      </w:r>
      <w:r>
        <w:rPr>
          <w:rFonts w:hint="eastAsia"/>
          <w:highlight w:val="none"/>
        </w:rPr>
        <w:t>万标准立方米；至</w:t>
      </w:r>
      <w:r>
        <w:rPr>
          <w:highlight w:val="none"/>
        </w:rPr>
        <w:t>2035</w:t>
      </w:r>
      <w:r>
        <w:rPr>
          <w:rFonts w:hint="eastAsia"/>
          <w:highlight w:val="none"/>
        </w:rPr>
        <w:t>年，年总用气量为</w:t>
      </w:r>
      <w:r>
        <w:rPr>
          <w:rFonts w:hint="eastAsia"/>
          <w:highlight w:val="none"/>
          <w:lang w:val="en-US" w:eastAsia="zh-CN"/>
        </w:rPr>
        <w:t>10871</w:t>
      </w:r>
      <w:r>
        <w:rPr>
          <w:rFonts w:hint="eastAsia"/>
          <w:highlight w:val="none"/>
        </w:rPr>
        <w:t>.</w:t>
      </w:r>
      <w:r>
        <w:rPr>
          <w:rFonts w:hint="eastAsia"/>
          <w:highlight w:val="none"/>
          <w:lang w:val="en-US" w:eastAsia="zh-CN"/>
        </w:rPr>
        <w:t>35</w:t>
      </w:r>
      <w:r>
        <w:rPr>
          <w:rFonts w:hint="eastAsia"/>
          <w:highlight w:val="none"/>
        </w:rPr>
        <w:t>万标准立方米。中心城区年总用气量为</w:t>
      </w:r>
      <w:r>
        <w:rPr>
          <w:rFonts w:hint="eastAsia"/>
          <w:highlight w:val="none"/>
          <w:lang w:val="en-US" w:eastAsia="zh-CN"/>
        </w:rPr>
        <w:t>6641.23</w:t>
      </w:r>
      <w:r>
        <w:rPr>
          <w:rFonts w:hint="eastAsia"/>
          <w:highlight w:val="none"/>
        </w:rPr>
        <w:t>万标准立方米。</w:t>
      </w:r>
    </w:p>
    <w:p w14:paraId="2B0D29C0">
      <w:pPr>
        <w:bidi w:val="0"/>
        <w:outlineLvl w:val="3"/>
        <w:rPr>
          <w:rFonts w:hint="eastAsia"/>
          <w:b w:val="0"/>
          <w:bCs w:val="0"/>
          <w:highlight w:val="none"/>
        </w:rPr>
      </w:pPr>
      <w:r>
        <w:rPr>
          <w:rFonts w:hint="eastAsia"/>
          <w:b w:val="0"/>
          <w:bCs w:val="0"/>
          <w:highlight w:val="none"/>
        </w:rPr>
        <w:t>2.气源规划</w:t>
      </w:r>
    </w:p>
    <w:p w14:paraId="4A424D26">
      <w:pPr>
        <w:bidi w:val="0"/>
        <w:rPr>
          <w:rFonts w:hint="eastAsia"/>
          <w:b w:val="0"/>
          <w:bCs w:val="0"/>
          <w:highlight w:val="none"/>
        </w:rPr>
      </w:pPr>
      <w:r>
        <w:rPr>
          <w:rFonts w:hint="eastAsia"/>
          <w:b w:val="0"/>
          <w:bCs w:val="0"/>
          <w:highlight w:val="none"/>
          <w:u w:val="single"/>
        </w:rPr>
        <w:t>规划博爱县中心城区主要气源为西气东输一线天然气，现状已建成的端氏</w:t>
      </w:r>
      <w:r>
        <w:rPr>
          <w:rFonts w:hint="eastAsia" w:ascii="仿宋_GB2312" w:hAnsi="仿宋_GB2312" w:eastAsia="仿宋_GB2312"/>
          <w:b w:val="0"/>
          <w:bCs w:val="0"/>
          <w:highlight w:val="none"/>
          <w:u w:val="single"/>
          <w:lang w:eastAsia="zh-CN"/>
        </w:rPr>
        <w:t>-</w:t>
      </w:r>
      <w:r>
        <w:rPr>
          <w:rFonts w:hint="eastAsia"/>
          <w:b w:val="0"/>
          <w:bCs w:val="0"/>
          <w:highlight w:val="none"/>
          <w:u w:val="single"/>
        </w:rPr>
        <w:t>晋城</w:t>
      </w:r>
      <w:r>
        <w:rPr>
          <w:rFonts w:hint="eastAsia" w:ascii="仿宋_GB2312" w:hAnsi="仿宋_GB2312" w:eastAsia="仿宋_GB2312"/>
          <w:b w:val="0"/>
          <w:bCs w:val="0"/>
          <w:highlight w:val="none"/>
          <w:u w:val="single"/>
          <w:lang w:eastAsia="zh-CN"/>
        </w:rPr>
        <w:t>-</w:t>
      </w:r>
      <w:r>
        <w:rPr>
          <w:rFonts w:hint="eastAsia"/>
          <w:b w:val="0"/>
          <w:bCs w:val="0"/>
          <w:highlight w:val="none"/>
          <w:u w:val="single"/>
        </w:rPr>
        <w:t xml:space="preserve"> 博爱煤层气、西气东输安洛支线天然气作为博爱县中心城区的备用气源</w:t>
      </w:r>
      <w:r>
        <w:rPr>
          <w:rFonts w:hint="eastAsia"/>
          <w:b w:val="0"/>
          <w:bCs w:val="0"/>
          <w:highlight w:val="none"/>
        </w:rPr>
        <w:t>。</w:t>
      </w:r>
    </w:p>
    <w:p w14:paraId="3213957B">
      <w:pPr>
        <w:bidi w:val="0"/>
        <w:outlineLvl w:val="3"/>
        <w:rPr>
          <w:rFonts w:hint="eastAsia"/>
          <w:b w:val="0"/>
          <w:bCs w:val="0"/>
          <w:highlight w:val="none"/>
        </w:rPr>
      </w:pPr>
      <w:r>
        <w:rPr>
          <w:rFonts w:hint="eastAsia"/>
          <w:b w:val="0"/>
          <w:bCs w:val="0"/>
          <w:highlight w:val="none"/>
        </w:rPr>
        <w:t>3.燃气设施规划</w:t>
      </w:r>
    </w:p>
    <w:p w14:paraId="18A7C4ED">
      <w:pPr>
        <w:keepNext w:val="0"/>
        <w:keepLines w:val="0"/>
        <w:pageBreakBefore w:val="0"/>
        <w:widowControl w:val="0"/>
        <w:kinsoku/>
        <w:wordWrap/>
        <w:overflowPunct/>
        <w:topLinePunct w:val="0"/>
        <w:autoSpaceDE/>
        <w:autoSpaceDN/>
        <w:bidi w:val="0"/>
        <w:adjustRightInd/>
        <w:snapToGrid/>
        <w:spacing w:line="556" w:lineRule="exact"/>
        <w:textAlignment w:val="auto"/>
        <w:rPr>
          <w:rFonts w:hint="eastAsia"/>
          <w:b w:val="0"/>
          <w:bCs w:val="0"/>
          <w:highlight w:val="none"/>
          <w:u w:val="single"/>
        </w:rPr>
      </w:pPr>
      <w:r>
        <w:rPr>
          <w:rFonts w:hint="eastAsia"/>
          <w:b w:val="0"/>
          <w:bCs w:val="0"/>
          <w:highlight w:val="none"/>
          <w:u w:val="single"/>
        </w:rPr>
        <w:t>规划昆仑储配站设置在上屯路与青天河路西南角，位于松林调压站西侧；规划东方储配站设置于鸿昌路与月山路西北角，位于博爱门站西侧</w:t>
      </w:r>
      <w:r>
        <w:rPr>
          <w:rFonts w:hint="eastAsia"/>
          <w:b w:val="0"/>
          <w:bCs w:val="0"/>
          <w:highlight w:val="none"/>
          <w:u w:val="none"/>
        </w:rPr>
        <w:t>。</w:t>
      </w:r>
    </w:p>
    <w:p w14:paraId="576B2FB5">
      <w:pPr>
        <w:keepNext w:val="0"/>
        <w:keepLines w:val="0"/>
        <w:pageBreakBefore w:val="0"/>
        <w:widowControl w:val="0"/>
        <w:kinsoku/>
        <w:wordWrap/>
        <w:overflowPunct/>
        <w:topLinePunct w:val="0"/>
        <w:autoSpaceDE/>
        <w:autoSpaceDN/>
        <w:bidi w:val="0"/>
        <w:adjustRightInd/>
        <w:snapToGrid/>
        <w:spacing w:line="556" w:lineRule="exact"/>
        <w:textAlignment w:val="auto"/>
        <w:rPr>
          <w:rFonts w:hint="eastAsia"/>
          <w:b w:val="0"/>
          <w:bCs w:val="0"/>
          <w:highlight w:val="none"/>
          <w:u w:val="none"/>
        </w:rPr>
      </w:pPr>
      <w:r>
        <w:rPr>
          <w:rFonts w:hint="eastAsia"/>
          <w:b w:val="0"/>
          <w:bCs w:val="0"/>
          <w:highlight w:val="none"/>
          <w:u w:val="single"/>
        </w:rPr>
        <w:t>规划布置6座加气站，保留现状4座加气站，结合规划新建天然气门站新建加气站，于城东经济技术开发区、月山路与玉祥路交叉口西北各新建加气站1座</w:t>
      </w:r>
      <w:r>
        <w:rPr>
          <w:rFonts w:hint="eastAsia"/>
          <w:b w:val="0"/>
          <w:bCs w:val="0"/>
          <w:highlight w:val="none"/>
          <w:u w:val="none"/>
        </w:rPr>
        <w:t>。</w:t>
      </w:r>
    </w:p>
    <w:p w14:paraId="3FBE1BB2">
      <w:pPr>
        <w:keepNext w:val="0"/>
        <w:keepLines w:val="0"/>
        <w:pageBreakBefore w:val="0"/>
        <w:widowControl w:val="0"/>
        <w:kinsoku/>
        <w:wordWrap/>
        <w:overflowPunct/>
        <w:topLinePunct w:val="0"/>
        <w:autoSpaceDE/>
        <w:autoSpaceDN/>
        <w:bidi w:val="0"/>
        <w:adjustRightInd/>
        <w:snapToGrid/>
        <w:spacing w:line="556" w:lineRule="exact"/>
        <w:textAlignment w:val="auto"/>
        <w:rPr>
          <w:rFonts w:hint="eastAsia" w:ascii="仿宋_GB2312" w:hAnsi="仿宋_GB2312" w:eastAsia="仿宋_GB2312" w:cs="仿宋_GB2312"/>
          <w:b w:val="0"/>
          <w:bCs w:val="0"/>
          <w:color w:val="auto"/>
          <w:szCs w:val="32"/>
          <w:highlight w:val="none"/>
          <w:u w:val="none"/>
        </w:rPr>
      </w:pPr>
      <w:r>
        <w:rPr>
          <w:rFonts w:hint="eastAsia"/>
          <w:b w:val="0"/>
          <w:bCs w:val="0"/>
          <w:highlight w:val="none"/>
          <w:u w:val="single"/>
        </w:rPr>
        <w:t>发展“农村气网”建设是农村能源清洁低碳化发展的现实选择，各</w:t>
      </w:r>
      <w:r>
        <w:rPr>
          <w:rFonts w:hint="eastAsia"/>
          <w:b w:val="0"/>
          <w:bCs w:val="0"/>
          <w:highlight w:val="none"/>
          <w:u w:val="single"/>
          <w:lang w:eastAsia="zh-CN"/>
        </w:rPr>
        <w:t>乡（镇）</w:t>
      </w:r>
      <w:r>
        <w:rPr>
          <w:rFonts w:hint="eastAsia"/>
          <w:b w:val="0"/>
          <w:bCs w:val="0"/>
          <w:highlight w:val="none"/>
          <w:u w:val="single"/>
        </w:rPr>
        <w:t>加大天然气管道建设，实现燃气村村通，近期规划配建LNG</w:t>
      </w:r>
      <w:r>
        <w:rPr>
          <w:rFonts w:hint="eastAsia" w:ascii="仿宋_GB2312" w:hAnsi="仿宋_GB2312" w:eastAsia="仿宋_GB2312"/>
          <w:b w:val="0"/>
          <w:bCs w:val="0"/>
          <w:highlight w:val="none"/>
          <w:u w:val="single"/>
          <w:lang w:eastAsia="zh-CN"/>
        </w:rPr>
        <w:t>（</w:t>
      </w:r>
      <w:r>
        <w:rPr>
          <w:rFonts w:hint="eastAsia"/>
          <w:b w:val="0"/>
          <w:bCs w:val="0"/>
          <w:highlight w:val="none"/>
          <w:u w:val="single"/>
        </w:rPr>
        <w:t>液化天然气</w:t>
      </w:r>
      <w:r>
        <w:rPr>
          <w:rFonts w:hint="eastAsia" w:ascii="仿宋_GB2312" w:hAnsi="仿宋_GB2312" w:eastAsia="仿宋_GB2312"/>
          <w:b w:val="0"/>
          <w:bCs w:val="0"/>
          <w:highlight w:val="none"/>
          <w:u w:val="single"/>
          <w:lang w:eastAsia="zh-CN"/>
        </w:rPr>
        <w:t>）</w:t>
      </w:r>
      <w:r>
        <w:rPr>
          <w:rFonts w:hint="eastAsia"/>
          <w:b w:val="0"/>
          <w:bCs w:val="0"/>
          <w:highlight w:val="none"/>
          <w:u w:val="single"/>
        </w:rPr>
        <w:t>储配站，服务于各</w:t>
      </w:r>
      <w:r>
        <w:rPr>
          <w:rFonts w:hint="eastAsia"/>
          <w:b w:val="0"/>
          <w:bCs w:val="0"/>
          <w:highlight w:val="none"/>
          <w:u w:val="single"/>
          <w:lang w:eastAsia="zh-CN"/>
        </w:rPr>
        <w:t>乡（镇）</w:t>
      </w:r>
      <w:r>
        <w:rPr>
          <w:rFonts w:hint="eastAsia"/>
          <w:b w:val="0"/>
          <w:bCs w:val="0"/>
          <w:highlight w:val="none"/>
          <w:u w:val="none"/>
        </w:rPr>
        <w:t>。</w:t>
      </w:r>
    </w:p>
    <w:p w14:paraId="2CE2CB65">
      <w:pPr>
        <w:pStyle w:val="23"/>
        <w:numPr>
          <w:ilvl w:val="0"/>
          <w:numId w:val="3"/>
        </w:numPr>
        <w:bidi w:val="0"/>
        <w:ind w:left="0" w:leftChars="0" w:firstLine="612" w:firstLineChars="0"/>
        <w:outlineLvl w:val="2"/>
        <w:rPr>
          <w:rFonts w:hint="eastAsia"/>
          <w:highlight w:val="none"/>
          <w:lang w:val="en-US"/>
        </w:rPr>
      </w:pPr>
      <w:bookmarkStart w:id="244" w:name="_Toc19719"/>
      <w:r>
        <w:rPr>
          <w:rFonts w:hint="eastAsia"/>
          <w:highlight w:val="none"/>
          <w:lang w:val="en-US"/>
        </w:rPr>
        <w:t>供热设施</w:t>
      </w:r>
      <w:bookmarkEnd w:id="244"/>
    </w:p>
    <w:p w14:paraId="4BB88D5B">
      <w:pPr>
        <w:bidi w:val="0"/>
        <w:outlineLvl w:val="3"/>
        <w:rPr>
          <w:rFonts w:hint="eastAsia"/>
          <w:b w:val="0"/>
          <w:bCs w:val="0"/>
          <w:highlight w:val="none"/>
        </w:rPr>
      </w:pPr>
      <w:r>
        <w:rPr>
          <w:rFonts w:hint="eastAsia"/>
          <w:b w:val="0"/>
          <w:bCs w:val="0"/>
          <w:highlight w:val="none"/>
        </w:rPr>
        <w:t>1.热负荷</w:t>
      </w:r>
    </w:p>
    <w:p w14:paraId="22500E05">
      <w:pPr>
        <w:pStyle w:val="42"/>
        <w:rPr>
          <w:rFonts w:hint="eastAsia"/>
          <w:highlight w:val="green"/>
        </w:rPr>
      </w:pPr>
      <w:r>
        <w:rPr>
          <w:rFonts w:hint="eastAsia"/>
          <w:highlight w:val="none"/>
        </w:rPr>
        <w:t>至规划期末，县域采暖热负荷为</w:t>
      </w:r>
      <w:r>
        <w:rPr>
          <w:rFonts w:hint="eastAsia"/>
          <w:highlight w:val="none"/>
          <w:lang w:val="en-US" w:eastAsia="zh-CN"/>
        </w:rPr>
        <w:t>416.3</w:t>
      </w:r>
      <w:r>
        <w:rPr>
          <w:rFonts w:hint="eastAsia"/>
          <w:highlight w:val="none"/>
        </w:rPr>
        <w:t>兆瓦，其中，中心城区采暖热负荷为</w:t>
      </w:r>
      <w:r>
        <w:rPr>
          <w:rFonts w:hint="eastAsia"/>
          <w:highlight w:val="none"/>
          <w:lang w:val="en-US" w:eastAsia="zh-CN"/>
        </w:rPr>
        <w:t>221.5</w:t>
      </w:r>
      <w:r>
        <w:rPr>
          <w:rFonts w:hint="eastAsia"/>
          <w:highlight w:val="none"/>
        </w:rPr>
        <w:t>兆瓦。</w:t>
      </w:r>
    </w:p>
    <w:p w14:paraId="3556B060">
      <w:pPr>
        <w:bidi w:val="0"/>
        <w:outlineLvl w:val="3"/>
        <w:rPr>
          <w:rFonts w:hint="eastAsia"/>
          <w:b w:val="0"/>
          <w:bCs w:val="0"/>
          <w:highlight w:val="none"/>
        </w:rPr>
      </w:pPr>
      <w:r>
        <w:rPr>
          <w:rFonts w:hint="eastAsia"/>
          <w:b w:val="0"/>
          <w:bCs w:val="0"/>
          <w:highlight w:val="none"/>
        </w:rPr>
        <w:t>2.热源规划</w:t>
      </w:r>
    </w:p>
    <w:p w14:paraId="0628283E">
      <w:pPr>
        <w:bidi w:val="0"/>
        <w:rPr>
          <w:rFonts w:hint="eastAsia"/>
          <w:b w:val="0"/>
          <w:bCs w:val="0"/>
          <w:highlight w:val="none"/>
        </w:rPr>
      </w:pPr>
      <w:r>
        <w:rPr>
          <w:rFonts w:hint="eastAsia"/>
          <w:b w:val="0"/>
          <w:bCs w:val="0"/>
          <w:highlight w:val="none"/>
          <w:u w:val="single"/>
        </w:rPr>
        <w:t>规划以焦作龙源电厂作为热源，供热范围包括中心城区和开发区。鼓励发展多种方式联合供热，建立安全、清洁、经济、高效的城市供热系统</w:t>
      </w:r>
      <w:r>
        <w:rPr>
          <w:rFonts w:hint="eastAsia"/>
          <w:b w:val="0"/>
          <w:bCs w:val="0"/>
          <w:highlight w:val="none"/>
        </w:rPr>
        <w:t>。</w:t>
      </w:r>
    </w:p>
    <w:p w14:paraId="18313997">
      <w:pPr>
        <w:bidi w:val="0"/>
        <w:outlineLvl w:val="3"/>
        <w:rPr>
          <w:rFonts w:hint="eastAsia"/>
          <w:b w:val="0"/>
          <w:bCs w:val="0"/>
          <w:highlight w:val="none"/>
        </w:rPr>
      </w:pPr>
      <w:r>
        <w:rPr>
          <w:rFonts w:hint="eastAsia"/>
          <w:b w:val="0"/>
          <w:bCs w:val="0"/>
          <w:highlight w:val="none"/>
        </w:rPr>
        <w:t>3.供热设施规划</w:t>
      </w:r>
    </w:p>
    <w:p w14:paraId="70FB90E8">
      <w:pPr>
        <w:bidi w:val="0"/>
        <w:rPr>
          <w:rFonts w:hint="eastAsia"/>
          <w:b w:val="0"/>
          <w:bCs w:val="0"/>
          <w:highlight w:val="none"/>
        </w:rPr>
      </w:pPr>
      <w:r>
        <w:rPr>
          <w:rFonts w:hint="eastAsia"/>
          <w:b w:val="0"/>
          <w:bCs w:val="0"/>
          <w:highlight w:val="none"/>
        </w:rPr>
        <w:t>（1）热力站规划</w:t>
      </w:r>
    </w:p>
    <w:p w14:paraId="5825E8FC">
      <w:pPr>
        <w:bidi w:val="0"/>
        <w:rPr>
          <w:rFonts w:hint="eastAsia"/>
          <w:b w:val="0"/>
          <w:bCs w:val="0"/>
          <w:highlight w:val="none"/>
        </w:rPr>
      </w:pPr>
      <w:r>
        <w:rPr>
          <w:rFonts w:hint="eastAsia"/>
          <w:b w:val="0"/>
          <w:bCs w:val="0"/>
          <w:highlight w:val="none"/>
        </w:rPr>
        <w:t>居民生活用户以小区或组团为单位建设热力站，热力站尽量布置在供热小区热负荷集中的区域，方便一级管网的进出，同时兼顾二级管网敷设，以减少二级管网建设费用。</w:t>
      </w:r>
    </w:p>
    <w:p w14:paraId="4A3045E8">
      <w:pPr>
        <w:bidi w:val="0"/>
        <w:rPr>
          <w:rFonts w:hint="eastAsia"/>
          <w:b w:val="0"/>
          <w:bCs w:val="0"/>
          <w:highlight w:val="none"/>
        </w:rPr>
      </w:pPr>
      <w:r>
        <w:rPr>
          <w:rFonts w:hint="eastAsia"/>
          <w:b w:val="0"/>
          <w:bCs w:val="0"/>
          <w:highlight w:val="none"/>
        </w:rPr>
        <w:t>（2）供热管网规划</w:t>
      </w:r>
    </w:p>
    <w:p w14:paraId="1F5FE0FD">
      <w:pPr>
        <w:bidi w:val="0"/>
        <w:rPr>
          <w:rFonts w:hint="eastAsia"/>
          <w:b w:val="0"/>
          <w:bCs w:val="0"/>
          <w:highlight w:val="none"/>
        </w:rPr>
      </w:pPr>
      <w:r>
        <w:rPr>
          <w:rFonts w:hint="eastAsia"/>
          <w:b w:val="0"/>
          <w:bCs w:val="0"/>
          <w:highlight w:val="none"/>
        </w:rPr>
        <w:t>供热管网采用以枝状为主兼局部环网的闭式系统。干管沿镇区道路布置，并位于热负荷比较集中的区域，管网布置力求短直，沿道路人行道或慢车道采用地下直埋敷设方式。</w:t>
      </w:r>
    </w:p>
    <w:p w14:paraId="6960C24F">
      <w:pPr>
        <w:pStyle w:val="23"/>
        <w:numPr>
          <w:ilvl w:val="0"/>
          <w:numId w:val="3"/>
        </w:numPr>
        <w:bidi w:val="0"/>
        <w:ind w:left="0" w:leftChars="0" w:firstLine="612" w:firstLineChars="0"/>
        <w:outlineLvl w:val="2"/>
        <w:rPr>
          <w:rFonts w:hint="eastAsia"/>
          <w:highlight w:val="none"/>
          <w:lang w:val="en-US"/>
        </w:rPr>
      </w:pPr>
      <w:bookmarkStart w:id="245" w:name="_Toc22520"/>
      <w:r>
        <w:rPr>
          <w:rFonts w:hint="eastAsia"/>
          <w:highlight w:val="none"/>
          <w:lang w:val="en-US"/>
        </w:rPr>
        <w:t>通信设施</w:t>
      </w:r>
      <w:bookmarkEnd w:id="245"/>
    </w:p>
    <w:p w14:paraId="1E0BC6A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s="Times New Roman"/>
          <w:b w:val="0"/>
          <w:bCs w:val="0"/>
          <w:highlight w:val="none"/>
          <w:lang w:val="en-US" w:eastAsia="zh-CN"/>
        </w:rPr>
      </w:pPr>
      <w:r>
        <w:rPr>
          <w:rFonts w:hint="eastAsia" w:cs="Times New Roman"/>
          <w:b w:val="0"/>
          <w:bCs w:val="0"/>
          <w:highlight w:val="none"/>
          <w:lang w:val="en-US" w:eastAsia="zh-CN"/>
        </w:rPr>
        <w:t>规划</w:t>
      </w:r>
      <w:r>
        <w:rPr>
          <w:rFonts w:hint="default" w:cs="Times New Roman"/>
          <w:b w:val="0"/>
          <w:bCs w:val="0"/>
          <w:highlight w:val="none"/>
          <w:lang w:val="en-US" w:eastAsia="zh-CN"/>
        </w:rPr>
        <w:t>增加合理保障通信基础设施用地需求</w:t>
      </w:r>
      <w:r>
        <w:rPr>
          <w:rFonts w:hint="eastAsia" w:cs="Times New Roman"/>
          <w:b w:val="0"/>
          <w:bCs w:val="0"/>
          <w:highlight w:val="none"/>
          <w:lang w:val="en-US" w:eastAsia="zh-CN"/>
        </w:rPr>
        <w:t>。规划</w:t>
      </w:r>
      <w:r>
        <w:rPr>
          <w:rFonts w:hint="default" w:cs="Times New Roman"/>
          <w:b w:val="0"/>
          <w:bCs w:val="0"/>
          <w:highlight w:val="none"/>
          <w:lang w:val="en-US" w:eastAsia="zh-CN"/>
        </w:rPr>
        <w:t>增加合理保障通信基础设施用地需求</w:t>
      </w:r>
      <w:r>
        <w:rPr>
          <w:rFonts w:hint="eastAsia" w:cs="Times New Roman"/>
          <w:b w:val="0"/>
          <w:bCs w:val="0"/>
          <w:highlight w:val="none"/>
          <w:lang w:val="en-US" w:eastAsia="zh-CN"/>
        </w:rPr>
        <w:t>。包括</w:t>
      </w:r>
      <w:r>
        <w:rPr>
          <w:rFonts w:hint="default" w:cs="Times New Roman"/>
          <w:b w:val="0"/>
          <w:bCs w:val="0"/>
          <w:highlight w:val="none"/>
          <w:lang w:val="en-US" w:eastAsia="zh-CN"/>
        </w:rPr>
        <w:t>通信</w:t>
      </w:r>
      <w:r>
        <w:rPr>
          <w:rFonts w:hint="eastAsia" w:cs="Times New Roman"/>
          <w:b w:val="0"/>
          <w:bCs w:val="0"/>
          <w:highlight w:val="none"/>
          <w:lang w:val="en-US" w:eastAsia="zh-CN"/>
        </w:rPr>
        <w:t>机房</w:t>
      </w:r>
      <w:r>
        <w:rPr>
          <w:rFonts w:hint="default" w:cs="Times New Roman"/>
          <w:b w:val="0"/>
          <w:bCs w:val="0"/>
          <w:highlight w:val="none"/>
          <w:lang w:val="en-US" w:eastAsia="zh-CN"/>
        </w:rPr>
        <w:t>、通信站址</w:t>
      </w:r>
      <w:r>
        <w:rPr>
          <w:rFonts w:hint="eastAsia" w:cs="Times New Roman"/>
          <w:b w:val="0"/>
          <w:bCs w:val="0"/>
          <w:highlight w:val="none"/>
          <w:lang w:val="en-US" w:eastAsia="zh-CN"/>
        </w:rPr>
        <w:t>、</w:t>
      </w:r>
      <w:r>
        <w:rPr>
          <w:rFonts w:hint="default" w:cs="Times New Roman"/>
          <w:b w:val="0"/>
          <w:bCs w:val="0"/>
          <w:highlight w:val="none"/>
          <w:lang w:val="en-US" w:eastAsia="zh-CN"/>
        </w:rPr>
        <w:t>通信管道</w:t>
      </w:r>
      <w:r>
        <w:rPr>
          <w:rFonts w:hint="eastAsia" w:cs="Times New Roman"/>
          <w:b w:val="0"/>
          <w:bCs w:val="0"/>
          <w:highlight w:val="none"/>
          <w:lang w:val="en-US" w:eastAsia="zh-CN"/>
        </w:rPr>
        <w:t>及</w:t>
      </w:r>
      <w:r>
        <w:rPr>
          <w:rFonts w:hint="default" w:cs="Times New Roman"/>
          <w:b w:val="0"/>
          <w:bCs w:val="0"/>
          <w:highlight w:val="none"/>
          <w:lang w:val="en-US" w:eastAsia="zh-CN"/>
        </w:rPr>
        <w:t>通信光交箱。</w:t>
      </w:r>
      <w:r>
        <w:rPr>
          <w:rFonts w:hint="eastAsia" w:cs="Times New Roman"/>
          <w:b w:val="0"/>
          <w:bCs w:val="0"/>
          <w:highlight w:val="none"/>
          <w:lang w:val="en-US" w:eastAsia="zh-CN"/>
        </w:rPr>
        <w:t>重视</w:t>
      </w:r>
      <w:r>
        <w:rPr>
          <w:rFonts w:hint="default" w:cs="Times New Roman"/>
          <w:b w:val="0"/>
          <w:bCs w:val="0"/>
          <w:highlight w:val="none"/>
          <w:lang w:val="en-US" w:eastAsia="zh-CN"/>
        </w:rPr>
        <w:t>5G</w:t>
      </w:r>
      <w:r>
        <w:rPr>
          <w:rFonts w:hint="eastAsia" w:cs="Times New Roman"/>
          <w:b w:val="0"/>
          <w:bCs w:val="0"/>
          <w:highlight w:val="none"/>
          <w:lang w:val="en-US" w:eastAsia="zh-CN"/>
        </w:rPr>
        <w:t>通讯设施建设，包括</w:t>
      </w:r>
      <w:r>
        <w:rPr>
          <w:rFonts w:hint="default" w:cs="Times New Roman"/>
          <w:b w:val="0"/>
          <w:bCs w:val="0"/>
          <w:highlight w:val="none"/>
          <w:lang w:val="en-US" w:eastAsia="zh-CN"/>
        </w:rPr>
        <w:t>5G基站</w:t>
      </w:r>
      <w:r>
        <w:rPr>
          <w:rFonts w:hint="eastAsia" w:cs="Times New Roman"/>
          <w:b w:val="0"/>
          <w:bCs w:val="0"/>
          <w:highlight w:val="none"/>
          <w:lang w:val="en-US" w:eastAsia="zh-CN"/>
        </w:rPr>
        <w:t>，</w:t>
      </w:r>
      <w:r>
        <w:rPr>
          <w:rFonts w:hint="default" w:cs="Times New Roman"/>
          <w:b w:val="0"/>
          <w:bCs w:val="0"/>
          <w:highlight w:val="none"/>
          <w:lang w:val="en-US" w:eastAsia="zh-CN"/>
        </w:rPr>
        <w:t>新建站点的选址，利旧站点原址新建等；</w:t>
      </w:r>
      <w:r>
        <w:rPr>
          <w:rFonts w:hint="eastAsia" w:cs="Times New Roman"/>
          <w:b w:val="0"/>
          <w:bCs w:val="0"/>
          <w:highlight w:val="none"/>
          <w:lang w:val="en-US" w:eastAsia="zh-CN"/>
        </w:rPr>
        <w:t>通信机房：围绕5G基站的建设，结合5G、宽带等多业务融合，进行机房选址规划，满足业务发展需求；通信管道：结合5G基站布局进行管道规划，形成完善的地下通信管网。</w:t>
      </w:r>
    </w:p>
    <w:p w14:paraId="7BCAE2A2">
      <w:pPr>
        <w:bidi w:val="0"/>
        <w:outlineLvl w:val="3"/>
        <w:rPr>
          <w:rFonts w:hint="eastAsia"/>
          <w:b w:val="0"/>
          <w:bCs w:val="0"/>
          <w:highlight w:val="none"/>
        </w:rPr>
      </w:pPr>
      <w:r>
        <w:rPr>
          <w:rFonts w:hint="eastAsia"/>
          <w:b w:val="0"/>
          <w:bCs w:val="0"/>
          <w:highlight w:val="none"/>
        </w:rPr>
        <w:t>1.邮政</w:t>
      </w:r>
    </w:p>
    <w:p w14:paraId="6056AD8E">
      <w:pPr>
        <w:bidi w:val="0"/>
        <w:rPr>
          <w:rFonts w:hint="eastAsia"/>
          <w:b w:val="0"/>
          <w:bCs w:val="0"/>
          <w:highlight w:val="none"/>
        </w:rPr>
      </w:pPr>
      <w:r>
        <w:rPr>
          <w:rFonts w:hint="eastAsia"/>
          <w:b w:val="0"/>
          <w:bCs w:val="0"/>
          <w:highlight w:val="none"/>
          <w:u w:val="single"/>
        </w:rPr>
        <w:t>规划于城北、城南、城东各新建邮政支局1座，结合邮政局建设邮政运输、物流配送中心。规划到2035年，进一步完善邮政体系，延长投递线路。在继续抓好函件、包件、邮政储蓄、报刊和速递业务的同时，致力于业务创新，积极开拓邮政邮购、邮政广告、直递包裹业务，利用邮政集物流、资金流、信息流“三合一”的优势，大力发展电子商务，为社会提供综合服务，满足社会需求</w:t>
      </w:r>
      <w:r>
        <w:rPr>
          <w:rFonts w:hint="eastAsia"/>
          <w:b w:val="0"/>
          <w:bCs w:val="0"/>
          <w:highlight w:val="none"/>
        </w:rPr>
        <w:t>。</w:t>
      </w:r>
    </w:p>
    <w:p w14:paraId="47285E7A">
      <w:pPr>
        <w:bidi w:val="0"/>
        <w:outlineLvl w:val="3"/>
        <w:rPr>
          <w:rFonts w:hint="eastAsia"/>
          <w:b w:val="0"/>
          <w:bCs w:val="0"/>
          <w:highlight w:val="none"/>
        </w:rPr>
      </w:pPr>
      <w:r>
        <w:rPr>
          <w:rFonts w:hint="eastAsia"/>
          <w:b w:val="0"/>
          <w:bCs w:val="0"/>
          <w:highlight w:val="none"/>
        </w:rPr>
        <w:t>2.电信网</w:t>
      </w:r>
    </w:p>
    <w:p w14:paraId="4EF07997">
      <w:pPr>
        <w:bidi w:val="0"/>
        <w:rPr>
          <w:rFonts w:hint="eastAsia"/>
          <w:b w:val="0"/>
          <w:bCs w:val="0"/>
          <w:highlight w:val="none"/>
        </w:rPr>
      </w:pPr>
      <w:r>
        <w:rPr>
          <w:rFonts w:hint="eastAsia"/>
          <w:b w:val="0"/>
          <w:bCs w:val="0"/>
          <w:highlight w:val="none"/>
          <w:u w:val="single"/>
        </w:rPr>
        <w:t>在保留原有局所的基础上，在中心城区城北科技路、城东青天河路、城南中光路各新建1座电信二类局。根据撤点并网减少局所数量，加大单局容量原则，尽量利用现有局所，按照目标网规划，现有局所建成大容量局。其他</w:t>
      </w:r>
      <w:r>
        <w:rPr>
          <w:rFonts w:hint="eastAsia"/>
          <w:b w:val="0"/>
          <w:bCs w:val="0"/>
          <w:highlight w:val="none"/>
          <w:u w:val="single"/>
          <w:lang w:eastAsia="zh-CN"/>
        </w:rPr>
        <w:t>乡（镇）</w:t>
      </w:r>
      <w:r>
        <w:rPr>
          <w:rFonts w:hint="eastAsia"/>
          <w:b w:val="0"/>
          <w:bCs w:val="0"/>
          <w:highlight w:val="none"/>
          <w:u w:val="single"/>
        </w:rPr>
        <w:t>根据需要增设市话局或模块局，初始容量应不小于1万门</w:t>
      </w:r>
      <w:r>
        <w:rPr>
          <w:rFonts w:hint="eastAsia"/>
          <w:b w:val="0"/>
          <w:bCs w:val="0"/>
          <w:highlight w:val="none"/>
        </w:rPr>
        <w:t>。</w:t>
      </w:r>
    </w:p>
    <w:p w14:paraId="733AF792">
      <w:pPr>
        <w:bidi w:val="0"/>
        <w:outlineLvl w:val="3"/>
        <w:rPr>
          <w:rFonts w:hint="eastAsia"/>
          <w:b w:val="0"/>
          <w:bCs w:val="0"/>
          <w:highlight w:val="none"/>
        </w:rPr>
      </w:pPr>
      <w:r>
        <w:rPr>
          <w:rFonts w:hint="eastAsia"/>
          <w:b w:val="0"/>
          <w:bCs w:val="0"/>
          <w:highlight w:val="none"/>
        </w:rPr>
        <w:t>3.移动通讯网</w:t>
      </w:r>
    </w:p>
    <w:p w14:paraId="4D7CDF57">
      <w:pPr>
        <w:bidi w:val="0"/>
        <w:rPr>
          <w:rFonts w:hint="eastAsia"/>
          <w:b w:val="0"/>
          <w:bCs w:val="0"/>
          <w:highlight w:val="none"/>
        </w:rPr>
      </w:pPr>
      <w:r>
        <w:rPr>
          <w:rFonts w:hint="eastAsia"/>
          <w:b w:val="0"/>
          <w:bCs w:val="0"/>
          <w:highlight w:val="none"/>
        </w:rPr>
        <w:t>加强基站建设，实现县域内信号无盲区，依托新技术、新设备，以发展电话业务和非话增值新业务为主线，增强网络综合通信能力，提高网络技术水平，大力发展电话网、数据通信网、移动通信网，智能业务、“5G+”互联网的建设，为经济建设和人民生产、生活提供便捷、可靠的优质服务。</w:t>
      </w:r>
    </w:p>
    <w:p w14:paraId="4C189932">
      <w:pPr>
        <w:bidi w:val="0"/>
        <w:rPr>
          <w:rFonts w:hint="eastAsia"/>
          <w:b w:val="0"/>
          <w:bCs w:val="0"/>
          <w:highlight w:val="none"/>
        </w:rPr>
      </w:pPr>
    </w:p>
    <w:p w14:paraId="42070FD6">
      <w:pPr>
        <w:bidi w:val="0"/>
        <w:outlineLvl w:val="3"/>
        <w:rPr>
          <w:rFonts w:hint="eastAsia"/>
          <w:b w:val="0"/>
          <w:bCs w:val="0"/>
          <w:highlight w:val="none"/>
        </w:rPr>
      </w:pPr>
      <w:r>
        <w:rPr>
          <w:rFonts w:hint="eastAsia"/>
          <w:b w:val="0"/>
          <w:bCs w:val="0"/>
          <w:highlight w:val="none"/>
        </w:rPr>
        <w:t>4.有线电视</w:t>
      </w:r>
    </w:p>
    <w:p w14:paraId="6357FA7B">
      <w:pPr>
        <w:bidi w:val="0"/>
        <w:rPr>
          <w:rFonts w:hint="eastAsia"/>
          <w:b w:val="0"/>
          <w:bCs w:val="0"/>
          <w:highlight w:val="none"/>
        </w:rPr>
      </w:pPr>
      <w:r>
        <w:rPr>
          <w:rFonts w:hint="eastAsia"/>
          <w:b w:val="0"/>
          <w:bCs w:val="0"/>
          <w:highlight w:val="none"/>
        </w:rPr>
        <w:t>规划至2035年，建成有线广播电视的因特网宽带信息网，完善各个分前端机房建设和整个传输网络，有线广播电视全面实现数字化，使之成为信息传输的主要渠道之一。大量地采用先进的宽带交换、传输和接收技术，推行智能化小区的建设。可视电话、电子报纸，远程医疗、远程教育、会议电视、远程监控、股票信息、网上购物、家庭办公等各种综合业务全面开展，光纤入户工程迅速发展。</w:t>
      </w:r>
    </w:p>
    <w:p w14:paraId="5A8A6214">
      <w:pPr>
        <w:bidi w:val="0"/>
        <w:outlineLvl w:val="3"/>
        <w:rPr>
          <w:rFonts w:hint="eastAsia"/>
          <w:b w:val="0"/>
          <w:bCs w:val="0"/>
          <w:highlight w:val="none"/>
          <w:lang w:val="en-US" w:eastAsia="zh-CN"/>
        </w:rPr>
      </w:pPr>
      <w:r>
        <w:rPr>
          <w:rFonts w:hint="eastAsia"/>
          <w:b w:val="0"/>
          <w:bCs w:val="0"/>
          <w:highlight w:val="none"/>
          <w:lang w:val="en-US" w:eastAsia="zh-CN"/>
        </w:rPr>
        <w:t>5.管控要求</w:t>
      </w:r>
    </w:p>
    <w:p w14:paraId="3D7311A7">
      <w:pPr>
        <w:bidi w:val="0"/>
        <w:rPr>
          <w:rFonts w:hint="eastAsia"/>
          <w:b w:val="0"/>
          <w:bCs w:val="0"/>
          <w:highlight w:val="none"/>
          <w:lang w:val="en-US" w:eastAsia="zh-CN"/>
        </w:rPr>
      </w:pPr>
      <w:r>
        <w:rPr>
          <w:rFonts w:hint="eastAsia"/>
          <w:b w:val="0"/>
          <w:bCs w:val="0"/>
          <w:highlight w:val="none"/>
          <w:lang w:val="en-US" w:eastAsia="zh-CN"/>
        </w:rPr>
        <w:t>强化通信基础设施的战略性、基础性、先导性公共基础设施属性，机关、企事业单位、公共机构等所属设施，道路、桥梁、公路、铁路、航道、港口、绿地、机场、轨道交通、市政管道、大型场馆、景区等公共资源免费向通信设施建设开放附挂线缆、设置基站。严格执行《河南省电信条例》，任何单位和个人不得破坏电信基础设施、危害电信基础设施安全。不得阻止或者方案依法进行的电信基础设施建设，因城乡规划建设、城区改造、公路改扩建等情况确需改动或者迁移电信基础设施的，应当坚持先建设后拆除的原则，并依法给予补偿。</w:t>
      </w:r>
    </w:p>
    <w:p w14:paraId="4FF88E3B">
      <w:pPr>
        <w:pStyle w:val="23"/>
        <w:keepNext w:val="0"/>
        <w:keepLines w:val="0"/>
        <w:pageBreakBefore w:val="0"/>
        <w:widowControl w:val="0"/>
        <w:numPr>
          <w:ilvl w:val="0"/>
          <w:numId w:val="3"/>
        </w:numPr>
        <w:kinsoku/>
        <w:wordWrap/>
        <w:overflowPunct/>
        <w:topLinePunct w:val="0"/>
        <w:autoSpaceDE/>
        <w:autoSpaceDN/>
        <w:bidi w:val="0"/>
        <w:adjustRightInd/>
        <w:snapToGrid/>
        <w:spacing w:line="576" w:lineRule="exact"/>
        <w:ind w:left="0" w:leftChars="0" w:firstLine="612" w:firstLineChars="0"/>
        <w:textAlignment w:val="auto"/>
        <w:outlineLvl w:val="2"/>
        <w:rPr>
          <w:rFonts w:hint="eastAsia"/>
          <w:highlight w:val="none"/>
          <w:lang w:val="en-US"/>
        </w:rPr>
      </w:pPr>
      <w:bookmarkStart w:id="246" w:name="_Toc20550"/>
      <w:r>
        <w:rPr>
          <w:rFonts w:hint="eastAsia"/>
          <w:highlight w:val="none"/>
          <w:lang w:val="en-US"/>
        </w:rPr>
        <w:t>环卫设施</w:t>
      </w:r>
      <w:bookmarkEnd w:id="246"/>
    </w:p>
    <w:p w14:paraId="44A70A0C">
      <w:pPr>
        <w:keepNext w:val="0"/>
        <w:keepLines w:val="0"/>
        <w:pageBreakBefore w:val="0"/>
        <w:widowControl w:val="0"/>
        <w:kinsoku/>
        <w:wordWrap/>
        <w:overflowPunct/>
        <w:topLinePunct w:val="0"/>
        <w:autoSpaceDE/>
        <w:autoSpaceDN/>
        <w:bidi w:val="0"/>
        <w:adjustRightInd/>
        <w:snapToGrid/>
        <w:spacing w:line="576" w:lineRule="exact"/>
        <w:textAlignment w:val="auto"/>
        <w:outlineLvl w:val="3"/>
        <w:rPr>
          <w:rFonts w:hint="eastAsia"/>
          <w:b w:val="0"/>
          <w:bCs w:val="0"/>
          <w:highlight w:val="none"/>
        </w:rPr>
      </w:pPr>
      <w:r>
        <w:rPr>
          <w:rFonts w:hint="eastAsia"/>
          <w:b w:val="0"/>
          <w:bCs w:val="0"/>
          <w:highlight w:val="none"/>
        </w:rPr>
        <w:t>1.规划目标</w:t>
      </w:r>
    </w:p>
    <w:p w14:paraId="305E8AE1">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博爱县垃圾统一运往静脉产业园资源化利用处理。到2035年，城镇生活垃圾回收利用率达到</w:t>
      </w:r>
      <w:r>
        <w:rPr>
          <w:rFonts w:hint="eastAsia"/>
          <w:b w:val="0"/>
          <w:bCs w:val="0"/>
          <w:highlight w:val="none"/>
          <w:lang w:val="en-US" w:eastAsia="zh-CN"/>
        </w:rPr>
        <w:t>50</w:t>
      </w:r>
      <w:r>
        <w:rPr>
          <w:rFonts w:hint="eastAsia"/>
          <w:b w:val="0"/>
          <w:bCs w:val="0"/>
          <w:highlight w:val="none"/>
        </w:rPr>
        <w:t>%。</w:t>
      </w:r>
    </w:p>
    <w:p w14:paraId="7BFE3834">
      <w:pPr>
        <w:keepNext w:val="0"/>
        <w:keepLines w:val="0"/>
        <w:pageBreakBefore w:val="0"/>
        <w:widowControl w:val="0"/>
        <w:kinsoku/>
        <w:wordWrap/>
        <w:overflowPunct/>
        <w:topLinePunct w:val="0"/>
        <w:autoSpaceDE/>
        <w:autoSpaceDN/>
        <w:bidi w:val="0"/>
        <w:adjustRightInd/>
        <w:snapToGrid/>
        <w:spacing w:line="576" w:lineRule="exact"/>
        <w:textAlignment w:val="auto"/>
        <w:outlineLvl w:val="3"/>
        <w:rPr>
          <w:rFonts w:hint="eastAsia"/>
          <w:b w:val="0"/>
          <w:bCs w:val="0"/>
          <w:highlight w:val="none"/>
        </w:rPr>
      </w:pPr>
      <w:r>
        <w:rPr>
          <w:rFonts w:hint="eastAsia"/>
          <w:b w:val="0"/>
          <w:bCs w:val="0"/>
          <w:highlight w:val="none"/>
        </w:rPr>
        <w:t>2.垃圾产量预测</w:t>
      </w:r>
    </w:p>
    <w:p w14:paraId="60C7F2C0">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城镇人均生活垃圾日产量为1公斤。农村人口人均垃圾日产量按0.8公斤计，则规划期末日产量为264.88吨。</w:t>
      </w:r>
    </w:p>
    <w:p w14:paraId="58FA968D">
      <w:pPr>
        <w:keepNext w:val="0"/>
        <w:keepLines w:val="0"/>
        <w:pageBreakBefore w:val="0"/>
        <w:widowControl w:val="0"/>
        <w:kinsoku/>
        <w:wordWrap/>
        <w:overflowPunct/>
        <w:topLinePunct w:val="0"/>
        <w:autoSpaceDE/>
        <w:autoSpaceDN/>
        <w:bidi w:val="0"/>
        <w:adjustRightInd/>
        <w:snapToGrid/>
        <w:spacing w:line="576" w:lineRule="exact"/>
        <w:textAlignment w:val="auto"/>
        <w:outlineLvl w:val="3"/>
        <w:rPr>
          <w:rFonts w:hint="eastAsia"/>
          <w:b w:val="0"/>
          <w:bCs w:val="0"/>
          <w:highlight w:val="none"/>
        </w:rPr>
      </w:pPr>
      <w:r>
        <w:rPr>
          <w:rFonts w:hint="eastAsia"/>
          <w:b w:val="0"/>
          <w:bCs w:val="0"/>
          <w:highlight w:val="none"/>
        </w:rPr>
        <w:t>3.环卫工程规划</w:t>
      </w:r>
    </w:p>
    <w:p w14:paraId="3B531E0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u w:val="single"/>
        </w:rPr>
        <w:t>按每平方公里规划建设3</w:t>
      </w:r>
      <w:r>
        <w:rPr>
          <w:rFonts w:hint="eastAsia" w:ascii="仿宋_GB2312" w:hAnsi="仿宋_GB2312" w:eastAsia="仿宋_GB2312"/>
          <w:b w:val="0"/>
          <w:bCs w:val="0"/>
          <w:highlight w:val="none"/>
          <w:u w:val="single"/>
          <w:lang w:eastAsia="zh-CN"/>
        </w:rPr>
        <w:t>-</w:t>
      </w:r>
      <w:r>
        <w:rPr>
          <w:rFonts w:hint="eastAsia"/>
          <w:b w:val="0"/>
          <w:bCs w:val="0"/>
          <w:highlight w:val="none"/>
          <w:u w:val="single"/>
        </w:rPr>
        <w:t>5座的平均密度设置公共厕所，每座用地面积不宜大于170㎡，在城区规划19处垃圾中转站，其中保留现状14处，新建5处</w:t>
      </w:r>
      <w:r>
        <w:rPr>
          <w:rFonts w:hint="eastAsia"/>
          <w:b w:val="0"/>
          <w:bCs w:val="0"/>
          <w:highlight w:val="none"/>
        </w:rPr>
        <w:t>。</w:t>
      </w:r>
    </w:p>
    <w:p w14:paraId="6ADD2C80">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规划引导新建小区沿街预留公厕、垃圾中转站及环卫工人临时休息场所，作为市政公用设施对外开放</w:t>
      </w:r>
      <w:r>
        <w:rPr>
          <w:rFonts w:hint="eastAsia"/>
          <w:b w:val="0"/>
          <w:bCs w:val="0"/>
          <w:color w:val="auto"/>
          <w:highlight w:val="none"/>
        </w:rPr>
        <w:t>。</w:t>
      </w:r>
      <w:r>
        <w:rPr>
          <w:rFonts w:hint="eastAsia"/>
          <w:b w:val="0"/>
          <w:bCs w:val="0"/>
          <w:color w:val="auto"/>
          <w:highlight w:val="none"/>
          <w:lang w:val="en-US" w:eastAsia="zh-CN"/>
        </w:rPr>
        <w:t>严格建筑垃圾、大件垃圾等固体废弃物处置，</w:t>
      </w:r>
      <w:r>
        <w:rPr>
          <w:rFonts w:hint="eastAsia"/>
          <w:b w:val="0"/>
          <w:bCs w:val="0"/>
          <w:color w:val="auto"/>
          <w:highlight w:val="none"/>
        </w:rPr>
        <w:t>规划引导垃圾</w:t>
      </w:r>
      <w:r>
        <w:rPr>
          <w:rFonts w:hint="eastAsia"/>
          <w:b w:val="0"/>
          <w:bCs w:val="0"/>
          <w:highlight w:val="none"/>
        </w:rPr>
        <w:t>分类收运处理，公共场所应设置垃圾分类收集容器、分类生活垃圾房、生活垃圾分类收集站，面积应满足垃圾分类收集运输功能。</w:t>
      </w:r>
    </w:p>
    <w:p w14:paraId="4339F274">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城乡设施：各镇设置一处中型垃圾转运站，集聚提升类村庄设置一座小型垃圾转运站。各村必须统一设置垃圾收集点，服务半径不超过70米，村委会应安排居民及时收集、清扫和清运。垃圾处理设施距生活居住区至少500米以上，并设绿化带予以隔离。</w:t>
      </w:r>
    </w:p>
    <w:p w14:paraId="03470B1F">
      <w:pPr>
        <w:keepNext w:val="0"/>
        <w:keepLines w:val="0"/>
        <w:pageBreakBefore w:val="0"/>
        <w:widowControl w:val="0"/>
        <w:kinsoku/>
        <w:wordWrap/>
        <w:overflowPunct/>
        <w:topLinePunct w:val="0"/>
        <w:autoSpaceDE/>
        <w:autoSpaceDN/>
        <w:bidi w:val="0"/>
        <w:adjustRightInd/>
        <w:snapToGrid/>
        <w:spacing w:line="576" w:lineRule="exact"/>
        <w:textAlignment w:val="auto"/>
        <w:outlineLvl w:val="3"/>
        <w:rPr>
          <w:rFonts w:hint="eastAsia"/>
          <w:b w:val="0"/>
          <w:bCs w:val="0"/>
          <w:highlight w:val="none"/>
        </w:rPr>
      </w:pPr>
      <w:r>
        <w:rPr>
          <w:rFonts w:hint="eastAsia"/>
          <w:b w:val="0"/>
          <w:bCs w:val="0"/>
          <w:highlight w:val="none"/>
        </w:rPr>
        <w:t>4.收运处理和资源化利用体系</w:t>
      </w:r>
    </w:p>
    <w:p w14:paraId="00510CAD">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b w:val="0"/>
          <w:bCs w:val="0"/>
          <w:highlight w:val="none"/>
        </w:rPr>
      </w:pPr>
      <w:r>
        <w:rPr>
          <w:rFonts w:hint="eastAsia"/>
          <w:b w:val="0"/>
          <w:bCs w:val="0"/>
          <w:highlight w:val="none"/>
        </w:rPr>
        <w:t>实行“户集</w:t>
      </w:r>
      <w:r>
        <w:rPr>
          <w:rFonts w:hint="eastAsia" w:ascii="仿宋_GB2312" w:hAnsi="仿宋_GB2312" w:eastAsia="仿宋_GB2312"/>
          <w:b w:val="0"/>
          <w:bCs w:val="0"/>
          <w:highlight w:val="none"/>
          <w:lang w:eastAsia="zh-CN"/>
        </w:rPr>
        <w:t>-</w:t>
      </w:r>
      <w:r>
        <w:rPr>
          <w:rFonts w:hint="eastAsia"/>
          <w:b w:val="0"/>
          <w:bCs w:val="0"/>
          <w:highlight w:val="none"/>
        </w:rPr>
        <w:t>村收</w:t>
      </w:r>
      <w:r>
        <w:rPr>
          <w:rFonts w:hint="eastAsia" w:ascii="仿宋_GB2312" w:hAnsi="仿宋_GB2312" w:eastAsia="仿宋_GB2312"/>
          <w:b w:val="0"/>
          <w:bCs w:val="0"/>
          <w:highlight w:val="none"/>
          <w:lang w:eastAsia="zh-CN"/>
        </w:rPr>
        <w:t>-</w:t>
      </w:r>
      <w:r>
        <w:rPr>
          <w:rFonts w:hint="eastAsia"/>
          <w:b w:val="0"/>
          <w:bCs w:val="0"/>
          <w:highlight w:val="none"/>
          <w:lang w:eastAsia="zh-CN"/>
        </w:rPr>
        <w:t>乡（镇）</w:t>
      </w:r>
      <w:r>
        <w:rPr>
          <w:rFonts w:hint="eastAsia"/>
          <w:b w:val="0"/>
          <w:bCs w:val="0"/>
          <w:highlight w:val="none"/>
        </w:rPr>
        <w:t>运输</w:t>
      </w:r>
      <w:r>
        <w:rPr>
          <w:rFonts w:hint="eastAsia" w:ascii="仿宋_GB2312" w:hAnsi="仿宋_GB2312" w:eastAsia="仿宋_GB2312"/>
          <w:b w:val="0"/>
          <w:bCs w:val="0"/>
          <w:highlight w:val="none"/>
          <w:lang w:eastAsia="zh-CN"/>
        </w:rPr>
        <w:t>-</w:t>
      </w:r>
      <w:r>
        <w:rPr>
          <w:rFonts w:hint="eastAsia"/>
          <w:b w:val="0"/>
          <w:bCs w:val="0"/>
          <w:highlight w:val="none"/>
        </w:rPr>
        <w:t>县处理”的垃圾收集处理模式，垃圾收运采用小型机动车。</w:t>
      </w:r>
    </w:p>
    <w:p w14:paraId="767CBEBB">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247" w:name="_Toc27659"/>
      <w:bookmarkStart w:id="248" w:name="_Toc27885"/>
      <w:r>
        <w:rPr>
          <w:rFonts w:hint="eastAsia" w:cs="Times New Roman"/>
          <w:highlight w:val="none"/>
        </w:rPr>
        <w:t>安全韧性与综合防灾</w:t>
      </w:r>
      <w:bookmarkEnd w:id="247"/>
      <w:bookmarkEnd w:id="248"/>
    </w:p>
    <w:p w14:paraId="4DE856B4">
      <w:pPr>
        <w:pStyle w:val="23"/>
        <w:numPr>
          <w:ilvl w:val="0"/>
          <w:numId w:val="3"/>
        </w:numPr>
        <w:bidi w:val="0"/>
        <w:ind w:left="0" w:leftChars="0" w:firstLine="612" w:firstLineChars="0"/>
        <w:outlineLvl w:val="2"/>
        <w:rPr>
          <w:rFonts w:hint="eastAsia"/>
          <w:highlight w:val="none"/>
          <w:lang w:val="en-US"/>
        </w:rPr>
      </w:pPr>
      <w:bookmarkStart w:id="249" w:name="_Toc21364"/>
      <w:r>
        <w:rPr>
          <w:rFonts w:hint="eastAsia"/>
          <w:highlight w:val="none"/>
          <w:lang w:val="en-US"/>
        </w:rPr>
        <w:t>综合防灾减灾目标</w:t>
      </w:r>
      <w:bookmarkEnd w:id="249"/>
    </w:p>
    <w:p w14:paraId="3C40E27A">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rPr>
        <w:t>贯彻落实“预防为主，防、抗、避、救相结合”的新时期综合防灾方针，坚持以人为本、尊重生命、保障安全、因地制宜、平灾结合、多灾共用、分区互助，联合保障的基本原则；坚持常态减灾和非常态救灾相统一，努力实现从注重灾后救助向注重灾前预防转变、从应对单一灾种向综合减灾转变、从减少灾害损失向减轻灾害风险转变。全面融入安全韧性城市建设理念，通过国土安全空间布局管控、城乡防灾标准提升、重大防灾减灾工程建设、综合应急救援力量布局</w:t>
      </w:r>
      <w:r>
        <w:rPr>
          <w:rFonts w:hint="eastAsia"/>
          <w:b w:val="0"/>
          <w:bCs w:val="0"/>
          <w:highlight w:val="none"/>
          <w:lang w:eastAsia="zh-CN"/>
        </w:rPr>
        <w:t>、</w:t>
      </w:r>
      <w:r>
        <w:rPr>
          <w:rFonts w:hint="eastAsia"/>
          <w:b w:val="0"/>
          <w:bCs w:val="0"/>
          <w:highlight w:val="none"/>
          <w:lang w:val="en-US" w:eastAsia="zh-CN"/>
        </w:rPr>
        <w:t>增加应急物资库规划</w:t>
      </w:r>
      <w:r>
        <w:rPr>
          <w:rFonts w:hint="eastAsia"/>
          <w:b w:val="0"/>
          <w:bCs w:val="0"/>
          <w:highlight w:val="none"/>
        </w:rPr>
        <w:t>等综合措施来提高博爱县抵御自然灾害和其他各类事故灾害的能力，有效减少灾害造成的影响和损失。</w:t>
      </w:r>
    </w:p>
    <w:p w14:paraId="34C467D6">
      <w:pPr>
        <w:pStyle w:val="4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rPr>
        <w:t>主要灾害风险有暴雨、洪涝、地震、地质灾害等，根据地震灾害、洪涝灾害、地质灾害等现状灾害风险评估，县域现状存在地质灾害高风险区</w:t>
      </w:r>
      <w:r>
        <w:rPr>
          <w:rFonts w:hint="eastAsia"/>
          <w:lang w:eastAsia="zh-CN"/>
        </w:rPr>
        <w:t>主要位于县域北部</w:t>
      </w:r>
      <w:r>
        <w:rPr>
          <w:rFonts w:hint="eastAsia"/>
        </w:rPr>
        <w:t>、地震断裂1条</w:t>
      </w:r>
      <w:r>
        <w:rPr>
          <w:rFonts w:hint="eastAsia"/>
          <w:b w:val="0"/>
          <w:bCs w:val="0"/>
          <w:highlight w:val="none"/>
        </w:rPr>
        <w:t>为盘古寺</w:t>
      </w:r>
      <w:r>
        <w:rPr>
          <w:rFonts w:hint="eastAsia" w:ascii="仿宋_GB2312" w:hAnsi="仿宋_GB2312" w:eastAsia="仿宋_GB2312" w:cs="仿宋_GB2312"/>
          <w:b w:val="0"/>
          <w:bCs w:val="0"/>
          <w:highlight w:val="none"/>
          <w:lang w:eastAsia="zh-CN"/>
        </w:rPr>
        <w:t>-</w:t>
      </w:r>
      <w:r>
        <w:rPr>
          <w:rFonts w:hint="eastAsia"/>
          <w:b w:val="0"/>
          <w:bCs w:val="0"/>
          <w:highlight w:val="none"/>
        </w:rPr>
        <w:t>新乡断层</w:t>
      </w:r>
      <w:r>
        <w:rPr>
          <w:rFonts w:hint="eastAsia"/>
        </w:rPr>
        <w:t>，洪涝灾害风险区沿</w:t>
      </w:r>
      <w:r>
        <w:rPr>
          <w:rFonts w:hint="eastAsia"/>
          <w:lang w:val="en-US" w:eastAsia="zh-CN"/>
        </w:rPr>
        <w:t>位</w:t>
      </w:r>
      <w:r>
        <w:rPr>
          <w:rFonts w:hint="eastAsia"/>
        </w:rPr>
        <w:t>河分布，项目在选址建设前应进行风险评估，合理避让高风险地区。</w:t>
      </w:r>
      <w:r>
        <w:rPr>
          <w:rFonts w:hint="eastAsia"/>
          <w:b w:val="0"/>
          <w:bCs w:val="0"/>
          <w:highlight w:val="none"/>
        </w:rPr>
        <w:t>预留《黄河流域生态保护和高质量发展规划纲要》《黄河流域综合规划》《黄河流域防洪规划》等规划的防洪工程空间，且各类空间不相互冲突。</w:t>
      </w:r>
    </w:p>
    <w:p w14:paraId="68587972">
      <w:pPr>
        <w:pStyle w:val="23"/>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12" w:firstLineChars="0"/>
        <w:textAlignment w:val="auto"/>
        <w:outlineLvl w:val="2"/>
        <w:rPr>
          <w:rFonts w:hint="eastAsia"/>
          <w:highlight w:val="none"/>
          <w:lang w:val="en-US"/>
        </w:rPr>
      </w:pPr>
      <w:bookmarkStart w:id="250" w:name="_Toc17117"/>
      <w:r>
        <w:rPr>
          <w:rFonts w:hint="eastAsia"/>
          <w:highlight w:val="none"/>
          <w:lang w:val="en-US"/>
        </w:rPr>
        <w:t>防洪排涝规划</w:t>
      </w:r>
      <w:bookmarkEnd w:id="250"/>
    </w:p>
    <w:p w14:paraId="60FDEA6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u w:val="single"/>
        </w:rPr>
        <w:t>沁河及</w:t>
      </w:r>
      <w:r>
        <w:rPr>
          <w:rFonts w:hint="eastAsia"/>
          <w:b w:val="0"/>
          <w:bCs w:val="0"/>
          <w:highlight w:val="none"/>
          <w:u w:val="single"/>
          <w:lang w:val="en-US" w:eastAsia="zh-CN"/>
        </w:rPr>
        <w:t>大沙</w:t>
      </w:r>
      <w:r>
        <w:rPr>
          <w:rFonts w:hint="eastAsia"/>
          <w:b w:val="0"/>
          <w:bCs w:val="0"/>
          <w:highlight w:val="none"/>
          <w:u w:val="single"/>
        </w:rPr>
        <w:t>河按100年一遇设防，丹河按20年一遇设防。中心城区内幸福河、勒马河、下秦河、北横河、运粮河防洪标准按照50年一遇设防。城市雨水管渠系统设施排放标准不小于3年一遇；城市内涝灾害防治重现期达到20</w:t>
      </w:r>
      <w:r>
        <w:rPr>
          <w:rFonts w:hint="eastAsia" w:ascii="仿宋_GB2312" w:hAnsi="仿宋_GB2312" w:eastAsia="仿宋_GB2312"/>
          <w:b w:val="0"/>
          <w:bCs w:val="0"/>
          <w:highlight w:val="none"/>
          <w:u w:val="single"/>
          <w:lang w:eastAsia="zh-CN"/>
        </w:rPr>
        <w:t>-</w:t>
      </w:r>
      <w:r>
        <w:rPr>
          <w:rFonts w:hint="eastAsia"/>
          <w:b w:val="0"/>
          <w:bCs w:val="0"/>
          <w:highlight w:val="none"/>
          <w:u w:val="single"/>
        </w:rPr>
        <w:t>30年一遇。中心城区防洪标准不低于20年一遇，</w:t>
      </w:r>
      <w:r>
        <w:rPr>
          <w:rFonts w:hint="eastAsia"/>
          <w:b w:val="0"/>
          <w:bCs w:val="0"/>
          <w:highlight w:val="none"/>
          <w:u w:val="single"/>
          <w:lang w:eastAsia="zh-CN"/>
        </w:rPr>
        <w:t>乡（镇）</w:t>
      </w:r>
      <w:r>
        <w:rPr>
          <w:rFonts w:hint="eastAsia"/>
          <w:b w:val="0"/>
          <w:bCs w:val="0"/>
          <w:highlight w:val="none"/>
          <w:u w:val="single"/>
        </w:rPr>
        <w:t>区防洪标准不低于20年一遇；乡村防护区防洪标准不低于10年一遇</w:t>
      </w:r>
      <w:r>
        <w:rPr>
          <w:rFonts w:hint="eastAsia"/>
          <w:b w:val="0"/>
          <w:bCs w:val="0"/>
          <w:highlight w:val="none"/>
        </w:rPr>
        <w:t>。</w:t>
      </w:r>
    </w:p>
    <w:p w14:paraId="1EFB8AA3">
      <w:pPr>
        <w:pStyle w:val="23"/>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12" w:firstLineChars="0"/>
        <w:textAlignment w:val="auto"/>
        <w:outlineLvl w:val="2"/>
        <w:rPr>
          <w:rFonts w:hint="eastAsia"/>
          <w:highlight w:val="none"/>
          <w:lang w:val="en-US"/>
        </w:rPr>
      </w:pPr>
      <w:bookmarkStart w:id="251" w:name="_Toc16984"/>
      <w:r>
        <w:rPr>
          <w:rFonts w:hint="eastAsia"/>
          <w:highlight w:val="none"/>
          <w:lang w:val="en-US"/>
        </w:rPr>
        <w:t>消防规划</w:t>
      </w:r>
      <w:bookmarkEnd w:id="251"/>
    </w:p>
    <w:p w14:paraId="7DB01EA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u w:val="single"/>
        </w:rPr>
        <w:t>保留博爱县月山路西消防站和鸿昌路森林消防站，完善消防设备；新建消防站5座</w:t>
      </w:r>
      <w:r>
        <w:rPr>
          <w:rFonts w:hint="eastAsia"/>
          <w:b w:val="0"/>
          <w:bCs w:val="0"/>
          <w:highlight w:val="none"/>
        </w:rPr>
        <w:t>。</w:t>
      </w:r>
    </w:p>
    <w:p w14:paraId="5F754F36">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u w:val="single"/>
        </w:rPr>
        <w:t>重点镇配建一所二级普通消防站；一般镇建立一级或二级专职消防队、志愿消防队，根据当地实际情况及条件配备消防器材和个人装备，其中专职消防队车位不应少于3个，志愿消防队车位不应少于2个。消防站除了要满足其本身需要外，还要负责辖区内所有农村居民点的消防任务。消防站的车辆及通讯器材应按城市消防站布局与技术装备标准配备</w:t>
      </w:r>
      <w:r>
        <w:rPr>
          <w:rFonts w:hint="eastAsia"/>
          <w:b w:val="0"/>
          <w:bCs w:val="0"/>
          <w:highlight w:val="none"/>
        </w:rPr>
        <w:t>。</w:t>
      </w:r>
    </w:p>
    <w:p w14:paraId="2DED2102">
      <w:pPr>
        <w:pStyle w:val="23"/>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12" w:firstLineChars="0"/>
        <w:textAlignment w:val="auto"/>
        <w:outlineLvl w:val="2"/>
        <w:rPr>
          <w:rFonts w:hint="eastAsia"/>
          <w:highlight w:val="none"/>
          <w:lang w:val="en-US"/>
        </w:rPr>
      </w:pPr>
      <w:bookmarkStart w:id="252" w:name="_Toc30388"/>
      <w:r>
        <w:rPr>
          <w:rFonts w:hint="eastAsia"/>
          <w:highlight w:val="none"/>
          <w:lang w:val="en-US"/>
        </w:rPr>
        <w:t>人防</w:t>
      </w:r>
      <w:r>
        <w:rPr>
          <w:rFonts w:hint="eastAsia"/>
          <w:highlight w:val="none"/>
          <w:lang w:val="en-US" w:eastAsia="zh-CN"/>
        </w:rPr>
        <w:t>设施建设</w:t>
      </w:r>
      <w:r>
        <w:rPr>
          <w:rFonts w:hint="eastAsia"/>
          <w:highlight w:val="none"/>
          <w:lang w:val="en-US"/>
        </w:rPr>
        <w:t>规划</w:t>
      </w:r>
      <w:bookmarkEnd w:id="252"/>
    </w:p>
    <w:p w14:paraId="177D88B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bookmarkStart w:id="253" w:name="_Toc11622"/>
      <w:r>
        <w:rPr>
          <w:rFonts w:hint="eastAsia"/>
          <w:b w:val="0"/>
          <w:bCs w:val="0"/>
          <w:highlight w:val="none"/>
          <w:u w:val="single"/>
          <w:lang w:val="en-US" w:eastAsia="zh-CN"/>
        </w:rPr>
        <w:t>优化人防工程功能布局和比例结构，实行分类指导、重点建设，推动城市地区人均人员掩蔽工程面积与城市人口发展相协调，构建重点突出、布局合理、规模适度、可靠管用的新型城市防护格局。城市地下空间开发利用要兼顾人防需要，统筹人防工程与地下空间的互连互通，提升人防设施战备效益、社会效益、经济效益。到2035年，中心城区人均人防工程建筑面积不低于1.4平方米</w:t>
      </w:r>
      <w:r>
        <w:rPr>
          <w:rFonts w:hint="eastAsia"/>
          <w:b w:val="0"/>
          <w:bCs w:val="0"/>
          <w:highlight w:val="none"/>
          <w:lang w:val="en-US" w:eastAsia="zh-CN"/>
        </w:rPr>
        <w:t>。</w:t>
      </w:r>
    </w:p>
    <w:p w14:paraId="0C720FF7">
      <w:pPr>
        <w:pStyle w:val="23"/>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12" w:firstLineChars="0"/>
        <w:textAlignment w:val="auto"/>
        <w:outlineLvl w:val="2"/>
        <w:rPr>
          <w:rFonts w:hint="eastAsia"/>
          <w:highlight w:val="none"/>
          <w:lang w:val="en-US"/>
        </w:rPr>
      </w:pPr>
      <w:r>
        <w:rPr>
          <w:rFonts w:hint="eastAsia"/>
          <w:highlight w:val="none"/>
          <w:lang w:val="en-US"/>
        </w:rPr>
        <w:t>抗震规划</w:t>
      </w:r>
      <w:bookmarkEnd w:id="253"/>
    </w:p>
    <w:p w14:paraId="64E2814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u w:val="single"/>
        </w:rPr>
        <w:t>一般建筑按Ⅶ度地震基本烈度设防，重点建筑和生命线工程提高一度设防。推进地震监测台站、应急指挥中心、避难场所建设等防震减灾设施规划建设，推进疏散救援通道建设，做好次生灾害防御工作，落实防震减灾措施</w:t>
      </w:r>
      <w:r>
        <w:rPr>
          <w:rFonts w:hint="eastAsia"/>
          <w:b w:val="0"/>
          <w:bCs w:val="0"/>
          <w:highlight w:val="none"/>
        </w:rPr>
        <w:t>。</w:t>
      </w:r>
    </w:p>
    <w:p w14:paraId="6A938F5D">
      <w:pPr>
        <w:pStyle w:val="4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highlight w:val="none"/>
        </w:rPr>
        <w:t>重点监防盘谷寺-新乡断裂带。重要建设工程应严格执行地震安全性评价规定，学校、幼儿园、医院、养老机构、儿童福利机构、应急指挥中心、应急避难场所、广播电视等建筑应当按照不低于重点设防类的要求采取抗震设防措施。位于高烈度设防地区、地震重点监视防御区的新建学校、幼儿园、医院、养老机构、儿童福利机构、应急指挥中心、应急避难场所、广播电视等建筑应当按照国家有关规定采用隔震减震等技术，保证发生本区域设防地震时能够满足正常使用要求。结合城市更新推进既有建筑抗震等防灾功能提升，整治开敞空间，打通救援通道，全面提升建筑和社区防灾能力。</w:t>
      </w:r>
    </w:p>
    <w:p w14:paraId="14203FB0">
      <w:pPr>
        <w:pStyle w:val="23"/>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12" w:firstLineChars="0"/>
        <w:textAlignment w:val="auto"/>
        <w:outlineLvl w:val="2"/>
        <w:rPr>
          <w:rFonts w:hint="eastAsia"/>
          <w:highlight w:val="none"/>
          <w:lang w:val="en-US"/>
        </w:rPr>
      </w:pPr>
      <w:r>
        <w:rPr>
          <w:rFonts w:hint="eastAsia"/>
          <w:highlight w:val="none"/>
          <w:lang w:val="en-US"/>
        </w:rPr>
        <w:t>地质灾害防治规划</w:t>
      </w:r>
    </w:p>
    <w:p w14:paraId="179DC794">
      <w:pPr>
        <w:keepNext w:val="0"/>
        <w:keepLines w:val="0"/>
        <w:pageBreakBefore w:val="0"/>
        <w:widowControl w:val="0"/>
        <w:kinsoku/>
        <w:wordWrap/>
        <w:overflowPunct/>
        <w:topLinePunct w:val="0"/>
        <w:autoSpaceDE/>
        <w:autoSpaceDN/>
        <w:bidi w:val="0"/>
        <w:adjustRightInd/>
        <w:snapToGrid/>
        <w:spacing w:line="560" w:lineRule="exact"/>
        <w:textAlignment w:val="auto"/>
        <w:outlineLvl w:val="3"/>
        <w:rPr>
          <w:rFonts w:hint="eastAsia"/>
          <w:b w:val="0"/>
          <w:bCs w:val="0"/>
          <w:highlight w:val="none"/>
        </w:rPr>
      </w:pPr>
      <w:bookmarkStart w:id="254" w:name="_Toc249280902"/>
      <w:bookmarkStart w:id="255" w:name="_Toc124129588"/>
      <w:r>
        <w:rPr>
          <w:rFonts w:hint="eastAsia"/>
          <w:b w:val="0"/>
          <w:bCs w:val="0"/>
          <w:highlight w:val="none"/>
        </w:rPr>
        <w:t>1.防治目标</w:t>
      </w:r>
    </w:p>
    <w:p w14:paraId="0A2E483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u w:val="single"/>
        </w:rPr>
        <w:t>在地质灾害重点防治区建立相对完善的群测群防体系，建立专业监测网；开展地质灾害气象预报预警工作；各地受地质灾害严重威胁的居民逐步得到搬迁，人口密集、风景名胜区及重大工程建设区的地质灾害点逐步得到治理。建立起与全面建设小康社会相适应的基础调查、群专监测、预报预警、应急处置、适时治理的地质灾害防治体系，使目前查明的受地质灾害威胁的地区范围减少80%</w:t>
      </w:r>
      <w:r>
        <w:rPr>
          <w:rFonts w:hint="eastAsia"/>
          <w:b w:val="0"/>
          <w:bCs w:val="0"/>
          <w:highlight w:val="none"/>
        </w:rPr>
        <w:t>。</w:t>
      </w:r>
    </w:p>
    <w:p w14:paraId="196E6C00">
      <w:pPr>
        <w:keepNext w:val="0"/>
        <w:keepLines w:val="0"/>
        <w:pageBreakBefore w:val="0"/>
        <w:widowControl w:val="0"/>
        <w:kinsoku/>
        <w:wordWrap/>
        <w:overflowPunct/>
        <w:topLinePunct w:val="0"/>
        <w:autoSpaceDE/>
        <w:autoSpaceDN/>
        <w:bidi w:val="0"/>
        <w:adjustRightInd/>
        <w:snapToGrid/>
        <w:spacing w:line="580" w:lineRule="exact"/>
        <w:textAlignment w:val="auto"/>
        <w:outlineLvl w:val="3"/>
        <w:rPr>
          <w:rFonts w:hint="eastAsia"/>
          <w:b w:val="0"/>
          <w:bCs w:val="0"/>
          <w:highlight w:val="none"/>
        </w:rPr>
      </w:pPr>
      <w:r>
        <w:rPr>
          <w:rFonts w:hint="eastAsia"/>
          <w:b w:val="0"/>
          <w:bCs w:val="0"/>
          <w:highlight w:val="none"/>
        </w:rPr>
        <w:t>2.地质灾害易发区</w:t>
      </w:r>
      <w:bookmarkEnd w:id="254"/>
      <w:bookmarkEnd w:id="255"/>
    </w:p>
    <w:p w14:paraId="6E3CBDEA">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u w:val="single"/>
        </w:rPr>
        <w:t>地质灾害高易发区位于县域北部东石河流域范围以西，包括寨豁乡大部、许良镇及月山镇北部地区，面积164.45 平方公里。地质灾害类型主要为崩塌、地裂缝、地面塌陷、潜在崩滑体</w:t>
      </w:r>
      <w:r>
        <w:rPr>
          <w:rFonts w:hint="eastAsia"/>
          <w:b w:val="0"/>
          <w:bCs w:val="0"/>
          <w:highlight w:val="none"/>
        </w:rPr>
        <w:t>。</w:t>
      </w:r>
    </w:p>
    <w:p w14:paraId="5648746A">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u w:val="single"/>
        </w:rPr>
        <w:t>地质灾害中易发区分布在丹河下游左岸、沁河左岸，面积12.91 平方公里，主要包括许良、磨头、孝敬、金城4</w:t>
      </w:r>
      <w:r>
        <w:rPr>
          <w:rFonts w:hint="eastAsia"/>
          <w:b w:val="0"/>
          <w:bCs w:val="0"/>
          <w:highlight w:val="none"/>
          <w:u w:val="single"/>
          <w:lang w:eastAsia="zh-CN"/>
        </w:rPr>
        <w:t>乡（镇）</w:t>
      </w:r>
      <w:r>
        <w:rPr>
          <w:rFonts w:hint="eastAsia"/>
          <w:b w:val="0"/>
          <w:bCs w:val="0"/>
          <w:highlight w:val="none"/>
          <w:u w:val="single"/>
        </w:rPr>
        <w:t>的沿河地段。地质灾害点6处，类型主要为地面塌陷、泥石流、河流塌岸等</w:t>
      </w:r>
      <w:r>
        <w:rPr>
          <w:rFonts w:hint="eastAsia"/>
          <w:b w:val="0"/>
          <w:bCs w:val="0"/>
          <w:highlight w:val="none"/>
        </w:rPr>
        <w:t>。</w:t>
      </w:r>
    </w:p>
    <w:p w14:paraId="235489BE">
      <w:pPr>
        <w:keepNext w:val="0"/>
        <w:keepLines w:val="0"/>
        <w:pageBreakBefore w:val="0"/>
        <w:widowControl w:val="0"/>
        <w:kinsoku/>
        <w:wordWrap/>
        <w:overflowPunct/>
        <w:topLinePunct w:val="0"/>
        <w:autoSpaceDE/>
        <w:autoSpaceDN/>
        <w:bidi w:val="0"/>
        <w:adjustRightInd/>
        <w:snapToGrid/>
        <w:spacing w:line="580" w:lineRule="exact"/>
        <w:textAlignment w:val="auto"/>
        <w:outlineLvl w:val="3"/>
        <w:rPr>
          <w:rFonts w:hint="eastAsia"/>
          <w:b w:val="0"/>
          <w:bCs w:val="0"/>
          <w:highlight w:val="none"/>
        </w:rPr>
      </w:pPr>
      <w:bookmarkStart w:id="256" w:name="_Toc249280903"/>
      <w:r>
        <w:rPr>
          <w:rFonts w:hint="eastAsia"/>
          <w:b w:val="0"/>
          <w:bCs w:val="0"/>
          <w:highlight w:val="none"/>
        </w:rPr>
        <w:t>3.地质灾害重点防治</w:t>
      </w:r>
      <w:bookmarkEnd w:id="256"/>
    </w:p>
    <w:p w14:paraId="4FC69EB8">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u w:val="single"/>
        </w:rPr>
      </w:pPr>
      <w:r>
        <w:rPr>
          <w:rFonts w:hint="eastAsia"/>
          <w:b w:val="0"/>
          <w:bCs w:val="0"/>
          <w:highlight w:val="none"/>
          <w:u w:val="single"/>
        </w:rPr>
        <w:t>重点针对易受地质灾害危害的人口密集的城镇、村庄、居民点，以及重要工程设施、主要交通线路等，划出3个地质灾害重点防治区。</w:t>
      </w:r>
    </w:p>
    <w:p w14:paraId="2DD680E5">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u w:val="single"/>
        </w:rPr>
      </w:pPr>
      <w:r>
        <w:rPr>
          <w:rFonts w:hint="eastAsia"/>
          <w:b w:val="0"/>
          <w:bCs w:val="0"/>
          <w:highlight w:val="none"/>
          <w:u w:val="single"/>
        </w:rPr>
        <w:t>青天河景区以崩塌为主重点防治亚区，防治范围包括博晋路以西至丹河西岸，面积44.95 平方公里，防治重点除景区游览线路外，还有博晋公路、小底－青天河公路、青天河－大底公路及景区旅游公路。</w:t>
      </w:r>
    </w:p>
    <w:p w14:paraId="0DE3B0EE">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u w:val="single"/>
        </w:rPr>
        <w:t>北中部地面塌陷、地裂缝为主重点防治亚区，指寨豁乡两河之间地区（东石河以西、丹河以东），面积112.86 平方公里，共有地质灾害点19处，包括地面塌陷7处、地裂缝（群）6处、泥石流沟1条、不稳定斜坡5处，其中应近期防治6处、远期防治13处。重要地质灾害点有司窑、小底、寨豁、拾背楼地面塌陷，方山崩塌，方山丹河不稳定斜坡，小王庄地裂缝7处</w:t>
      </w:r>
      <w:r>
        <w:rPr>
          <w:rFonts w:hint="eastAsia"/>
          <w:b w:val="0"/>
          <w:bCs w:val="0"/>
          <w:highlight w:val="none"/>
        </w:rPr>
        <w:t>。</w:t>
      </w:r>
    </w:p>
    <w:p w14:paraId="7F85056E">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b w:val="0"/>
          <w:bCs w:val="0"/>
          <w:highlight w:val="none"/>
        </w:rPr>
      </w:pPr>
      <w:r>
        <w:rPr>
          <w:rFonts w:hint="eastAsia"/>
          <w:b w:val="0"/>
          <w:bCs w:val="0"/>
          <w:highlight w:val="none"/>
          <w:u w:val="single"/>
        </w:rPr>
        <w:t>东石河以泥石流为主重点防治亚区，主要为东石河中、上游博爱县段，包括东北部重要线性工程焦晋高速公路、重要企业岩鑫水泥厂等，面积11.75平方公里。本亚区重点防治对象为东石河泥石流沟及沿焦晋高速边侧的滑坡、崩塌灾害</w:t>
      </w:r>
      <w:r>
        <w:rPr>
          <w:rFonts w:hint="eastAsia"/>
          <w:b w:val="0"/>
          <w:bCs w:val="0"/>
          <w:highlight w:val="none"/>
        </w:rPr>
        <w:t>。</w:t>
      </w:r>
    </w:p>
    <w:p w14:paraId="3345F236">
      <w:pPr>
        <w:pStyle w:val="23"/>
        <w:numPr>
          <w:ilvl w:val="0"/>
          <w:numId w:val="3"/>
        </w:numPr>
        <w:bidi w:val="0"/>
        <w:ind w:left="0" w:leftChars="0" w:firstLine="612" w:firstLineChars="0"/>
        <w:outlineLvl w:val="2"/>
        <w:rPr>
          <w:rFonts w:hint="eastAsia"/>
          <w:highlight w:val="none"/>
          <w:lang w:val="en-US"/>
        </w:rPr>
      </w:pPr>
      <w:bookmarkStart w:id="257" w:name="_Toc2408"/>
      <w:r>
        <w:rPr>
          <w:rFonts w:hint="eastAsia"/>
          <w:highlight w:val="none"/>
          <w:lang w:val="en-US"/>
        </w:rPr>
        <w:t>危险品存储设施用地布局及管控</w:t>
      </w:r>
      <w:bookmarkEnd w:id="257"/>
    </w:p>
    <w:p w14:paraId="1007310E">
      <w:pPr>
        <w:bidi w:val="0"/>
        <w:rPr>
          <w:rFonts w:hint="eastAsia" w:ascii="仿宋_GB2312" w:hAnsi="仿宋_GB2312" w:eastAsia="仿宋_GB2312" w:cs="仿宋_GB2312"/>
          <w:b w:val="0"/>
          <w:bCs w:val="0"/>
          <w:color w:val="auto"/>
          <w:szCs w:val="32"/>
          <w:highlight w:val="none"/>
        </w:rPr>
      </w:pPr>
      <w:bookmarkStart w:id="258" w:name="_Hlk132479725"/>
      <w:r>
        <w:rPr>
          <w:rFonts w:hint="eastAsia"/>
          <w:b w:val="0"/>
          <w:bCs w:val="0"/>
          <w:highlight w:val="none"/>
        </w:rPr>
        <w:t>县域、中心城区严格限制新建易燃、易爆化学危险品储存设施及进行易燃、易爆化学危险品生产活动。生产和储存易燃、易爆物品的工厂、仓库、堆场、储罐以及燃油、燃气供应站等与居住、医疗、教育、集会、娱乐、市场等建筑之间的防火间距不应小于50m，且处于当地常年主导风向的下风或侧风方向。</w:t>
      </w:r>
      <w:r>
        <w:rPr>
          <w:rFonts w:hint="eastAsia"/>
          <w:b w:val="0"/>
          <w:bCs w:val="0"/>
          <w:highlight w:val="none"/>
          <w:u w:val="single"/>
        </w:rPr>
        <w:t>做好燃气站、加油站等危险品的防护措施，执行国家、省、市县相关安全生产规定。政府、机关、学校、医院、集中商业区、水厂、电厂等作为重点防灾保护对象，构建城市生命线工程</w:t>
      </w:r>
      <w:r>
        <w:rPr>
          <w:rFonts w:hint="eastAsia"/>
          <w:b w:val="0"/>
          <w:bCs w:val="0"/>
          <w:highlight w:val="none"/>
        </w:rPr>
        <w:t>。</w:t>
      </w:r>
      <w:bookmarkEnd w:id="258"/>
    </w:p>
    <w:p w14:paraId="3954735C">
      <w:pPr>
        <w:pStyle w:val="23"/>
        <w:numPr>
          <w:ilvl w:val="0"/>
          <w:numId w:val="3"/>
        </w:numPr>
        <w:bidi w:val="0"/>
        <w:ind w:left="0" w:leftChars="0" w:firstLine="612" w:firstLineChars="0"/>
        <w:outlineLvl w:val="2"/>
        <w:rPr>
          <w:rFonts w:hint="eastAsia"/>
          <w:highlight w:val="none"/>
          <w:lang w:val="en-US"/>
        </w:rPr>
      </w:pPr>
      <w:bookmarkStart w:id="259" w:name="_Toc17100"/>
      <w:r>
        <w:rPr>
          <w:rFonts w:hint="eastAsia"/>
          <w:highlight w:val="none"/>
          <w:lang w:val="en-US"/>
        </w:rPr>
        <w:t>应急避难场所</w:t>
      </w:r>
      <w:bookmarkEnd w:id="259"/>
    </w:p>
    <w:p w14:paraId="293CA236">
      <w:pPr>
        <w:bidi w:val="0"/>
        <w:rPr>
          <w:rFonts w:hint="eastAsia"/>
          <w:b w:val="0"/>
          <w:bCs w:val="0"/>
          <w:highlight w:val="none"/>
        </w:rPr>
      </w:pPr>
      <w:bookmarkStart w:id="260" w:name="_Hlk132479707"/>
      <w:r>
        <w:rPr>
          <w:rFonts w:hint="eastAsia"/>
          <w:b w:val="0"/>
          <w:bCs w:val="0"/>
          <w:highlight w:val="none"/>
          <w:u w:val="single"/>
        </w:rPr>
        <w:t>结合城市公园、绿地、广场、学校操场、体育场和其它空地设置避震疏散场地。规划中心避难场所4处，分别位于李商隐文化园、博爱公园、幸福湖公园和文化公园，服务中心城区；固定避难场所主要结合大型公园和学校设置，每处不小于1万平方米；紧急避难场所按疏散半径500米设置</w:t>
      </w:r>
      <w:r>
        <w:rPr>
          <w:rFonts w:hint="eastAsia"/>
          <w:b w:val="0"/>
          <w:bCs w:val="0"/>
          <w:highlight w:val="none"/>
        </w:rPr>
        <w:t>。</w:t>
      </w:r>
      <w:bookmarkEnd w:id="260"/>
    </w:p>
    <w:p w14:paraId="6E5B3C1C">
      <w:pPr>
        <w:pStyle w:val="23"/>
        <w:numPr>
          <w:ilvl w:val="0"/>
          <w:numId w:val="3"/>
        </w:numPr>
        <w:bidi w:val="0"/>
        <w:ind w:left="0" w:leftChars="0" w:firstLine="612" w:firstLineChars="0"/>
        <w:outlineLvl w:val="2"/>
        <w:rPr>
          <w:rFonts w:hint="eastAsia"/>
          <w:highlight w:val="none"/>
          <w:lang w:val="en-US"/>
        </w:rPr>
      </w:pPr>
      <w:bookmarkStart w:id="261" w:name="_Toc1367"/>
      <w:r>
        <w:rPr>
          <w:rFonts w:hint="eastAsia"/>
          <w:highlight w:val="none"/>
          <w:lang w:val="en-US"/>
        </w:rPr>
        <w:t>疏散通道</w:t>
      </w:r>
      <w:bookmarkEnd w:id="261"/>
    </w:p>
    <w:p w14:paraId="46266F3A">
      <w:pPr>
        <w:bidi w:val="0"/>
        <w:rPr>
          <w:rFonts w:hint="eastAsia"/>
          <w:b w:val="0"/>
          <w:bCs w:val="0"/>
          <w:highlight w:val="none"/>
        </w:rPr>
      </w:pPr>
      <w:bookmarkStart w:id="262" w:name="_Hlk132479715"/>
      <w:r>
        <w:rPr>
          <w:rFonts w:hint="eastAsia"/>
          <w:b w:val="0"/>
          <w:bCs w:val="0"/>
          <w:highlight w:val="none"/>
          <w:u w:val="single"/>
        </w:rPr>
        <w:t>构建以救灾干道、疏散主干道、疏散次干道为主体的分级疏散救援通道体系。救灾干道包括S307、S237、S310等主干路和对外交通；疏散主干道以人民路、科技路、发展大道、文化路、中山路、玉祥路、鸿昌路，以及月山路，团结路，葵城路，滨河路，海华路，靳家岭路，青天河路，兴园路等城市主干道为主；疏散次干道以城市次干路为主</w:t>
      </w:r>
      <w:r>
        <w:rPr>
          <w:rFonts w:hint="eastAsia"/>
          <w:b w:val="0"/>
          <w:bCs w:val="0"/>
          <w:highlight w:val="none"/>
        </w:rPr>
        <w:t>。</w:t>
      </w:r>
      <w:bookmarkEnd w:id="262"/>
    </w:p>
    <w:p w14:paraId="04BDBE2E">
      <w:pPr>
        <w:keepNext w:val="0"/>
        <w:keepLines w:val="0"/>
        <w:pageBreakBefore w:val="0"/>
        <w:widowControl w:val="0"/>
        <w:numPr>
          <w:ilvl w:val="0"/>
          <w:numId w:val="2"/>
        </w:numPr>
        <w:kinsoku/>
        <w:wordWrap/>
        <w:overflowPunct/>
        <w:topLinePunct w:val="0"/>
        <w:autoSpaceDE/>
        <w:autoSpaceDN/>
        <w:bidi w:val="0"/>
        <w:adjustRightInd/>
        <w:snapToGrid/>
        <w:spacing w:before="200" w:after="400" w:line="596" w:lineRule="exact"/>
        <w:ind w:firstLine="0" w:firstLineChars="0"/>
        <w:jc w:val="center"/>
        <w:textAlignment w:val="auto"/>
        <w:outlineLvl w:val="0"/>
        <w:rPr>
          <w:rStyle w:val="18"/>
          <w:rFonts w:hint="eastAsia" w:cs="Times New Roman"/>
          <w:b w:val="0"/>
          <w:bCs w:val="0"/>
          <w:highlight w:val="none"/>
          <w:lang w:val="zh-CN" w:eastAsia="zh-CN"/>
        </w:rPr>
      </w:pPr>
      <w:bookmarkStart w:id="263" w:name="_Toc12505"/>
      <w:bookmarkStart w:id="264" w:name="_Toc11461"/>
      <w:bookmarkStart w:id="265" w:name="_Toc27507"/>
      <w:r>
        <w:rPr>
          <w:rStyle w:val="18"/>
          <w:rFonts w:hint="eastAsia" w:cs="Times New Roman"/>
          <w:b w:val="0"/>
          <w:bCs w:val="0"/>
          <w:highlight w:val="none"/>
          <w:lang w:val="zh-CN" w:eastAsia="zh-CN"/>
        </w:rPr>
        <w:t>规划实施</w:t>
      </w:r>
      <w:bookmarkEnd w:id="263"/>
    </w:p>
    <w:bookmarkEnd w:id="264"/>
    <w:bookmarkEnd w:id="265"/>
    <w:p w14:paraId="29B22937">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266" w:name="_Toc24787"/>
      <w:bookmarkStart w:id="267" w:name="_Toc30647"/>
      <w:r>
        <w:rPr>
          <w:rFonts w:hint="eastAsia" w:cs="Times New Roman"/>
          <w:highlight w:val="none"/>
        </w:rPr>
        <w:t>加强党的领导</w:t>
      </w:r>
      <w:bookmarkEnd w:id="266"/>
      <w:bookmarkEnd w:id="267"/>
    </w:p>
    <w:p w14:paraId="4A501FDA">
      <w:pPr>
        <w:pStyle w:val="23"/>
        <w:numPr>
          <w:ilvl w:val="0"/>
          <w:numId w:val="3"/>
        </w:numPr>
        <w:bidi w:val="0"/>
        <w:ind w:left="0" w:leftChars="0" w:firstLine="612" w:firstLineChars="0"/>
        <w:outlineLvl w:val="2"/>
        <w:rPr>
          <w:rFonts w:hint="eastAsia"/>
          <w:highlight w:val="none"/>
          <w:lang w:val="en-US"/>
        </w:rPr>
      </w:pPr>
      <w:bookmarkStart w:id="268" w:name="_Toc26585"/>
      <w:r>
        <w:rPr>
          <w:rFonts w:hint="eastAsia"/>
          <w:highlight w:val="none"/>
          <w:lang w:val="en-US"/>
        </w:rPr>
        <w:t>落实</w:t>
      </w:r>
      <w:r>
        <w:rPr>
          <w:rFonts w:hint="eastAsia"/>
          <w:highlight w:val="none"/>
          <w:lang w:val="en-US" w:eastAsia="zh-CN"/>
        </w:rPr>
        <w:t>地方</w:t>
      </w:r>
      <w:r>
        <w:rPr>
          <w:rFonts w:hint="eastAsia"/>
          <w:highlight w:val="none"/>
          <w:lang w:val="en-US"/>
        </w:rPr>
        <w:t>党委和政府主体责任</w:t>
      </w:r>
      <w:bookmarkEnd w:id="268"/>
    </w:p>
    <w:p w14:paraId="001AC1A6">
      <w:pPr>
        <w:bidi w:val="0"/>
        <w:rPr>
          <w:rFonts w:hint="eastAsia" w:ascii="仿宋_GB2312" w:hAnsi="仿宋_GB2312" w:eastAsia="仿宋_GB2312" w:cs="仿宋_GB2312"/>
          <w:b w:val="0"/>
          <w:bCs w:val="0"/>
          <w:color w:val="auto"/>
          <w:szCs w:val="32"/>
          <w:highlight w:val="none"/>
        </w:rPr>
      </w:pPr>
      <w:r>
        <w:rPr>
          <w:rFonts w:hint="eastAsia"/>
          <w:b w:val="0"/>
          <w:bCs w:val="0"/>
          <w:highlight w:val="none"/>
        </w:rPr>
        <w:t>深入学习贯彻习近平新时代中国特色社会主义思想，深刻领会“两个确立”的决定性意义，增强“四个意识”、坚定“四个自信”、做到“两个维护”，不断提高政治判断力、政治领悟力、政治执行力，充分发挥党总揽全局、协调各方的领导核心作用，把党的领导贯彻到国土空间规划编制实施全过程各领域各环节。坚持“多规合一”，不在国土空间规划体系之外另设其他空间规划。强化规划严肃性，规划一经批准，任何部门和个人不得随意修改、违规变更。国土空间规划执行情况纳入领导干部自然资源资产离任审计。</w:t>
      </w:r>
    </w:p>
    <w:p w14:paraId="330D9DCA">
      <w:pPr>
        <w:pStyle w:val="23"/>
        <w:numPr>
          <w:ilvl w:val="0"/>
          <w:numId w:val="3"/>
        </w:numPr>
        <w:bidi w:val="0"/>
        <w:ind w:left="0" w:leftChars="0" w:firstLine="612" w:firstLineChars="0"/>
        <w:outlineLvl w:val="2"/>
        <w:rPr>
          <w:rFonts w:hint="eastAsia"/>
          <w:highlight w:val="none"/>
          <w:lang w:val="en-US"/>
        </w:rPr>
      </w:pPr>
      <w:bookmarkStart w:id="269" w:name="_Toc9853"/>
      <w:r>
        <w:rPr>
          <w:rFonts w:hint="eastAsia"/>
          <w:highlight w:val="none"/>
          <w:lang w:val="en-US"/>
        </w:rPr>
        <w:t>健全国土空间规划委员会制度</w:t>
      </w:r>
      <w:bookmarkEnd w:id="269"/>
    </w:p>
    <w:p w14:paraId="011F6D49">
      <w:pPr>
        <w:bidi w:val="0"/>
        <w:rPr>
          <w:rFonts w:hint="eastAsia"/>
          <w:b w:val="0"/>
          <w:bCs w:val="0"/>
          <w:highlight w:val="none"/>
        </w:rPr>
      </w:pPr>
      <w:r>
        <w:rPr>
          <w:rFonts w:hint="eastAsia"/>
          <w:b w:val="0"/>
          <w:bCs w:val="0"/>
          <w:highlight w:val="none"/>
        </w:rPr>
        <w:t>健全县级国土空间规划委员会制度。加强部门和地区间协同，进一步完善国土空间规划编制实施管理的配套政策，对国土空间编制实施管理重大问题进行统筹协调和决策，确保规划各项目标任务落地实施。建立规划实施的部门沟通协商机制，协调解决国土空间保护、开发、利用和修复中的相关问题，确保国家、省级、市级重大决策部署落实到位。</w:t>
      </w:r>
    </w:p>
    <w:p w14:paraId="127455E2">
      <w:pPr>
        <w:pStyle w:val="13"/>
        <w:rPr>
          <w:rFonts w:hint="eastAsia"/>
          <w:color w:val="auto"/>
          <w:highlight w:val="none"/>
        </w:rPr>
      </w:pPr>
    </w:p>
    <w:p w14:paraId="40100ED0">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270" w:name="_Toc29412"/>
      <w:bookmarkStart w:id="271" w:name="_Toc30631"/>
      <w:r>
        <w:rPr>
          <w:rFonts w:hint="eastAsia" w:cs="Times New Roman"/>
          <w:highlight w:val="none"/>
        </w:rPr>
        <w:t>传导与管控体系</w:t>
      </w:r>
      <w:bookmarkEnd w:id="270"/>
      <w:bookmarkEnd w:id="271"/>
    </w:p>
    <w:p w14:paraId="4F11B96B">
      <w:pPr>
        <w:pStyle w:val="23"/>
        <w:numPr>
          <w:ilvl w:val="0"/>
          <w:numId w:val="3"/>
        </w:numPr>
        <w:bidi w:val="0"/>
        <w:ind w:left="0" w:leftChars="0" w:firstLine="612" w:firstLineChars="0"/>
        <w:outlineLvl w:val="2"/>
        <w:rPr>
          <w:rFonts w:hint="eastAsia"/>
          <w:highlight w:val="none"/>
          <w:lang w:val="en-US"/>
        </w:rPr>
      </w:pPr>
      <w:bookmarkStart w:id="272" w:name="_Toc28247"/>
      <w:r>
        <w:rPr>
          <w:rFonts w:hint="eastAsia" w:ascii="仿宋_GB2312" w:hAnsi="仿宋_GB2312" w:eastAsia="仿宋_GB2312"/>
          <w:highlight w:val="none"/>
          <w:lang w:val="en-US" w:eastAsia="zh-CN"/>
        </w:rPr>
        <w:t>乡镇国土空间规划</w:t>
      </w:r>
      <w:r>
        <w:rPr>
          <w:rFonts w:hint="eastAsia"/>
          <w:highlight w:val="none"/>
          <w:lang w:val="en-US"/>
        </w:rPr>
        <w:t>编制指引</w:t>
      </w:r>
      <w:bookmarkEnd w:id="272"/>
    </w:p>
    <w:p w14:paraId="51F9510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对辖区</w:t>
      </w:r>
      <w:r>
        <w:rPr>
          <w:rFonts w:hint="eastAsia"/>
          <w:b w:val="0"/>
          <w:bCs w:val="0"/>
          <w:highlight w:val="none"/>
          <w:lang w:eastAsia="zh-CN"/>
        </w:rPr>
        <w:t>乡（镇）</w:t>
      </w:r>
      <w:r>
        <w:rPr>
          <w:rFonts w:hint="eastAsia"/>
          <w:b w:val="0"/>
          <w:bCs w:val="0"/>
          <w:highlight w:val="none"/>
        </w:rPr>
        <w:t>提出规划指引，按照主体功能区定位，落实县级总规确定的规划目标、规划分区、重要控制线、城镇定位、要素配置等规划内容。制定县级约束性指标分解方案，下达调控指标，确保约束性指标的落实。</w:t>
      </w:r>
    </w:p>
    <w:p w14:paraId="65C185BB">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涉及中心城区范围的</w:t>
      </w:r>
      <w:r>
        <w:rPr>
          <w:rFonts w:hint="eastAsia"/>
          <w:b w:val="0"/>
          <w:bCs w:val="0"/>
          <w:highlight w:val="none"/>
          <w:lang w:eastAsia="zh-CN"/>
        </w:rPr>
        <w:t>乡（镇）</w:t>
      </w:r>
      <w:r>
        <w:rPr>
          <w:rFonts w:hint="eastAsia"/>
          <w:b w:val="0"/>
          <w:bCs w:val="0"/>
          <w:highlight w:val="none"/>
        </w:rPr>
        <w:t>的国土空间总体规划，落实县级规划对中心城区的国土空间安排。</w:t>
      </w:r>
    </w:p>
    <w:p w14:paraId="5D05F5D1">
      <w:pPr>
        <w:pStyle w:val="23"/>
        <w:numPr>
          <w:ilvl w:val="0"/>
          <w:numId w:val="3"/>
        </w:numPr>
        <w:bidi w:val="0"/>
        <w:ind w:left="0" w:leftChars="0" w:firstLine="612" w:firstLineChars="0"/>
        <w:outlineLvl w:val="2"/>
        <w:rPr>
          <w:rFonts w:hint="eastAsia"/>
          <w:highlight w:val="none"/>
          <w:lang w:val="en-US"/>
        </w:rPr>
      </w:pPr>
      <w:bookmarkStart w:id="273" w:name="_Toc22379"/>
      <w:r>
        <w:rPr>
          <w:rFonts w:hint="eastAsia"/>
          <w:highlight w:val="none"/>
          <w:lang w:val="en-US"/>
        </w:rPr>
        <w:t>专项规划编制指引</w:t>
      </w:r>
      <w:bookmarkEnd w:id="273"/>
    </w:p>
    <w:p w14:paraId="042FA42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强化对于各类专项规划的指导约束作用。加强协同安全防护、资源利用、要素配置、文化特色等涉及空间安排的专项规划，在总体目标和重点管控内容上与国土空间总体规划保持衔接一致，不得突破约束性要求。</w:t>
      </w:r>
    </w:p>
    <w:p w14:paraId="5B8F81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s="Times New Roman"/>
          <w:b w:val="0"/>
          <w:bCs w:val="0"/>
          <w:highlight w:val="none"/>
        </w:rPr>
      </w:pPr>
      <w:r>
        <w:rPr>
          <w:rFonts w:hint="eastAsia" w:cs="Times New Roman"/>
          <w:b w:val="0"/>
          <w:bCs w:val="0"/>
          <w:highlight w:val="none"/>
        </w:rPr>
        <w:t>加强对风险区域的管控。针对洪涝风险、易燃易爆危险源</w:t>
      </w:r>
      <w:r>
        <w:rPr>
          <w:rFonts w:hint="eastAsia" w:cs="Times New Roman"/>
          <w:b w:val="0"/>
          <w:bCs w:val="0"/>
          <w:highlight w:val="none"/>
          <w:lang w:eastAsia="zh-CN"/>
        </w:rPr>
        <w:t>、</w:t>
      </w:r>
      <w:r>
        <w:rPr>
          <w:rFonts w:hint="eastAsia" w:cs="Times New Roman"/>
          <w:b w:val="0"/>
          <w:bCs w:val="0"/>
          <w:highlight w:val="none"/>
        </w:rPr>
        <w:t>突发公共卫生事件</w:t>
      </w:r>
      <w:r>
        <w:rPr>
          <w:rFonts w:hint="eastAsia" w:cs="Times New Roman"/>
          <w:b w:val="0"/>
          <w:bCs w:val="0"/>
          <w:highlight w:val="none"/>
          <w:lang w:eastAsia="zh-CN"/>
        </w:rPr>
        <w:t>、战争</w:t>
      </w:r>
      <w:r>
        <w:rPr>
          <w:rFonts w:hint="eastAsia" w:cs="Times New Roman"/>
          <w:b w:val="0"/>
          <w:bCs w:val="0"/>
          <w:highlight w:val="none"/>
        </w:rPr>
        <w:t>等，应编制详规深度的消防、人防、抗震、防洪防涝、综合防灾</w:t>
      </w:r>
      <w:r>
        <w:rPr>
          <w:rFonts w:hint="eastAsia" w:cs="Times New Roman"/>
          <w:b w:val="0"/>
          <w:bCs w:val="0"/>
          <w:highlight w:val="none"/>
          <w:lang w:eastAsia="zh-CN"/>
        </w:rPr>
        <w:t>、</w:t>
      </w:r>
      <w:r>
        <w:rPr>
          <w:rFonts w:hint="eastAsia" w:cs="Times New Roman"/>
          <w:b w:val="0"/>
          <w:bCs w:val="0"/>
          <w:highlight w:val="none"/>
        </w:rPr>
        <w:t>减灾专项</w:t>
      </w:r>
      <w:r>
        <w:rPr>
          <w:rFonts w:hint="eastAsia" w:cs="Times New Roman"/>
          <w:b w:val="0"/>
          <w:bCs w:val="0"/>
          <w:highlight w:val="none"/>
          <w:lang w:eastAsia="zh-CN"/>
        </w:rPr>
        <w:t>、</w:t>
      </w:r>
      <w:r>
        <w:rPr>
          <w:rFonts w:hint="eastAsia" w:cs="Times New Roman"/>
          <w:b w:val="0"/>
          <w:bCs w:val="0"/>
          <w:highlight w:val="none"/>
        </w:rPr>
        <w:t>医疗卫生等专项规划以及安全防灾专项评估报告</w:t>
      </w:r>
      <w:r>
        <w:rPr>
          <w:rFonts w:hint="eastAsia" w:cs="Times New Roman"/>
          <w:b w:val="0"/>
          <w:bCs w:val="0"/>
          <w:highlight w:val="none"/>
          <w:lang w:eastAsia="zh-CN"/>
        </w:rPr>
        <w:t>；专项规划应</w:t>
      </w:r>
      <w:r>
        <w:rPr>
          <w:rFonts w:hint="eastAsia" w:cs="Times New Roman"/>
          <w:b w:val="0"/>
          <w:bCs w:val="0"/>
          <w:highlight w:val="none"/>
        </w:rPr>
        <w:t>进一步加强防洪、抗震等自然灾害防控，人民防空、突发公共卫生事件的规划要求，补充预防、信息服务、救助、疫期规划管理、紧急服务设施等内容。</w:t>
      </w:r>
    </w:p>
    <w:p w14:paraId="46AD698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保护、利用和弘扬历史文化。应编制历史文化街区、历史文化名镇名村、传统村落、全域旅游等专项规划。</w:t>
      </w:r>
    </w:p>
    <w:p w14:paraId="54CEC9C9">
      <w:pPr>
        <w:bidi w:val="0"/>
        <w:rPr>
          <w:rFonts w:hint="eastAsia"/>
          <w:b w:val="0"/>
          <w:bCs w:val="0"/>
          <w:highlight w:val="none"/>
        </w:rPr>
      </w:pPr>
      <w:r>
        <w:rPr>
          <w:rFonts w:hint="eastAsia"/>
          <w:b w:val="0"/>
          <w:bCs w:val="0"/>
          <w:highlight w:val="none"/>
        </w:rPr>
        <w:t>完善市政基础设施建设和防灾生命线工程，应编制交通、给排水、电力、通信、燃气、热力、环卫等专项规划。</w:t>
      </w:r>
    </w:p>
    <w:p w14:paraId="669FC1C4">
      <w:pPr>
        <w:bidi w:val="0"/>
        <w:rPr>
          <w:rFonts w:hint="eastAsia"/>
          <w:b w:val="0"/>
          <w:bCs w:val="0"/>
          <w:highlight w:val="none"/>
        </w:rPr>
      </w:pPr>
      <w:r>
        <w:rPr>
          <w:rFonts w:hint="eastAsia" w:ascii="Times New Roman" w:hAnsi="Times New Roman" w:cs="Times New Roman"/>
          <w:color w:val="auto"/>
          <w:highlight w:val="none"/>
          <w:lang w:val="en-US" w:eastAsia="zh-CN"/>
        </w:rPr>
        <w:t>应开展气象探测环境保护和改善</w:t>
      </w:r>
      <w:r>
        <w:rPr>
          <w:rFonts w:hint="default" w:ascii="Times New Roman" w:hAnsi="Times New Roman" w:cs="Times New Roman"/>
          <w:color w:val="auto"/>
          <w:highlight w:val="none"/>
          <w:lang w:val="en-US" w:eastAsia="zh-CN"/>
        </w:rPr>
        <w:t>等专项规划。</w:t>
      </w:r>
      <w:r>
        <w:rPr>
          <w:rFonts w:hint="eastAsia" w:ascii="Times New Roman" w:hAnsi="Times New Roman" w:cs="Times New Roman"/>
          <w:color w:val="auto"/>
          <w:highlight w:val="none"/>
          <w:lang w:val="en-US" w:eastAsia="zh-CN"/>
        </w:rPr>
        <w:t>气候可行性论证应包括建设概况，基础资料说明，区域气候背景分析，气候适宜性、风险性以及可能对局地气候产生影响的评估，极端天气气候事件出现概率，雷电、热带气旋（含台风）、暴雨（雪）、寒潮、大风、干旱、大雾、高温、低温、龙卷风、冰雹、霜冻、连阴雨等主要气象灾害对建设项目的风险分析，针对影响建设项目的主要灾种提出设防标准建议，以及其他预防或者减轻影响的对策和建议，论证结论和适用性说明。气象站气象探测环境基础数据应纳入国土空间基础信息平台“一张图”系统。</w:t>
      </w:r>
    </w:p>
    <w:p w14:paraId="6689C5AC">
      <w:pPr>
        <w:bidi w:val="0"/>
        <w:rPr>
          <w:rFonts w:hint="eastAsia"/>
          <w:b w:val="0"/>
          <w:bCs w:val="0"/>
          <w:highlight w:val="none"/>
        </w:rPr>
      </w:pPr>
      <w:r>
        <w:rPr>
          <w:rFonts w:hint="eastAsia"/>
          <w:b w:val="0"/>
          <w:bCs w:val="0"/>
          <w:highlight w:val="none"/>
        </w:rPr>
        <w:t>提高公共服务设施供给水平，应编制教育、体育、医疗、养老等专项规划。</w:t>
      </w:r>
    </w:p>
    <w:p w14:paraId="1CE02227">
      <w:pPr>
        <w:bidi w:val="0"/>
        <w:rPr>
          <w:rFonts w:hint="eastAsia"/>
          <w:b w:val="0"/>
          <w:bCs w:val="0"/>
          <w:highlight w:val="none"/>
        </w:rPr>
      </w:pPr>
      <w:r>
        <w:rPr>
          <w:rFonts w:hint="eastAsia"/>
          <w:b w:val="0"/>
          <w:bCs w:val="0"/>
          <w:highlight w:val="none"/>
        </w:rPr>
        <w:t>提升城市宜居性和生活品质，应编制公共交通、停车场、绿地系统等专项规划。</w:t>
      </w:r>
    </w:p>
    <w:p w14:paraId="6FE7E2EF">
      <w:pPr>
        <w:bidi w:val="0"/>
        <w:rPr>
          <w:rFonts w:hint="eastAsia"/>
          <w:b w:val="0"/>
          <w:bCs w:val="0"/>
          <w:highlight w:val="none"/>
        </w:rPr>
      </w:pPr>
      <w:r>
        <w:rPr>
          <w:rFonts w:hint="eastAsia"/>
          <w:b w:val="0"/>
          <w:bCs w:val="0"/>
          <w:highlight w:val="none"/>
        </w:rPr>
        <w:t>持续优化农用地、建设用地、生态用地空间布局，盘活存量，提高土地利用效率和品质，应编制全域土地综合整治、生态修复、高标准农田建设等专项规划。</w:t>
      </w:r>
    </w:p>
    <w:p w14:paraId="27E1C9F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ascii="Times New Roman" w:hAnsi="Times New Roman" w:cs="Times New Roman"/>
          <w:b w:val="0"/>
          <w:bCs w:val="0"/>
          <w:highlight w:val="none"/>
          <w:lang w:eastAsia="zh-CN"/>
        </w:rPr>
        <w:t>应开展规划水资源论证或编制规划水资源论证篇章。开展规划水资源论证，应以河湖生态流量(水量)保障目标、江河流域水量分配指标、地下水取用水总量和水位管控指标、用水总量和效率控制指标、用水定额标准等作为约束条件，对规划需水规模及其合理性、水资源配置方案的可行性和可靠性、规划实施对其他取用水的影响、对水生态水环境的影响、涉及区域的用水水平、节水潜力等进行分析评估，提出论证意见和规划优化调整的建议。</w:t>
      </w:r>
    </w:p>
    <w:p w14:paraId="23F3D0A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val="0"/>
          <w:highlight w:val="none"/>
        </w:rPr>
      </w:pPr>
      <w:r>
        <w:rPr>
          <w:rFonts w:hint="eastAsia"/>
          <w:b w:val="0"/>
          <w:bCs w:val="0"/>
          <w:highlight w:val="none"/>
        </w:rPr>
        <w:t>经依法批准的专项规划纳入国土空间规划“一张图”系统。</w:t>
      </w:r>
    </w:p>
    <w:p w14:paraId="45533116">
      <w:pPr>
        <w:pStyle w:val="23"/>
        <w:numPr>
          <w:ilvl w:val="0"/>
          <w:numId w:val="3"/>
        </w:numPr>
        <w:bidi w:val="0"/>
        <w:ind w:left="0" w:leftChars="0" w:firstLine="612" w:firstLineChars="0"/>
        <w:outlineLvl w:val="2"/>
        <w:rPr>
          <w:rFonts w:hint="eastAsia"/>
          <w:highlight w:val="none"/>
          <w:lang w:val="en-US"/>
        </w:rPr>
      </w:pPr>
      <w:bookmarkStart w:id="274" w:name="_Toc20920"/>
      <w:r>
        <w:rPr>
          <w:rFonts w:hint="eastAsia"/>
          <w:highlight w:val="none"/>
          <w:lang w:val="en-US"/>
        </w:rPr>
        <w:t>详细规划编制指引</w:t>
      </w:r>
      <w:bookmarkEnd w:id="274"/>
    </w:p>
    <w:p w14:paraId="1ECE0F20">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cs="Times New Roman"/>
          <w:color w:val="auto"/>
          <w:highlight w:val="none"/>
          <w:lang w:val="en-US" w:eastAsia="zh-CN"/>
        </w:rPr>
      </w:pPr>
      <w:r>
        <w:rPr>
          <w:rFonts w:hint="eastAsia"/>
          <w:b w:val="0"/>
          <w:bCs w:val="0"/>
          <w:highlight w:val="none"/>
        </w:rPr>
        <w:t>探索上下传导体系。通过控制线管控、用途管制、指标传导等方式强化规划传导机制。加强对于战略空间保障和重</w:t>
      </w:r>
      <w:r>
        <w:rPr>
          <w:rFonts w:hint="eastAsia" w:ascii="Times New Roman" w:hAnsi="Times New Roman" w:cs="Times New Roman"/>
          <w:color w:val="auto"/>
          <w:highlight w:val="none"/>
          <w:lang w:val="en-US" w:eastAsia="zh-CN"/>
        </w:rPr>
        <w:t>大基础设施的结构引导。乡（镇）规划指标可以在不突破总量的前提下，在乡（镇）内调剂使用，动态平衡。</w:t>
      </w:r>
    </w:p>
    <w:p w14:paraId="2B83D086">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完善单元层面规划编制工作。在城镇开发边界内，进一步细化“总体-分区-单元”的空间层级体系，城镇单元编制控制性详细规划；在城镇开发边界外的乡村地区，编制村庄规划作为详细规划。</w:t>
      </w:r>
    </w:p>
    <w:p w14:paraId="3D15F6FB">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在中心城区范围内划分出全域覆盖、无缝衔接、分类管控、统一赋码的详细规划单元，作为详细规划编制管理与动态监测等的基本范围。明确各单元名称、主导功能、规划人口、公共服务设施、市政公用设施、交通设施和防灾减灾设施配建要求，提出城市设计引导。下一层级详细规划可在指标控制范围内弹性布局各类建设用地。中心城区城镇开发边界内，共划分14个详细规划编制单元，承接传导总体规划的管控要求，明确定位规模、细化空间布局、落实支撑体系和强化管控传导等方面进行管控通则。在拆迁安置、老旧小区改造、保障性住房分配、安居工程中引导各族群众相互融居。</w:t>
      </w:r>
    </w:p>
    <w:p w14:paraId="415FEA6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在详细规划的编制中，应布局突发公共（卫生）事件相关的设施配套和空间，优化社区级设施配置，预留不确定设施的建设空间，加强社区生活圈与防御单元的匹配性。</w:t>
      </w:r>
    </w:p>
    <w:p w14:paraId="6D2FFD79">
      <w:pPr>
        <w:pStyle w:val="3"/>
        <w:keepNext/>
        <w:keepLines/>
        <w:pageBreakBefore w:val="0"/>
        <w:widowControl w:val="0"/>
        <w:numPr>
          <w:ilvl w:val="1"/>
          <w:numId w:val="2"/>
        </w:numPr>
        <w:kinsoku/>
        <w:wordWrap/>
        <w:overflowPunct/>
        <w:topLinePunct w:val="0"/>
        <w:autoSpaceDE/>
        <w:autoSpaceDN/>
        <w:bidi w:val="0"/>
        <w:adjustRightInd/>
        <w:snapToGrid/>
        <w:ind w:firstLine="0"/>
        <w:textAlignment w:val="auto"/>
        <w:rPr>
          <w:rFonts w:hint="eastAsia" w:cs="Times New Roman"/>
          <w:highlight w:val="none"/>
        </w:rPr>
      </w:pPr>
      <w:bookmarkStart w:id="275" w:name="_Toc16165"/>
      <w:bookmarkStart w:id="276" w:name="_Toc11111"/>
      <w:r>
        <w:rPr>
          <w:rFonts w:hint="eastAsia" w:cs="Times New Roman"/>
          <w:highlight w:val="none"/>
        </w:rPr>
        <w:t>规划全生命周期管理</w:t>
      </w:r>
      <w:bookmarkEnd w:id="275"/>
      <w:bookmarkEnd w:id="276"/>
    </w:p>
    <w:p w14:paraId="06836060">
      <w:pPr>
        <w:pStyle w:val="23"/>
        <w:numPr>
          <w:ilvl w:val="0"/>
          <w:numId w:val="3"/>
        </w:numPr>
        <w:bidi w:val="0"/>
        <w:ind w:left="0" w:leftChars="0" w:firstLine="612" w:firstLineChars="0"/>
        <w:outlineLvl w:val="2"/>
        <w:rPr>
          <w:rFonts w:hint="eastAsia"/>
          <w:highlight w:val="none"/>
          <w:lang w:val="en-US"/>
        </w:rPr>
      </w:pPr>
      <w:bookmarkStart w:id="277" w:name="_Toc18695"/>
      <w:r>
        <w:rPr>
          <w:rFonts w:hint="eastAsia"/>
          <w:highlight w:val="none"/>
          <w:lang w:val="en-US"/>
        </w:rPr>
        <w:t>国土空间基础信息平台</w:t>
      </w:r>
      <w:bookmarkEnd w:id="277"/>
    </w:p>
    <w:p w14:paraId="1F52C436">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 w:val="0"/>
          <w:bCs w:val="0"/>
          <w:color w:val="auto"/>
          <w:szCs w:val="32"/>
          <w:highlight w:val="none"/>
        </w:rPr>
      </w:pPr>
      <w:r>
        <w:rPr>
          <w:rFonts w:hint="eastAsia"/>
          <w:b w:val="0"/>
          <w:bCs w:val="0"/>
          <w:highlight w:val="none"/>
        </w:rPr>
        <w:t>构建全县国土空间信息平台，为规划编制审批管理提供空间数据和信息服务支撑。整合三调、遥感影像、基础地理、基础地质、地理国情普查和专项调查的各类现状数据，加强与相关部门的联动共享，形成“一张底图”，汇集各级各类</w:t>
      </w:r>
      <w:r>
        <w:rPr>
          <w:rFonts w:hint="eastAsia"/>
          <w:b w:val="0"/>
          <w:bCs w:val="0"/>
          <w:highlight w:val="none"/>
          <w:lang w:val="en-US" w:eastAsia="zh-CN"/>
        </w:rPr>
        <w:t>国土空间</w:t>
      </w:r>
      <w:r>
        <w:rPr>
          <w:rFonts w:hint="eastAsia"/>
          <w:b w:val="0"/>
          <w:bCs w:val="0"/>
          <w:highlight w:val="none"/>
        </w:rPr>
        <w:t>规划数据和管理数据，构建完善</w:t>
      </w:r>
      <w:r>
        <w:rPr>
          <w:rFonts w:hint="eastAsia"/>
          <w:b w:val="0"/>
          <w:bCs w:val="0"/>
          <w:highlight w:val="none"/>
          <w:lang w:val="en-US" w:eastAsia="zh-CN"/>
        </w:rPr>
        <w:t>国土空间</w:t>
      </w:r>
      <w:r>
        <w:rPr>
          <w:rFonts w:hint="eastAsia"/>
          <w:b w:val="0"/>
          <w:bCs w:val="0"/>
          <w:highlight w:val="none"/>
        </w:rPr>
        <w:t>规划“一张图”实施监督信息系统，建立各部门共建共享、全县统一、县乡联动的平台机制。</w:t>
      </w:r>
    </w:p>
    <w:p w14:paraId="56E0DC35">
      <w:pPr>
        <w:pStyle w:val="23"/>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12" w:firstLineChars="0"/>
        <w:textAlignment w:val="auto"/>
        <w:outlineLvl w:val="2"/>
        <w:rPr>
          <w:rFonts w:hint="eastAsia"/>
          <w:highlight w:val="none"/>
          <w:lang w:val="en-US"/>
        </w:rPr>
      </w:pPr>
      <w:bookmarkStart w:id="278" w:name="_Toc8913"/>
      <w:r>
        <w:rPr>
          <w:rFonts w:hint="eastAsia"/>
          <w:highlight w:val="none"/>
          <w:lang w:val="en-US"/>
        </w:rPr>
        <w:t>城市体检评估</w:t>
      </w:r>
      <w:bookmarkEnd w:id="278"/>
    </w:p>
    <w:p w14:paraId="6DA4D64E">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r>
        <w:rPr>
          <w:rFonts w:hint="eastAsia"/>
          <w:b w:val="0"/>
          <w:bCs w:val="0"/>
          <w:highlight w:val="none"/>
        </w:rPr>
        <w:t>构建“定期体检评估”的规划反馈调整机制。体检评估作为开展国土空间规划实施监督考核、安排年度计划、开展国土空间规划动态调整完善的重要依据。根据体检评估的结果，依据“总量控制、区域调配、奖优减劣”的原则进行动态优化，推动规划实施。</w:t>
      </w:r>
    </w:p>
    <w:p w14:paraId="5744E4F4">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p>
    <w:p w14:paraId="1E0392EA">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p>
    <w:p w14:paraId="031D379E">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p>
    <w:p w14:paraId="194DA08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p>
    <w:p w14:paraId="590E30C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p>
    <w:p w14:paraId="185E370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p>
    <w:p w14:paraId="17281F1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p>
    <w:p w14:paraId="28135B3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b/>
          <w:bCs/>
          <w:sz w:val="44"/>
          <w:szCs w:val="44"/>
          <w:highlight w:val="none"/>
          <w:lang w:val="en-US" w:eastAsia="zh-CN"/>
        </w:rPr>
      </w:pPr>
      <w:r>
        <w:rPr>
          <w:rFonts w:hint="eastAsia"/>
          <w:b/>
          <w:bCs/>
          <w:sz w:val="44"/>
          <w:szCs w:val="44"/>
          <w:highlight w:val="none"/>
          <w:lang w:val="en-US" w:eastAsia="zh-CN"/>
        </w:rPr>
        <w:t>目  录</w:t>
      </w:r>
    </w:p>
    <w:p w14:paraId="154C481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b/>
          <w:bCs/>
          <w:sz w:val="44"/>
          <w:szCs w:val="44"/>
          <w:highlight w:val="none"/>
          <w:lang w:val="en-US" w:eastAsia="zh-CN"/>
        </w:rPr>
      </w:pPr>
    </w:p>
    <w:p w14:paraId="61743E3D">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b/>
          <w:bCs/>
          <w:highlight w:val="none"/>
          <w:lang w:val="en-US" w:eastAsia="zh-CN"/>
        </w:rPr>
      </w:pPr>
      <w:r>
        <w:rPr>
          <w:rFonts w:hint="eastAsia"/>
          <w:b/>
          <w:bCs/>
          <w:highlight w:val="none"/>
          <w:lang w:val="en-US" w:eastAsia="zh-CN"/>
        </w:rPr>
        <w:t>县域</w:t>
      </w:r>
    </w:p>
    <w:p w14:paraId="3C995E19">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b w:val="0"/>
          <w:bCs w:val="0"/>
          <w:highlight w:val="none"/>
          <w:lang w:val="en-US" w:eastAsia="zh-CN"/>
        </w:rPr>
      </w:pPr>
      <w:r>
        <w:rPr>
          <w:rFonts w:hint="eastAsia"/>
          <w:b w:val="0"/>
          <w:bCs w:val="0"/>
          <w:highlight w:val="none"/>
          <w:lang w:val="en-US" w:eastAsia="zh-CN"/>
        </w:rPr>
        <w:t>1.县域国土空间总体格局图</w:t>
      </w:r>
      <w:bookmarkStart w:id="279" w:name="_GoBack"/>
      <w:bookmarkEnd w:id="279"/>
    </w:p>
    <w:p w14:paraId="434E7494">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b w:val="0"/>
          <w:bCs w:val="0"/>
          <w:highlight w:val="none"/>
          <w:lang w:val="en-US" w:eastAsia="zh-CN"/>
        </w:rPr>
      </w:pPr>
      <w:r>
        <w:rPr>
          <w:rFonts w:hint="eastAsia"/>
          <w:b w:val="0"/>
          <w:bCs w:val="0"/>
          <w:highlight w:val="none"/>
          <w:lang w:val="en-US" w:eastAsia="zh-CN"/>
        </w:rPr>
        <w:t>2.县域国土空间控制线规划图</w:t>
      </w:r>
    </w:p>
    <w:p w14:paraId="0208864D">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b w:val="0"/>
          <w:bCs w:val="0"/>
          <w:highlight w:val="none"/>
          <w:lang w:val="en-US" w:eastAsia="zh-CN"/>
        </w:rPr>
      </w:pPr>
      <w:r>
        <w:rPr>
          <w:rFonts w:hint="eastAsia"/>
          <w:b w:val="0"/>
          <w:bCs w:val="0"/>
          <w:highlight w:val="none"/>
          <w:lang w:val="en-US" w:eastAsia="zh-CN"/>
        </w:rPr>
        <w:t>3.县域城乡生活圈和公共设施规划图</w:t>
      </w:r>
    </w:p>
    <w:p w14:paraId="19D7F36F">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b w:val="0"/>
          <w:bCs w:val="0"/>
          <w:highlight w:val="none"/>
          <w:lang w:val="en-US" w:eastAsia="zh-CN"/>
        </w:rPr>
      </w:pPr>
      <w:r>
        <w:rPr>
          <w:rFonts w:hint="eastAsia"/>
          <w:b w:val="0"/>
          <w:bCs w:val="0"/>
          <w:highlight w:val="none"/>
          <w:lang w:val="en-US" w:eastAsia="zh-CN"/>
        </w:rPr>
        <w:t>4.县域综合交通规划图</w:t>
      </w:r>
    </w:p>
    <w:p w14:paraId="53E0655F">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b w:val="0"/>
          <w:bCs w:val="0"/>
          <w:highlight w:val="none"/>
          <w:lang w:val="en-US" w:eastAsia="zh-CN"/>
        </w:rPr>
      </w:pPr>
      <w:r>
        <w:rPr>
          <w:rFonts w:hint="eastAsia"/>
          <w:b w:val="0"/>
          <w:bCs w:val="0"/>
          <w:highlight w:val="none"/>
          <w:lang w:val="en-US" w:eastAsia="zh-CN"/>
        </w:rPr>
        <w:t>5.</w:t>
      </w:r>
      <w:r>
        <w:rPr>
          <w:rFonts w:hint="default"/>
          <w:b w:val="0"/>
          <w:bCs w:val="0"/>
          <w:highlight w:val="none"/>
          <w:lang w:val="en-US" w:eastAsia="zh-CN"/>
        </w:rPr>
        <w:t>县域城镇空间布局结构规划图</w:t>
      </w:r>
    </w:p>
    <w:p w14:paraId="37140BF8">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b w:val="0"/>
          <w:bCs w:val="0"/>
          <w:highlight w:val="none"/>
          <w:lang w:val="en-US" w:eastAsia="zh-CN"/>
        </w:rPr>
      </w:pPr>
    </w:p>
    <w:p w14:paraId="2CE7AA94">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b/>
          <w:bCs/>
          <w:highlight w:val="none"/>
          <w:lang w:val="en-US" w:eastAsia="zh-CN"/>
        </w:rPr>
      </w:pPr>
      <w:r>
        <w:rPr>
          <w:rFonts w:hint="eastAsia"/>
          <w:b/>
          <w:bCs/>
          <w:highlight w:val="none"/>
          <w:lang w:val="en-US" w:eastAsia="zh-CN"/>
        </w:rPr>
        <w:t>中心城区</w:t>
      </w:r>
    </w:p>
    <w:p w14:paraId="73025C35">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b w:val="0"/>
          <w:bCs w:val="0"/>
          <w:highlight w:val="none"/>
          <w:lang w:val="en-US" w:eastAsia="zh-CN"/>
        </w:rPr>
      </w:pPr>
      <w:r>
        <w:rPr>
          <w:rFonts w:hint="eastAsia"/>
          <w:b w:val="0"/>
          <w:bCs w:val="0"/>
          <w:highlight w:val="none"/>
          <w:lang w:val="en-US" w:eastAsia="zh-CN"/>
        </w:rPr>
        <w:t>1.</w:t>
      </w:r>
      <w:r>
        <w:rPr>
          <w:rFonts w:hint="default"/>
          <w:b w:val="0"/>
          <w:bCs w:val="0"/>
          <w:highlight w:val="none"/>
          <w:lang w:val="en-US" w:eastAsia="zh-CN"/>
        </w:rPr>
        <w:t>中心城区控制线规划图(四线)</w:t>
      </w:r>
    </w:p>
    <w:p w14:paraId="42C5D505">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b w:val="0"/>
          <w:bCs w:val="0"/>
          <w:highlight w:val="none"/>
          <w:lang w:val="en-US" w:eastAsia="zh-CN"/>
        </w:rPr>
      </w:pPr>
      <w:r>
        <w:rPr>
          <w:rFonts w:hint="eastAsia"/>
          <w:b w:val="0"/>
          <w:bCs w:val="0"/>
          <w:highlight w:val="none"/>
          <w:lang w:val="en-US" w:eastAsia="zh-CN"/>
        </w:rPr>
        <w:t>2.</w:t>
      </w:r>
      <w:r>
        <w:rPr>
          <w:rFonts w:hint="default"/>
          <w:b w:val="0"/>
          <w:bCs w:val="0"/>
          <w:highlight w:val="none"/>
          <w:lang w:val="en-US" w:eastAsia="zh-CN"/>
        </w:rPr>
        <w:t>中心城区绿地系统和开敞空间规划图</w:t>
      </w:r>
    </w:p>
    <w:p w14:paraId="7DDC7ECA">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b w:val="0"/>
          <w:bCs w:val="0"/>
          <w:highlight w:val="none"/>
          <w:lang w:val="en-US" w:eastAsia="zh-CN"/>
        </w:rPr>
      </w:pPr>
      <w:r>
        <w:rPr>
          <w:rFonts w:hint="eastAsia"/>
          <w:b w:val="0"/>
          <w:bCs w:val="0"/>
          <w:highlight w:val="none"/>
          <w:lang w:val="en-US" w:eastAsia="zh-CN"/>
        </w:rPr>
        <w:t>3.</w:t>
      </w:r>
      <w:r>
        <w:rPr>
          <w:rFonts w:hint="default"/>
          <w:b w:val="0"/>
          <w:bCs w:val="0"/>
          <w:highlight w:val="none"/>
          <w:lang w:val="en-US" w:eastAsia="zh-CN"/>
        </w:rPr>
        <w:t>中心城区道路交通规划图</w:t>
      </w:r>
    </w:p>
    <w:p w14:paraId="501419D9">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b w:val="0"/>
          <w:bCs w:val="0"/>
          <w:highlight w:val="none"/>
          <w:lang w:val="en-US" w:eastAsia="zh-CN"/>
        </w:rPr>
      </w:pPr>
      <w:r>
        <w:rPr>
          <w:rFonts w:hint="eastAsia"/>
          <w:b w:val="0"/>
          <w:bCs w:val="0"/>
          <w:highlight w:val="none"/>
          <w:lang w:val="en-US" w:eastAsia="zh-CN"/>
        </w:rPr>
        <w:t>4.</w:t>
      </w:r>
      <w:r>
        <w:rPr>
          <w:rFonts w:hint="default"/>
          <w:b w:val="0"/>
          <w:bCs w:val="0"/>
          <w:highlight w:val="none"/>
          <w:lang w:val="en-US" w:eastAsia="zh-CN"/>
        </w:rPr>
        <w:t>中心城区公共服务设施体系规划图</w:t>
      </w:r>
    </w:p>
    <w:p w14:paraId="4A261D70">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b w:val="0"/>
          <w:bCs w:val="0"/>
          <w:highlight w:val="none"/>
        </w:rPr>
      </w:pPr>
    </w:p>
    <w:p w14:paraId="1AF951E6">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b w:val="0"/>
          <w:bCs w:val="0"/>
          <w:highlight w:val="none"/>
        </w:rPr>
      </w:pPr>
    </w:p>
    <w:p w14:paraId="68B40A88">
      <w:pPr>
        <w:pStyle w:val="13"/>
        <w:spacing w:line="240" w:lineRule="auto"/>
        <w:ind w:left="0" w:leftChars="0" w:firstLine="0" w:firstLineChars="0"/>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73040" cy="7457440"/>
            <wp:effectExtent l="0" t="0" r="3810" b="10160"/>
            <wp:docPr id="3" name="图片 3" descr="410822博爱县01县域国土空间总体格局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10822博爱县01县域国土空间总体格局规划图"/>
                    <pic:cNvPicPr>
                      <a:picLocks noChangeAspect="1"/>
                    </pic:cNvPicPr>
                  </pic:nvPicPr>
                  <pic:blipFill>
                    <a:blip r:embed="rId10"/>
                    <a:stretch>
                      <a:fillRect/>
                    </a:stretch>
                  </pic:blipFill>
                  <pic:spPr>
                    <a:xfrm>
                      <a:off x="0" y="0"/>
                      <a:ext cx="5273040" cy="7457440"/>
                    </a:xfrm>
                    <a:prstGeom prst="rect">
                      <a:avLst/>
                    </a:prstGeom>
                  </pic:spPr>
                </pic:pic>
              </a:graphicData>
            </a:graphic>
          </wp:inline>
        </w:drawing>
      </w:r>
    </w:p>
    <w:p w14:paraId="4B328602">
      <w:pPr>
        <w:pStyle w:val="13"/>
        <w:spacing w:line="240" w:lineRule="auto"/>
        <w:ind w:left="0" w:leftChars="0" w:firstLine="0" w:firstLineChars="0"/>
        <w:rPr>
          <w:rFonts w:hint="eastAsia" w:eastAsia="宋体"/>
          <w:color w:val="auto"/>
          <w:highlight w:val="none"/>
          <w:lang w:eastAsia="zh-CN"/>
        </w:rPr>
      </w:pPr>
    </w:p>
    <w:p w14:paraId="624DE416">
      <w:pPr>
        <w:pStyle w:val="13"/>
        <w:spacing w:line="240" w:lineRule="auto"/>
        <w:ind w:left="0" w:leftChars="0" w:firstLine="0" w:firstLineChars="0"/>
        <w:rPr>
          <w:rFonts w:hint="eastAsia" w:eastAsia="宋体"/>
          <w:color w:val="auto"/>
          <w:highlight w:val="none"/>
          <w:lang w:eastAsia="zh-CN"/>
        </w:rPr>
      </w:pPr>
    </w:p>
    <w:p w14:paraId="05462FD0">
      <w:pPr>
        <w:pStyle w:val="13"/>
        <w:spacing w:line="240" w:lineRule="auto"/>
        <w:ind w:left="0" w:leftChars="0" w:firstLine="0" w:firstLineChars="0"/>
        <w:rPr>
          <w:rFonts w:hint="eastAsia" w:eastAsia="宋体"/>
          <w:color w:val="auto"/>
          <w:highlight w:val="none"/>
          <w:lang w:eastAsia="zh-CN"/>
        </w:rPr>
      </w:pPr>
    </w:p>
    <w:p w14:paraId="6F8F6E95">
      <w:pPr>
        <w:pStyle w:val="13"/>
        <w:spacing w:line="240" w:lineRule="auto"/>
        <w:ind w:left="0" w:leftChars="0" w:firstLine="0" w:firstLineChars="0"/>
        <w:rPr>
          <w:rFonts w:hint="eastAsia" w:eastAsia="宋体"/>
          <w:color w:val="auto"/>
          <w:highlight w:val="none"/>
          <w:lang w:eastAsia="zh-CN"/>
        </w:rPr>
      </w:pPr>
    </w:p>
    <w:p w14:paraId="6C974282">
      <w:pPr>
        <w:pStyle w:val="13"/>
        <w:spacing w:line="240" w:lineRule="auto"/>
        <w:ind w:left="0" w:leftChars="0" w:firstLine="0" w:firstLineChars="0"/>
        <w:rPr>
          <w:rFonts w:hint="eastAsia" w:eastAsia="宋体"/>
          <w:color w:val="auto"/>
          <w:highlight w:val="none"/>
          <w:lang w:eastAsia="zh-CN"/>
        </w:rPr>
      </w:pPr>
    </w:p>
    <w:p w14:paraId="18B366E8">
      <w:pPr>
        <w:pStyle w:val="13"/>
        <w:spacing w:line="240" w:lineRule="auto"/>
        <w:ind w:left="0" w:leftChars="0" w:firstLine="0" w:firstLineChars="0"/>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60975" cy="7448550"/>
            <wp:effectExtent l="0" t="0" r="15875" b="0"/>
            <wp:docPr id="5" name="图片 5" descr="410822博爱县02县域国土空间控制线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10822博爱县02县域国土空间控制线规划图"/>
                    <pic:cNvPicPr>
                      <a:picLocks noChangeAspect="1"/>
                    </pic:cNvPicPr>
                  </pic:nvPicPr>
                  <pic:blipFill>
                    <a:blip r:embed="rId11"/>
                    <a:stretch>
                      <a:fillRect/>
                    </a:stretch>
                  </pic:blipFill>
                  <pic:spPr>
                    <a:xfrm>
                      <a:off x="0" y="0"/>
                      <a:ext cx="5260975" cy="7448550"/>
                    </a:xfrm>
                    <a:prstGeom prst="rect">
                      <a:avLst/>
                    </a:prstGeom>
                  </pic:spPr>
                </pic:pic>
              </a:graphicData>
            </a:graphic>
          </wp:inline>
        </w:drawing>
      </w:r>
    </w:p>
    <w:p w14:paraId="171B2CEF">
      <w:pPr>
        <w:pStyle w:val="13"/>
        <w:spacing w:line="240" w:lineRule="auto"/>
        <w:ind w:left="0" w:leftChars="0" w:firstLine="0" w:firstLineChars="0"/>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73040" cy="7457440"/>
            <wp:effectExtent l="0" t="0" r="3810" b="10160"/>
            <wp:docPr id="6" name="图片 6" descr="410822博爱县10县域城乡生活圈和公共服务设施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10822博爱县10县域城乡生活圈和公共服务设施规划图"/>
                    <pic:cNvPicPr>
                      <a:picLocks noChangeAspect="1"/>
                    </pic:cNvPicPr>
                  </pic:nvPicPr>
                  <pic:blipFill>
                    <a:blip r:embed="rId12"/>
                    <a:stretch>
                      <a:fillRect/>
                    </a:stretch>
                  </pic:blipFill>
                  <pic:spPr>
                    <a:xfrm>
                      <a:off x="0" y="0"/>
                      <a:ext cx="5273040" cy="7457440"/>
                    </a:xfrm>
                    <a:prstGeom prst="rect">
                      <a:avLst/>
                    </a:prstGeom>
                  </pic:spPr>
                </pic:pic>
              </a:graphicData>
            </a:graphic>
          </wp:inline>
        </w:drawing>
      </w:r>
    </w:p>
    <w:p w14:paraId="05423645">
      <w:pPr>
        <w:pStyle w:val="13"/>
        <w:spacing w:line="240" w:lineRule="auto"/>
        <w:ind w:left="0" w:leftChars="0" w:firstLine="0" w:firstLineChars="0"/>
        <w:rPr>
          <w:rFonts w:hint="eastAsia" w:eastAsia="宋体"/>
          <w:color w:val="auto"/>
          <w:highlight w:val="none"/>
          <w:lang w:eastAsia="zh-CN"/>
        </w:rPr>
      </w:pPr>
    </w:p>
    <w:p w14:paraId="355F7CCA">
      <w:pPr>
        <w:pStyle w:val="13"/>
        <w:spacing w:line="240" w:lineRule="auto"/>
        <w:ind w:left="0" w:leftChars="0" w:firstLine="0" w:firstLineChars="0"/>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73040" cy="7457440"/>
            <wp:effectExtent l="0" t="0" r="3810" b="10160"/>
            <wp:docPr id="7" name="图片 7" descr="410822博爱县11县域综合交通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10822博爱县11县域综合交通规划图"/>
                    <pic:cNvPicPr>
                      <a:picLocks noChangeAspect="1"/>
                    </pic:cNvPicPr>
                  </pic:nvPicPr>
                  <pic:blipFill>
                    <a:blip r:embed="rId13"/>
                    <a:stretch>
                      <a:fillRect/>
                    </a:stretch>
                  </pic:blipFill>
                  <pic:spPr>
                    <a:xfrm>
                      <a:off x="0" y="0"/>
                      <a:ext cx="5273040" cy="7457440"/>
                    </a:xfrm>
                    <a:prstGeom prst="rect">
                      <a:avLst/>
                    </a:prstGeom>
                  </pic:spPr>
                </pic:pic>
              </a:graphicData>
            </a:graphic>
          </wp:inline>
        </w:drawing>
      </w:r>
    </w:p>
    <w:p w14:paraId="10D20C23">
      <w:pPr>
        <w:pStyle w:val="13"/>
        <w:spacing w:line="240" w:lineRule="auto"/>
        <w:ind w:left="0" w:leftChars="0" w:firstLine="0" w:firstLineChars="0"/>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73040" cy="7457440"/>
            <wp:effectExtent l="0" t="0" r="3810" b="10160"/>
            <wp:docPr id="8" name="图片 8" descr="410822博爱县17县域城镇空间布局结构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10822博爱县17县域城镇空间布局结构规划图"/>
                    <pic:cNvPicPr>
                      <a:picLocks noChangeAspect="1"/>
                    </pic:cNvPicPr>
                  </pic:nvPicPr>
                  <pic:blipFill>
                    <a:blip r:embed="rId14"/>
                    <a:stretch>
                      <a:fillRect/>
                    </a:stretch>
                  </pic:blipFill>
                  <pic:spPr>
                    <a:xfrm>
                      <a:off x="0" y="0"/>
                      <a:ext cx="5273040" cy="7457440"/>
                    </a:xfrm>
                    <a:prstGeom prst="rect">
                      <a:avLst/>
                    </a:prstGeom>
                  </pic:spPr>
                </pic:pic>
              </a:graphicData>
            </a:graphic>
          </wp:inline>
        </w:drawing>
      </w:r>
    </w:p>
    <w:p w14:paraId="12306C2B">
      <w:pPr>
        <w:pStyle w:val="13"/>
        <w:spacing w:line="240" w:lineRule="auto"/>
        <w:ind w:left="0" w:leftChars="0" w:firstLine="0" w:firstLineChars="0"/>
        <w:rPr>
          <w:rFonts w:hint="eastAsia" w:eastAsia="宋体"/>
          <w:color w:val="auto"/>
          <w:highlight w:val="none"/>
          <w:lang w:eastAsia="zh-CN"/>
        </w:rPr>
      </w:pPr>
    </w:p>
    <w:p w14:paraId="71040D66">
      <w:pPr>
        <w:pStyle w:val="13"/>
        <w:spacing w:line="240" w:lineRule="auto"/>
        <w:ind w:left="0" w:leftChars="0" w:firstLine="0" w:firstLineChars="0"/>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73040" cy="7457440"/>
            <wp:effectExtent l="0" t="0" r="3810" b="10160"/>
            <wp:docPr id="11" name="图片 11" descr="410822博爱县24中心城区控制线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10822博爱县24中心城区控制线规划图"/>
                    <pic:cNvPicPr>
                      <a:picLocks noChangeAspect="1"/>
                    </pic:cNvPicPr>
                  </pic:nvPicPr>
                  <pic:blipFill>
                    <a:blip r:embed="rId15"/>
                    <a:stretch>
                      <a:fillRect/>
                    </a:stretch>
                  </pic:blipFill>
                  <pic:spPr>
                    <a:xfrm>
                      <a:off x="0" y="0"/>
                      <a:ext cx="5273040" cy="7457440"/>
                    </a:xfrm>
                    <a:prstGeom prst="rect">
                      <a:avLst/>
                    </a:prstGeom>
                  </pic:spPr>
                </pic:pic>
              </a:graphicData>
            </a:graphic>
          </wp:inline>
        </w:drawing>
      </w:r>
    </w:p>
    <w:p w14:paraId="498B7B77">
      <w:pPr>
        <w:pStyle w:val="13"/>
        <w:spacing w:line="240" w:lineRule="auto"/>
        <w:ind w:left="0" w:leftChars="0" w:firstLine="0" w:firstLineChars="0"/>
        <w:rPr>
          <w:rFonts w:hint="eastAsia" w:eastAsia="宋体"/>
          <w:color w:val="auto"/>
          <w:highlight w:val="none"/>
          <w:lang w:eastAsia="zh-CN"/>
        </w:rPr>
      </w:pPr>
    </w:p>
    <w:p w14:paraId="55CF4BBA">
      <w:pPr>
        <w:pStyle w:val="13"/>
        <w:spacing w:line="240" w:lineRule="auto"/>
        <w:ind w:left="0" w:leftChars="0" w:firstLine="0" w:firstLineChars="0"/>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73040" cy="7457440"/>
            <wp:effectExtent l="0" t="0" r="3810" b="10160"/>
            <wp:docPr id="9" name="图片 9" descr="410822博爱县27中心城区绿地系统和开敞空间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410822博爱县27中心城区绿地系统和开敞空间规划图"/>
                    <pic:cNvPicPr>
                      <a:picLocks noChangeAspect="1"/>
                    </pic:cNvPicPr>
                  </pic:nvPicPr>
                  <pic:blipFill>
                    <a:blip r:embed="rId16"/>
                    <a:stretch>
                      <a:fillRect/>
                    </a:stretch>
                  </pic:blipFill>
                  <pic:spPr>
                    <a:xfrm>
                      <a:off x="0" y="0"/>
                      <a:ext cx="5273040" cy="7457440"/>
                    </a:xfrm>
                    <a:prstGeom prst="rect">
                      <a:avLst/>
                    </a:prstGeom>
                  </pic:spPr>
                </pic:pic>
              </a:graphicData>
            </a:graphic>
          </wp:inline>
        </w:drawing>
      </w:r>
    </w:p>
    <w:p w14:paraId="29BFA37B">
      <w:pPr>
        <w:pStyle w:val="13"/>
        <w:spacing w:line="240" w:lineRule="auto"/>
        <w:ind w:left="0" w:leftChars="0" w:firstLine="0" w:firstLineChars="0"/>
        <w:rPr>
          <w:rFonts w:hint="eastAsia" w:eastAsia="宋体"/>
          <w:color w:val="auto"/>
          <w:highlight w:val="none"/>
          <w:lang w:eastAsia="zh-CN"/>
        </w:rPr>
      </w:pPr>
    </w:p>
    <w:p w14:paraId="1FDFEB62">
      <w:pPr>
        <w:pStyle w:val="13"/>
        <w:spacing w:line="240" w:lineRule="auto"/>
        <w:ind w:left="0" w:leftChars="0" w:firstLine="0" w:firstLineChars="0"/>
        <w:rPr>
          <w:rFonts w:hint="eastAsia" w:eastAsia="宋体"/>
          <w:color w:val="auto"/>
          <w:highlight w:val="none"/>
          <w:lang w:eastAsia="zh-CN"/>
        </w:rPr>
      </w:pPr>
    </w:p>
    <w:p w14:paraId="567B6AC3">
      <w:pPr>
        <w:pStyle w:val="13"/>
        <w:spacing w:line="240" w:lineRule="auto"/>
        <w:ind w:left="0" w:leftChars="0" w:firstLine="0" w:firstLineChars="0"/>
        <w:rPr>
          <w:rFonts w:hint="eastAsia" w:eastAsia="宋体"/>
          <w:color w:val="auto"/>
          <w:highlight w:val="none"/>
          <w:lang w:eastAsia="zh-CN"/>
        </w:rPr>
      </w:pPr>
    </w:p>
    <w:p w14:paraId="2A4BEAD6">
      <w:pPr>
        <w:pStyle w:val="13"/>
        <w:spacing w:line="240" w:lineRule="auto"/>
        <w:ind w:left="0" w:leftChars="0" w:firstLine="0" w:firstLineChars="0"/>
        <w:rPr>
          <w:rFonts w:hint="eastAsia" w:eastAsia="宋体"/>
          <w:color w:val="auto"/>
          <w:highlight w:val="none"/>
          <w:lang w:eastAsia="zh-CN"/>
        </w:rPr>
      </w:pPr>
    </w:p>
    <w:p w14:paraId="06B55A0F">
      <w:pPr>
        <w:pStyle w:val="13"/>
        <w:spacing w:line="240" w:lineRule="auto"/>
        <w:ind w:left="0" w:leftChars="0" w:firstLine="0" w:firstLineChars="0"/>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73040" cy="7457440"/>
            <wp:effectExtent l="0" t="0" r="3810" b="10160"/>
            <wp:docPr id="10" name="图片 10" descr="410822博爱县30中心城区道路交通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410822博爱县30中心城区道路交通规划图"/>
                    <pic:cNvPicPr>
                      <a:picLocks noChangeAspect="1"/>
                    </pic:cNvPicPr>
                  </pic:nvPicPr>
                  <pic:blipFill>
                    <a:blip r:embed="rId17"/>
                    <a:stretch>
                      <a:fillRect/>
                    </a:stretch>
                  </pic:blipFill>
                  <pic:spPr>
                    <a:xfrm>
                      <a:off x="0" y="0"/>
                      <a:ext cx="5273040" cy="7457440"/>
                    </a:xfrm>
                    <a:prstGeom prst="rect">
                      <a:avLst/>
                    </a:prstGeom>
                  </pic:spPr>
                </pic:pic>
              </a:graphicData>
            </a:graphic>
          </wp:inline>
        </w:drawing>
      </w:r>
    </w:p>
    <w:p w14:paraId="1DE6EE24">
      <w:pPr>
        <w:pStyle w:val="13"/>
        <w:spacing w:line="240" w:lineRule="auto"/>
        <w:ind w:left="0" w:leftChars="0" w:firstLine="0" w:firstLineChars="0"/>
        <w:rPr>
          <w:rFonts w:hint="eastAsia" w:eastAsia="宋体"/>
          <w:color w:val="auto"/>
          <w:highlight w:val="none"/>
          <w:lang w:eastAsia="zh-CN"/>
        </w:rPr>
      </w:pPr>
    </w:p>
    <w:p w14:paraId="06FAC9C8">
      <w:pPr>
        <w:pStyle w:val="13"/>
        <w:spacing w:line="240" w:lineRule="auto"/>
        <w:ind w:left="0" w:leftChars="0" w:firstLine="0" w:firstLineChars="0"/>
        <w:rPr>
          <w:rFonts w:hint="eastAsia" w:eastAsia="宋体"/>
          <w:color w:val="auto"/>
          <w:highlight w:val="none"/>
          <w:lang w:eastAsia="zh-CN"/>
        </w:rPr>
      </w:pPr>
    </w:p>
    <w:p w14:paraId="21C3C2C9">
      <w:pPr>
        <w:pStyle w:val="13"/>
        <w:spacing w:line="240" w:lineRule="auto"/>
        <w:ind w:left="0" w:leftChars="0" w:firstLine="0" w:firstLineChars="0"/>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73040" cy="7457440"/>
            <wp:effectExtent l="0" t="0" r="3810" b="10160"/>
            <wp:docPr id="12" name="图片 12" descr="410822博爱县28中心城区公共服务设施体系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410822博爱县28中心城区公共服务设施体系规划图"/>
                    <pic:cNvPicPr>
                      <a:picLocks noChangeAspect="1"/>
                    </pic:cNvPicPr>
                  </pic:nvPicPr>
                  <pic:blipFill>
                    <a:blip r:embed="rId18"/>
                    <a:stretch>
                      <a:fillRect/>
                    </a:stretch>
                  </pic:blipFill>
                  <pic:spPr>
                    <a:xfrm>
                      <a:off x="0" y="0"/>
                      <a:ext cx="5273040" cy="7457440"/>
                    </a:xfrm>
                    <a:prstGeom prst="rect">
                      <a:avLst/>
                    </a:prstGeom>
                  </pic:spPr>
                </pic:pic>
              </a:graphicData>
            </a:graphic>
          </wp:inline>
        </w:drawing>
      </w:r>
    </w:p>
    <w:sectPr>
      <w:headerReference r:id="rId8" w:type="default"/>
      <w:pgSz w:w="11906" w:h="16838"/>
      <w:pgMar w:top="1440" w:right="1797" w:bottom="1440" w:left="1797" w:header="850" w:footer="850" w:gutter="0"/>
      <w:pgNumType w:fmt="decimal"/>
      <w:cols w:space="720" w:num="1"/>
      <w:rtlGutter w:val="0"/>
      <w:docGrid w:type="lines" w:linePitch="43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9279D14-2328-4208-B505-3C34846E904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288B013-3F3A-496D-822C-A470865BB356}"/>
  </w:font>
  <w:font w:name="仿宋">
    <w:panose1 w:val="02010609060101010101"/>
    <w:charset w:val="86"/>
    <w:family w:val="auto"/>
    <w:pitch w:val="default"/>
    <w:sig w:usb0="800002BF" w:usb1="38CF7CFA" w:usb2="00000016" w:usb3="00000000" w:csb0="00040001" w:csb1="00000000"/>
    <w:embedRegular r:id="rId3" w:fontKey="{249B49C1-8DEC-4F0B-A40E-B80CE1851C1B}"/>
  </w:font>
  <w:font w:name="仿宋_GB2312">
    <w:panose1 w:val="02010609030101010101"/>
    <w:charset w:val="86"/>
    <w:family w:val="modern"/>
    <w:pitch w:val="default"/>
    <w:sig w:usb0="00000001" w:usb1="080E0000" w:usb2="00000000" w:usb3="00000000" w:csb0="00040000" w:csb1="00000000"/>
    <w:embedRegular r:id="rId4" w:fontKey="{0A987FE0-0BF4-47A8-9D02-7D16E397A8F8}"/>
  </w:font>
  <w:font w:name="微软雅黑">
    <w:panose1 w:val="020B0503020204020204"/>
    <w:charset w:val="86"/>
    <w:family w:val="auto"/>
    <w:pitch w:val="default"/>
    <w:sig w:usb0="80000287" w:usb1="2ACF3C50" w:usb2="00000016" w:usb3="00000000" w:csb0="0004001F" w:csb1="00000000"/>
    <w:embedRegular r:id="rId5" w:fontKey="{0D17C9ED-7087-4BB3-987F-04AD45AA699C}"/>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auto"/>
    <w:pitch w:val="default"/>
    <w:sig w:usb0="800002BF" w:usb1="38CF7CFA" w:usb2="00000016" w:usb3="00000000" w:csb0="00040001" w:csb1="00000000"/>
    <w:embedRegular r:id="rId6" w:fontKey="{8266F9FD-4FFC-47A6-BBBD-51240A74E953}"/>
  </w:font>
  <w:font w:name="楷体_GB2312">
    <w:panose1 w:val="02010609030101010101"/>
    <w:charset w:val="86"/>
    <w:family w:val="auto"/>
    <w:pitch w:val="default"/>
    <w:sig w:usb0="00000001" w:usb1="080E0000" w:usb2="00000000" w:usb3="00000000" w:csb0="00040000" w:csb1="00000000"/>
    <w:embedRegular r:id="rId7" w:fontKey="{35482465-657A-4DD7-A643-73C4EE33D1B5}"/>
  </w:font>
  <w:font w:name="仿宋_x0006_">
    <w:altName w:val="仿宋"/>
    <w:panose1 w:val="00000000000000000000"/>
    <w:charset w:val="86"/>
    <w:family w:val="roman"/>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8" w:fontKey="{EAF4707A-09F5-4D78-B738-4FE654D736D9}"/>
  </w:font>
  <w:font w:name="WPSEMBED1">
    <w:panose1 w:val="02010609030101010101"/>
    <w:charset w:val="86"/>
    <w:family w:val="auto"/>
    <w:pitch w:val="default"/>
    <w:sig w:usb0="00000001" w:usb1="080E0000" w:usb2="00000000" w:usb3="00000000" w:csb0="00040000" w:csb1="00000000"/>
  </w:font>
  <w:font w:name="WPSEMBED2">
    <w:panose1 w:val="02010609030101010101"/>
    <w:charset w:val="86"/>
    <w:family w:val="auto"/>
    <w:pitch w:val="default"/>
    <w:sig w:usb0="00000001" w:usb1="080E0000" w:usb2="00000000" w:usb3="00000000" w:csb0="00040000" w:csb1="00000000"/>
  </w:font>
  <w:font w:name="WPSEMBED3">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48315">
    <w:pPr>
      <w:spacing w:line="188" w:lineRule="auto"/>
      <w:ind w:left="4062"/>
      <w:rPr>
        <w:rFonts w:eastAsia="Calibri" w:cs="Calibri"/>
        <w:sz w:val="17"/>
        <w:szCs w:val="1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2892A">
    <w:pPr>
      <w:pStyle w:val="9"/>
      <w:tabs>
        <w:tab w:val="clear" w:pos="4153"/>
      </w:tabs>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5927E28">
                          <w:pPr>
                            <w:pStyle w:val="9"/>
                            <w:keepNext w:val="0"/>
                            <w:keepLines w:val="0"/>
                            <w:pageBreakBefore w:val="0"/>
                            <w:widowControl w:val="0"/>
                            <w:kinsoku/>
                            <w:wordWrap/>
                            <w:overflowPunct/>
                            <w:topLinePunct w:val="0"/>
                            <w:bidi w:val="0"/>
                            <w:adjustRightInd/>
                            <w:snapToGrid w:val="0"/>
                            <w:ind w:firstLine="0" w:firstLineChars="0"/>
                            <w:textAlignment w:val="auto"/>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103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C/2E+v4QEAAMEDAAAOAAAA&#10;AAAAAAEAIAAAAB4BAABkcnMvZTJvRG9jLnhtbFBLBQYAAAAABgAGAFkBAABxBQAAAAA=&#10;">
              <v:fill on="f" focussize="0,0"/>
              <v:stroke on="f"/>
              <v:imagedata o:title=""/>
              <o:lock v:ext="edit" aspectratio="f"/>
              <v:textbox inset="0mm,0mm,0mm,0mm" style="mso-fit-shape-to-text:t;">
                <w:txbxContent>
                  <w:p w14:paraId="75927E28">
                    <w:pPr>
                      <w:pStyle w:val="9"/>
                      <w:keepNext w:val="0"/>
                      <w:keepLines w:val="0"/>
                      <w:pageBreakBefore w:val="0"/>
                      <w:widowControl w:val="0"/>
                      <w:kinsoku/>
                      <w:wordWrap/>
                      <w:overflowPunct/>
                      <w:topLinePunct w:val="0"/>
                      <w:bidi w:val="0"/>
                      <w:adjustRightInd/>
                      <w:snapToGrid w:val="0"/>
                      <w:ind w:firstLine="0" w:firstLineChars="0"/>
                      <w:textAlignment w:val="auto"/>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B1354">
    <w:pPr>
      <w:pStyle w:val="10"/>
      <w:pBdr>
        <w:bottom w:val="none" w:color="auto" w:sz="0" w:space="1"/>
      </w:pBdr>
      <w:rPr>
        <w:rFonts w:hint="eastAsia" w:eastAsia="仿宋_GB2312"/>
        <w:lang w:val="en-US" w:eastAsia="zh-CN"/>
      </w:rPr>
    </w:pPr>
    <w:r>
      <w:rPr>
        <w:rFonts w:hint="eastAsia"/>
        <w:lang w:val="en-US" w:eastAsia="zh-CN"/>
      </w:rPr>
      <w:t>`</w:t>
    </w:r>
  </w:p>
  <w:p w14:paraId="7DD7A3D5">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D13E0">
    <w:pPr>
      <w:pStyle w:val="10"/>
      <w:pBdr>
        <w:bottom w:val="none" w:color="auto" w:sz="0" w:space="1"/>
      </w:pBdr>
    </w:pPr>
  </w:p>
  <w:p w14:paraId="7DDAA777">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B20EAF"/>
    <w:multiLevelType w:val="multilevel"/>
    <w:tmpl w:val="04B20EAF"/>
    <w:lvl w:ilvl="0" w:tentative="0">
      <w:start w:val="1"/>
      <w:numFmt w:val="decimal"/>
      <w:suff w:val="nothing"/>
      <w:lvlText w:val="%1．"/>
      <w:lvlJc w:val="left"/>
      <w:pPr>
        <w:tabs>
          <w:tab w:val="left" w:pos="0"/>
        </w:tabs>
        <w:ind w:left="0" w:firstLine="40"/>
      </w:pPr>
      <w:rPr>
        <w:rFonts w:hint="default"/>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4BC11121"/>
    <w:multiLevelType w:val="multilevel"/>
    <w:tmpl w:val="4BC11121"/>
    <w:lvl w:ilvl="0" w:tentative="0">
      <w:start w:val="1"/>
      <w:numFmt w:val="chineseCounting"/>
      <w:suff w:val="nothing"/>
      <w:lvlText w:val="第%1章　"/>
      <w:lvlJc w:val="left"/>
      <w:pPr>
        <w:ind w:left="0" w:firstLine="402"/>
      </w:pPr>
      <w:rPr>
        <w:rFonts w:hint="eastAsia" w:ascii="方正小标宋_GBK" w:hAnsi="方正小标宋_GBK" w:eastAsia="方正小标宋_GBK" w:cs="方正小标宋_GBK"/>
        <w:b w:val="0"/>
        <w:bCs w:val="0"/>
        <w:sz w:val="36"/>
        <w:szCs w:val="36"/>
      </w:rPr>
    </w:lvl>
    <w:lvl w:ilvl="1" w:tentative="0">
      <w:start w:val="1"/>
      <w:numFmt w:val="chineseCounting"/>
      <w:suff w:val="nothing"/>
      <w:lvlText w:val="第%2节　"/>
      <w:lvlJc w:val="left"/>
      <w:pPr>
        <w:ind w:left="0" w:firstLine="402"/>
      </w:pPr>
      <w:rPr>
        <w:rFonts w:hint="eastAsia"/>
      </w:rPr>
    </w:lvl>
    <w:lvl w:ilvl="2" w:tentative="0">
      <w:start w:val="1"/>
      <w:numFmt w:val="chineseCounting"/>
      <w:suff w:val="nothing"/>
      <w:lvlText w:val="第%3条　"/>
      <w:lvlJc w:val="left"/>
      <w:pPr>
        <w:ind w:left="0" w:firstLine="402"/>
      </w:pPr>
      <w:rPr>
        <w:rFonts w:hint="eastAsia"/>
      </w:rPr>
    </w:lvl>
    <w:lvl w:ilvl="3" w:tentative="0">
      <w:start w:val="1"/>
      <w:numFmt w:val="chineseCounting"/>
      <w:suff w:val="nothing"/>
      <w:lvlText w:val="（%4）"/>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decimalEnclosedCircleChinese"/>
      <w:suff w:val="nothing"/>
      <w:lvlText w:val="%7 "/>
      <w:lvlJc w:val="left"/>
      <w:pPr>
        <w:ind w:left="0" w:firstLine="402"/>
      </w:pPr>
      <w:rPr>
        <w:rFonts w:hint="eastAsia"/>
      </w:rPr>
    </w:lvl>
    <w:lvl w:ilvl="7" w:tentative="0">
      <w:start w:val="1"/>
      <w:numFmt w:val="decimal"/>
      <w:suff w:val="nothing"/>
      <w:lvlText w:val="%8）"/>
      <w:lvlJc w:val="left"/>
      <w:pPr>
        <w:ind w:left="0" w:firstLine="402"/>
      </w:pPr>
      <w:rPr>
        <w:rFonts w:hint="eastAsia"/>
      </w:rPr>
    </w:lvl>
    <w:lvl w:ilvl="8" w:tentative="0">
      <w:start w:val="1"/>
      <w:numFmt w:val="lowerLetter"/>
      <w:suff w:val="nothing"/>
      <w:lvlText w:val="%9．"/>
      <w:lvlJc w:val="left"/>
      <w:pPr>
        <w:ind w:left="0" w:firstLine="402"/>
      </w:pPr>
      <w:rPr>
        <w:rFonts w:hint="eastAsia"/>
      </w:rPr>
    </w:lvl>
  </w:abstractNum>
  <w:abstractNum w:abstractNumId="2">
    <w:nsid w:val="619B7ABC"/>
    <w:multiLevelType w:val="multilevel"/>
    <w:tmpl w:val="619B7ABC"/>
    <w:lvl w:ilvl="0" w:tentative="0">
      <w:start w:val="1"/>
      <w:numFmt w:val="decimal"/>
      <w:suff w:val="space"/>
      <w:lvlText w:val="第%1条"/>
      <w:lvlJc w:val="left"/>
      <w:pPr>
        <w:tabs>
          <w:tab w:val="left" w:pos="0"/>
        </w:tabs>
        <w:ind w:left="0" w:firstLine="612"/>
      </w:pPr>
      <w:rPr>
        <w:rFonts w:hint="default" w:ascii="Times New Roman" w:hAnsi="Times New Roman" w:eastAsia="楷体" w:cs="楷体_GB2312"/>
        <w:b w:val="0"/>
        <w:bCs w:val="0"/>
        <w:sz w:val="32"/>
        <w:szCs w:val="32"/>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3">
    <w:nsid w:val="7CB657EF"/>
    <w:multiLevelType w:val="multilevel"/>
    <w:tmpl w:val="7CB657EF"/>
    <w:lvl w:ilvl="0" w:tentative="0">
      <w:start w:val="1"/>
      <w:numFmt w:val="decimal"/>
      <w:pStyle w:val="23"/>
      <w:lvlText w:val="第%1条"/>
      <w:lvlJc w:val="left"/>
      <w:pPr>
        <w:tabs>
          <w:tab w:val="left" w:pos="0"/>
        </w:tabs>
        <w:ind w:left="0" w:firstLine="0"/>
      </w:pPr>
      <w:rPr>
        <w:rFonts w:hint="default" w:ascii="Times New Roman" w:hAnsi="Times New Roman" w:eastAsia="楷体" w:cs="楷体_GB2312"/>
        <w:b w:val="0"/>
        <w:bCs w:val="0"/>
        <w:sz w:val="32"/>
        <w:szCs w:val="32"/>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hyphenationZone w:val="360"/>
  <w:drawingGridHorizontalSpacing w:val="320"/>
  <w:drawingGridVerticalSpacing w:val="218"/>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mYTQ1ZGI1YjBhNWUzNjFlNmI2ZGNmNzU3MTIxNDMifQ=="/>
  </w:docVars>
  <w:rsids>
    <w:rsidRoot w:val="00172A27"/>
    <w:rsid w:val="00135135"/>
    <w:rsid w:val="0014022C"/>
    <w:rsid w:val="001573D4"/>
    <w:rsid w:val="001F092A"/>
    <w:rsid w:val="002630BB"/>
    <w:rsid w:val="00294959"/>
    <w:rsid w:val="002E33E0"/>
    <w:rsid w:val="002E7C44"/>
    <w:rsid w:val="00385E6C"/>
    <w:rsid w:val="003967BB"/>
    <w:rsid w:val="003C601C"/>
    <w:rsid w:val="003F417C"/>
    <w:rsid w:val="004E43BF"/>
    <w:rsid w:val="00634ED8"/>
    <w:rsid w:val="00760979"/>
    <w:rsid w:val="00783462"/>
    <w:rsid w:val="008B1FBC"/>
    <w:rsid w:val="009E19C8"/>
    <w:rsid w:val="00A8723F"/>
    <w:rsid w:val="00A97848"/>
    <w:rsid w:val="00AB1957"/>
    <w:rsid w:val="00AE3E50"/>
    <w:rsid w:val="00B1070F"/>
    <w:rsid w:val="00B405BE"/>
    <w:rsid w:val="00BB26AE"/>
    <w:rsid w:val="00BE141C"/>
    <w:rsid w:val="00C62A1D"/>
    <w:rsid w:val="00CE3531"/>
    <w:rsid w:val="00D66E01"/>
    <w:rsid w:val="00DC1994"/>
    <w:rsid w:val="00E13486"/>
    <w:rsid w:val="00E67654"/>
    <w:rsid w:val="00EA3D7F"/>
    <w:rsid w:val="00F242DC"/>
    <w:rsid w:val="010F7FF3"/>
    <w:rsid w:val="01154E42"/>
    <w:rsid w:val="011669C7"/>
    <w:rsid w:val="012E3DA7"/>
    <w:rsid w:val="014D4D61"/>
    <w:rsid w:val="01504A25"/>
    <w:rsid w:val="015B3238"/>
    <w:rsid w:val="015D0D5E"/>
    <w:rsid w:val="01703A4E"/>
    <w:rsid w:val="01716EC8"/>
    <w:rsid w:val="0179546C"/>
    <w:rsid w:val="0187402D"/>
    <w:rsid w:val="0187598D"/>
    <w:rsid w:val="01883901"/>
    <w:rsid w:val="01AD411E"/>
    <w:rsid w:val="01AD6133"/>
    <w:rsid w:val="01C37100"/>
    <w:rsid w:val="01CE709A"/>
    <w:rsid w:val="01D43CEC"/>
    <w:rsid w:val="01E52548"/>
    <w:rsid w:val="01E60DCA"/>
    <w:rsid w:val="01E70628"/>
    <w:rsid w:val="01EC72D6"/>
    <w:rsid w:val="02020CA1"/>
    <w:rsid w:val="021E3140"/>
    <w:rsid w:val="022A44B7"/>
    <w:rsid w:val="023C5239"/>
    <w:rsid w:val="024617F2"/>
    <w:rsid w:val="024C629F"/>
    <w:rsid w:val="02682509"/>
    <w:rsid w:val="029C3B08"/>
    <w:rsid w:val="02A3109C"/>
    <w:rsid w:val="02B313FF"/>
    <w:rsid w:val="02B50D71"/>
    <w:rsid w:val="02CD47AD"/>
    <w:rsid w:val="02D85BF6"/>
    <w:rsid w:val="02DE7C7D"/>
    <w:rsid w:val="02E35293"/>
    <w:rsid w:val="02ED7EC0"/>
    <w:rsid w:val="030C5137"/>
    <w:rsid w:val="031048F7"/>
    <w:rsid w:val="03192086"/>
    <w:rsid w:val="031A66A3"/>
    <w:rsid w:val="031D3C63"/>
    <w:rsid w:val="03224562"/>
    <w:rsid w:val="03457CFC"/>
    <w:rsid w:val="034C1003"/>
    <w:rsid w:val="03541CED"/>
    <w:rsid w:val="035546CA"/>
    <w:rsid w:val="03627B33"/>
    <w:rsid w:val="03854360"/>
    <w:rsid w:val="038650C3"/>
    <w:rsid w:val="03A76597"/>
    <w:rsid w:val="03A9553E"/>
    <w:rsid w:val="03B1713F"/>
    <w:rsid w:val="03DB0376"/>
    <w:rsid w:val="03FB485E"/>
    <w:rsid w:val="040004F2"/>
    <w:rsid w:val="040611DA"/>
    <w:rsid w:val="04133956"/>
    <w:rsid w:val="04145A05"/>
    <w:rsid w:val="04386EA5"/>
    <w:rsid w:val="043D59D6"/>
    <w:rsid w:val="044955CA"/>
    <w:rsid w:val="04497102"/>
    <w:rsid w:val="044C330C"/>
    <w:rsid w:val="04567CE7"/>
    <w:rsid w:val="045B49F5"/>
    <w:rsid w:val="0469769B"/>
    <w:rsid w:val="04773236"/>
    <w:rsid w:val="048C3708"/>
    <w:rsid w:val="04922FA4"/>
    <w:rsid w:val="04940161"/>
    <w:rsid w:val="04995C3D"/>
    <w:rsid w:val="049F343C"/>
    <w:rsid w:val="04B574F8"/>
    <w:rsid w:val="04BA0982"/>
    <w:rsid w:val="04D665CD"/>
    <w:rsid w:val="04E522D8"/>
    <w:rsid w:val="04F571A2"/>
    <w:rsid w:val="04FD38D2"/>
    <w:rsid w:val="051B165F"/>
    <w:rsid w:val="051C34DF"/>
    <w:rsid w:val="05237BC9"/>
    <w:rsid w:val="052E5261"/>
    <w:rsid w:val="0533094B"/>
    <w:rsid w:val="05447E98"/>
    <w:rsid w:val="05687E57"/>
    <w:rsid w:val="056D2181"/>
    <w:rsid w:val="05990BA5"/>
    <w:rsid w:val="0599432F"/>
    <w:rsid w:val="059A7E4B"/>
    <w:rsid w:val="05A84572"/>
    <w:rsid w:val="05BE78F1"/>
    <w:rsid w:val="05D96121"/>
    <w:rsid w:val="05DE5741"/>
    <w:rsid w:val="05DE60F3"/>
    <w:rsid w:val="05F01121"/>
    <w:rsid w:val="05F067C0"/>
    <w:rsid w:val="05F652DD"/>
    <w:rsid w:val="05FA0126"/>
    <w:rsid w:val="0612468B"/>
    <w:rsid w:val="061450F2"/>
    <w:rsid w:val="061F28BB"/>
    <w:rsid w:val="062778BB"/>
    <w:rsid w:val="062A4F87"/>
    <w:rsid w:val="06347FCB"/>
    <w:rsid w:val="065A0F9B"/>
    <w:rsid w:val="066E30C6"/>
    <w:rsid w:val="06793BDF"/>
    <w:rsid w:val="06894493"/>
    <w:rsid w:val="06A74D58"/>
    <w:rsid w:val="06AF6DC1"/>
    <w:rsid w:val="06D021AE"/>
    <w:rsid w:val="06E26538"/>
    <w:rsid w:val="06E81C41"/>
    <w:rsid w:val="06F13EBB"/>
    <w:rsid w:val="06F37685"/>
    <w:rsid w:val="06FD08ED"/>
    <w:rsid w:val="07140111"/>
    <w:rsid w:val="071D07C4"/>
    <w:rsid w:val="072440CC"/>
    <w:rsid w:val="0726391C"/>
    <w:rsid w:val="072D23FA"/>
    <w:rsid w:val="072D4D2F"/>
    <w:rsid w:val="07373517"/>
    <w:rsid w:val="07464042"/>
    <w:rsid w:val="07590A97"/>
    <w:rsid w:val="075E138C"/>
    <w:rsid w:val="076A5F83"/>
    <w:rsid w:val="077C7A64"/>
    <w:rsid w:val="079E5C2C"/>
    <w:rsid w:val="07A03739"/>
    <w:rsid w:val="07A35568"/>
    <w:rsid w:val="07D8288D"/>
    <w:rsid w:val="07E67698"/>
    <w:rsid w:val="07EB60B4"/>
    <w:rsid w:val="07EF2B48"/>
    <w:rsid w:val="07F67816"/>
    <w:rsid w:val="07FC46F5"/>
    <w:rsid w:val="08050A14"/>
    <w:rsid w:val="08065E5F"/>
    <w:rsid w:val="080A32C2"/>
    <w:rsid w:val="081303C8"/>
    <w:rsid w:val="083B7B6A"/>
    <w:rsid w:val="0848618B"/>
    <w:rsid w:val="084F50A4"/>
    <w:rsid w:val="085B1B32"/>
    <w:rsid w:val="085D7896"/>
    <w:rsid w:val="08666242"/>
    <w:rsid w:val="08B03373"/>
    <w:rsid w:val="08B42F52"/>
    <w:rsid w:val="08B430CB"/>
    <w:rsid w:val="08BF5E5A"/>
    <w:rsid w:val="08E51639"/>
    <w:rsid w:val="08EE6740"/>
    <w:rsid w:val="090C3286"/>
    <w:rsid w:val="091B505B"/>
    <w:rsid w:val="09772BD9"/>
    <w:rsid w:val="098B2719"/>
    <w:rsid w:val="09A53B82"/>
    <w:rsid w:val="09A628EA"/>
    <w:rsid w:val="09C86F91"/>
    <w:rsid w:val="09D93C30"/>
    <w:rsid w:val="09E77C46"/>
    <w:rsid w:val="09F064E7"/>
    <w:rsid w:val="09F635EB"/>
    <w:rsid w:val="09F706FF"/>
    <w:rsid w:val="09FA7D9C"/>
    <w:rsid w:val="09FB4942"/>
    <w:rsid w:val="0A0D0D1E"/>
    <w:rsid w:val="0A122902"/>
    <w:rsid w:val="0A155FCC"/>
    <w:rsid w:val="0A1E7D15"/>
    <w:rsid w:val="0A307337"/>
    <w:rsid w:val="0A3815D6"/>
    <w:rsid w:val="0A410AF1"/>
    <w:rsid w:val="0A474359"/>
    <w:rsid w:val="0A611064"/>
    <w:rsid w:val="0A820F35"/>
    <w:rsid w:val="0A876EC5"/>
    <w:rsid w:val="0A8F7AAE"/>
    <w:rsid w:val="0A9F4195"/>
    <w:rsid w:val="0AA01CBB"/>
    <w:rsid w:val="0AAC240E"/>
    <w:rsid w:val="0AB4062D"/>
    <w:rsid w:val="0AC21C32"/>
    <w:rsid w:val="0AD100C7"/>
    <w:rsid w:val="0AD71006"/>
    <w:rsid w:val="0AF049F1"/>
    <w:rsid w:val="0AF3628F"/>
    <w:rsid w:val="0AFF19D4"/>
    <w:rsid w:val="0B0758B1"/>
    <w:rsid w:val="0B3D750A"/>
    <w:rsid w:val="0B3F6587"/>
    <w:rsid w:val="0B5225E6"/>
    <w:rsid w:val="0B52745A"/>
    <w:rsid w:val="0B581F25"/>
    <w:rsid w:val="0B5F39C0"/>
    <w:rsid w:val="0B5F7E2C"/>
    <w:rsid w:val="0B756BCE"/>
    <w:rsid w:val="0B960791"/>
    <w:rsid w:val="0BA63302"/>
    <w:rsid w:val="0BAD643E"/>
    <w:rsid w:val="0BAE161E"/>
    <w:rsid w:val="0BEA33C6"/>
    <w:rsid w:val="0C1B3CF0"/>
    <w:rsid w:val="0C1B4CBB"/>
    <w:rsid w:val="0C1C7838"/>
    <w:rsid w:val="0C1D346B"/>
    <w:rsid w:val="0C1F04DA"/>
    <w:rsid w:val="0C2609CE"/>
    <w:rsid w:val="0C301B10"/>
    <w:rsid w:val="0C3B1C9C"/>
    <w:rsid w:val="0C4D5E73"/>
    <w:rsid w:val="0C4F3999"/>
    <w:rsid w:val="0C5733BC"/>
    <w:rsid w:val="0C6A0DFB"/>
    <w:rsid w:val="0C757A49"/>
    <w:rsid w:val="0C7C44D2"/>
    <w:rsid w:val="0C812721"/>
    <w:rsid w:val="0C8A1A08"/>
    <w:rsid w:val="0CA06316"/>
    <w:rsid w:val="0CBD2721"/>
    <w:rsid w:val="0CFB142B"/>
    <w:rsid w:val="0D1424ED"/>
    <w:rsid w:val="0D1B387B"/>
    <w:rsid w:val="0D2D3083"/>
    <w:rsid w:val="0D3C4B60"/>
    <w:rsid w:val="0D552DBB"/>
    <w:rsid w:val="0D814026"/>
    <w:rsid w:val="0D961154"/>
    <w:rsid w:val="0DA20BCC"/>
    <w:rsid w:val="0DA2771F"/>
    <w:rsid w:val="0DA90E87"/>
    <w:rsid w:val="0DB1563F"/>
    <w:rsid w:val="0DB22432"/>
    <w:rsid w:val="0DB735A4"/>
    <w:rsid w:val="0DDA54E4"/>
    <w:rsid w:val="0DE47AD8"/>
    <w:rsid w:val="0DE620FF"/>
    <w:rsid w:val="0DE85E53"/>
    <w:rsid w:val="0DFC07C2"/>
    <w:rsid w:val="0DFF319D"/>
    <w:rsid w:val="0E0B2945"/>
    <w:rsid w:val="0E1D66BD"/>
    <w:rsid w:val="0E236E8B"/>
    <w:rsid w:val="0E3D1403"/>
    <w:rsid w:val="0E3E38B3"/>
    <w:rsid w:val="0E4868F2"/>
    <w:rsid w:val="0E4D215A"/>
    <w:rsid w:val="0E4D71F2"/>
    <w:rsid w:val="0E5232CD"/>
    <w:rsid w:val="0E544711"/>
    <w:rsid w:val="0E8514BF"/>
    <w:rsid w:val="0E8F62CF"/>
    <w:rsid w:val="0E9B4A8C"/>
    <w:rsid w:val="0EC87A33"/>
    <w:rsid w:val="0ECE0B7C"/>
    <w:rsid w:val="0ED308B1"/>
    <w:rsid w:val="0EF34AB0"/>
    <w:rsid w:val="0F175179"/>
    <w:rsid w:val="0F182768"/>
    <w:rsid w:val="0F2033CB"/>
    <w:rsid w:val="0F2C44FD"/>
    <w:rsid w:val="0F3155D8"/>
    <w:rsid w:val="0F3D3F7D"/>
    <w:rsid w:val="0F5372FC"/>
    <w:rsid w:val="0F716E95"/>
    <w:rsid w:val="0F7310DE"/>
    <w:rsid w:val="0F851307"/>
    <w:rsid w:val="0F865924"/>
    <w:rsid w:val="0FAD1102"/>
    <w:rsid w:val="0FB83603"/>
    <w:rsid w:val="0FC95811"/>
    <w:rsid w:val="0FD2004E"/>
    <w:rsid w:val="0FE4089C"/>
    <w:rsid w:val="0FF63239"/>
    <w:rsid w:val="0FFD0899"/>
    <w:rsid w:val="10026CCE"/>
    <w:rsid w:val="1005012B"/>
    <w:rsid w:val="100C5334"/>
    <w:rsid w:val="105A5D79"/>
    <w:rsid w:val="106A6FF4"/>
    <w:rsid w:val="107E4F25"/>
    <w:rsid w:val="108B6BC6"/>
    <w:rsid w:val="10961FE6"/>
    <w:rsid w:val="10993435"/>
    <w:rsid w:val="10A1053B"/>
    <w:rsid w:val="10B65B14"/>
    <w:rsid w:val="10BC0829"/>
    <w:rsid w:val="10C51B8B"/>
    <w:rsid w:val="10C653B7"/>
    <w:rsid w:val="10EA253F"/>
    <w:rsid w:val="10EC17B7"/>
    <w:rsid w:val="11036EDE"/>
    <w:rsid w:val="111F7DDE"/>
    <w:rsid w:val="112A2839"/>
    <w:rsid w:val="112E39DB"/>
    <w:rsid w:val="11317B11"/>
    <w:rsid w:val="11537549"/>
    <w:rsid w:val="11562B25"/>
    <w:rsid w:val="115B46D3"/>
    <w:rsid w:val="11622168"/>
    <w:rsid w:val="116457F1"/>
    <w:rsid w:val="1179002E"/>
    <w:rsid w:val="118C11EC"/>
    <w:rsid w:val="11BD0246"/>
    <w:rsid w:val="11EA48C7"/>
    <w:rsid w:val="11EF5FAA"/>
    <w:rsid w:val="12131ED0"/>
    <w:rsid w:val="124B4C03"/>
    <w:rsid w:val="126F7470"/>
    <w:rsid w:val="128F7744"/>
    <w:rsid w:val="12B97DBE"/>
    <w:rsid w:val="12BB2F1D"/>
    <w:rsid w:val="12CC0E6B"/>
    <w:rsid w:val="12DB438F"/>
    <w:rsid w:val="12F40DF6"/>
    <w:rsid w:val="131656EC"/>
    <w:rsid w:val="13294B1C"/>
    <w:rsid w:val="132E2862"/>
    <w:rsid w:val="133D454B"/>
    <w:rsid w:val="134578A4"/>
    <w:rsid w:val="135C552F"/>
    <w:rsid w:val="1360023A"/>
    <w:rsid w:val="138403CC"/>
    <w:rsid w:val="139A3C5E"/>
    <w:rsid w:val="139E2CE4"/>
    <w:rsid w:val="13AC72E2"/>
    <w:rsid w:val="13C22497"/>
    <w:rsid w:val="13E62E35"/>
    <w:rsid w:val="13E9022F"/>
    <w:rsid w:val="13EB3FA7"/>
    <w:rsid w:val="140C03C2"/>
    <w:rsid w:val="14110951"/>
    <w:rsid w:val="141157E7"/>
    <w:rsid w:val="14253F2A"/>
    <w:rsid w:val="143952AB"/>
    <w:rsid w:val="143F2545"/>
    <w:rsid w:val="144731A8"/>
    <w:rsid w:val="144819CF"/>
    <w:rsid w:val="1448764C"/>
    <w:rsid w:val="14495C31"/>
    <w:rsid w:val="144C0729"/>
    <w:rsid w:val="14661880"/>
    <w:rsid w:val="146F0161"/>
    <w:rsid w:val="14760D20"/>
    <w:rsid w:val="148E5193"/>
    <w:rsid w:val="14904B4F"/>
    <w:rsid w:val="149F2FE4"/>
    <w:rsid w:val="14C53D2A"/>
    <w:rsid w:val="14DD1BC9"/>
    <w:rsid w:val="14DE1D5E"/>
    <w:rsid w:val="14F41582"/>
    <w:rsid w:val="14F742AD"/>
    <w:rsid w:val="150D619F"/>
    <w:rsid w:val="15132262"/>
    <w:rsid w:val="1525714C"/>
    <w:rsid w:val="15346151"/>
    <w:rsid w:val="154047C7"/>
    <w:rsid w:val="15593193"/>
    <w:rsid w:val="155B515D"/>
    <w:rsid w:val="156277FD"/>
    <w:rsid w:val="15735CFA"/>
    <w:rsid w:val="15761F97"/>
    <w:rsid w:val="15791A87"/>
    <w:rsid w:val="159E5049"/>
    <w:rsid w:val="15A365E6"/>
    <w:rsid w:val="15AC3CE4"/>
    <w:rsid w:val="15F3302B"/>
    <w:rsid w:val="15FB76CC"/>
    <w:rsid w:val="15FD0292"/>
    <w:rsid w:val="16016360"/>
    <w:rsid w:val="1626576B"/>
    <w:rsid w:val="1633705C"/>
    <w:rsid w:val="16442848"/>
    <w:rsid w:val="16463A85"/>
    <w:rsid w:val="164929A9"/>
    <w:rsid w:val="164B6F7F"/>
    <w:rsid w:val="165F362F"/>
    <w:rsid w:val="166D339A"/>
    <w:rsid w:val="16730284"/>
    <w:rsid w:val="16740541"/>
    <w:rsid w:val="16740AD9"/>
    <w:rsid w:val="16897784"/>
    <w:rsid w:val="168C3D67"/>
    <w:rsid w:val="168C58B7"/>
    <w:rsid w:val="16C805D0"/>
    <w:rsid w:val="16D20265"/>
    <w:rsid w:val="16D73E12"/>
    <w:rsid w:val="16FF08F2"/>
    <w:rsid w:val="1711641B"/>
    <w:rsid w:val="172872C1"/>
    <w:rsid w:val="172F2CC3"/>
    <w:rsid w:val="1740401F"/>
    <w:rsid w:val="17680579"/>
    <w:rsid w:val="178205C3"/>
    <w:rsid w:val="17C36FE9"/>
    <w:rsid w:val="17CC0594"/>
    <w:rsid w:val="17D94A63"/>
    <w:rsid w:val="17E339B7"/>
    <w:rsid w:val="17EF6030"/>
    <w:rsid w:val="17FA57B1"/>
    <w:rsid w:val="1804388A"/>
    <w:rsid w:val="180A6EF8"/>
    <w:rsid w:val="183323C1"/>
    <w:rsid w:val="18357EE7"/>
    <w:rsid w:val="183879D7"/>
    <w:rsid w:val="186E2BE4"/>
    <w:rsid w:val="18707171"/>
    <w:rsid w:val="1890336F"/>
    <w:rsid w:val="18932E60"/>
    <w:rsid w:val="18B33036"/>
    <w:rsid w:val="18C265F0"/>
    <w:rsid w:val="18C9549F"/>
    <w:rsid w:val="18D13410"/>
    <w:rsid w:val="18E1022D"/>
    <w:rsid w:val="18F60D3A"/>
    <w:rsid w:val="18FA2EDF"/>
    <w:rsid w:val="19061883"/>
    <w:rsid w:val="19187C36"/>
    <w:rsid w:val="191A1955"/>
    <w:rsid w:val="192561AE"/>
    <w:rsid w:val="192C6865"/>
    <w:rsid w:val="194F680D"/>
    <w:rsid w:val="195B1BCF"/>
    <w:rsid w:val="195F21A3"/>
    <w:rsid w:val="196842EC"/>
    <w:rsid w:val="19A75A26"/>
    <w:rsid w:val="19B76BD1"/>
    <w:rsid w:val="19BE24C0"/>
    <w:rsid w:val="19CA0B03"/>
    <w:rsid w:val="19DA6F25"/>
    <w:rsid w:val="1A294416"/>
    <w:rsid w:val="1A435FEE"/>
    <w:rsid w:val="1A4971BA"/>
    <w:rsid w:val="1A4C59BC"/>
    <w:rsid w:val="1A58610F"/>
    <w:rsid w:val="1A7A42D7"/>
    <w:rsid w:val="1A846F04"/>
    <w:rsid w:val="1A8624F1"/>
    <w:rsid w:val="1A9058A9"/>
    <w:rsid w:val="1AAD6169"/>
    <w:rsid w:val="1AB85163"/>
    <w:rsid w:val="1AC612CA"/>
    <w:rsid w:val="1ADC0AEE"/>
    <w:rsid w:val="1AF220BF"/>
    <w:rsid w:val="1AFE6CB6"/>
    <w:rsid w:val="1B040400"/>
    <w:rsid w:val="1B067A23"/>
    <w:rsid w:val="1B22257E"/>
    <w:rsid w:val="1B245FF1"/>
    <w:rsid w:val="1B44048C"/>
    <w:rsid w:val="1B531A80"/>
    <w:rsid w:val="1B541B58"/>
    <w:rsid w:val="1B80496C"/>
    <w:rsid w:val="1B8069BB"/>
    <w:rsid w:val="1B8E76FF"/>
    <w:rsid w:val="1B951CB3"/>
    <w:rsid w:val="1BAB1B0E"/>
    <w:rsid w:val="1BBF0C17"/>
    <w:rsid w:val="1BC81072"/>
    <w:rsid w:val="1BD12F15"/>
    <w:rsid w:val="1BE91714"/>
    <w:rsid w:val="1BE91AA1"/>
    <w:rsid w:val="1C040EA2"/>
    <w:rsid w:val="1C093B64"/>
    <w:rsid w:val="1C177904"/>
    <w:rsid w:val="1C2A5889"/>
    <w:rsid w:val="1C402917"/>
    <w:rsid w:val="1C492974"/>
    <w:rsid w:val="1C4955DC"/>
    <w:rsid w:val="1C4E03A0"/>
    <w:rsid w:val="1C4E4871"/>
    <w:rsid w:val="1C502276"/>
    <w:rsid w:val="1C5616F0"/>
    <w:rsid w:val="1C5F2B36"/>
    <w:rsid w:val="1C6012AB"/>
    <w:rsid w:val="1C6418EA"/>
    <w:rsid w:val="1C6C5EA1"/>
    <w:rsid w:val="1C7B7E93"/>
    <w:rsid w:val="1C99656B"/>
    <w:rsid w:val="1CA05B4B"/>
    <w:rsid w:val="1CA707BF"/>
    <w:rsid w:val="1CA70C88"/>
    <w:rsid w:val="1CBA6C0D"/>
    <w:rsid w:val="1CC54378"/>
    <w:rsid w:val="1CCE3461"/>
    <w:rsid w:val="1CDF72B4"/>
    <w:rsid w:val="1CEF6FB4"/>
    <w:rsid w:val="1D0205B4"/>
    <w:rsid w:val="1D1B4CE9"/>
    <w:rsid w:val="1D1F7123"/>
    <w:rsid w:val="1D2301F8"/>
    <w:rsid w:val="1D244763"/>
    <w:rsid w:val="1D250B64"/>
    <w:rsid w:val="1D4604A0"/>
    <w:rsid w:val="1D7A639C"/>
    <w:rsid w:val="1D82200D"/>
    <w:rsid w:val="1D833FA9"/>
    <w:rsid w:val="1D996592"/>
    <w:rsid w:val="1DA376A1"/>
    <w:rsid w:val="1DAF1BE0"/>
    <w:rsid w:val="1DC65DCF"/>
    <w:rsid w:val="1DD07CE7"/>
    <w:rsid w:val="1DDB48FA"/>
    <w:rsid w:val="1E096E92"/>
    <w:rsid w:val="1E193E07"/>
    <w:rsid w:val="1E253203"/>
    <w:rsid w:val="1E432C32"/>
    <w:rsid w:val="1E4C7D38"/>
    <w:rsid w:val="1E6908EA"/>
    <w:rsid w:val="1E957931"/>
    <w:rsid w:val="1E9F430C"/>
    <w:rsid w:val="1EA821AC"/>
    <w:rsid w:val="1EA9518B"/>
    <w:rsid w:val="1EE61F3B"/>
    <w:rsid w:val="1EE869A7"/>
    <w:rsid w:val="1EE87AAC"/>
    <w:rsid w:val="1EF37380"/>
    <w:rsid w:val="1EF51055"/>
    <w:rsid w:val="1F0366AD"/>
    <w:rsid w:val="1F166213"/>
    <w:rsid w:val="1F244811"/>
    <w:rsid w:val="1F38650F"/>
    <w:rsid w:val="1F503A01"/>
    <w:rsid w:val="1F516F53"/>
    <w:rsid w:val="1F686DF4"/>
    <w:rsid w:val="1F7A2683"/>
    <w:rsid w:val="1F7E03C6"/>
    <w:rsid w:val="1F8C2862"/>
    <w:rsid w:val="1FA0658E"/>
    <w:rsid w:val="1FA616CA"/>
    <w:rsid w:val="1FAC2BC8"/>
    <w:rsid w:val="1FB12B7B"/>
    <w:rsid w:val="1FB45B95"/>
    <w:rsid w:val="1FBE6A14"/>
    <w:rsid w:val="1FC25D5B"/>
    <w:rsid w:val="1FC85AE5"/>
    <w:rsid w:val="1FDF5BF3"/>
    <w:rsid w:val="20125430"/>
    <w:rsid w:val="20301477"/>
    <w:rsid w:val="20315438"/>
    <w:rsid w:val="20345676"/>
    <w:rsid w:val="20365227"/>
    <w:rsid w:val="203D15D9"/>
    <w:rsid w:val="2041670A"/>
    <w:rsid w:val="204F58BE"/>
    <w:rsid w:val="20526601"/>
    <w:rsid w:val="20531852"/>
    <w:rsid w:val="2053449C"/>
    <w:rsid w:val="206867E0"/>
    <w:rsid w:val="2069537D"/>
    <w:rsid w:val="20914128"/>
    <w:rsid w:val="20967991"/>
    <w:rsid w:val="20970180"/>
    <w:rsid w:val="20A420AE"/>
    <w:rsid w:val="20B6417C"/>
    <w:rsid w:val="20C53DD2"/>
    <w:rsid w:val="20D73452"/>
    <w:rsid w:val="20D9162C"/>
    <w:rsid w:val="20F63F8C"/>
    <w:rsid w:val="20FE6015"/>
    <w:rsid w:val="21145C7B"/>
    <w:rsid w:val="21165E13"/>
    <w:rsid w:val="212B00D9"/>
    <w:rsid w:val="214C0639"/>
    <w:rsid w:val="21503A9D"/>
    <w:rsid w:val="21612751"/>
    <w:rsid w:val="21620562"/>
    <w:rsid w:val="21635AC5"/>
    <w:rsid w:val="21687122"/>
    <w:rsid w:val="218B35EC"/>
    <w:rsid w:val="219C0FD7"/>
    <w:rsid w:val="21D818E3"/>
    <w:rsid w:val="21DE339D"/>
    <w:rsid w:val="21EC1864"/>
    <w:rsid w:val="21F16814"/>
    <w:rsid w:val="21F474CF"/>
    <w:rsid w:val="22022309"/>
    <w:rsid w:val="221E379A"/>
    <w:rsid w:val="222122BA"/>
    <w:rsid w:val="222C247D"/>
    <w:rsid w:val="224C7179"/>
    <w:rsid w:val="224E1BAD"/>
    <w:rsid w:val="224F429B"/>
    <w:rsid w:val="225A4AE6"/>
    <w:rsid w:val="226F3FF6"/>
    <w:rsid w:val="22761828"/>
    <w:rsid w:val="22871BA7"/>
    <w:rsid w:val="229D0535"/>
    <w:rsid w:val="229D65D4"/>
    <w:rsid w:val="229E70BB"/>
    <w:rsid w:val="22B365D8"/>
    <w:rsid w:val="22C00CF5"/>
    <w:rsid w:val="22CF0F38"/>
    <w:rsid w:val="22D31594"/>
    <w:rsid w:val="22E24C9F"/>
    <w:rsid w:val="22F16BE4"/>
    <w:rsid w:val="22FD0D58"/>
    <w:rsid w:val="2309137B"/>
    <w:rsid w:val="232662CB"/>
    <w:rsid w:val="233174FD"/>
    <w:rsid w:val="23436BD1"/>
    <w:rsid w:val="234436D4"/>
    <w:rsid w:val="2354457F"/>
    <w:rsid w:val="235F71C6"/>
    <w:rsid w:val="23634625"/>
    <w:rsid w:val="2374694C"/>
    <w:rsid w:val="237916F2"/>
    <w:rsid w:val="238910E7"/>
    <w:rsid w:val="238F59B9"/>
    <w:rsid w:val="23952E51"/>
    <w:rsid w:val="23BA72AA"/>
    <w:rsid w:val="23BC7CA8"/>
    <w:rsid w:val="23E427C1"/>
    <w:rsid w:val="23E6379C"/>
    <w:rsid w:val="23E65930"/>
    <w:rsid w:val="23F45C8C"/>
    <w:rsid w:val="241F6DD9"/>
    <w:rsid w:val="24302B82"/>
    <w:rsid w:val="24311EAA"/>
    <w:rsid w:val="243C52F6"/>
    <w:rsid w:val="245165E7"/>
    <w:rsid w:val="246C10ED"/>
    <w:rsid w:val="248024EA"/>
    <w:rsid w:val="24941BE8"/>
    <w:rsid w:val="24C50845"/>
    <w:rsid w:val="24D3418A"/>
    <w:rsid w:val="24D64800"/>
    <w:rsid w:val="24DC236B"/>
    <w:rsid w:val="24E85865"/>
    <w:rsid w:val="25096983"/>
    <w:rsid w:val="253908EB"/>
    <w:rsid w:val="255514E0"/>
    <w:rsid w:val="25563682"/>
    <w:rsid w:val="25662520"/>
    <w:rsid w:val="257B4A53"/>
    <w:rsid w:val="258937F6"/>
    <w:rsid w:val="259F477C"/>
    <w:rsid w:val="25A36DFE"/>
    <w:rsid w:val="25A47230"/>
    <w:rsid w:val="25B34B41"/>
    <w:rsid w:val="25D014C9"/>
    <w:rsid w:val="25DE1BBE"/>
    <w:rsid w:val="25DE68FD"/>
    <w:rsid w:val="25E248AA"/>
    <w:rsid w:val="25F0544D"/>
    <w:rsid w:val="26093FA0"/>
    <w:rsid w:val="26103D41"/>
    <w:rsid w:val="261C26E6"/>
    <w:rsid w:val="262C1A5A"/>
    <w:rsid w:val="26383FCF"/>
    <w:rsid w:val="26453A08"/>
    <w:rsid w:val="2663191B"/>
    <w:rsid w:val="267026B6"/>
    <w:rsid w:val="26797620"/>
    <w:rsid w:val="2684318F"/>
    <w:rsid w:val="268919E8"/>
    <w:rsid w:val="268D5392"/>
    <w:rsid w:val="268F4C66"/>
    <w:rsid w:val="26A30712"/>
    <w:rsid w:val="26C87EE4"/>
    <w:rsid w:val="26CC08F9"/>
    <w:rsid w:val="26E371B0"/>
    <w:rsid w:val="26EA752E"/>
    <w:rsid w:val="2707230D"/>
    <w:rsid w:val="270C1452"/>
    <w:rsid w:val="271225F6"/>
    <w:rsid w:val="271635D9"/>
    <w:rsid w:val="272A6E20"/>
    <w:rsid w:val="27321A96"/>
    <w:rsid w:val="27384C99"/>
    <w:rsid w:val="2749585F"/>
    <w:rsid w:val="27524877"/>
    <w:rsid w:val="275605DE"/>
    <w:rsid w:val="27625A02"/>
    <w:rsid w:val="276A7481"/>
    <w:rsid w:val="276E0D20"/>
    <w:rsid w:val="27702CEA"/>
    <w:rsid w:val="27790766"/>
    <w:rsid w:val="27854DC2"/>
    <w:rsid w:val="27957A90"/>
    <w:rsid w:val="279871A5"/>
    <w:rsid w:val="27A40BE5"/>
    <w:rsid w:val="27A94E19"/>
    <w:rsid w:val="27C13545"/>
    <w:rsid w:val="27CF1143"/>
    <w:rsid w:val="27D67706"/>
    <w:rsid w:val="27D70CD3"/>
    <w:rsid w:val="280653FC"/>
    <w:rsid w:val="280B733C"/>
    <w:rsid w:val="280C6B67"/>
    <w:rsid w:val="280E4562"/>
    <w:rsid w:val="282D1ACD"/>
    <w:rsid w:val="28323520"/>
    <w:rsid w:val="283A0FC1"/>
    <w:rsid w:val="2849673C"/>
    <w:rsid w:val="284E0B51"/>
    <w:rsid w:val="28584F8D"/>
    <w:rsid w:val="28665E9B"/>
    <w:rsid w:val="286839C1"/>
    <w:rsid w:val="28771E56"/>
    <w:rsid w:val="28795BCE"/>
    <w:rsid w:val="288C3D99"/>
    <w:rsid w:val="28A6098D"/>
    <w:rsid w:val="28AD5878"/>
    <w:rsid w:val="28C17575"/>
    <w:rsid w:val="28EC45F2"/>
    <w:rsid w:val="28EF367C"/>
    <w:rsid w:val="28F52A67"/>
    <w:rsid w:val="28F95007"/>
    <w:rsid w:val="28FE4325"/>
    <w:rsid w:val="29183639"/>
    <w:rsid w:val="291A7161"/>
    <w:rsid w:val="29310B4B"/>
    <w:rsid w:val="29312005"/>
    <w:rsid w:val="29553E8C"/>
    <w:rsid w:val="29581178"/>
    <w:rsid w:val="296429D8"/>
    <w:rsid w:val="297076CF"/>
    <w:rsid w:val="2984236B"/>
    <w:rsid w:val="29916F47"/>
    <w:rsid w:val="29A0121A"/>
    <w:rsid w:val="29AF1AD3"/>
    <w:rsid w:val="29B66771"/>
    <w:rsid w:val="29B906C4"/>
    <w:rsid w:val="29BE1E20"/>
    <w:rsid w:val="29CB06AB"/>
    <w:rsid w:val="29D67050"/>
    <w:rsid w:val="29DF2B46"/>
    <w:rsid w:val="29E4095D"/>
    <w:rsid w:val="29EB419D"/>
    <w:rsid w:val="29ED6646"/>
    <w:rsid w:val="29EE53C5"/>
    <w:rsid w:val="29F02501"/>
    <w:rsid w:val="29FD282F"/>
    <w:rsid w:val="2A03294D"/>
    <w:rsid w:val="2A047719"/>
    <w:rsid w:val="2A1E2D2D"/>
    <w:rsid w:val="2A2D25D3"/>
    <w:rsid w:val="2A365242"/>
    <w:rsid w:val="2A375015"/>
    <w:rsid w:val="2A3B7BE5"/>
    <w:rsid w:val="2A3D32A1"/>
    <w:rsid w:val="2A4144C9"/>
    <w:rsid w:val="2A4A7DA3"/>
    <w:rsid w:val="2A4F6F0B"/>
    <w:rsid w:val="2A612DBE"/>
    <w:rsid w:val="2A613F70"/>
    <w:rsid w:val="2A636B36"/>
    <w:rsid w:val="2A6B7251"/>
    <w:rsid w:val="2A846AAC"/>
    <w:rsid w:val="2A862824"/>
    <w:rsid w:val="2A8F792B"/>
    <w:rsid w:val="2A9A7693"/>
    <w:rsid w:val="2AAA6513"/>
    <w:rsid w:val="2AD73080"/>
    <w:rsid w:val="2AE11351"/>
    <w:rsid w:val="2B082E78"/>
    <w:rsid w:val="2B0A0D5F"/>
    <w:rsid w:val="2B0E1878"/>
    <w:rsid w:val="2B1240B8"/>
    <w:rsid w:val="2B1915FE"/>
    <w:rsid w:val="2B250207"/>
    <w:rsid w:val="2B2C517A"/>
    <w:rsid w:val="2B512BB9"/>
    <w:rsid w:val="2B626DED"/>
    <w:rsid w:val="2B683486"/>
    <w:rsid w:val="2BA5556A"/>
    <w:rsid w:val="2BB60950"/>
    <w:rsid w:val="2BC43604"/>
    <w:rsid w:val="2BC5112A"/>
    <w:rsid w:val="2BC83079"/>
    <w:rsid w:val="2BDE6BEF"/>
    <w:rsid w:val="2BEE385B"/>
    <w:rsid w:val="2BEF44BB"/>
    <w:rsid w:val="2BF04FB9"/>
    <w:rsid w:val="2BFE5BDA"/>
    <w:rsid w:val="2C0719B9"/>
    <w:rsid w:val="2C2F2C50"/>
    <w:rsid w:val="2C3C1CCE"/>
    <w:rsid w:val="2C697D08"/>
    <w:rsid w:val="2C7218B3"/>
    <w:rsid w:val="2C884632"/>
    <w:rsid w:val="2C9F5E1F"/>
    <w:rsid w:val="2CAA4CAB"/>
    <w:rsid w:val="2CB5119F"/>
    <w:rsid w:val="2CC2280C"/>
    <w:rsid w:val="2CC31B0E"/>
    <w:rsid w:val="2CD06C13"/>
    <w:rsid w:val="2CF63C91"/>
    <w:rsid w:val="2CF65355"/>
    <w:rsid w:val="2CFA4E04"/>
    <w:rsid w:val="2D054DC5"/>
    <w:rsid w:val="2D0F4D53"/>
    <w:rsid w:val="2D1759B5"/>
    <w:rsid w:val="2D1C2FCC"/>
    <w:rsid w:val="2D2B35DD"/>
    <w:rsid w:val="2D3227EF"/>
    <w:rsid w:val="2D345679"/>
    <w:rsid w:val="2D5664DE"/>
    <w:rsid w:val="2D5D6575"/>
    <w:rsid w:val="2D643342"/>
    <w:rsid w:val="2D695A23"/>
    <w:rsid w:val="2D780E3B"/>
    <w:rsid w:val="2D80351D"/>
    <w:rsid w:val="2DA63E50"/>
    <w:rsid w:val="2DBE4B0C"/>
    <w:rsid w:val="2DE0049D"/>
    <w:rsid w:val="2DE25FC3"/>
    <w:rsid w:val="2DE50725"/>
    <w:rsid w:val="2DF9660E"/>
    <w:rsid w:val="2DFD2DFD"/>
    <w:rsid w:val="2E1168A9"/>
    <w:rsid w:val="2E1367D2"/>
    <w:rsid w:val="2E156399"/>
    <w:rsid w:val="2E236C60"/>
    <w:rsid w:val="2E237CC3"/>
    <w:rsid w:val="2E34336C"/>
    <w:rsid w:val="2E3A3577"/>
    <w:rsid w:val="2E5F7614"/>
    <w:rsid w:val="2E677218"/>
    <w:rsid w:val="2E7F20C0"/>
    <w:rsid w:val="2E913546"/>
    <w:rsid w:val="2EAC414D"/>
    <w:rsid w:val="2EB060C2"/>
    <w:rsid w:val="2EB07E70"/>
    <w:rsid w:val="2EB123DF"/>
    <w:rsid w:val="2EC73E4D"/>
    <w:rsid w:val="2ECB1F84"/>
    <w:rsid w:val="2ECE6548"/>
    <w:rsid w:val="2ED533DD"/>
    <w:rsid w:val="2F015C6E"/>
    <w:rsid w:val="2F0B779C"/>
    <w:rsid w:val="2F127420"/>
    <w:rsid w:val="2F2B1B47"/>
    <w:rsid w:val="2F2B5748"/>
    <w:rsid w:val="2F300FB0"/>
    <w:rsid w:val="2F3C5099"/>
    <w:rsid w:val="2F616215"/>
    <w:rsid w:val="2F6D7B0F"/>
    <w:rsid w:val="2F927575"/>
    <w:rsid w:val="2F9432ED"/>
    <w:rsid w:val="2FA619E0"/>
    <w:rsid w:val="2FAF3360"/>
    <w:rsid w:val="2FB4573E"/>
    <w:rsid w:val="2FC17E5A"/>
    <w:rsid w:val="2FC516F9"/>
    <w:rsid w:val="2FCD47F7"/>
    <w:rsid w:val="2FD45DE0"/>
    <w:rsid w:val="2FD6008D"/>
    <w:rsid w:val="2FDD4C94"/>
    <w:rsid w:val="2FE27199"/>
    <w:rsid w:val="2FE34275"/>
    <w:rsid w:val="2FEA0789"/>
    <w:rsid w:val="2FF25F88"/>
    <w:rsid w:val="2FFF0174"/>
    <w:rsid w:val="300A35B0"/>
    <w:rsid w:val="300F2073"/>
    <w:rsid w:val="300F35E6"/>
    <w:rsid w:val="301A2C89"/>
    <w:rsid w:val="301B2EE4"/>
    <w:rsid w:val="301D7BDC"/>
    <w:rsid w:val="30395C43"/>
    <w:rsid w:val="30446AC1"/>
    <w:rsid w:val="30507284"/>
    <w:rsid w:val="30550CCF"/>
    <w:rsid w:val="30687961"/>
    <w:rsid w:val="30703D5A"/>
    <w:rsid w:val="307560A2"/>
    <w:rsid w:val="307E39A9"/>
    <w:rsid w:val="30AC4667"/>
    <w:rsid w:val="30C67A36"/>
    <w:rsid w:val="30C7723B"/>
    <w:rsid w:val="30C827FD"/>
    <w:rsid w:val="30D77E74"/>
    <w:rsid w:val="30DD6C8D"/>
    <w:rsid w:val="30F1651D"/>
    <w:rsid w:val="30F6750D"/>
    <w:rsid w:val="30F73B34"/>
    <w:rsid w:val="31140B8A"/>
    <w:rsid w:val="311A2A47"/>
    <w:rsid w:val="312A63FD"/>
    <w:rsid w:val="312F300D"/>
    <w:rsid w:val="3162372E"/>
    <w:rsid w:val="317F1D7B"/>
    <w:rsid w:val="318126A9"/>
    <w:rsid w:val="31826C8E"/>
    <w:rsid w:val="319361EC"/>
    <w:rsid w:val="31C75679"/>
    <w:rsid w:val="31FE6654"/>
    <w:rsid w:val="32136CF0"/>
    <w:rsid w:val="32144BB9"/>
    <w:rsid w:val="32173A91"/>
    <w:rsid w:val="32236288"/>
    <w:rsid w:val="322D4E64"/>
    <w:rsid w:val="323623CF"/>
    <w:rsid w:val="324523C1"/>
    <w:rsid w:val="32453B10"/>
    <w:rsid w:val="324E2218"/>
    <w:rsid w:val="325154C6"/>
    <w:rsid w:val="326834D5"/>
    <w:rsid w:val="328A09D8"/>
    <w:rsid w:val="3291300F"/>
    <w:rsid w:val="329A50BF"/>
    <w:rsid w:val="32A01FA9"/>
    <w:rsid w:val="32B0720F"/>
    <w:rsid w:val="32B205BC"/>
    <w:rsid w:val="32B91435"/>
    <w:rsid w:val="32BD6FFF"/>
    <w:rsid w:val="32C83D55"/>
    <w:rsid w:val="32E70B54"/>
    <w:rsid w:val="330426F8"/>
    <w:rsid w:val="330B26C5"/>
    <w:rsid w:val="33101476"/>
    <w:rsid w:val="33205779"/>
    <w:rsid w:val="332C22A0"/>
    <w:rsid w:val="337147EF"/>
    <w:rsid w:val="338B248E"/>
    <w:rsid w:val="33A15FD9"/>
    <w:rsid w:val="33B37D98"/>
    <w:rsid w:val="33CE5BC6"/>
    <w:rsid w:val="33D02303"/>
    <w:rsid w:val="33D45E5B"/>
    <w:rsid w:val="33E10ACB"/>
    <w:rsid w:val="34115391"/>
    <w:rsid w:val="341C3E29"/>
    <w:rsid w:val="341D5FA7"/>
    <w:rsid w:val="34422F54"/>
    <w:rsid w:val="34702FC5"/>
    <w:rsid w:val="34735BC7"/>
    <w:rsid w:val="347669CB"/>
    <w:rsid w:val="34784112"/>
    <w:rsid w:val="34871673"/>
    <w:rsid w:val="34AC0382"/>
    <w:rsid w:val="34D7642D"/>
    <w:rsid w:val="34D7784F"/>
    <w:rsid w:val="34E55861"/>
    <w:rsid w:val="34FF0E8B"/>
    <w:rsid w:val="35030964"/>
    <w:rsid w:val="352D1338"/>
    <w:rsid w:val="352D676C"/>
    <w:rsid w:val="35393530"/>
    <w:rsid w:val="354C5D51"/>
    <w:rsid w:val="355B309B"/>
    <w:rsid w:val="35645510"/>
    <w:rsid w:val="35654E87"/>
    <w:rsid w:val="35875FAE"/>
    <w:rsid w:val="358A13AD"/>
    <w:rsid w:val="358D4611"/>
    <w:rsid w:val="35925126"/>
    <w:rsid w:val="35A136FA"/>
    <w:rsid w:val="35A71B21"/>
    <w:rsid w:val="35B43C90"/>
    <w:rsid w:val="35B93AAE"/>
    <w:rsid w:val="35CE3B1A"/>
    <w:rsid w:val="35F72828"/>
    <w:rsid w:val="35FC7E3E"/>
    <w:rsid w:val="3605470D"/>
    <w:rsid w:val="360D2669"/>
    <w:rsid w:val="36107446"/>
    <w:rsid w:val="361F6789"/>
    <w:rsid w:val="362C07DD"/>
    <w:rsid w:val="365622D0"/>
    <w:rsid w:val="36826596"/>
    <w:rsid w:val="368A43CE"/>
    <w:rsid w:val="36A84F20"/>
    <w:rsid w:val="36BB3856"/>
    <w:rsid w:val="36D466C5"/>
    <w:rsid w:val="36D61545"/>
    <w:rsid w:val="36ED6814"/>
    <w:rsid w:val="37076A9B"/>
    <w:rsid w:val="371D62BE"/>
    <w:rsid w:val="372B2789"/>
    <w:rsid w:val="37353097"/>
    <w:rsid w:val="375004A1"/>
    <w:rsid w:val="37597C5C"/>
    <w:rsid w:val="37757D3A"/>
    <w:rsid w:val="3793297C"/>
    <w:rsid w:val="379449B5"/>
    <w:rsid w:val="379B7E94"/>
    <w:rsid w:val="37A90E8C"/>
    <w:rsid w:val="37DA5EAF"/>
    <w:rsid w:val="37E312B6"/>
    <w:rsid w:val="37E33064"/>
    <w:rsid w:val="37EA4514"/>
    <w:rsid w:val="37F06C2B"/>
    <w:rsid w:val="37F708BD"/>
    <w:rsid w:val="380939E1"/>
    <w:rsid w:val="38146732"/>
    <w:rsid w:val="382E5BCA"/>
    <w:rsid w:val="38342E0E"/>
    <w:rsid w:val="383438BF"/>
    <w:rsid w:val="386F2B4A"/>
    <w:rsid w:val="387168C2"/>
    <w:rsid w:val="3878151F"/>
    <w:rsid w:val="387F572F"/>
    <w:rsid w:val="38903AD8"/>
    <w:rsid w:val="38B134F8"/>
    <w:rsid w:val="38B36EDA"/>
    <w:rsid w:val="38D56570"/>
    <w:rsid w:val="38E76B84"/>
    <w:rsid w:val="38ED1AB0"/>
    <w:rsid w:val="39012AF8"/>
    <w:rsid w:val="3914549F"/>
    <w:rsid w:val="392A4B07"/>
    <w:rsid w:val="39367166"/>
    <w:rsid w:val="393C5A88"/>
    <w:rsid w:val="39437C06"/>
    <w:rsid w:val="3946634B"/>
    <w:rsid w:val="39472B23"/>
    <w:rsid w:val="3948655B"/>
    <w:rsid w:val="39740079"/>
    <w:rsid w:val="397445EF"/>
    <w:rsid w:val="39820A53"/>
    <w:rsid w:val="39F0038E"/>
    <w:rsid w:val="39F21BBB"/>
    <w:rsid w:val="39F71341"/>
    <w:rsid w:val="3A0E0140"/>
    <w:rsid w:val="3A4E5ED7"/>
    <w:rsid w:val="3A690FB9"/>
    <w:rsid w:val="3A762831"/>
    <w:rsid w:val="3A7D47A3"/>
    <w:rsid w:val="3A816B64"/>
    <w:rsid w:val="3A844DD0"/>
    <w:rsid w:val="3A907C99"/>
    <w:rsid w:val="3A9E3272"/>
    <w:rsid w:val="3AA2508C"/>
    <w:rsid w:val="3AB900AC"/>
    <w:rsid w:val="3ABD4CA7"/>
    <w:rsid w:val="3AC24292"/>
    <w:rsid w:val="3AD62A0C"/>
    <w:rsid w:val="3AD969A0"/>
    <w:rsid w:val="3ADC3D9A"/>
    <w:rsid w:val="3AEE41FA"/>
    <w:rsid w:val="3AEF3ACE"/>
    <w:rsid w:val="3AF47336"/>
    <w:rsid w:val="3AFE1A4F"/>
    <w:rsid w:val="3B0C0B24"/>
    <w:rsid w:val="3B0C28D2"/>
    <w:rsid w:val="3B366E5F"/>
    <w:rsid w:val="3B4262F3"/>
    <w:rsid w:val="3B7945E5"/>
    <w:rsid w:val="3BA8115D"/>
    <w:rsid w:val="3BB07701"/>
    <w:rsid w:val="3BC46D08"/>
    <w:rsid w:val="3BC82016"/>
    <w:rsid w:val="3BE16E79"/>
    <w:rsid w:val="3C1934F8"/>
    <w:rsid w:val="3C1C6FCF"/>
    <w:rsid w:val="3C1D3714"/>
    <w:rsid w:val="3C3930A2"/>
    <w:rsid w:val="3C3976F6"/>
    <w:rsid w:val="3C4C4616"/>
    <w:rsid w:val="3C5B6911"/>
    <w:rsid w:val="3C862C2E"/>
    <w:rsid w:val="3CA27965"/>
    <w:rsid w:val="3CBC6CCD"/>
    <w:rsid w:val="3CCC4CB1"/>
    <w:rsid w:val="3CDB69FF"/>
    <w:rsid w:val="3CDC13B1"/>
    <w:rsid w:val="3CEF6007"/>
    <w:rsid w:val="3CF2038A"/>
    <w:rsid w:val="3CF441D4"/>
    <w:rsid w:val="3CF64D2C"/>
    <w:rsid w:val="3CFA0E93"/>
    <w:rsid w:val="3D0F0457"/>
    <w:rsid w:val="3D0F3E62"/>
    <w:rsid w:val="3D100ADE"/>
    <w:rsid w:val="3D121CF5"/>
    <w:rsid w:val="3D1E4B3E"/>
    <w:rsid w:val="3D25301B"/>
    <w:rsid w:val="3D580F69"/>
    <w:rsid w:val="3D5A4645"/>
    <w:rsid w:val="3D736C38"/>
    <w:rsid w:val="3D74650C"/>
    <w:rsid w:val="3D772108"/>
    <w:rsid w:val="3DA35790"/>
    <w:rsid w:val="3DB039E8"/>
    <w:rsid w:val="3DB42DAD"/>
    <w:rsid w:val="3DC54FBA"/>
    <w:rsid w:val="3DC745F1"/>
    <w:rsid w:val="3DCC459A"/>
    <w:rsid w:val="3DD27A49"/>
    <w:rsid w:val="3DE1125C"/>
    <w:rsid w:val="3DED4AD7"/>
    <w:rsid w:val="3DED69EA"/>
    <w:rsid w:val="3E127FDA"/>
    <w:rsid w:val="3E147DEA"/>
    <w:rsid w:val="3E1F320A"/>
    <w:rsid w:val="3E2A221B"/>
    <w:rsid w:val="3E2B3965"/>
    <w:rsid w:val="3E3E7246"/>
    <w:rsid w:val="3E580CE6"/>
    <w:rsid w:val="3E5C0687"/>
    <w:rsid w:val="3E6D7A47"/>
    <w:rsid w:val="3EB33B36"/>
    <w:rsid w:val="3EBA43F3"/>
    <w:rsid w:val="3EC55271"/>
    <w:rsid w:val="3ECE3D71"/>
    <w:rsid w:val="3ED2798E"/>
    <w:rsid w:val="3EE30328"/>
    <w:rsid w:val="3EE62FF1"/>
    <w:rsid w:val="3F00274D"/>
    <w:rsid w:val="3F00660C"/>
    <w:rsid w:val="3F211FB2"/>
    <w:rsid w:val="3F3B3785"/>
    <w:rsid w:val="3F485EB8"/>
    <w:rsid w:val="3F4A037B"/>
    <w:rsid w:val="3F4C14EF"/>
    <w:rsid w:val="3F665F5C"/>
    <w:rsid w:val="3F66761A"/>
    <w:rsid w:val="3F7160E6"/>
    <w:rsid w:val="3F7C275B"/>
    <w:rsid w:val="3F7D4F2E"/>
    <w:rsid w:val="3F951D52"/>
    <w:rsid w:val="3FC53F50"/>
    <w:rsid w:val="3FCF2120"/>
    <w:rsid w:val="3FD11DF9"/>
    <w:rsid w:val="3FE93432"/>
    <w:rsid w:val="40041DC9"/>
    <w:rsid w:val="402266F3"/>
    <w:rsid w:val="404867CA"/>
    <w:rsid w:val="4057639D"/>
    <w:rsid w:val="40740A6C"/>
    <w:rsid w:val="40791D60"/>
    <w:rsid w:val="407B51C3"/>
    <w:rsid w:val="40835A4C"/>
    <w:rsid w:val="408465EB"/>
    <w:rsid w:val="40A56767"/>
    <w:rsid w:val="40A610D2"/>
    <w:rsid w:val="40CD2B03"/>
    <w:rsid w:val="40FC63F3"/>
    <w:rsid w:val="40FE0030"/>
    <w:rsid w:val="41235477"/>
    <w:rsid w:val="412D4F64"/>
    <w:rsid w:val="414D01A7"/>
    <w:rsid w:val="4193646D"/>
    <w:rsid w:val="419E6DB3"/>
    <w:rsid w:val="41B00945"/>
    <w:rsid w:val="41B25855"/>
    <w:rsid w:val="41B31CF9"/>
    <w:rsid w:val="41C23074"/>
    <w:rsid w:val="41EE314A"/>
    <w:rsid w:val="41F07F13"/>
    <w:rsid w:val="41F616FA"/>
    <w:rsid w:val="41FD11C6"/>
    <w:rsid w:val="420662CD"/>
    <w:rsid w:val="421502BE"/>
    <w:rsid w:val="42155099"/>
    <w:rsid w:val="421A3B26"/>
    <w:rsid w:val="42277FF1"/>
    <w:rsid w:val="422B7AE1"/>
    <w:rsid w:val="4242090A"/>
    <w:rsid w:val="42436E81"/>
    <w:rsid w:val="425A6618"/>
    <w:rsid w:val="425D1112"/>
    <w:rsid w:val="42725B89"/>
    <w:rsid w:val="42734FE4"/>
    <w:rsid w:val="42746156"/>
    <w:rsid w:val="42761452"/>
    <w:rsid w:val="428A2F26"/>
    <w:rsid w:val="42A44402"/>
    <w:rsid w:val="42A80D0E"/>
    <w:rsid w:val="42AA14E8"/>
    <w:rsid w:val="42CC2C43"/>
    <w:rsid w:val="42D446B7"/>
    <w:rsid w:val="42DA5E71"/>
    <w:rsid w:val="42EB272F"/>
    <w:rsid w:val="42F86E2F"/>
    <w:rsid w:val="42FB1AA4"/>
    <w:rsid w:val="43087E22"/>
    <w:rsid w:val="430E00A8"/>
    <w:rsid w:val="43150953"/>
    <w:rsid w:val="43244357"/>
    <w:rsid w:val="4327157B"/>
    <w:rsid w:val="43422F5A"/>
    <w:rsid w:val="434F0254"/>
    <w:rsid w:val="434F6D0B"/>
    <w:rsid w:val="435F6801"/>
    <w:rsid w:val="43644E69"/>
    <w:rsid w:val="436623CA"/>
    <w:rsid w:val="436E0675"/>
    <w:rsid w:val="437B7663"/>
    <w:rsid w:val="438D0328"/>
    <w:rsid w:val="43C95610"/>
    <w:rsid w:val="43DA776D"/>
    <w:rsid w:val="440178DB"/>
    <w:rsid w:val="44022AC4"/>
    <w:rsid w:val="440E76BA"/>
    <w:rsid w:val="442452BD"/>
    <w:rsid w:val="443A274A"/>
    <w:rsid w:val="44510CF4"/>
    <w:rsid w:val="44511355"/>
    <w:rsid w:val="4469791D"/>
    <w:rsid w:val="44732A42"/>
    <w:rsid w:val="44786980"/>
    <w:rsid w:val="44841542"/>
    <w:rsid w:val="449E2D2B"/>
    <w:rsid w:val="449F47B6"/>
    <w:rsid w:val="44A65B45"/>
    <w:rsid w:val="44AF21C8"/>
    <w:rsid w:val="44B02520"/>
    <w:rsid w:val="44BF09B5"/>
    <w:rsid w:val="44D53472"/>
    <w:rsid w:val="44D8114B"/>
    <w:rsid w:val="44E56988"/>
    <w:rsid w:val="450C6BE5"/>
    <w:rsid w:val="4511217C"/>
    <w:rsid w:val="45617CBE"/>
    <w:rsid w:val="45776107"/>
    <w:rsid w:val="45AC0F39"/>
    <w:rsid w:val="45B47DEE"/>
    <w:rsid w:val="45B925DE"/>
    <w:rsid w:val="45C15F63"/>
    <w:rsid w:val="45FA286B"/>
    <w:rsid w:val="45FF6B67"/>
    <w:rsid w:val="460743C1"/>
    <w:rsid w:val="46277F1D"/>
    <w:rsid w:val="462F123F"/>
    <w:rsid w:val="46311219"/>
    <w:rsid w:val="464333D9"/>
    <w:rsid w:val="464473C4"/>
    <w:rsid w:val="46527425"/>
    <w:rsid w:val="465F2A4C"/>
    <w:rsid w:val="466034EE"/>
    <w:rsid w:val="46620702"/>
    <w:rsid w:val="46623CEE"/>
    <w:rsid w:val="46652A90"/>
    <w:rsid w:val="466C06C8"/>
    <w:rsid w:val="466D1F19"/>
    <w:rsid w:val="467B090B"/>
    <w:rsid w:val="469D00B3"/>
    <w:rsid w:val="46A0008C"/>
    <w:rsid w:val="46B04CA2"/>
    <w:rsid w:val="46C735A5"/>
    <w:rsid w:val="46D1677D"/>
    <w:rsid w:val="46D62A97"/>
    <w:rsid w:val="46E6047B"/>
    <w:rsid w:val="46E61EAC"/>
    <w:rsid w:val="47044999"/>
    <w:rsid w:val="471425D5"/>
    <w:rsid w:val="47186B04"/>
    <w:rsid w:val="471C5C4A"/>
    <w:rsid w:val="472745EF"/>
    <w:rsid w:val="473C5723"/>
    <w:rsid w:val="47424167"/>
    <w:rsid w:val="4747591E"/>
    <w:rsid w:val="474B4782"/>
    <w:rsid w:val="477E0A69"/>
    <w:rsid w:val="47841F54"/>
    <w:rsid w:val="478478F8"/>
    <w:rsid w:val="47863A0C"/>
    <w:rsid w:val="47927FF9"/>
    <w:rsid w:val="47997EBD"/>
    <w:rsid w:val="47B43E65"/>
    <w:rsid w:val="47BE02F7"/>
    <w:rsid w:val="47D64578"/>
    <w:rsid w:val="47DF0FED"/>
    <w:rsid w:val="47FB71CF"/>
    <w:rsid w:val="47FC7109"/>
    <w:rsid w:val="48166B3E"/>
    <w:rsid w:val="481D7E40"/>
    <w:rsid w:val="481D7ECC"/>
    <w:rsid w:val="481E59F2"/>
    <w:rsid w:val="48205C0E"/>
    <w:rsid w:val="482D488D"/>
    <w:rsid w:val="48340FE8"/>
    <w:rsid w:val="483416BA"/>
    <w:rsid w:val="48360F8E"/>
    <w:rsid w:val="483B65A4"/>
    <w:rsid w:val="48457077"/>
    <w:rsid w:val="48480CC1"/>
    <w:rsid w:val="487C6ADD"/>
    <w:rsid w:val="48BB1493"/>
    <w:rsid w:val="48C71EAF"/>
    <w:rsid w:val="48F26037"/>
    <w:rsid w:val="490303CC"/>
    <w:rsid w:val="4904108C"/>
    <w:rsid w:val="49353AF4"/>
    <w:rsid w:val="49424B46"/>
    <w:rsid w:val="495518E8"/>
    <w:rsid w:val="495E079C"/>
    <w:rsid w:val="496E6505"/>
    <w:rsid w:val="498B5309"/>
    <w:rsid w:val="49AB603B"/>
    <w:rsid w:val="49AC11BF"/>
    <w:rsid w:val="49C11AD5"/>
    <w:rsid w:val="49CA609D"/>
    <w:rsid w:val="49FD6207"/>
    <w:rsid w:val="4A10294B"/>
    <w:rsid w:val="4A1D2B2A"/>
    <w:rsid w:val="4A236D20"/>
    <w:rsid w:val="4A281820"/>
    <w:rsid w:val="4A74582E"/>
    <w:rsid w:val="4A780EE6"/>
    <w:rsid w:val="4A82167C"/>
    <w:rsid w:val="4A8809CA"/>
    <w:rsid w:val="4A95144D"/>
    <w:rsid w:val="4A9604E4"/>
    <w:rsid w:val="4AA62142"/>
    <w:rsid w:val="4AB33E24"/>
    <w:rsid w:val="4AD41CB4"/>
    <w:rsid w:val="4ADA6FC7"/>
    <w:rsid w:val="4ADD32B8"/>
    <w:rsid w:val="4ADF590D"/>
    <w:rsid w:val="4AED291F"/>
    <w:rsid w:val="4AF60EA8"/>
    <w:rsid w:val="4B1032B1"/>
    <w:rsid w:val="4B2C0426"/>
    <w:rsid w:val="4B52713A"/>
    <w:rsid w:val="4B5A1074"/>
    <w:rsid w:val="4B5B3E1E"/>
    <w:rsid w:val="4B5C6F5D"/>
    <w:rsid w:val="4B8B7843"/>
    <w:rsid w:val="4B8B7905"/>
    <w:rsid w:val="4B8D7117"/>
    <w:rsid w:val="4BA2545A"/>
    <w:rsid w:val="4BA96C16"/>
    <w:rsid w:val="4BB52B12"/>
    <w:rsid w:val="4BDE5BC4"/>
    <w:rsid w:val="4C1859E4"/>
    <w:rsid w:val="4C3345EE"/>
    <w:rsid w:val="4C4036E6"/>
    <w:rsid w:val="4C681932"/>
    <w:rsid w:val="4C6D71C1"/>
    <w:rsid w:val="4C905CCA"/>
    <w:rsid w:val="4C9269AF"/>
    <w:rsid w:val="4C991AEB"/>
    <w:rsid w:val="4CB86415"/>
    <w:rsid w:val="4CCB2F2E"/>
    <w:rsid w:val="4CDB2104"/>
    <w:rsid w:val="4CDF1C45"/>
    <w:rsid w:val="4CE47AF5"/>
    <w:rsid w:val="4CF10499"/>
    <w:rsid w:val="4CF532D1"/>
    <w:rsid w:val="4D0E297B"/>
    <w:rsid w:val="4D1911B2"/>
    <w:rsid w:val="4D232FAA"/>
    <w:rsid w:val="4D2E1BD6"/>
    <w:rsid w:val="4D3B2BA3"/>
    <w:rsid w:val="4D3D691B"/>
    <w:rsid w:val="4D510618"/>
    <w:rsid w:val="4D654F3D"/>
    <w:rsid w:val="4D721EA3"/>
    <w:rsid w:val="4D900573"/>
    <w:rsid w:val="4D926C66"/>
    <w:rsid w:val="4D932C89"/>
    <w:rsid w:val="4D986247"/>
    <w:rsid w:val="4D996326"/>
    <w:rsid w:val="4DA14831"/>
    <w:rsid w:val="4DAB41CC"/>
    <w:rsid w:val="4DB03590"/>
    <w:rsid w:val="4DB76534"/>
    <w:rsid w:val="4DBE2E29"/>
    <w:rsid w:val="4DBE5CAD"/>
    <w:rsid w:val="4DEC4CCD"/>
    <w:rsid w:val="4DFD2E32"/>
    <w:rsid w:val="4E2452E9"/>
    <w:rsid w:val="4E366213"/>
    <w:rsid w:val="4E412EF6"/>
    <w:rsid w:val="4E740A62"/>
    <w:rsid w:val="4E755754"/>
    <w:rsid w:val="4E7E71EB"/>
    <w:rsid w:val="4E8E6FE0"/>
    <w:rsid w:val="4EA74993"/>
    <w:rsid w:val="4EB4722A"/>
    <w:rsid w:val="4EBA2DC6"/>
    <w:rsid w:val="4EC30082"/>
    <w:rsid w:val="4EEB14E3"/>
    <w:rsid w:val="4EED4970"/>
    <w:rsid w:val="4EFA4D24"/>
    <w:rsid w:val="4F040209"/>
    <w:rsid w:val="4F2E6E63"/>
    <w:rsid w:val="4F455F5A"/>
    <w:rsid w:val="4F4E4B02"/>
    <w:rsid w:val="4F53618A"/>
    <w:rsid w:val="4F5A1A06"/>
    <w:rsid w:val="4F732AC8"/>
    <w:rsid w:val="4F7640F5"/>
    <w:rsid w:val="4F7C325A"/>
    <w:rsid w:val="4F8922EB"/>
    <w:rsid w:val="4F8D0CDD"/>
    <w:rsid w:val="4F9A0054"/>
    <w:rsid w:val="4FA25DFA"/>
    <w:rsid w:val="4FA7250F"/>
    <w:rsid w:val="4FAD5FDA"/>
    <w:rsid w:val="4FAE457D"/>
    <w:rsid w:val="4FBD4D5E"/>
    <w:rsid w:val="4FD04D00"/>
    <w:rsid w:val="4FD31F70"/>
    <w:rsid w:val="4FD41F40"/>
    <w:rsid w:val="4FD52981"/>
    <w:rsid w:val="4FDF357A"/>
    <w:rsid w:val="4FE64355"/>
    <w:rsid w:val="501976E1"/>
    <w:rsid w:val="502323AF"/>
    <w:rsid w:val="502F2E92"/>
    <w:rsid w:val="50344BF7"/>
    <w:rsid w:val="50353A2F"/>
    <w:rsid w:val="5036124C"/>
    <w:rsid w:val="504306EC"/>
    <w:rsid w:val="504B2073"/>
    <w:rsid w:val="504C7510"/>
    <w:rsid w:val="50546455"/>
    <w:rsid w:val="505C0548"/>
    <w:rsid w:val="505D51DB"/>
    <w:rsid w:val="505E48CB"/>
    <w:rsid w:val="505F7729"/>
    <w:rsid w:val="50662C63"/>
    <w:rsid w:val="506B7C43"/>
    <w:rsid w:val="50702117"/>
    <w:rsid w:val="507A53E6"/>
    <w:rsid w:val="508D5E0B"/>
    <w:rsid w:val="509B1B60"/>
    <w:rsid w:val="50BD3AD5"/>
    <w:rsid w:val="510032D0"/>
    <w:rsid w:val="510576FA"/>
    <w:rsid w:val="51071719"/>
    <w:rsid w:val="510A302C"/>
    <w:rsid w:val="5116435B"/>
    <w:rsid w:val="51442973"/>
    <w:rsid w:val="51467A3D"/>
    <w:rsid w:val="514D4936"/>
    <w:rsid w:val="515E4CFB"/>
    <w:rsid w:val="516266C2"/>
    <w:rsid w:val="517A1EAC"/>
    <w:rsid w:val="51A753D3"/>
    <w:rsid w:val="51AB479B"/>
    <w:rsid w:val="51AC7514"/>
    <w:rsid w:val="51AE428B"/>
    <w:rsid w:val="51B64EEE"/>
    <w:rsid w:val="51C63383"/>
    <w:rsid w:val="51CB7708"/>
    <w:rsid w:val="51DA0BDC"/>
    <w:rsid w:val="51DF4444"/>
    <w:rsid w:val="51E732F9"/>
    <w:rsid w:val="51FE7EBB"/>
    <w:rsid w:val="523D1177"/>
    <w:rsid w:val="526F230D"/>
    <w:rsid w:val="527F1EDB"/>
    <w:rsid w:val="5283099E"/>
    <w:rsid w:val="528774B7"/>
    <w:rsid w:val="528C3203"/>
    <w:rsid w:val="5290125A"/>
    <w:rsid w:val="52946FDD"/>
    <w:rsid w:val="529F40C8"/>
    <w:rsid w:val="52A05BEE"/>
    <w:rsid w:val="52AF2CDC"/>
    <w:rsid w:val="52B953E6"/>
    <w:rsid w:val="52BF1A95"/>
    <w:rsid w:val="52D7511B"/>
    <w:rsid w:val="52E31D12"/>
    <w:rsid w:val="52FD1026"/>
    <w:rsid w:val="5305612D"/>
    <w:rsid w:val="5307508F"/>
    <w:rsid w:val="53136F10"/>
    <w:rsid w:val="531C6FD2"/>
    <w:rsid w:val="531C7271"/>
    <w:rsid w:val="5341418D"/>
    <w:rsid w:val="5345477B"/>
    <w:rsid w:val="534C7EF0"/>
    <w:rsid w:val="534E602C"/>
    <w:rsid w:val="53533B18"/>
    <w:rsid w:val="53553B85"/>
    <w:rsid w:val="536A5F90"/>
    <w:rsid w:val="536F1D83"/>
    <w:rsid w:val="5373002E"/>
    <w:rsid w:val="53786C46"/>
    <w:rsid w:val="537D3F15"/>
    <w:rsid w:val="53802F54"/>
    <w:rsid w:val="53B35B1E"/>
    <w:rsid w:val="53B77F33"/>
    <w:rsid w:val="53BA0CC5"/>
    <w:rsid w:val="53C605B1"/>
    <w:rsid w:val="53C90F08"/>
    <w:rsid w:val="53CF08F5"/>
    <w:rsid w:val="53D06914"/>
    <w:rsid w:val="53F54917"/>
    <w:rsid w:val="542924D4"/>
    <w:rsid w:val="542B3E81"/>
    <w:rsid w:val="54330904"/>
    <w:rsid w:val="543D5452"/>
    <w:rsid w:val="5454111A"/>
    <w:rsid w:val="54850D33"/>
    <w:rsid w:val="548D1B99"/>
    <w:rsid w:val="54972DB4"/>
    <w:rsid w:val="54A438D5"/>
    <w:rsid w:val="54C251DF"/>
    <w:rsid w:val="54D933CD"/>
    <w:rsid w:val="54D97C92"/>
    <w:rsid w:val="54E93BE9"/>
    <w:rsid w:val="55015E4F"/>
    <w:rsid w:val="55102B67"/>
    <w:rsid w:val="553E2167"/>
    <w:rsid w:val="554C1057"/>
    <w:rsid w:val="554E5C63"/>
    <w:rsid w:val="554E5CFA"/>
    <w:rsid w:val="555E4CC6"/>
    <w:rsid w:val="5567352C"/>
    <w:rsid w:val="556829A3"/>
    <w:rsid w:val="55973A74"/>
    <w:rsid w:val="559E63C4"/>
    <w:rsid w:val="55C45E2B"/>
    <w:rsid w:val="55E9413C"/>
    <w:rsid w:val="55F10BEA"/>
    <w:rsid w:val="56184A06"/>
    <w:rsid w:val="563C1138"/>
    <w:rsid w:val="566B44F9"/>
    <w:rsid w:val="56893E7C"/>
    <w:rsid w:val="569E3515"/>
    <w:rsid w:val="569F53F4"/>
    <w:rsid w:val="56A56AD1"/>
    <w:rsid w:val="56A64A71"/>
    <w:rsid w:val="56BB5208"/>
    <w:rsid w:val="56C94652"/>
    <w:rsid w:val="56CC068C"/>
    <w:rsid w:val="56F22E3B"/>
    <w:rsid w:val="56FA6C77"/>
    <w:rsid w:val="570F30D6"/>
    <w:rsid w:val="571132F2"/>
    <w:rsid w:val="571F6A41"/>
    <w:rsid w:val="571F6C73"/>
    <w:rsid w:val="57211F6D"/>
    <w:rsid w:val="573568B4"/>
    <w:rsid w:val="573A510D"/>
    <w:rsid w:val="574014E1"/>
    <w:rsid w:val="57484E0B"/>
    <w:rsid w:val="57601B83"/>
    <w:rsid w:val="57706690"/>
    <w:rsid w:val="577A076B"/>
    <w:rsid w:val="57817519"/>
    <w:rsid w:val="578A0DE4"/>
    <w:rsid w:val="578B5B97"/>
    <w:rsid w:val="57963D10"/>
    <w:rsid w:val="579E19FA"/>
    <w:rsid w:val="57A07C22"/>
    <w:rsid w:val="57A51C8C"/>
    <w:rsid w:val="57AC6B77"/>
    <w:rsid w:val="57AE0B41"/>
    <w:rsid w:val="57B411D2"/>
    <w:rsid w:val="57C02622"/>
    <w:rsid w:val="57EA769F"/>
    <w:rsid w:val="57F003B7"/>
    <w:rsid w:val="57F5746A"/>
    <w:rsid w:val="57F73C83"/>
    <w:rsid w:val="57FD5624"/>
    <w:rsid w:val="58044FF9"/>
    <w:rsid w:val="580A1AEF"/>
    <w:rsid w:val="580E15DF"/>
    <w:rsid w:val="58103B5E"/>
    <w:rsid w:val="58166663"/>
    <w:rsid w:val="581C6321"/>
    <w:rsid w:val="581F1A3E"/>
    <w:rsid w:val="582E1C82"/>
    <w:rsid w:val="583E52D1"/>
    <w:rsid w:val="584658C3"/>
    <w:rsid w:val="5866766D"/>
    <w:rsid w:val="587D4F4A"/>
    <w:rsid w:val="58810003"/>
    <w:rsid w:val="58ED4908"/>
    <w:rsid w:val="5907417A"/>
    <w:rsid w:val="591B0458"/>
    <w:rsid w:val="59271254"/>
    <w:rsid w:val="592D22EC"/>
    <w:rsid w:val="592F7A5F"/>
    <w:rsid w:val="5937075A"/>
    <w:rsid w:val="5946066A"/>
    <w:rsid w:val="594F3D5A"/>
    <w:rsid w:val="5955110A"/>
    <w:rsid w:val="59554A65"/>
    <w:rsid w:val="59611BE3"/>
    <w:rsid w:val="596923B2"/>
    <w:rsid w:val="59701765"/>
    <w:rsid w:val="5984232A"/>
    <w:rsid w:val="59AE7089"/>
    <w:rsid w:val="59CC01AF"/>
    <w:rsid w:val="59DB3743"/>
    <w:rsid w:val="59E92304"/>
    <w:rsid w:val="59F8422E"/>
    <w:rsid w:val="5A154E3D"/>
    <w:rsid w:val="5A1B4BD1"/>
    <w:rsid w:val="5A4532B2"/>
    <w:rsid w:val="5A767910"/>
    <w:rsid w:val="5AA71A74"/>
    <w:rsid w:val="5AB230A3"/>
    <w:rsid w:val="5AC253A4"/>
    <w:rsid w:val="5AC33B31"/>
    <w:rsid w:val="5AC35F42"/>
    <w:rsid w:val="5AC71F19"/>
    <w:rsid w:val="5ACC12DE"/>
    <w:rsid w:val="5ADA2DED"/>
    <w:rsid w:val="5AED35C4"/>
    <w:rsid w:val="5AF70A51"/>
    <w:rsid w:val="5B1B4E25"/>
    <w:rsid w:val="5B353166"/>
    <w:rsid w:val="5B722EEF"/>
    <w:rsid w:val="5B762465"/>
    <w:rsid w:val="5B802E1B"/>
    <w:rsid w:val="5B8A5421"/>
    <w:rsid w:val="5B9F2137"/>
    <w:rsid w:val="5BA504AD"/>
    <w:rsid w:val="5BAD0E91"/>
    <w:rsid w:val="5BCC6BCF"/>
    <w:rsid w:val="5BE014E5"/>
    <w:rsid w:val="5BE03293"/>
    <w:rsid w:val="5BE15EA4"/>
    <w:rsid w:val="5BE93B76"/>
    <w:rsid w:val="5BFC5BF3"/>
    <w:rsid w:val="5C000857"/>
    <w:rsid w:val="5C1E5E58"/>
    <w:rsid w:val="5C2B7C22"/>
    <w:rsid w:val="5C313919"/>
    <w:rsid w:val="5C487F56"/>
    <w:rsid w:val="5C533A65"/>
    <w:rsid w:val="5C537335"/>
    <w:rsid w:val="5C5E2237"/>
    <w:rsid w:val="5C64154B"/>
    <w:rsid w:val="5C69772C"/>
    <w:rsid w:val="5C6A0E18"/>
    <w:rsid w:val="5C7D6D34"/>
    <w:rsid w:val="5C8B5E34"/>
    <w:rsid w:val="5C917CF5"/>
    <w:rsid w:val="5C981DBF"/>
    <w:rsid w:val="5CB63FF4"/>
    <w:rsid w:val="5CBD0CC6"/>
    <w:rsid w:val="5CC42BB4"/>
    <w:rsid w:val="5CE959AC"/>
    <w:rsid w:val="5CFD49EF"/>
    <w:rsid w:val="5D092AA9"/>
    <w:rsid w:val="5D187BCC"/>
    <w:rsid w:val="5D197334"/>
    <w:rsid w:val="5D203876"/>
    <w:rsid w:val="5D2109E2"/>
    <w:rsid w:val="5D2C3300"/>
    <w:rsid w:val="5D2C7A55"/>
    <w:rsid w:val="5D431D2B"/>
    <w:rsid w:val="5D437F7D"/>
    <w:rsid w:val="5D597CC6"/>
    <w:rsid w:val="5D7B5F87"/>
    <w:rsid w:val="5D867E6A"/>
    <w:rsid w:val="5D8772F7"/>
    <w:rsid w:val="5DAD3649"/>
    <w:rsid w:val="5DC16429"/>
    <w:rsid w:val="5DD9443E"/>
    <w:rsid w:val="5DDE7CA6"/>
    <w:rsid w:val="5DF228EA"/>
    <w:rsid w:val="5DF63241"/>
    <w:rsid w:val="5DF91EC2"/>
    <w:rsid w:val="5DFB7188"/>
    <w:rsid w:val="5DFC012C"/>
    <w:rsid w:val="5DFC2FFA"/>
    <w:rsid w:val="5E023994"/>
    <w:rsid w:val="5E1B4A56"/>
    <w:rsid w:val="5E327FF5"/>
    <w:rsid w:val="5E402EA6"/>
    <w:rsid w:val="5E541427"/>
    <w:rsid w:val="5E667D57"/>
    <w:rsid w:val="5E6A00D6"/>
    <w:rsid w:val="5E6D63D1"/>
    <w:rsid w:val="5E8D2CFB"/>
    <w:rsid w:val="5E98312C"/>
    <w:rsid w:val="5EAA0957"/>
    <w:rsid w:val="5EB558FD"/>
    <w:rsid w:val="5EB75A34"/>
    <w:rsid w:val="5EC33D21"/>
    <w:rsid w:val="5EC8333F"/>
    <w:rsid w:val="5F11715E"/>
    <w:rsid w:val="5F240705"/>
    <w:rsid w:val="5F322F1C"/>
    <w:rsid w:val="5F337B7D"/>
    <w:rsid w:val="5F3B6A32"/>
    <w:rsid w:val="5F4955F3"/>
    <w:rsid w:val="5F4D1ED5"/>
    <w:rsid w:val="5F5B2F83"/>
    <w:rsid w:val="5F5D1329"/>
    <w:rsid w:val="5F5F6BC4"/>
    <w:rsid w:val="5F795ED8"/>
    <w:rsid w:val="5F8B5C0B"/>
    <w:rsid w:val="5F906D7E"/>
    <w:rsid w:val="5FB567E4"/>
    <w:rsid w:val="5FCC0FBA"/>
    <w:rsid w:val="5FD4698E"/>
    <w:rsid w:val="5FE315A4"/>
    <w:rsid w:val="5FE5356E"/>
    <w:rsid w:val="5FE97DAA"/>
    <w:rsid w:val="6032709C"/>
    <w:rsid w:val="6044545B"/>
    <w:rsid w:val="60520A44"/>
    <w:rsid w:val="606C6D00"/>
    <w:rsid w:val="606C77EB"/>
    <w:rsid w:val="60731C59"/>
    <w:rsid w:val="607C0C87"/>
    <w:rsid w:val="607E12CC"/>
    <w:rsid w:val="609603C4"/>
    <w:rsid w:val="60A7067E"/>
    <w:rsid w:val="61005AF5"/>
    <w:rsid w:val="610276E5"/>
    <w:rsid w:val="6124025C"/>
    <w:rsid w:val="613F6CAD"/>
    <w:rsid w:val="6142054C"/>
    <w:rsid w:val="615C160D"/>
    <w:rsid w:val="615D5386"/>
    <w:rsid w:val="61606FC6"/>
    <w:rsid w:val="616109C0"/>
    <w:rsid w:val="61635C88"/>
    <w:rsid w:val="617028CD"/>
    <w:rsid w:val="61A30FEA"/>
    <w:rsid w:val="61B64F19"/>
    <w:rsid w:val="61BB00EC"/>
    <w:rsid w:val="61C26C1A"/>
    <w:rsid w:val="61D174DD"/>
    <w:rsid w:val="61D76559"/>
    <w:rsid w:val="61E73E80"/>
    <w:rsid w:val="61EF54AA"/>
    <w:rsid w:val="61F00D23"/>
    <w:rsid w:val="621E2D67"/>
    <w:rsid w:val="622B10BD"/>
    <w:rsid w:val="622D3C71"/>
    <w:rsid w:val="623B2220"/>
    <w:rsid w:val="624058EE"/>
    <w:rsid w:val="625642AF"/>
    <w:rsid w:val="625E13B5"/>
    <w:rsid w:val="62682234"/>
    <w:rsid w:val="62830B3F"/>
    <w:rsid w:val="628506F0"/>
    <w:rsid w:val="62B4097F"/>
    <w:rsid w:val="62BD60DC"/>
    <w:rsid w:val="62C54F90"/>
    <w:rsid w:val="62EA69F7"/>
    <w:rsid w:val="62EC2355"/>
    <w:rsid w:val="62F369ED"/>
    <w:rsid w:val="62F835B8"/>
    <w:rsid w:val="62FB30A8"/>
    <w:rsid w:val="631321A0"/>
    <w:rsid w:val="631D301E"/>
    <w:rsid w:val="63277162"/>
    <w:rsid w:val="63360306"/>
    <w:rsid w:val="63375912"/>
    <w:rsid w:val="633B16F7"/>
    <w:rsid w:val="633B34A5"/>
    <w:rsid w:val="633E0216"/>
    <w:rsid w:val="63416D0D"/>
    <w:rsid w:val="634D38A4"/>
    <w:rsid w:val="63563520"/>
    <w:rsid w:val="63580CD2"/>
    <w:rsid w:val="635B76A3"/>
    <w:rsid w:val="63827A6B"/>
    <w:rsid w:val="63974B7F"/>
    <w:rsid w:val="63B97CB9"/>
    <w:rsid w:val="63CC0195"/>
    <w:rsid w:val="63D35E7C"/>
    <w:rsid w:val="63E127ED"/>
    <w:rsid w:val="63F21DB5"/>
    <w:rsid w:val="64063FA4"/>
    <w:rsid w:val="64122457"/>
    <w:rsid w:val="641F230D"/>
    <w:rsid w:val="64430863"/>
    <w:rsid w:val="644E6C1F"/>
    <w:rsid w:val="646D58E0"/>
    <w:rsid w:val="647E0385"/>
    <w:rsid w:val="648F3AA8"/>
    <w:rsid w:val="649015CE"/>
    <w:rsid w:val="649347D7"/>
    <w:rsid w:val="64A37553"/>
    <w:rsid w:val="64A72363"/>
    <w:rsid w:val="64DC3BDB"/>
    <w:rsid w:val="64F81422"/>
    <w:rsid w:val="64F93617"/>
    <w:rsid w:val="65017861"/>
    <w:rsid w:val="650369B8"/>
    <w:rsid w:val="65055521"/>
    <w:rsid w:val="650C2823"/>
    <w:rsid w:val="652C5AFB"/>
    <w:rsid w:val="6531690D"/>
    <w:rsid w:val="65472E29"/>
    <w:rsid w:val="6562740E"/>
    <w:rsid w:val="656612DC"/>
    <w:rsid w:val="65670581"/>
    <w:rsid w:val="658C6A5C"/>
    <w:rsid w:val="659A0956"/>
    <w:rsid w:val="65A01822"/>
    <w:rsid w:val="65AA1C4B"/>
    <w:rsid w:val="65D379C4"/>
    <w:rsid w:val="65F20F4A"/>
    <w:rsid w:val="65FD16F8"/>
    <w:rsid w:val="66236B9E"/>
    <w:rsid w:val="663C7C5F"/>
    <w:rsid w:val="66744448"/>
    <w:rsid w:val="66801629"/>
    <w:rsid w:val="668C0441"/>
    <w:rsid w:val="66934C87"/>
    <w:rsid w:val="669B2BD8"/>
    <w:rsid w:val="66A02E32"/>
    <w:rsid w:val="66C93767"/>
    <w:rsid w:val="66D25ECE"/>
    <w:rsid w:val="66DD20EA"/>
    <w:rsid w:val="66E33712"/>
    <w:rsid w:val="66F55030"/>
    <w:rsid w:val="6703580B"/>
    <w:rsid w:val="67081BBE"/>
    <w:rsid w:val="670E244F"/>
    <w:rsid w:val="67150088"/>
    <w:rsid w:val="672D0FFA"/>
    <w:rsid w:val="6736645D"/>
    <w:rsid w:val="674072DB"/>
    <w:rsid w:val="674C076E"/>
    <w:rsid w:val="675131F7"/>
    <w:rsid w:val="675E42C6"/>
    <w:rsid w:val="675E6B52"/>
    <w:rsid w:val="67713939"/>
    <w:rsid w:val="67885F96"/>
    <w:rsid w:val="678F3599"/>
    <w:rsid w:val="67921654"/>
    <w:rsid w:val="67950F68"/>
    <w:rsid w:val="67993132"/>
    <w:rsid w:val="67A45ABC"/>
    <w:rsid w:val="67C021CA"/>
    <w:rsid w:val="67DA6649"/>
    <w:rsid w:val="67E36E80"/>
    <w:rsid w:val="67E7176C"/>
    <w:rsid w:val="67EC3BBB"/>
    <w:rsid w:val="67F6073E"/>
    <w:rsid w:val="67FA7072"/>
    <w:rsid w:val="68212C69"/>
    <w:rsid w:val="682454D4"/>
    <w:rsid w:val="68321662"/>
    <w:rsid w:val="683C09C0"/>
    <w:rsid w:val="685038DC"/>
    <w:rsid w:val="68550B65"/>
    <w:rsid w:val="68633281"/>
    <w:rsid w:val="687F0310"/>
    <w:rsid w:val="68A65864"/>
    <w:rsid w:val="68B37328"/>
    <w:rsid w:val="68BC0BE4"/>
    <w:rsid w:val="68C67704"/>
    <w:rsid w:val="68CD2E71"/>
    <w:rsid w:val="68D9058B"/>
    <w:rsid w:val="68E21377"/>
    <w:rsid w:val="68EB0ED6"/>
    <w:rsid w:val="68FF0A95"/>
    <w:rsid w:val="69042303"/>
    <w:rsid w:val="69166546"/>
    <w:rsid w:val="6933534A"/>
    <w:rsid w:val="693D108F"/>
    <w:rsid w:val="6945507D"/>
    <w:rsid w:val="694A51E0"/>
    <w:rsid w:val="69575095"/>
    <w:rsid w:val="696C5B3F"/>
    <w:rsid w:val="69961435"/>
    <w:rsid w:val="699B77F3"/>
    <w:rsid w:val="699E26FE"/>
    <w:rsid w:val="69B060C4"/>
    <w:rsid w:val="69B75EDF"/>
    <w:rsid w:val="69BE2739"/>
    <w:rsid w:val="69C615E3"/>
    <w:rsid w:val="69CB40B1"/>
    <w:rsid w:val="69D501AF"/>
    <w:rsid w:val="69FA19C4"/>
    <w:rsid w:val="6A0B3BD1"/>
    <w:rsid w:val="6A0E2842"/>
    <w:rsid w:val="6A22716C"/>
    <w:rsid w:val="6A2D3DF8"/>
    <w:rsid w:val="6A32716F"/>
    <w:rsid w:val="6A350C4E"/>
    <w:rsid w:val="6A381905"/>
    <w:rsid w:val="6A410D55"/>
    <w:rsid w:val="6A57035E"/>
    <w:rsid w:val="6A67025D"/>
    <w:rsid w:val="6A7A0D56"/>
    <w:rsid w:val="6A892D47"/>
    <w:rsid w:val="6A8A482B"/>
    <w:rsid w:val="6A95793E"/>
    <w:rsid w:val="6A9A67B1"/>
    <w:rsid w:val="6AC45C2D"/>
    <w:rsid w:val="6B00125C"/>
    <w:rsid w:val="6B00162A"/>
    <w:rsid w:val="6B0074AE"/>
    <w:rsid w:val="6B04265E"/>
    <w:rsid w:val="6B207439"/>
    <w:rsid w:val="6B21772D"/>
    <w:rsid w:val="6B4355EC"/>
    <w:rsid w:val="6B63435D"/>
    <w:rsid w:val="6B7C0DFE"/>
    <w:rsid w:val="6B821D05"/>
    <w:rsid w:val="6B8A4FC9"/>
    <w:rsid w:val="6B9F679B"/>
    <w:rsid w:val="6BA24569"/>
    <w:rsid w:val="6BA76A90"/>
    <w:rsid w:val="6BBE7775"/>
    <w:rsid w:val="6BE27D92"/>
    <w:rsid w:val="6BF6440D"/>
    <w:rsid w:val="6BFA3EFD"/>
    <w:rsid w:val="6BFF103A"/>
    <w:rsid w:val="6C07486C"/>
    <w:rsid w:val="6C276CBC"/>
    <w:rsid w:val="6C326346"/>
    <w:rsid w:val="6C353187"/>
    <w:rsid w:val="6C4E4249"/>
    <w:rsid w:val="6C99474B"/>
    <w:rsid w:val="6C9D0D2C"/>
    <w:rsid w:val="6CB22A29"/>
    <w:rsid w:val="6CB26586"/>
    <w:rsid w:val="6CC2656C"/>
    <w:rsid w:val="6CE04456"/>
    <w:rsid w:val="6D0076DD"/>
    <w:rsid w:val="6D1A237D"/>
    <w:rsid w:val="6D2B0D85"/>
    <w:rsid w:val="6D2C308A"/>
    <w:rsid w:val="6D352B80"/>
    <w:rsid w:val="6D3C6797"/>
    <w:rsid w:val="6D51581F"/>
    <w:rsid w:val="6D521B8E"/>
    <w:rsid w:val="6D546CB8"/>
    <w:rsid w:val="6D5E2269"/>
    <w:rsid w:val="6D657CE5"/>
    <w:rsid w:val="6DB97DE8"/>
    <w:rsid w:val="6DC5059B"/>
    <w:rsid w:val="6DC7195C"/>
    <w:rsid w:val="6DC836FE"/>
    <w:rsid w:val="6DF45878"/>
    <w:rsid w:val="6E02353D"/>
    <w:rsid w:val="6E364F94"/>
    <w:rsid w:val="6E3878FF"/>
    <w:rsid w:val="6E4C2A0A"/>
    <w:rsid w:val="6E4F0B95"/>
    <w:rsid w:val="6E544EC5"/>
    <w:rsid w:val="6E55544F"/>
    <w:rsid w:val="6E615BFD"/>
    <w:rsid w:val="6E6C4E5A"/>
    <w:rsid w:val="6E8E2D1A"/>
    <w:rsid w:val="6E9B0588"/>
    <w:rsid w:val="6EA23374"/>
    <w:rsid w:val="6EA854BF"/>
    <w:rsid w:val="6EA939B8"/>
    <w:rsid w:val="6EAF6AB3"/>
    <w:rsid w:val="6EC84F2F"/>
    <w:rsid w:val="6ED04406"/>
    <w:rsid w:val="6ED749C9"/>
    <w:rsid w:val="6EE14008"/>
    <w:rsid w:val="6EFB71CA"/>
    <w:rsid w:val="6EFE3D04"/>
    <w:rsid w:val="6F010943"/>
    <w:rsid w:val="6F24136A"/>
    <w:rsid w:val="6F3E67F6"/>
    <w:rsid w:val="6F4230D3"/>
    <w:rsid w:val="6F494EBC"/>
    <w:rsid w:val="6F573414"/>
    <w:rsid w:val="6F5E47A3"/>
    <w:rsid w:val="6F610797"/>
    <w:rsid w:val="6F6D3A3A"/>
    <w:rsid w:val="6F6D49E6"/>
    <w:rsid w:val="6F9401C4"/>
    <w:rsid w:val="6F96218E"/>
    <w:rsid w:val="6F9D4AB4"/>
    <w:rsid w:val="6FB46AB9"/>
    <w:rsid w:val="6FD76702"/>
    <w:rsid w:val="6FE4739E"/>
    <w:rsid w:val="70217BD0"/>
    <w:rsid w:val="702715D6"/>
    <w:rsid w:val="7047792D"/>
    <w:rsid w:val="705A36F0"/>
    <w:rsid w:val="707662E3"/>
    <w:rsid w:val="708E10B8"/>
    <w:rsid w:val="70967F6C"/>
    <w:rsid w:val="70981BDA"/>
    <w:rsid w:val="70A447CE"/>
    <w:rsid w:val="70F04414"/>
    <w:rsid w:val="71060892"/>
    <w:rsid w:val="710A284E"/>
    <w:rsid w:val="711F7F62"/>
    <w:rsid w:val="71213CDA"/>
    <w:rsid w:val="71230669"/>
    <w:rsid w:val="71333A0D"/>
    <w:rsid w:val="71397EC1"/>
    <w:rsid w:val="715045BF"/>
    <w:rsid w:val="715C3602"/>
    <w:rsid w:val="71606573"/>
    <w:rsid w:val="716A2C7A"/>
    <w:rsid w:val="716B2939"/>
    <w:rsid w:val="7180566E"/>
    <w:rsid w:val="71B20DD6"/>
    <w:rsid w:val="71D50389"/>
    <w:rsid w:val="71D83CAE"/>
    <w:rsid w:val="71DC5E53"/>
    <w:rsid w:val="71DE437D"/>
    <w:rsid w:val="71E371E1"/>
    <w:rsid w:val="71E476DF"/>
    <w:rsid w:val="71E612AF"/>
    <w:rsid w:val="71F22EF1"/>
    <w:rsid w:val="71FB30ED"/>
    <w:rsid w:val="720372BE"/>
    <w:rsid w:val="72047744"/>
    <w:rsid w:val="720C6738"/>
    <w:rsid w:val="720F7FD6"/>
    <w:rsid w:val="72231CD3"/>
    <w:rsid w:val="72340912"/>
    <w:rsid w:val="72391169"/>
    <w:rsid w:val="72395053"/>
    <w:rsid w:val="7242215A"/>
    <w:rsid w:val="72446D99"/>
    <w:rsid w:val="724F7590"/>
    <w:rsid w:val="72536115"/>
    <w:rsid w:val="728C4D43"/>
    <w:rsid w:val="728F1117"/>
    <w:rsid w:val="7294672D"/>
    <w:rsid w:val="72955DA6"/>
    <w:rsid w:val="7299721F"/>
    <w:rsid w:val="72A76461"/>
    <w:rsid w:val="72B70EC8"/>
    <w:rsid w:val="72E83F25"/>
    <w:rsid w:val="72FF65FA"/>
    <w:rsid w:val="7303644A"/>
    <w:rsid w:val="73090EC9"/>
    <w:rsid w:val="730B69EF"/>
    <w:rsid w:val="730D0C33"/>
    <w:rsid w:val="730D165C"/>
    <w:rsid w:val="731B45A4"/>
    <w:rsid w:val="738A0DDC"/>
    <w:rsid w:val="73904047"/>
    <w:rsid w:val="73A44F2A"/>
    <w:rsid w:val="73BE7F06"/>
    <w:rsid w:val="73FC27DC"/>
    <w:rsid w:val="742F206A"/>
    <w:rsid w:val="7430097F"/>
    <w:rsid w:val="74375E55"/>
    <w:rsid w:val="74436029"/>
    <w:rsid w:val="744A439B"/>
    <w:rsid w:val="74570A73"/>
    <w:rsid w:val="746D7236"/>
    <w:rsid w:val="746E722A"/>
    <w:rsid w:val="74795624"/>
    <w:rsid w:val="74A569D0"/>
    <w:rsid w:val="74B3650D"/>
    <w:rsid w:val="74C4154C"/>
    <w:rsid w:val="74C9464C"/>
    <w:rsid w:val="74E8403F"/>
    <w:rsid w:val="754828BD"/>
    <w:rsid w:val="754A46E7"/>
    <w:rsid w:val="75556648"/>
    <w:rsid w:val="755C3532"/>
    <w:rsid w:val="756110EA"/>
    <w:rsid w:val="756D434D"/>
    <w:rsid w:val="757D0625"/>
    <w:rsid w:val="75862CA5"/>
    <w:rsid w:val="758A5FE4"/>
    <w:rsid w:val="75AE7B06"/>
    <w:rsid w:val="75B01B0E"/>
    <w:rsid w:val="75B4336E"/>
    <w:rsid w:val="75DD6D34"/>
    <w:rsid w:val="760D3111"/>
    <w:rsid w:val="762538FA"/>
    <w:rsid w:val="76273937"/>
    <w:rsid w:val="762978E9"/>
    <w:rsid w:val="762E16DC"/>
    <w:rsid w:val="76342701"/>
    <w:rsid w:val="76480C91"/>
    <w:rsid w:val="76487F5B"/>
    <w:rsid w:val="766829E3"/>
    <w:rsid w:val="76740190"/>
    <w:rsid w:val="767D7C04"/>
    <w:rsid w:val="7687481C"/>
    <w:rsid w:val="76BD26F7"/>
    <w:rsid w:val="76C360DC"/>
    <w:rsid w:val="76D11515"/>
    <w:rsid w:val="76E2215D"/>
    <w:rsid w:val="76EC4D8A"/>
    <w:rsid w:val="76FD2AF3"/>
    <w:rsid w:val="77026A79"/>
    <w:rsid w:val="77106CCA"/>
    <w:rsid w:val="774C5ED5"/>
    <w:rsid w:val="77701D9F"/>
    <w:rsid w:val="77A443EA"/>
    <w:rsid w:val="77A67875"/>
    <w:rsid w:val="77AB69F3"/>
    <w:rsid w:val="77AE3DED"/>
    <w:rsid w:val="77BC650A"/>
    <w:rsid w:val="77E617D9"/>
    <w:rsid w:val="77E83F7E"/>
    <w:rsid w:val="77EB3F6D"/>
    <w:rsid w:val="77F422F6"/>
    <w:rsid w:val="77F51D1A"/>
    <w:rsid w:val="78016613"/>
    <w:rsid w:val="78034139"/>
    <w:rsid w:val="780F4648"/>
    <w:rsid w:val="78153F22"/>
    <w:rsid w:val="78185D0E"/>
    <w:rsid w:val="7819123D"/>
    <w:rsid w:val="781D20A0"/>
    <w:rsid w:val="78355293"/>
    <w:rsid w:val="784322CA"/>
    <w:rsid w:val="784405E0"/>
    <w:rsid w:val="784629DB"/>
    <w:rsid w:val="784B3C87"/>
    <w:rsid w:val="78574485"/>
    <w:rsid w:val="785810DB"/>
    <w:rsid w:val="7863107C"/>
    <w:rsid w:val="78754EE0"/>
    <w:rsid w:val="78870772"/>
    <w:rsid w:val="788F1E71"/>
    <w:rsid w:val="789F570A"/>
    <w:rsid w:val="78AB0C6F"/>
    <w:rsid w:val="78BF02B8"/>
    <w:rsid w:val="78CA035C"/>
    <w:rsid w:val="78CB695A"/>
    <w:rsid w:val="78CC4E73"/>
    <w:rsid w:val="78CD4B60"/>
    <w:rsid w:val="78D14237"/>
    <w:rsid w:val="78D15A2C"/>
    <w:rsid w:val="78D862EF"/>
    <w:rsid w:val="78F73B3B"/>
    <w:rsid w:val="790B25F2"/>
    <w:rsid w:val="792F71B0"/>
    <w:rsid w:val="79346574"/>
    <w:rsid w:val="79420C91"/>
    <w:rsid w:val="79421B7A"/>
    <w:rsid w:val="79512C97"/>
    <w:rsid w:val="795445DD"/>
    <w:rsid w:val="795C6E7A"/>
    <w:rsid w:val="79667075"/>
    <w:rsid w:val="796E22B7"/>
    <w:rsid w:val="797057FE"/>
    <w:rsid w:val="797177C8"/>
    <w:rsid w:val="79721DEF"/>
    <w:rsid w:val="7972247C"/>
    <w:rsid w:val="79865022"/>
    <w:rsid w:val="799139C7"/>
    <w:rsid w:val="79A24C08"/>
    <w:rsid w:val="79A41FB3"/>
    <w:rsid w:val="79CB0C87"/>
    <w:rsid w:val="79D35D8D"/>
    <w:rsid w:val="79D95265"/>
    <w:rsid w:val="79E1377F"/>
    <w:rsid w:val="79E461EC"/>
    <w:rsid w:val="79EA46D7"/>
    <w:rsid w:val="79ED32F3"/>
    <w:rsid w:val="79FA69DB"/>
    <w:rsid w:val="79FE105C"/>
    <w:rsid w:val="7A044199"/>
    <w:rsid w:val="7A056BAC"/>
    <w:rsid w:val="7A2650A0"/>
    <w:rsid w:val="7A273FFC"/>
    <w:rsid w:val="7A2D1941"/>
    <w:rsid w:val="7A356A48"/>
    <w:rsid w:val="7A365447"/>
    <w:rsid w:val="7A392094"/>
    <w:rsid w:val="7A3C1B84"/>
    <w:rsid w:val="7A42348A"/>
    <w:rsid w:val="7A4F7B0A"/>
    <w:rsid w:val="7A5213A8"/>
    <w:rsid w:val="7A552C46"/>
    <w:rsid w:val="7A613399"/>
    <w:rsid w:val="7A7237F8"/>
    <w:rsid w:val="7A7C5E16"/>
    <w:rsid w:val="7A8B67CB"/>
    <w:rsid w:val="7A8D29CA"/>
    <w:rsid w:val="7AB01E15"/>
    <w:rsid w:val="7AC53928"/>
    <w:rsid w:val="7ACA775B"/>
    <w:rsid w:val="7AD75B25"/>
    <w:rsid w:val="7ADE2492"/>
    <w:rsid w:val="7AFE153B"/>
    <w:rsid w:val="7B0321EC"/>
    <w:rsid w:val="7B087CB8"/>
    <w:rsid w:val="7B0F1047"/>
    <w:rsid w:val="7B2C7E4B"/>
    <w:rsid w:val="7B3C5B05"/>
    <w:rsid w:val="7B42141C"/>
    <w:rsid w:val="7B643033"/>
    <w:rsid w:val="7B7018CD"/>
    <w:rsid w:val="7B766494"/>
    <w:rsid w:val="7BA02538"/>
    <w:rsid w:val="7BAE260E"/>
    <w:rsid w:val="7BC6204D"/>
    <w:rsid w:val="7BDF6C6B"/>
    <w:rsid w:val="7BF538C2"/>
    <w:rsid w:val="7C077F70"/>
    <w:rsid w:val="7C277A4C"/>
    <w:rsid w:val="7C3C40BE"/>
    <w:rsid w:val="7C8735B6"/>
    <w:rsid w:val="7C9A5059"/>
    <w:rsid w:val="7CA0464C"/>
    <w:rsid w:val="7CAD6922"/>
    <w:rsid w:val="7CB26E8E"/>
    <w:rsid w:val="7CB43834"/>
    <w:rsid w:val="7CB93960"/>
    <w:rsid w:val="7CD10A13"/>
    <w:rsid w:val="7CF16B4B"/>
    <w:rsid w:val="7CF95865"/>
    <w:rsid w:val="7CFD4F05"/>
    <w:rsid w:val="7D170ECC"/>
    <w:rsid w:val="7D1B3477"/>
    <w:rsid w:val="7D272678"/>
    <w:rsid w:val="7D2A660C"/>
    <w:rsid w:val="7D3E3E65"/>
    <w:rsid w:val="7D40198C"/>
    <w:rsid w:val="7D407BDD"/>
    <w:rsid w:val="7D43443F"/>
    <w:rsid w:val="7D4B73EC"/>
    <w:rsid w:val="7D556B95"/>
    <w:rsid w:val="7D656B69"/>
    <w:rsid w:val="7D681837"/>
    <w:rsid w:val="7D74313D"/>
    <w:rsid w:val="7D8F14A1"/>
    <w:rsid w:val="7D9C3E74"/>
    <w:rsid w:val="7DA22646"/>
    <w:rsid w:val="7DAF64FB"/>
    <w:rsid w:val="7DB3215D"/>
    <w:rsid w:val="7DB42244"/>
    <w:rsid w:val="7DD221BC"/>
    <w:rsid w:val="7DE06CCB"/>
    <w:rsid w:val="7DE517B0"/>
    <w:rsid w:val="7DFD162B"/>
    <w:rsid w:val="7E033378"/>
    <w:rsid w:val="7E0806FB"/>
    <w:rsid w:val="7E0D1AC7"/>
    <w:rsid w:val="7E1532BF"/>
    <w:rsid w:val="7E17017D"/>
    <w:rsid w:val="7E1F3FB4"/>
    <w:rsid w:val="7E702DC3"/>
    <w:rsid w:val="7E7222B0"/>
    <w:rsid w:val="7E7318ED"/>
    <w:rsid w:val="7E8B4E55"/>
    <w:rsid w:val="7E8E6727"/>
    <w:rsid w:val="7E97382D"/>
    <w:rsid w:val="7E9D6F49"/>
    <w:rsid w:val="7E9F0934"/>
    <w:rsid w:val="7E9F14DB"/>
    <w:rsid w:val="7EA5419C"/>
    <w:rsid w:val="7EA8188D"/>
    <w:rsid w:val="7EAD3870"/>
    <w:rsid w:val="7EBF4B32"/>
    <w:rsid w:val="7EC54A8E"/>
    <w:rsid w:val="7ED54355"/>
    <w:rsid w:val="7EEA6035"/>
    <w:rsid w:val="7F1460D6"/>
    <w:rsid w:val="7F231011"/>
    <w:rsid w:val="7F271949"/>
    <w:rsid w:val="7F301256"/>
    <w:rsid w:val="7F39023D"/>
    <w:rsid w:val="7F413799"/>
    <w:rsid w:val="7F6776A3"/>
    <w:rsid w:val="7F8C2C66"/>
    <w:rsid w:val="7F8F6BFA"/>
    <w:rsid w:val="7F932247"/>
    <w:rsid w:val="7FA41E7C"/>
    <w:rsid w:val="7FB558F5"/>
    <w:rsid w:val="7FFD204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96" w:lineRule="exact"/>
      <w:ind w:firstLine="964" w:firstLineChars="20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18"/>
    <w:qFormat/>
    <w:uiPriority w:val="0"/>
    <w:pPr>
      <w:keepNext/>
      <w:keepLines/>
      <w:autoSpaceDE/>
      <w:autoSpaceDN/>
      <w:spacing w:before="200" w:beforeLines="0" w:beforeAutospacing="0" w:after="400" w:afterLines="0" w:afterAutospacing="0" w:line="596" w:lineRule="exact"/>
      <w:ind w:firstLine="0" w:firstLineChars="0"/>
      <w:jc w:val="center"/>
      <w:outlineLvl w:val="0"/>
    </w:pPr>
    <w:rPr>
      <w:rFonts w:eastAsia="微软雅黑"/>
      <w:kern w:val="44"/>
      <w:sz w:val="36"/>
    </w:rPr>
  </w:style>
  <w:style w:type="paragraph" w:styleId="3">
    <w:name w:val="heading 2"/>
    <w:basedOn w:val="1"/>
    <w:next w:val="1"/>
    <w:link w:val="19"/>
    <w:qFormat/>
    <w:uiPriority w:val="0"/>
    <w:pPr>
      <w:keepNext/>
      <w:keepLines/>
      <w:spacing w:before="200" w:beforeLines="0" w:beforeAutospacing="0" w:after="200" w:afterLines="0" w:afterAutospacing="0" w:line="596" w:lineRule="exact"/>
      <w:ind w:firstLine="0" w:firstLineChars="0"/>
      <w:jc w:val="center"/>
      <w:outlineLvl w:val="1"/>
    </w:pPr>
    <w:rPr>
      <w:rFonts w:eastAsia="黑体"/>
    </w:rPr>
  </w:style>
  <w:style w:type="paragraph" w:styleId="4">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99"/>
    <w:pPr>
      <w:widowControl/>
      <w:spacing w:before="50" w:beforeLines="50"/>
      <w:jc w:val="left"/>
    </w:pPr>
    <w:rPr>
      <w:rFonts w:hint="eastAsia" w:ascii="宋体" w:hAnsi="Times New Roman" w:eastAsia="宋体" w:cs="Times New Roman"/>
      <w:sz w:val="24"/>
    </w:rPr>
  </w:style>
  <w:style w:type="paragraph" w:styleId="7">
    <w:name w:val="Body Text"/>
    <w:basedOn w:val="1"/>
    <w:qFormat/>
    <w:uiPriority w:val="1"/>
    <w:pPr>
      <w:ind w:left="380" w:firstLine="1120" w:firstLineChars="200"/>
    </w:pPr>
    <w:rPr>
      <w:rFonts w:ascii="仿宋" w:hAnsi="仿宋" w:eastAsia="仿宋"/>
      <w:szCs w:val="28"/>
    </w:rPr>
  </w:style>
  <w:style w:type="paragraph" w:styleId="8">
    <w:name w:val="Plain Text"/>
    <w:basedOn w:val="1"/>
    <w:qFormat/>
    <w:uiPriority w:val="0"/>
    <w:rPr>
      <w:rFonts w:ascii="仿宋_GB2312" w:hAnsi="Courier New"/>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Body Text 2"/>
    <w:basedOn w:val="1"/>
    <w:qFormat/>
    <w:uiPriority w:val="0"/>
    <w:rPr>
      <w:rFonts w:ascii="Verdana" w:hAnsi="Verdana" w:eastAsia="宋体" w:cs="Times New Roman"/>
      <w:color w:val="333333"/>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标题 1 Char"/>
    <w:link w:val="2"/>
    <w:qFormat/>
    <w:uiPriority w:val="0"/>
    <w:rPr>
      <w:rFonts w:eastAsia="微软雅黑"/>
      <w:kern w:val="44"/>
      <w:sz w:val="36"/>
    </w:rPr>
  </w:style>
  <w:style w:type="character" w:customStyle="1" w:styleId="19">
    <w:name w:val="标题 2 Char"/>
    <w:link w:val="3"/>
    <w:qFormat/>
    <w:uiPriority w:val="0"/>
    <w:rPr>
      <w:rFonts w:ascii="Times New Roman" w:hAnsi="Times New Roman" w:eastAsia="黑体"/>
      <w:sz w:val="32"/>
    </w:rPr>
  </w:style>
  <w:style w:type="paragraph" w:customStyle="1" w:styleId="20">
    <w:name w:val="正文文本 21"/>
    <w:basedOn w:val="1"/>
    <w:qFormat/>
    <w:uiPriority w:val="0"/>
    <w:pPr>
      <w:spacing w:line="500" w:lineRule="exact"/>
      <w:ind w:firstLine="964" w:firstLineChars="200"/>
    </w:pPr>
    <w:rPr>
      <w:rFonts w:cs="Times New Roman"/>
      <w:sz w:val="24"/>
    </w:rPr>
  </w:style>
  <w:style w:type="paragraph" w:customStyle="1" w:styleId="21">
    <w:name w:val="WPSOffice手动目录 1"/>
    <w:qFormat/>
    <w:uiPriority w:val="0"/>
    <w:rPr>
      <w:rFonts w:ascii="Times New Roman" w:hAnsi="Times New Roman" w:eastAsia="宋体" w:cs="Times New Roman"/>
      <w:lang w:val="en-US" w:eastAsia="zh-CN" w:bidi="ar-SA"/>
    </w:rPr>
  </w:style>
  <w:style w:type="paragraph" w:customStyle="1" w:styleId="22">
    <w:name w:val="WPSOffice手动目录 2"/>
    <w:qFormat/>
    <w:uiPriority w:val="0"/>
    <w:pPr>
      <w:ind w:leftChars="200"/>
    </w:pPr>
    <w:rPr>
      <w:rFonts w:ascii="Times New Roman" w:hAnsi="Times New Roman" w:eastAsia="宋体" w:cs="Times New Roman"/>
      <w:lang w:val="en-US" w:eastAsia="zh-CN" w:bidi="ar-SA"/>
    </w:rPr>
  </w:style>
  <w:style w:type="paragraph" w:customStyle="1" w:styleId="23">
    <w:name w:val="条题"/>
    <w:basedOn w:val="1"/>
    <w:qFormat/>
    <w:uiPriority w:val="0"/>
    <w:pPr>
      <w:numPr>
        <w:ilvl w:val="0"/>
        <w:numId w:val="1"/>
      </w:numPr>
      <w:spacing w:line="596" w:lineRule="exact"/>
      <w:ind w:firstLine="0" w:firstLineChars="0"/>
    </w:pPr>
    <w:rPr>
      <w:rFonts w:eastAsia="楷体" w:cs="楷体"/>
      <w:caps/>
      <w:kern w:val="0"/>
      <w:szCs w:val="32"/>
      <w:lang w:val="zh-CN"/>
    </w:rPr>
  </w:style>
  <w:style w:type="table" w:customStyle="1" w:styleId="24">
    <w:name w:val="网格型浅色1"/>
    <w:basedOn w:val="15"/>
    <w:qFormat/>
    <w:uiPriority w:val="40"/>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style>
  <w:style w:type="paragraph" w:customStyle="1" w:styleId="25">
    <w:name w:val="附录表标题"/>
    <w:next w:val="26"/>
    <w:link w:val="27"/>
    <w:qFormat/>
    <w:uiPriority w:val="0"/>
    <w:pPr>
      <w:numPr>
        <w:ilvl w:val="0"/>
        <w:numId w:val="0"/>
      </w:numPr>
      <w:spacing w:line="596" w:lineRule="exact"/>
      <w:jc w:val="center"/>
      <w:textAlignment w:val="baseline"/>
    </w:pPr>
    <w:rPr>
      <w:rFonts w:ascii="Times New Roman" w:hAnsi="Times New Roman" w:eastAsia="仿宋_GB2312" w:cs="Times New Roman"/>
      <w:b/>
      <w:kern w:val="21"/>
      <w:sz w:val="24"/>
      <w:lang w:val="en-US" w:eastAsia="zh-CN" w:bidi="ar-SA"/>
    </w:rPr>
  </w:style>
  <w:style w:type="paragraph" w:customStyle="1" w:styleId="26">
    <w:name w:val="表格正文"/>
    <w:qFormat/>
    <w:uiPriority w:val="0"/>
    <w:pPr>
      <w:autoSpaceDE/>
      <w:autoSpaceDN/>
      <w:ind w:firstLine="0" w:firstLineChars="0"/>
      <w:jc w:val="both"/>
    </w:pPr>
    <w:rPr>
      <w:rFonts w:ascii="Times New Roman" w:hAnsi="Times New Roman" w:eastAsia="仿宋_GB2312" w:cs="Times New Roman"/>
      <w:sz w:val="21"/>
      <w:lang w:val="en-US" w:eastAsia="zh-CN" w:bidi="ar-SA"/>
    </w:rPr>
  </w:style>
  <w:style w:type="character" w:customStyle="1" w:styleId="27">
    <w:name w:val="附录表标题 Char"/>
    <w:link w:val="25"/>
    <w:uiPriority w:val="0"/>
    <w:rPr>
      <w:rFonts w:ascii="Times New Roman" w:hAnsi="Times New Roman" w:eastAsia="仿宋_GB2312"/>
      <w:b/>
      <w:kern w:val="21"/>
      <w:sz w:val="24"/>
      <w:lang w:val="en-US" w:eastAsia="zh-CN" w:bidi="ar-SA"/>
    </w:rPr>
  </w:style>
  <w:style w:type="table" w:customStyle="1" w:styleId="28">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29">
    <w:name w:val="Default"/>
    <w:unhideWhenUsed/>
    <w:uiPriority w:val="99"/>
    <w:pPr>
      <w:widowControl w:val="0"/>
      <w:autoSpaceDE w:val="0"/>
      <w:autoSpaceDN w:val="0"/>
      <w:adjustRightInd w:val="0"/>
    </w:pPr>
    <w:rPr>
      <w:rFonts w:hint="eastAsia" w:ascii="仿宋_x0006_" w:hAnsi="仿宋_x0006_" w:eastAsia="仿宋_x0006_" w:cs="Times New Roman"/>
      <w:color w:val="000000"/>
      <w:sz w:val="24"/>
      <w:szCs w:val="24"/>
      <w:lang w:val="en-US" w:eastAsia="zh-CN" w:bidi="ar-SA"/>
    </w:rPr>
  </w:style>
  <w:style w:type="character" w:customStyle="1" w:styleId="30">
    <w:name w:val="font11"/>
    <w:qFormat/>
    <w:uiPriority w:val="0"/>
    <w:rPr>
      <w:rFonts w:hint="eastAsia" w:ascii="仿宋" w:hAnsi="仿宋" w:eastAsia="仿宋" w:cs="仿宋"/>
      <w:color w:val="000000"/>
      <w:sz w:val="24"/>
      <w:szCs w:val="24"/>
      <w:u w:val="none"/>
    </w:rPr>
  </w:style>
  <w:style w:type="character" w:customStyle="1" w:styleId="31">
    <w:name w:val="font21"/>
    <w:qFormat/>
    <w:uiPriority w:val="0"/>
    <w:rPr>
      <w:rFonts w:hint="eastAsia" w:ascii="仿宋" w:hAnsi="仿宋" w:eastAsia="仿宋" w:cs="仿宋"/>
      <w:color w:val="000000"/>
      <w:sz w:val="24"/>
      <w:szCs w:val="24"/>
      <w:u w:val="none"/>
    </w:rPr>
  </w:style>
  <w:style w:type="paragraph" w:customStyle="1" w:styleId="32">
    <w:name w:val="Table Paragraph"/>
    <w:basedOn w:val="1"/>
    <w:qFormat/>
    <w:uiPriority w:val="1"/>
    <w:pPr>
      <w:spacing w:before="1"/>
      <w:jc w:val="center"/>
    </w:pPr>
    <w:rPr>
      <w:rFonts w:ascii="幼圆" w:hAnsi="幼圆" w:eastAsia="幼圆" w:cs="幼圆"/>
      <w:lang w:val="zh-CN" w:eastAsia="zh-CN" w:bidi="zh-CN"/>
    </w:rPr>
  </w:style>
  <w:style w:type="paragraph" w:customStyle="1" w:styleId="33">
    <w:name w:val="样式4"/>
    <w:basedOn w:val="5"/>
    <w:qFormat/>
    <w:uiPriority w:val="0"/>
    <w:pPr>
      <w:adjustRightInd w:val="0"/>
      <w:spacing w:before="156" w:beforeLines="50" w:after="156" w:afterLines="50" w:line="300" w:lineRule="auto"/>
      <w:jc w:val="left"/>
      <w:textAlignment w:val="baseline"/>
    </w:pPr>
    <w:rPr>
      <w:rFonts w:ascii="Times New Roman" w:hAnsi="Times New Roman" w:eastAsia="宋体"/>
      <w:kern w:val="0"/>
      <w:sz w:val="30"/>
    </w:rPr>
  </w:style>
  <w:style w:type="paragraph" w:styleId="34">
    <w:name w:val="List Paragraph"/>
    <w:basedOn w:val="1"/>
    <w:qFormat/>
    <w:uiPriority w:val="34"/>
    <w:pPr>
      <w:ind w:firstLine="420" w:firstLineChars="200"/>
    </w:pPr>
  </w:style>
  <w:style w:type="character" w:customStyle="1" w:styleId="35">
    <w:name w:val="font31"/>
    <w:basedOn w:val="17"/>
    <w:qFormat/>
    <w:uiPriority w:val="0"/>
    <w:rPr>
      <w:rFonts w:hint="eastAsia" w:ascii="宋体" w:hAnsi="宋体" w:eastAsia="宋体" w:cs="宋体"/>
      <w:color w:val="000000"/>
      <w:sz w:val="21"/>
      <w:szCs w:val="21"/>
      <w:u w:val="none"/>
    </w:rPr>
  </w:style>
  <w:style w:type="character" w:customStyle="1" w:styleId="36">
    <w:name w:val="font41"/>
    <w:basedOn w:val="17"/>
    <w:qFormat/>
    <w:uiPriority w:val="0"/>
    <w:rPr>
      <w:rFonts w:hint="eastAsia" w:ascii="仿宋_GB2312" w:eastAsia="仿宋_GB2312" w:cs="仿宋_GB2312"/>
      <w:color w:val="000000"/>
      <w:sz w:val="21"/>
      <w:szCs w:val="21"/>
      <w:u w:val="none"/>
    </w:rPr>
  </w:style>
  <w:style w:type="character" w:customStyle="1" w:styleId="37">
    <w:name w:val="font51"/>
    <w:basedOn w:val="17"/>
    <w:qFormat/>
    <w:uiPriority w:val="0"/>
    <w:rPr>
      <w:rFonts w:hint="default" w:ascii="Times New Roman" w:hAnsi="Times New Roman" w:cs="Times New Roman"/>
      <w:color w:val="000000"/>
      <w:sz w:val="21"/>
      <w:szCs w:val="21"/>
      <w:u w:val="none"/>
    </w:rPr>
  </w:style>
  <w:style w:type="character" w:customStyle="1" w:styleId="38">
    <w:name w:val="font61"/>
    <w:basedOn w:val="17"/>
    <w:uiPriority w:val="0"/>
    <w:rPr>
      <w:rFonts w:ascii="Calibri" w:hAnsi="Calibri" w:cs="Calibri"/>
      <w:color w:val="000000"/>
      <w:sz w:val="21"/>
      <w:szCs w:val="21"/>
      <w:u w:val="none"/>
    </w:rPr>
  </w:style>
  <w:style w:type="paragraph" w:customStyle="1" w:styleId="39">
    <w:name w:val="标题-专栏"/>
    <w:basedOn w:val="1"/>
    <w:qFormat/>
    <w:uiPriority w:val="0"/>
    <w:pPr>
      <w:keepNext/>
      <w:spacing w:line="240" w:lineRule="auto"/>
      <w:ind w:firstLine="0"/>
      <w:contextualSpacing/>
      <w:jc w:val="center"/>
    </w:pPr>
    <w:rPr>
      <w:rFonts w:eastAsia="仿宋_GB2312"/>
      <w:b/>
      <w:bCs/>
      <w:kern w:val="0"/>
      <w:sz w:val="28"/>
      <w:szCs w:val="22"/>
    </w:rPr>
  </w:style>
  <w:style w:type="paragraph" w:customStyle="1" w:styleId="40">
    <w:name w:val="表格标题栏"/>
    <w:basedOn w:val="26"/>
    <w:qFormat/>
    <w:uiPriority w:val="0"/>
    <w:pPr>
      <w:spacing w:line="400" w:lineRule="exact"/>
    </w:pPr>
    <w:rPr>
      <w:sz w:val="28"/>
    </w:rPr>
  </w:style>
  <w:style w:type="paragraph" w:customStyle="1" w:styleId="41">
    <w:name w:val="专栏正文"/>
    <w:basedOn w:val="26"/>
    <w:qFormat/>
    <w:uiPriority w:val="0"/>
    <w:pPr>
      <w:spacing w:line="596" w:lineRule="exact"/>
      <w:ind w:firstLine="200"/>
    </w:pPr>
  </w:style>
  <w:style w:type="paragraph" w:customStyle="1" w:styleId="42">
    <w:name w:val="A-正文"/>
    <w:basedOn w:val="1"/>
    <w:qFormat/>
    <w:uiPriority w:val="0"/>
    <w:pPr>
      <w:spacing w:line="596" w:lineRule="exact"/>
      <w:ind w:firstLine="641"/>
    </w:pPr>
    <w:rPr>
      <w:rFonts w:eastAsia="仿宋_GB2312"/>
      <w:sz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113</Pages>
  <Words>596</Words>
  <Characters>647</Characters>
  <Lines>581</Lines>
  <Paragraphs>163</Paragraphs>
  <TotalTime>10</TotalTime>
  <ScaleCrop>false</ScaleCrop>
  <LinksUpToDate>false</LinksUpToDate>
  <CharactersWithSpaces>739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海深不蓝</cp:lastModifiedBy>
  <cp:lastPrinted>2023-08-01T17:02:00Z</cp:lastPrinted>
  <dcterms:modified xsi:type="dcterms:W3CDTF">2026-02-09T02:39:13Z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0AA6E1297FD242FE9E4A60DBE49B2046_13</vt:lpwstr>
  </property>
  <property fmtid="{D5CDD505-2E9C-101B-9397-08002B2CF9AE}" pid="4" name="KSOTemplateDocerSaveRecord">
    <vt:lpwstr>eyJoZGlkIjoiZjQ3NTIwZWNkZDgwYzY1NGU4Yjc1ZThmNDNjMmRlYTciLCJ1c2VySWQiOiIxMTQ4ODU1MDQyIn0=</vt:lpwstr>
  </property>
</Properties>
</file>