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325C2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2026年是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开局之年</w:t>
      </w:r>
      <w:r>
        <w:rPr>
          <w:rFonts w:hint="eastAsia" w:ascii="Times New Roman" w:hAnsi="Times New Roman" w:eastAsia="仿宋_GB2312"/>
          <w:sz w:val="32"/>
          <w:lang w:eastAsia="zh-CN"/>
        </w:rPr>
        <w:t>。</w:t>
      </w:r>
      <w:r>
        <w:rPr>
          <w:rFonts w:hint="eastAsia" w:ascii="Times New Roman" w:hAnsi="Times New Roman" w:eastAsia="仿宋_GB2312"/>
          <w:sz w:val="32"/>
        </w:rPr>
        <w:t>为加快</w:t>
      </w:r>
      <w:r>
        <w:rPr>
          <w:rFonts w:hint="eastAsia" w:ascii="Times New Roman" w:hAnsi="Times New Roman" w:eastAsia="仿宋_GB2312"/>
          <w:sz w:val="32"/>
          <w:lang w:eastAsia="zh-CN"/>
        </w:rPr>
        <w:t>推动</w:t>
      </w:r>
      <w:r>
        <w:rPr>
          <w:rFonts w:hint="eastAsia" w:ascii="Times New Roman" w:hAnsi="Times New Roman" w:eastAsia="仿宋_GB2312"/>
          <w:sz w:val="32"/>
        </w:rPr>
        <w:t>县委、县政府重大决策部署落地</w:t>
      </w:r>
      <w:r>
        <w:rPr>
          <w:rFonts w:hint="eastAsia" w:ascii="Times New Roman" w:hAnsi="Times New Roman" w:eastAsia="仿宋_GB2312"/>
          <w:sz w:val="32"/>
          <w:lang w:eastAsia="zh-CN"/>
        </w:rPr>
        <w:t>见效</w:t>
      </w:r>
      <w:r>
        <w:rPr>
          <w:rFonts w:hint="eastAsia" w:ascii="Times New Roman" w:hAnsi="Times New Roman" w:eastAsia="仿宋_GB2312"/>
          <w:sz w:val="32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切实提升财政资源配置效率和使用效益</w:t>
      </w:r>
      <w:r>
        <w:rPr>
          <w:rFonts w:hint="eastAsia" w:ascii="Times New Roman" w:hAnsi="Times New Roman" w:eastAsia="仿宋_GB2312"/>
          <w:sz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</w:rPr>
        <w:t>我县将全县</w:t>
      </w:r>
      <w:r>
        <w:rPr>
          <w:rFonts w:hint="eastAsia" w:ascii="Times New Roman" w:hAnsi="Times New Roman" w:eastAsia="仿宋_GB2312"/>
          <w:sz w:val="32"/>
          <w:lang w:val="en-US" w:eastAsia="zh-CN"/>
        </w:rPr>
        <w:t>74</w:t>
      </w:r>
      <w:r>
        <w:rPr>
          <w:rFonts w:hint="eastAsia" w:ascii="Times New Roman" w:hAnsi="Times New Roman" w:eastAsia="仿宋_GB2312"/>
          <w:sz w:val="32"/>
        </w:rPr>
        <w:t>家县直部门和乡镇（办事处）的预算项目全部纳入绩效目标管理，并要求随部门预算同步公开。</w:t>
      </w:r>
      <w:r>
        <w:rPr>
          <w:rFonts w:hint="eastAsia" w:ascii="Times New Roman" w:hAnsi="Times New Roman" w:eastAsia="仿宋_GB2312"/>
          <w:sz w:val="32"/>
          <w:lang w:eastAsia="zh-CN"/>
        </w:rPr>
        <w:t>按照建立全方位、全过程、全覆盖的预算绩效管理要求，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武陟县财政局持续强化预算绩效管理，不断前移预算管理关口，着力优化绩效指标设置体系，规范绩效目标编制流程，健全事前评估、事中监控、事后评价有机衔接的闭环管理机制，纵深</w:t>
      </w:r>
      <w:r>
        <w:rPr>
          <w:rFonts w:hint="eastAsia" w:ascii="Times New Roman" w:hAnsi="Times New Roman" w:eastAsia="仿宋_GB2312"/>
          <w:sz w:val="32"/>
        </w:rPr>
        <w:t>推进预算和绩效管理深度融合，</w:t>
      </w:r>
      <w:r>
        <w:rPr>
          <w:rFonts w:hint="eastAsia" w:ascii="Times New Roman" w:hAnsi="Times New Roman" w:eastAsia="仿宋_GB2312"/>
          <w:sz w:val="32"/>
          <w:lang w:eastAsia="zh-CN"/>
        </w:rPr>
        <w:t>做到</w:t>
      </w:r>
      <w:r>
        <w:rPr>
          <w:rFonts w:hint="eastAsia" w:ascii="Times New Roman" w:hAnsi="Times New Roman" w:eastAsia="仿宋_GB2312"/>
          <w:sz w:val="32"/>
        </w:rPr>
        <w:t>花钱必问效</w:t>
      </w:r>
      <w:r>
        <w:rPr>
          <w:rFonts w:hint="eastAsia" w:ascii="Times New Roman" w:hAnsi="Times New Roman" w:eastAsia="仿宋_GB2312"/>
          <w:sz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</w:rPr>
        <w:t>无效必问责</w:t>
      </w:r>
      <w:r>
        <w:rPr>
          <w:rFonts w:hint="eastAsia" w:ascii="Times New Roman" w:hAnsi="Times New Roman" w:eastAsia="仿宋_GB2312"/>
          <w:sz w:val="32"/>
          <w:lang w:eastAsia="zh-CN"/>
        </w:rPr>
        <w:t>。</w:t>
      </w:r>
    </w:p>
    <w:p w14:paraId="6C37F77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sz w:val="32"/>
        </w:rPr>
        <w:t>2026年，围绕</w:t>
      </w:r>
      <w:r>
        <w:rPr>
          <w:rFonts w:hint="eastAsia" w:ascii="Times New Roman" w:hAnsi="Times New Roman" w:eastAsia="仿宋_GB2312"/>
          <w:sz w:val="32"/>
          <w:lang w:eastAsia="zh-CN"/>
        </w:rPr>
        <w:t>县</w:t>
      </w:r>
      <w:r>
        <w:rPr>
          <w:rFonts w:hint="eastAsia" w:ascii="Times New Roman" w:hAnsi="Times New Roman" w:eastAsia="仿宋_GB2312"/>
          <w:sz w:val="32"/>
        </w:rPr>
        <w:t>委、</w:t>
      </w:r>
      <w:r>
        <w:rPr>
          <w:rFonts w:hint="eastAsia" w:ascii="Times New Roman" w:hAnsi="Times New Roman" w:eastAsia="仿宋_GB2312"/>
          <w:sz w:val="32"/>
          <w:lang w:eastAsia="zh-CN"/>
        </w:rPr>
        <w:t>县</w:t>
      </w:r>
      <w:r>
        <w:rPr>
          <w:rFonts w:hint="eastAsia" w:ascii="Times New Roman" w:hAnsi="Times New Roman" w:eastAsia="仿宋_GB2312"/>
          <w:sz w:val="32"/>
        </w:rPr>
        <w:t>政府工作部署安排，现对重大政策和重点项目的绩效目标予以公开，</w:t>
      </w:r>
      <w:r>
        <w:rPr>
          <w:rFonts w:hint="eastAsia" w:ascii="Times New Roman" w:hAnsi="Times New Roman" w:eastAsia="仿宋_GB2312"/>
          <w:sz w:val="32"/>
          <w:lang w:eastAsia="zh-CN"/>
        </w:rPr>
        <w:t>具体</w:t>
      </w:r>
      <w:r>
        <w:rPr>
          <w:rFonts w:hint="eastAsia" w:ascii="Times New Roman" w:hAnsi="Times New Roman" w:eastAsia="仿宋_GB2312"/>
          <w:sz w:val="32"/>
        </w:rPr>
        <w:t>项目分别为：</w:t>
      </w:r>
    </w:p>
    <w:p w14:paraId="6130A38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1.城乡居民基本养老保险基础养老金及特殊群体人员补贴</w:t>
      </w:r>
    </w:p>
    <w:p w14:paraId="583C908A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2.基本公共卫生服务</w:t>
      </w:r>
    </w:p>
    <w:p w14:paraId="2809FB32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3.高龄津贴</w:t>
      </w:r>
    </w:p>
    <w:p w14:paraId="6D2F9CC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</w:rPr>
        <w:t>.中央财政农村危房改造补助资金</w:t>
      </w:r>
    </w:p>
    <w:p w14:paraId="1C56112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</w:rPr>
        <w:t>.中职生均公用经费</w:t>
      </w:r>
      <w:bookmarkStart w:id="0" w:name="_GoBack"/>
      <w:bookmarkEnd w:id="0"/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4684F"/>
    <w:rsid w:val="0704684F"/>
    <w:rsid w:val="198B1D56"/>
    <w:rsid w:val="53673B77"/>
    <w:rsid w:val="67DC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  <w:rPr>
      <w:rFonts w:ascii="Times New Roman" w:hAnsi="Times New Roman" w:eastAsia="仿宋" w:cs="Times New Roman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tabs>
        <w:tab w:val="left" w:pos="2250"/>
      </w:tabs>
      <w:spacing w:line="560" w:lineRule="exact"/>
      <w:ind w:firstLine="880" w:firstLineChars="200"/>
      <w:jc w:val="left"/>
    </w:pPr>
    <w:rPr>
      <w:rFonts w:ascii="Times New Roman" w:hAnsi="Times New Roman" w:eastAsia="仿宋_GB2312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32c016b9-9866-4818-a5c2-e0f2a2eb4fa9</errorID>
      <errorWord>预算和绩效管理</errorWord>
      <group>L1_Political</group>
      <groupName>政治性问题</groupName>
      <ability>L2_Keyword</ability>
      <abilityName>固定表述</abilityName>
      <candidateList>
        <item>预算绩效管理</item>
      </candidateList>
      <explain>词汇“预算绩效管理”在特定场景下为固定表述形式，请确认此处的“预算和绩效管理”是否存在不当。</explain>
      <paraID>68E325C2</paraID>
      <start>214</start>
      <end>221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ab803bb-e759-413a-864f-ed027eb729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2026-06-24T10:24:00Z</dcterms:created>
  <dc:creator>★Sungjae</dc:creator>
  <cp:lastModifiedBy>★Sungjae</cp:lastModifiedBy>
  <dcterms:modified xsi:type="dcterms:W3CDTF">2026-06-25T08:22:58Z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557B1E94E4E945B69BC9F53850AE1395_11</vt:lpwstr>
  </property>
  <property fmtid="{D5CDD505-2E9C-101B-9397-08002B2CF9AE}" pid="4" name="KSOTemplateDocerSaveRecord">
    <vt:lpwstr>eyJoZGlkIjoiOGFiOTFlYWY4MWYwY2VkYjAwZTM2ODMyOGQwZGFjMjIiLCJ1c2VySWQiOiIyNjUzODA1MjgifQ==</vt:lpwstr>
  </property>
</Properties>
</file>