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outlineLvl w:val="0"/>
        <w:rPr>
          <w:rFonts w:hint="eastAsia" w:ascii="华文中宋" w:hAnsi="华文中宋" w:eastAsia="华文中宋"/>
          <w:b/>
          <w:sz w:val="36"/>
          <w:szCs w:val="36"/>
        </w:rPr>
      </w:pPr>
      <w:r>
        <w:rPr>
          <w:rFonts w:hint="eastAsia" w:ascii="方正小标宋简体" w:hAnsi="方正小标宋简体" w:eastAsia="方正小标宋简体" w:cs="方正小标宋简体"/>
          <w:b w:val="0"/>
          <w:bCs/>
          <w:sz w:val="44"/>
          <w:szCs w:val="44"/>
        </w:rPr>
        <w:t>花生精准调控生产技术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rPr>
          <w:rFonts w:ascii="仿宋_GB2312" w:hAnsi="仿宋_GB2312" w:eastAsia="仿宋_GB2312" w:cstheme="minorBidi"/>
          <w:b w:val="0"/>
          <w:spacing w:val="15"/>
          <w:kern w:val="2"/>
          <w:sz w:val="32"/>
          <w:szCs w:val="32"/>
          <w:shd w:val="clear" w:color="auto" w:fill="FFFFFF"/>
          <w:lang w:val="en-US" w:eastAsia="zh-CN" w:bidi="ar-SA"/>
        </w:rPr>
      </w:pPr>
      <w:r>
        <w:rPr>
          <w:rFonts w:hint="eastAsia" w:ascii="Times New Roman" w:hAnsi="Times New Roman" w:eastAsia="黑体"/>
          <w:bCs/>
          <w:color w:val="auto"/>
          <w:sz w:val="32"/>
          <w:szCs w:val="32"/>
        </w:rPr>
        <w:t>摘要：</w:t>
      </w:r>
      <w:r>
        <w:rPr>
          <w:rFonts w:hint="eastAsia" w:ascii="仿宋_GB2312" w:hAnsi="仿宋_GB2312" w:eastAsia="仿宋_GB2312" w:cstheme="minorBidi"/>
          <w:b w:val="0"/>
          <w:spacing w:val="15"/>
          <w:kern w:val="2"/>
          <w:sz w:val="32"/>
          <w:szCs w:val="32"/>
          <w:shd w:val="clear" w:color="auto" w:fill="FFFFFF"/>
          <w:lang w:val="en-US" w:eastAsia="zh-CN" w:bidi="ar-SA"/>
        </w:rPr>
        <w:t>针对花生种植农药化肥过量使用、管理标准化水平低、单产有待进一步提高等问题，本技术采用包括品种选择、种子处理、机械精播、科学施肥、生理调控、病虫害绿色防控等一系列全苗、壮根、促花、控旺、防衰措施，实现了大面积单产水平提升和标准化管理水平提高。三年来，在河南、山东、河北、辽宁、广西等花生产区示范推广300万亩左右，较常规管理平均增产10.1%，亩节本增效200元以上，实现了产量、效益的同步提升。</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outlineLvl w:val="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adjustRightInd/>
        <w:snapToGrid w:val="0"/>
        <w:spacing w:line="600" w:lineRule="exact"/>
        <w:ind w:firstLine="642" w:firstLineChars="200"/>
        <w:outlineLvl w:val="1"/>
        <w:rPr>
          <w:rFonts w:hint="eastAsia" w:ascii="楷体_GB2312" w:hAnsi="楷体_GB2312" w:eastAsia="楷体_GB2312" w:cs="楷体_GB2312"/>
          <w:b w:val="0"/>
          <w:bCs/>
          <w:color w:val="000000" w:themeColor="text1"/>
          <w:sz w:val="32"/>
          <w:szCs w:val="32"/>
          <w14:textFill>
            <w14:solidFill>
              <w14:schemeClr w14:val="tx1"/>
            </w14:solidFill>
          </w14:textFill>
        </w:rPr>
      </w:pPr>
      <w:r>
        <w:rPr>
          <w:rFonts w:hint="eastAsia" w:ascii="楷体_GB2312" w:hAnsi="楷体_GB2312" w:eastAsia="楷体_GB2312" w:cs="楷体_GB2312"/>
          <w:b/>
          <w:bCs w:val="0"/>
          <w:color w:val="000000" w:themeColor="text1"/>
          <w:sz w:val="32"/>
          <w:szCs w:val="32"/>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我国是食用植物油非常短缺的国家，自给率在30%左右，对外依存度高达70%，油料安全供应存在较大风险。习近平总书记非常关心油料生产，2022年3月6日在看望参加全国政协十三届五次会议的农业界、社会福利和社会保障界委员时强调，要优化布局，稳口粮、稳玉米、扩大豆、扩油料，确保中国人的饭碗主要装中国粮；2022年12月23日在中央农村工作会议上再次强调，在保障粮食安全的同时，必须保证其他重要农产品稳定安全供给，特别是抓好大豆和油料生产。切实提高油料产能是当前和今后一个时期我国农业生产发展的重点任务之一。</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花生是我国重要的食用油来源，多年来，在部分（约52%）用于榨油的情况下，花生油产量始终仅次于菜籽油，是国产植物油的第二大来源，而且占比稳定提高。因此，扩大花生生产对于保障我国食用植物油供给安全具有重要意义。</w:t>
      </w:r>
    </w:p>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rPr>
          <w:rFonts w:hint="eastAsia" w:ascii="仿宋" w:hAnsi="仿宋" w:eastAsia="仿宋" w:cs="仿宋"/>
          <w:b w:val="0"/>
          <w:bCs/>
          <w:color w:val="000000" w:themeColor="text1"/>
          <w:sz w:val="32"/>
          <w:szCs w:val="32"/>
          <w:lang w:eastAsia="zh-CN"/>
          <w14:textFill>
            <w14:solidFill>
              <w14:schemeClr w14:val="tx1"/>
            </w14:solidFill>
          </w14:textFill>
        </w:rPr>
      </w:pPr>
      <w:r>
        <w:rPr>
          <w:sz w:val="28"/>
        </w:rPr>
        <mc:AlternateContent>
          <mc:Choice Requires="wps">
            <w:drawing>
              <wp:anchor distT="0" distB="0" distL="114300" distR="114300" simplePos="0" relativeHeight="251662336" behindDoc="0" locked="0" layoutInCell="1" allowOverlap="1">
                <wp:simplePos x="0" y="0"/>
                <wp:positionH relativeFrom="column">
                  <wp:posOffset>851535</wp:posOffset>
                </wp:positionH>
                <wp:positionV relativeFrom="paragraph">
                  <wp:posOffset>6348730</wp:posOffset>
                </wp:positionV>
                <wp:extent cx="3717925" cy="481330"/>
                <wp:effectExtent l="0" t="0" r="0" b="0"/>
                <wp:wrapNone/>
                <wp:docPr id="4" name="文本框 4"/>
                <wp:cNvGraphicFramePr/>
                <a:graphic xmlns:a="http://schemas.openxmlformats.org/drawingml/2006/main">
                  <a:graphicData uri="http://schemas.microsoft.com/office/word/2010/wordprocessingShape">
                    <wps:wsp>
                      <wps:cNvSpPr txBox="true"/>
                      <wps:spPr>
                        <a:xfrm>
                          <a:off x="2054860" y="9876790"/>
                          <a:ext cx="3717925" cy="4813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jc w:val="cente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图</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 采用精准调控技术后根系发达</w:t>
                            </w:r>
                          </w:p>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67.05pt;margin-top:499.9pt;height:37.9pt;width:292.75pt;z-index:251662336;mso-width-relative:page;mso-height-relative:page;" filled="f" stroked="f" coordsize="21600,21600" o:gfxdata="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FgAAAGRycy9QSwECFAAUAAAACACHTuJAzuwuKdwAAAAMAQAADwAAAAAA&#10;AAABACAAAAA4AAAAZHJzL2Rvd25yZXYueG1sUEsBAhQAFAAAAAgAh07iQCnVu0oyAgAANgQAAA4A&#10;AAAAAAAAAQAgAAAAQQEAAGRycy9lMm9Eb2MueG1sUEsFBgAAAAAGAAYAWQEAAOUF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jc w:val="cente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图</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 采用精准调控技术后根系发达</w:t>
                      </w:r>
                    </w:p>
                    <w:p/>
                  </w:txbxContent>
                </v:textbox>
              </v:shape>
            </w:pict>
          </mc:Fallback>
        </mc:AlternateContent>
      </w:r>
      <w:r>
        <w:rPr>
          <w:rFonts w:hint="eastAsia" w:ascii="楷体" w:hAnsi="楷体" w:eastAsia="仿宋" w:cs="楷体"/>
          <w:b w:val="0"/>
          <w:bCs/>
          <w:color w:val="000000" w:themeColor="text1"/>
          <w:sz w:val="28"/>
          <w:szCs w:val="28"/>
          <w:lang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460375</wp:posOffset>
            </wp:positionH>
            <wp:positionV relativeFrom="paragraph">
              <wp:posOffset>3436620</wp:posOffset>
            </wp:positionV>
            <wp:extent cx="4538980" cy="3026410"/>
            <wp:effectExtent l="0" t="0" r="13970" b="2540"/>
            <wp:wrapTopAndBottom/>
            <wp:docPr id="1" name="图片 2" descr="微信图片_2022111710003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 descr="微信图片_20221117100033"/>
                    <pic:cNvPicPr>
                      <a:picLocks noChangeAspect="true"/>
                    </pic:cNvPicPr>
                  </pic:nvPicPr>
                  <pic:blipFill>
                    <a:blip r:embed="rId5"/>
                    <a:stretch>
                      <a:fillRect/>
                    </a:stretch>
                  </pic:blipFill>
                  <pic:spPr>
                    <a:xfrm>
                      <a:off x="0" y="0"/>
                      <a:ext cx="4538980" cy="3026410"/>
                    </a:xfrm>
                    <a:prstGeom prst="rect">
                      <a:avLst/>
                    </a:prstGeom>
                  </pic:spPr>
                </pic:pic>
              </a:graphicData>
            </a:graphic>
          </wp:anchor>
        </w:drawing>
      </w:r>
      <w:r>
        <w:rPr>
          <w:rFonts w:hint="eastAsia" w:ascii="仿宋_GB2312" w:hAnsi="仿宋_GB2312" w:eastAsia="仿宋_GB2312" w:cstheme="minorBidi"/>
          <w:b w:val="0"/>
          <w:spacing w:val="15"/>
          <w:kern w:val="2"/>
          <w:sz w:val="32"/>
          <w:szCs w:val="32"/>
          <w:shd w:val="clear" w:color="auto" w:fill="FFFFFF"/>
          <w:lang w:val="en-US" w:eastAsia="zh-CN" w:bidi="ar-SA"/>
        </w:rPr>
        <w:t>花生精准调控生产技术是河南农科院张新友院士团队最新研究集成的一项大面积单产提升技术，是指根据花生生长发育规律及地域生态特点，通过采用耕作、栽培、水肥、调理剂等综合措施，合理调节花生地下和地上、营养和生殖生长，达到一播全苗、根系发达（图1）、花多果多、植株健壮、活秆成熟、荚果饱满（图2）、提早成熟（图3）的效果，从而提高产量、稳定品质。花生精准调控管理专家系统已获得软件著作权，申报的专利正在公示中。</w:t>
      </w:r>
    </w:p>
    <w:p>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rPr>
          <w:rFonts w:hint="eastAsia" w:ascii="楷体" w:hAnsi="楷体" w:eastAsia="仿宋" w:cs="楷体"/>
          <w:b w:val="0"/>
          <w:bCs/>
          <w:color w:val="000000" w:themeColor="text1"/>
          <w:sz w:val="28"/>
          <w:szCs w:val="28"/>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00" w:lineRule="exact"/>
        <w:jc w:val="cente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default" w:ascii="楷体" w:hAnsi="楷体" w:eastAsia="仿宋" w:cs="楷体"/>
          <w:b w:val="0"/>
          <w:bCs/>
          <w:color w:val="000000" w:themeColor="text1"/>
          <w:sz w:val="24"/>
          <w:szCs w:val="24"/>
          <w:lang w:val="en-US"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434975</wp:posOffset>
            </wp:positionH>
            <wp:positionV relativeFrom="paragraph">
              <wp:posOffset>41910</wp:posOffset>
            </wp:positionV>
            <wp:extent cx="4530090" cy="3020060"/>
            <wp:effectExtent l="0" t="0" r="3810" b="8890"/>
            <wp:wrapTopAndBottom/>
            <wp:docPr id="2" name="图片 3" descr="微信图片_2022111710005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3" descr="微信图片_20221117100054"/>
                    <pic:cNvPicPr>
                      <a:picLocks noChangeAspect="true"/>
                    </pic:cNvPicPr>
                  </pic:nvPicPr>
                  <pic:blipFill>
                    <a:blip r:embed="rId6"/>
                    <a:stretch>
                      <a:fillRect/>
                    </a:stretch>
                  </pic:blipFill>
                  <pic:spPr>
                    <a:xfrm>
                      <a:off x="0" y="0"/>
                      <a:ext cx="4530090" cy="3020060"/>
                    </a:xfrm>
                    <a:prstGeom prst="rect">
                      <a:avLst/>
                    </a:prstGeom>
                  </pic:spPr>
                </pic:pic>
              </a:graphicData>
            </a:graphic>
          </wp:anchor>
        </w:drawing>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图</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 采用精准调控技术后荚果饱满</w:t>
      </w:r>
    </w:p>
    <w:p>
      <w:pPr>
        <w:keepNext w:val="0"/>
        <w:keepLines w:val="0"/>
        <w:pageBreakBefore w:val="0"/>
        <w:widowControl w:val="0"/>
        <w:kinsoku/>
        <w:wordWrap/>
        <w:overflowPunct/>
        <w:topLinePunct w:val="0"/>
        <w:autoSpaceDE/>
        <w:autoSpaceDN/>
        <w:bidi w:val="0"/>
        <w:adjustRightInd/>
        <w:snapToGrid w:val="0"/>
        <w:spacing w:line="600" w:lineRule="exact"/>
        <w:jc w:val="center"/>
        <w:rPr>
          <w:rFonts w:hint="default"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楷体" w:hAnsi="楷体" w:eastAsia="仿宋" w:cs="楷体"/>
          <w:b w:val="0"/>
          <w:bCs/>
          <w:color w:val="000000" w:themeColor="text1"/>
          <w:sz w:val="24"/>
          <w:szCs w:val="24"/>
          <w:lang w:val="en-US"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-71755</wp:posOffset>
            </wp:positionH>
            <wp:positionV relativeFrom="paragraph">
              <wp:posOffset>168275</wp:posOffset>
            </wp:positionV>
            <wp:extent cx="5544185" cy="2919730"/>
            <wp:effectExtent l="0" t="0" r="0" b="0"/>
            <wp:wrapTopAndBottom/>
            <wp:docPr id="3" name="图片 4" descr="精准调控濮阳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4" descr="精准调控濮阳1"/>
                    <pic:cNvPicPr>
                      <a:picLocks noChangeAspect="true"/>
                    </pic:cNvPicPr>
                  </pic:nvPicPr>
                  <pic:blipFill>
                    <a:blip r:embed="rId7"/>
                    <a:srcRect t="16555" b="13225"/>
                    <a:stretch>
                      <a:fillRect/>
                    </a:stretch>
                  </pic:blipFill>
                  <pic:spPr>
                    <a:xfrm>
                      <a:off x="0" y="0"/>
                      <a:ext cx="5544185" cy="2919730"/>
                    </a:xfrm>
                    <a:prstGeom prst="rect">
                      <a:avLst/>
                    </a:prstGeom>
                  </pic:spPr>
                </pic:pic>
              </a:graphicData>
            </a:graphic>
          </wp:anchor>
        </w:drawing>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图3 采用精准调控技术后促进提早成熟</w:t>
      </w:r>
    </w:p>
    <w:p>
      <w:pPr>
        <w:keepNext w:val="0"/>
        <w:keepLines w:val="0"/>
        <w:pageBreakBefore w:val="0"/>
        <w:numPr>
          <w:ilvl w:val="0"/>
          <w:numId w:val="1"/>
        </w:numPr>
        <w:kinsoku/>
        <w:wordWrap/>
        <w:overflowPunct/>
        <w:topLinePunct w:val="0"/>
        <w:autoSpaceDE/>
        <w:autoSpaceDN/>
        <w:bidi w:val="0"/>
        <w:snapToGrid w:val="0"/>
        <w:spacing w:line="600" w:lineRule="exact"/>
        <w:ind w:firstLine="640"/>
        <w:outlineLvl w:val="1"/>
        <w:rPr>
          <w:rFonts w:hint="eastAsia" w:ascii="楷体_GB2312" w:hAnsi="楷体_GB2312" w:eastAsia="楷体_GB2312" w:cs="楷体_GB2312"/>
          <w:b/>
          <w:bCs w:val="0"/>
          <w:color w:val="000000" w:themeColor="text1"/>
          <w:sz w:val="32"/>
          <w:szCs w:val="32"/>
          <w14:textFill>
            <w14:solidFill>
              <w14:schemeClr w14:val="tx1"/>
            </w14:solidFill>
          </w14:textFill>
        </w:rPr>
      </w:pPr>
      <w:r>
        <w:rPr>
          <w:rFonts w:hint="eastAsia" w:ascii="楷体_GB2312" w:hAnsi="楷体_GB2312" w:eastAsia="楷体_GB2312" w:cs="楷体_GB2312"/>
          <w:b/>
          <w:bCs w:val="0"/>
          <w:color w:val="000000" w:themeColor="text1"/>
          <w:sz w:val="32"/>
          <w:szCs w:val="32"/>
          <w14:textFill>
            <w14:solidFill>
              <w14:schemeClr w14:val="tx1"/>
            </w14:solidFill>
          </w14:textFill>
        </w:rPr>
        <w:t>推广</w:t>
      </w: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应用</w:t>
      </w:r>
      <w:r>
        <w:rPr>
          <w:rFonts w:hint="eastAsia" w:ascii="楷体_GB2312" w:hAnsi="楷体_GB2312" w:eastAsia="楷体_GB2312" w:cs="楷体_GB2312"/>
          <w:b/>
          <w:bCs w:val="0"/>
          <w:color w:val="000000" w:themeColor="text1"/>
          <w:sz w:val="32"/>
          <w:szCs w:val="32"/>
          <w14:textFill>
            <w14:solidFill>
              <w14:schemeClr w14:val="tx1"/>
            </w14:solidFill>
          </w14:textFill>
        </w:rPr>
        <w:t>情况</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default"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2022年，选用豫花37和豫花22两个品种，在河南23个县（区）进行了精准调控生产技术示范，取得了良好的示范效果（见表1、表2）。2023年，在河南、山东、河北、辽宁等地进行了示范，并将精准调控生产技术制作成“全苗、壮根、促花、控旺、防衰”系列短视频，在新华网、搜狐、新浪、今日头条、大象新闻等多种媒体宣传推广，受到了种植户的普遍好评。2024年，在河南花生主产区进行了精准调控生产技术大面积推广，在遭遇前期干旱、中期湿涝不利气候条件下，能提高抗灾减灾能力，增产效果显著。三年来，在河南、山东、河北、辽宁、广西等花生产区示范推广300万亩左右，增产、增效作用显著。</w:t>
      </w:r>
    </w:p>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jc w:val="center"/>
        <w:outlineLvl w:val="2"/>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表</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 xml:space="preserve"> 豫花37精准调控生产技术示范情况</w:t>
      </w:r>
    </w:p>
    <w:tbl>
      <w:tblPr>
        <w:tblStyle w:val="12"/>
        <w:tblW w:w="48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3516"/>
        <w:gridCol w:w="876"/>
        <w:gridCol w:w="876"/>
        <w:gridCol w:w="876"/>
        <w:gridCol w:w="876"/>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4"/>
                <w:szCs w:val="24"/>
              </w:rPr>
            </w:pPr>
          </w:p>
        </w:tc>
        <w:tc>
          <w:tcPr>
            <w:tcW w:w="2013"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示范地点</w:t>
            </w:r>
          </w:p>
        </w:tc>
        <w:tc>
          <w:tcPr>
            <w:tcW w:w="501"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示范区产量</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（kg/亩）</w:t>
            </w:r>
          </w:p>
        </w:tc>
        <w:tc>
          <w:tcPr>
            <w:tcW w:w="585"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肥料及管理用药成本</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c>
          <w:tcPr>
            <w:tcW w:w="501"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对照区产量</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（kg/亩）</w:t>
            </w:r>
          </w:p>
        </w:tc>
        <w:tc>
          <w:tcPr>
            <w:tcW w:w="586"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肥料及管理用药成本</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c>
          <w:tcPr>
            <w:tcW w:w="562"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节本增效</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w:t>
            </w:r>
          </w:p>
        </w:tc>
        <w:tc>
          <w:tcPr>
            <w:tcW w:w="2013"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开封市祥符区西姜寨乡</w:t>
            </w:r>
          </w:p>
        </w:tc>
        <w:tc>
          <w:tcPr>
            <w:tcW w:w="501"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326.05 </w:t>
            </w:r>
          </w:p>
        </w:tc>
        <w:tc>
          <w:tcPr>
            <w:tcW w:w="585"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299.32 </w:t>
            </w:r>
          </w:p>
        </w:tc>
        <w:tc>
          <w:tcPr>
            <w:tcW w:w="586"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230.00 </w:t>
            </w:r>
          </w:p>
        </w:tc>
        <w:tc>
          <w:tcPr>
            <w:tcW w:w="562" w:type="pct"/>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150.38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w:t>
            </w:r>
          </w:p>
        </w:tc>
        <w:tc>
          <w:tcPr>
            <w:tcW w:w="2013"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安阳市林州市横水镇</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409.00 </w:t>
            </w:r>
          </w:p>
        </w:tc>
        <w:tc>
          <w:tcPr>
            <w:tcW w:w="585"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355.00 </w:t>
            </w:r>
          </w:p>
        </w:tc>
        <w:tc>
          <w:tcPr>
            <w:tcW w:w="586"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320.00 </w:t>
            </w:r>
          </w:p>
        </w:tc>
        <w:tc>
          <w:tcPr>
            <w:tcW w:w="562" w:type="pct"/>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404.00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49"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w:t>
            </w:r>
          </w:p>
        </w:tc>
        <w:tc>
          <w:tcPr>
            <w:tcW w:w="2013"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鹤壁市浚县善堂镇杨梁村</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425.41 </w:t>
            </w:r>
          </w:p>
        </w:tc>
        <w:tc>
          <w:tcPr>
            <w:tcW w:w="585"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398.82 </w:t>
            </w:r>
          </w:p>
        </w:tc>
        <w:tc>
          <w:tcPr>
            <w:tcW w:w="586"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271.00 </w:t>
            </w:r>
          </w:p>
        </w:tc>
        <w:tc>
          <w:tcPr>
            <w:tcW w:w="562" w:type="pct"/>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190.54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w:t>
            </w:r>
          </w:p>
        </w:tc>
        <w:tc>
          <w:tcPr>
            <w:tcW w:w="2013"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濮阳市清丰县韩村镇</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335.43 </w:t>
            </w:r>
          </w:p>
        </w:tc>
        <w:tc>
          <w:tcPr>
            <w:tcW w:w="585"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313.40 </w:t>
            </w:r>
          </w:p>
        </w:tc>
        <w:tc>
          <w:tcPr>
            <w:tcW w:w="586"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213.00 </w:t>
            </w:r>
          </w:p>
        </w:tc>
        <w:tc>
          <w:tcPr>
            <w:tcW w:w="562" w:type="pct"/>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105.18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5</w:t>
            </w:r>
          </w:p>
        </w:tc>
        <w:tc>
          <w:tcPr>
            <w:tcW w:w="2013" w:type="pct"/>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商丘市闫集镇巴庄村</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386.75 </w:t>
            </w:r>
          </w:p>
        </w:tc>
        <w:tc>
          <w:tcPr>
            <w:tcW w:w="585"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341.42 </w:t>
            </w:r>
          </w:p>
        </w:tc>
        <w:tc>
          <w:tcPr>
            <w:tcW w:w="586" w:type="pct"/>
            <w:noWrap/>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201.00 </w:t>
            </w:r>
          </w:p>
        </w:tc>
        <w:tc>
          <w:tcPr>
            <w:tcW w:w="562" w:type="pct"/>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232.98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6</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安阳市内黄县后河镇</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279.00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266.00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265.00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103.00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7</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濮阳市南乐县西邵乡</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365.93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326.72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225.00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220.26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8</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周口市沈丘县赵德营镇</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340.74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274.07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238.00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398.02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9</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周口市沈丘县赵德营镇</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392.60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311.11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238.00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486.94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10</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信阳市平桥区尖山京东家庭农场</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372.50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355.60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228.00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89.40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11</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焦作市武陟县睢北村</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350.00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312.50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250.00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235.00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12</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商丘市睢阳区路河镇（市原种场）</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337.00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330.00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280.00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82.00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13</w:t>
            </w:r>
          </w:p>
        </w:tc>
        <w:tc>
          <w:tcPr>
            <w:tcW w:w="2013"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商丘市睢县县城郊乡</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437.50 </w:t>
            </w:r>
          </w:p>
        </w:tc>
        <w:tc>
          <w:tcPr>
            <w:tcW w:w="585"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405.30 </w:t>
            </w:r>
          </w:p>
        </w:tc>
        <w:tc>
          <w:tcPr>
            <w:tcW w:w="586" w:type="pct"/>
            <w:noWrap/>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210.00 </w:t>
            </w:r>
          </w:p>
        </w:tc>
        <w:tc>
          <w:tcPr>
            <w:tcW w:w="562" w:type="pct"/>
            <w:vAlign w:val="center"/>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163.20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262" w:type="pct"/>
            <w:gridSpan w:val="2"/>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综合</w:t>
            </w:r>
          </w:p>
        </w:tc>
        <w:tc>
          <w:tcPr>
            <w:tcW w:w="501" w:type="pct"/>
            <w:noWrap/>
            <w:vAlign w:val="bottom"/>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365.99 </w:t>
            </w:r>
          </w:p>
        </w:tc>
        <w:tc>
          <w:tcPr>
            <w:tcW w:w="585" w:type="pct"/>
            <w:noWrap/>
            <w:vAlign w:val="bottom"/>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240.00 </w:t>
            </w:r>
          </w:p>
        </w:tc>
        <w:tc>
          <w:tcPr>
            <w:tcW w:w="501" w:type="pct"/>
            <w:noWrap/>
            <w:vAlign w:val="bottom"/>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329.94 </w:t>
            </w:r>
          </w:p>
        </w:tc>
        <w:tc>
          <w:tcPr>
            <w:tcW w:w="586" w:type="pct"/>
            <w:noWrap/>
            <w:vAlign w:val="bottom"/>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243.77 </w:t>
            </w:r>
          </w:p>
        </w:tc>
        <w:tc>
          <w:tcPr>
            <w:tcW w:w="562" w:type="pct"/>
            <w:vAlign w:val="bottom"/>
          </w:tcPr>
          <w:p>
            <w:pPr>
              <w:keepNext w:val="0"/>
              <w:keepLines w:val="0"/>
              <w:pageBreakBefore w:val="0"/>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 xml:space="preserve">220.07 </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jc w:val="center"/>
        <w:outlineLvl w:val="2"/>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表2 豫花22精准调控生产技术示范情况</w:t>
      </w:r>
    </w:p>
    <w:tbl>
      <w:tblPr>
        <w:tblStyle w:val="12"/>
        <w:tblW w:w="49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3076"/>
        <w:gridCol w:w="1009"/>
        <w:gridCol w:w="1051"/>
        <w:gridCol w:w="1022"/>
        <w:gridCol w:w="949"/>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Cs w:val="21"/>
              </w:rPr>
            </w:pPr>
          </w:p>
        </w:tc>
        <w:tc>
          <w:tcPr>
            <w:tcW w:w="1735"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示范地点</w:t>
            </w:r>
          </w:p>
        </w:tc>
        <w:tc>
          <w:tcPr>
            <w:tcW w:w="614"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示范区产量</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（kg/亩）</w:t>
            </w:r>
          </w:p>
        </w:tc>
        <w:tc>
          <w:tcPr>
            <w:tcW w:w="636"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肥料及管理用药成本</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c>
          <w:tcPr>
            <w:tcW w:w="619"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对照区产量</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（kg/亩）</w:t>
            </w:r>
          </w:p>
        </w:tc>
        <w:tc>
          <w:tcPr>
            <w:tcW w:w="576"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肥料及管理用药成本</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c>
          <w:tcPr>
            <w:tcW w:w="546" w:type="pct"/>
            <w:vAlign w:val="center"/>
          </w:tcPr>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节本增效</w:t>
            </w:r>
          </w:p>
          <w:p>
            <w:pPr>
              <w:keepNext w:val="0"/>
              <w:keepLines w:val="0"/>
              <w:pageBreakBefore w:val="0"/>
              <w:widowControl/>
              <w:kinsoku/>
              <w:wordWrap/>
              <w:overflowPunct/>
              <w:topLinePunct w:val="0"/>
              <w:autoSpaceDE/>
              <w:autoSpaceDN/>
              <w:bidi w:val="0"/>
              <w:adjustRightInd/>
              <w:snapToGrid/>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南阳市社旗县太和镇</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680.81</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220.00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604.47</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190.00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桐柏县毛集镇王湾村</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414.00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210.00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378.00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184.00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周口市淮阳区新站镇</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473.70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453.00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439.60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428.00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179.60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漯河市舞阳县莲花镇长村赵村</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479.40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280.00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416.88</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320.00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415.12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5</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濮阳市南乐县寺庄乡</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431.99</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210.00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389.00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180.00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227.94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6</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洛阳市孟津区会盟镇</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455.20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472.00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426.10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531.00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233.60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7</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许昌市建安区榆林乡乡</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420.60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360.00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408.20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380.00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94.40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8</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济源市五龙口镇</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386.10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260.00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357.90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268.00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177.20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9</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平顶山市郏县长桥镇楼王村</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505.37</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260.00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427.45</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255.60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463.12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10</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信阳市潢川县顺河村</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331.96</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82.50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301.68</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42.50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141.68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11</w:t>
            </w:r>
          </w:p>
        </w:tc>
        <w:tc>
          <w:tcPr>
            <w:tcW w:w="1735"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温县黄河街道办事处</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325.00</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380.00</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300.00</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420.00</w:t>
            </w:r>
          </w:p>
        </w:tc>
        <w:tc>
          <w:tcPr>
            <w:tcW w:w="546" w:type="pct"/>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005" w:type="pct"/>
            <w:gridSpan w:val="2"/>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综合</w:t>
            </w:r>
          </w:p>
        </w:tc>
        <w:tc>
          <w:tcPr>
            <w:tcW w:w="614"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445.83</w:t>
            </w:r>
          </w:p>
        </w:tc>
        <w:tc>
          <w:tcPr>
            <w:tcW w:w="63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289.77</w:t>
            </w:r>
          </w:p>
        </w:tc>
        <w:tc>
          <w:tcPr>
            <w:tcW w:w="619"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404.48</w:t>
            </w:r>
          </w:p>
        </w:tc>
        <w:tc>
          <w:tcPr>
            <w:tcW w:w="57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290.83</w:t>
            </w:r>
          </w:p>
        </w:tc>
        <w:tc>
          <w:tcPr>
            <w:tcW w:w="546" w:type="pct"/>
            <w:noWrap/>
            <w:vAlign w:val="center"/>
          </w:tcPr>
          <w:p>
            <w:pPr>
              <w:keepNext w:val="0"/>
              <w:keepLines w:val="0"/>
              <w:pageBreakBefore w:val="0"/>
              <w:widowControl/>
              <w:kinsoku/>
              <w:wordWrap/>
              <w:overflowPunct/>
              <w:topLinePunct w:val="0"/>
              <w:autoSpaceDE/>
              <w:autoSpaceDN/>
              <w:bidi w:val="0"/>
              <w:spacing w:line="600" w:lineRule="exact"/>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249.15</w:t>
            </w:r>
          </w:p>
        </w:tc>
      </w:tr>
    </w:tbl>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line="600" w:lineRule="exact"/>
        <w:ind w:left="0" w:leftChars="0" w:firstLine="641" w:firstLineChars="0"/>
        <w:outlineLvl w:val="1"/>
        <w:rPr>
          <w:rFonts w:hint="eastAsia" w:ascii="楷体_GB2312" w:hAnsi="楷体_GB2312" w:eastAsia="楷体_GB2312" w:cs="楷体_GB2312"/>
          <w:b/>
          <w:bCs w:val="0"/>
          <w:color w:val="000000" w:themeColor="text1"/>
          <w:sz w:val="32"/>
          <w:szCs w:val="32"/>
          <w14:textFill>
            <w14:solidFill>
              <w14:schemeClr w14:val="tx1"/>
            </w14:solidFill>
          </w14:textFill>
        </w:rPr>
      </w:pPr>
      <w:r>
        <w:rPr>
          <w:rFonts w:hint="eastAsia" w:ascii="楷体_GB2312" w:hAnsi="楷体_GB2312" w:eastAsia="楷体_GB2312" w:cs="楷体_GB2312"/>
          <w:b/>
          <w:bCs w:val="0"/>
          <w:color w:val="000000" w:themeColor="text1"/>
          <w:sz w:val="32"/>
          <w:szCs w:val="32"/>
          <w14:textFill>
            <w14:solidFill>
              <w14:schemeClr w14:val="tx1"/>
            </w14:solidFill>
          </w14:textFill>
        </w:rPr>
        <w:t>提质增效情况</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花生精准调控生产技术2022年在河南23个县（区）进行了示范，较常规管理平均增产9.57%，亩节本增效200元以上；2023年在河南、山东、河北、辽宁、广西等花生产区进行了示范，较常规管理平均增产10.1%。</w:t>
      </w:r>
    </w:p>
    <w:p>
      <w:pPr>
        <w:keepNext w:val="0"/>
        <w:keepLines w:val="0"/>
        <w:pageBreakBefore w:val="0"/>
        <w:kinsoku/>
        <w:wordWrap/>
        <w:overflowPunct/>
        <w:topLinePunct w:val="0"/>
        <w:autoSpaceDE/>
        <w:autoSpaceDN/>
        <w:bidi w:val="0"/>
        <w:snapToGrid w:val="0"/>
        <w:spacing w:line="600" w:lineRule="exact"/>
        <w:ind w:firstLine="642" w:firstLineChars="200"/>
        <w:outlineLvl w:val="1"/>
        <w:rPr>
          <w:rFonts w:hint="eastAsia" w:ascii="楷体" w:hAnsi="楷体" w:eastAsia="楷体" w:cs="楷体"/>
          <w:b/>
          <w:bCs w:val="0"/>
          <w:color w:val="000000" w:themeColor="text1"/>
          <w:sz w:val="32"/>
          <w:szCs w:val="32"/>
          <w14:textFill>
            <w14:solidFill>
              <w14:schemeClr w14:val="tx1"/>
            </w14:solidFill>
          </w14:textFill>
        </w:rPr>
      </w:pPr>
      <w:r>
        <w:rPr>
          <w:rFonts w:hint="eastAsia" w:ascii="楷体" w:hAnsi="楷体" w:eastAsia="楷体" w:cs="楷体"/>
          <w:b/>
          <w:bCs w:val="0"/>
          <w:color w:val="000000" w:themeColor="text1"/>
          <w:sz w:val="32"/>
          <w:szCs w:val="32"/>
          <w14:textFill>
            <w14:solidFill>
              <w14:schemeClr w14:val="tx1"/>
            </w14:solidFill>
          </w14:textFill>
        </w:rPr>
        <w:t>（四）获奖情况</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该技术入选河南省2024年农业主推技术主导品种主推技术。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outlineLvl w:val="0"/>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二、技术要点</w:t>
      </w:r>
    </w:p>
    <w:p>
      <w:pPr>
        <w:keepNext w:val="0"/>
        <w:keepLines w:val="0"/>
        <w:pageBreakBefore w:val="0"/>
        <w:widowControl w:val="0"/>
        <w:kinsoku/>
        <w:wordWrap/>
        <w:overflowPunct/>
        <w:topLinePunct w:val="0"/>
        <w:autoSpaceDE/>
        <w:autoSpaceDN/>
        <w:bidi w:val="0"/>
        <w:adjustRightInd w:val="0"/>
        <w:snapToGrid w:val="0"/>
        <w:spacing w:line="600" w:lineRule="exact"/>
        <w:ind w:firstLine="641"/>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整地与施肥</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1.整地</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前茬作物秸秆应切碎切细，并且抛撒均匀。深耕细粑，精细整地，做到上虚下实、平整无坷垃和杂草。每3年深耕翻1次，深度30cm左右。</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2.施肥</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因地制宜测土配方施肥，合理搭配有机肥和生物菌肥，推荐使用缓控释肥，确保养分持续、平衡供应。增施钙镁磷肥、牡蛎钙等含钙肥料，能促进根系发育、提高产量和减轻果腐病的发生，南方酸性土壤每亩施用钙镁磷肥50kg～100kg或牡蛎钙25kg～50kg,黄淮海地区每亩施用钙镁磷肥20kg～50kg或牡蛎钙10kg～25kg,东北地区每亩施用钙镁磷肥或牡蛎钙5kg～10kg。</w:t>
      </w:r>
    </w:p>
    <w:p>
      <w:pPr>
        <w:keepNext w:val="0"/>
        <w:keepLines w:val="0"/>
        <w:pageBreakBefore w:val="0"/>
        <w:kinsoku/>
        <w:wordWrap/>
        <w:overflowPunct/>
        <w:topLinePunct w:val="0"/>
        <w:autoSpaceDE/>
        <w:autoSpaceDN/>
        <w:bidi w:val="0"/>
        <w:adjustRightInd w:val="0"/>
        <w:snapToGrid w:val="0"/>
        <w:spacing w:line="600" w:lineRule="exact"/>
        <w:ind w:firstLine="640"/>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全苗措施</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1.品种选择</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应选用经农业农村部登记、适应当地生态条件、生育期适宜、综合抗性好、高产优质、适宜机械化生产的品种。推荐种植高油酸品种，适应中高端市场需求。</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2.种子精选</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选择荚果饱满、无破损、霉捂的种子作种。</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3.种子剥壳</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播种前7 d～10 d内剥壳，采用人工或剥壳机剥壳。机械剥壳，要选择破损率低的机器，并根据种子大小选择合适的网筛。</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4.种子处理</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根据当地花生土传病害和地下害虫发生情况进行包衣或拌种，可选用杀菌剂与杀虫剂复配的种衣剂。</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5.播种</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当5日内5 cm地温稳定在18 ℃以上时，春播花生方可播种，高油酸花生建议在20 ℃以上；麦套适宜播期在小麦收获前15 d左右；黄淮地区夏直播在前茬作物收获后要及时整地，播种越早越好,一般不晚于6月20日。</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田间相对持水量60%～70%（土壤手握成团，一触即散）播种为宜。播深 3 cm～5 cm，墒好宜浅，墒差宜深，但最深不能超过7 cm。春播每亩种植9000穴～11000穴，麦套每亩种植12000穴～13000穴，夏直播每亩种植13000穴～15000穴，每穴2粒。</w:t>
      </w:r>
    </w:p>
    <w:p>
      <w:pPr>
        <w:keepNext w:val="0"/>
        <w:keepLines w:val="0"/>
        <w:pageBreakBefore w:val="0"/>
        <w:widowControl w:val="0"/>
        <w:kinsoku/>
        <w:wordWrap/>
        <w:overflowPunct/>
        <w:topLinePunct w:val="0"/>
        <w:autoSpaceDE/>
        <w:autoSpaceDN/>
        <w:bidi w:val="0"/>
        <w:adjustRightInd w:val="0"/>
        <w:snapToGrid w:val="0"/>
        <w:spacing w:line="600" w:lineRule="exact"/>
        <w:ind w:firstLine="641"/>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壮根措施</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1.起垄种植</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起垄能增加耕层土壤厚度，有利于根系发育。一般垄距75 cm～80 cm，垄面宽50 cm～55 cm，垄高12 cm～15 cm。</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2.苗期控水</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苗期控制水分能促进花生根系向深处生长，增加根的长度和表面积，有利于提高中后期抗旱能力。</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3.喷调理剂</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苗齐后每亩喷施钼酸铵15g～20 g和调环酸钙2g～3 g，能控制茎叶生长，促进根系发育，培育壮根。</w:t>
      </w:r>
    </w:p>
    <w:p>
      <w:pPr>
        <w:keepNext w:val="0"/>
        <w:keepLines w:val="0"/>
        <w:pageBreakBefore w:val="0"/>
        <w:widowControl w:val="0"/>
        <w:kinsoku/>
        <w:wordWrap/>
        <w:overflowPunct/>
        <w:topLinePunct w:val="0"/>
        <w:autoSpaceDE/>
        <w:autoSpaceDN/>
        <w:bidi w:val="0"/>
        <w:adjustRightInd w:val="0"/>
        <w:snapToGrid w:val="0"/>
        <w:spacing w:line="600" w:lineRule="exact"/>
        <w:ind w:firstLine="641"/>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促花措施</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 xml:space="preserve">1.遇旱浇水 </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花针期高温干旱显著影响开花和胚珠受精，延迟果针入土。当田间干旱时应及时沟灌润浇，解除旱情，促花开放。</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2.遇涝排水</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湿涝易造成茎枝徒长，减少开花数量。遇到大雨应及时排出田间积水，尽快使植株恢复生长，促进开花。</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3.喷肥促花</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初花期每亩喷施150g/L的流体硼13g～15g + 磷酸二氢钾50g，能有效促进花芽分化，增加开花数量。</w:t>
      </w:r>
    </w:p>
    <w:p>
      <w:pPr>
        <w:keepNext w:val="0"/>
        <w:keepLines w:val="0"/>
        <w:pageBreakBefore w:val="0"/>
        <w:widowControl w:val="0"/>
        <w:kinsoku/>
        <w:wordWrap/>
        <w:overflowPunct/>
        <w:topLinePunct w:val="0"/>
        <w:autoSpaceDE/>
        <w:autoSpaceDN/>
        <w:bidi w:val="0"/>
        <w:adjustRightInd w:val="0"/>
        <w:snapToGrid w:val="0"/>
        <w:spacing w:line="600" w:lineRule="exact"/>
        <w:ind w:firstLine="641"/>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五</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控旺措施</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1.合理施肥</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适当减施氮肥，增施有机肥。</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2.适当控水</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适当控水能促进根系发育，减缓地上部生长，缩短节间长度，增强茎秆韧性，预防后期旺长倒伏。</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3.科学控旺</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在盛花后期或植株高度35cm时，每亩喷施10%烯效唑悬浮剂15ml～25ml + 30%吡唑醚菌酯悬浮剂20ml，预防旺长倒伏和叶部病害。东北地区或干旱年份可适当减少烯效唑用量，南方地区或雨水较多年份可适当增加烯效唑用量或间隔15 d～20 d再喷施一次。</w:t>
      </w:r>
    </w:p>
    <w:p>
      <w:pPr>
        <w:keepNext w:val="0"/>
        <w:keepLines w:val="0"/>
        <w:pageBreakBefore w:val="0"/>
        <w:widowControl w:val="0"/>
        <w:kinsoku/>
        <w:wordWrap/>
        <w:overflowPunct/>
        <w:topLinePunct w:val="0"/>
        <w:autoSpaceDE/>
        <w:autoSpaceDN/>
        <w:bidi w:val="0"/>
        <w:adjustRightInd w:val="0"/>
        <w:snapToGrid w:val="0"/>
        <w:spacing w:line="600" w:lineRule="exact"/>
        <w:ind w:firstLine="641"/>
        <w:outlineLvl w:val="1"/>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六</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防衰措施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theme="minorBidi"/>
          <w:b/>
          <w:bCs/>
          <w:spacing w:val="15"/>
          <w:kern w:val="2"/>
          <w:sz w:val="32"/>
          <w:szCs w:val="32"/>
          <w:shd w:val="clear" w:color="auto" w:fill="FFFFFF"/>
          <w:lang w:val="en-US" w:eastAsia="zh-CN" w:bidi="ar-SA"/>
        </w:rPr>
        <w:t>.防止脱肥</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根据花生长势，结荚期每亩叶面喷施1%的尿素 + 0.2 %的磷酸二氢钾水溶液30kg～50 kg，7 d～10 d喷1次，连喷2次～3次，避免因脱肥而造成早衰。</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2.旱浇涝排</w:t>
      </w:r>
      <w:r>
        <w:rPr>
          <w:rFonts w:hint="eastAsia" w:ascii="仿宋_GB2312" w:hAnsi="仿宋_GB2312" w:eastAsia="仿宋_GB2312" w:cstheme="minorBidi"/>
          <w:b w:val="0"/>
          <w:spacing w:val="15"/>
          <w:kern w:val="2"/>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结荚期干旱应及时沟灌润浇，促进荚果膨大和籽仁充实；遇到大雨应及时排出田间积水，使植株尽快恢复生长。</w:t>
      </w:r>
    </w:p>
    <w:p>
      <w:pPr>
        <w:keepNext w:val="0"/>
        <w:keepLines w:val="0"/>
        <w:pageBreakBefore w:val="0"/>
        <w:widowControl w:val="0"/>
        <w:kinsoku/>
        <w:wordWrap/>
        <w:overflowPunct/>
        <w:topLinePunct w:val="0"/>
        <w:autoSpaceDE/>
        <w:autoSpaceDN/>
        <w:bidi w:val="0"/>
        <w:adjustRightInd w:val="0"/>
        <w:snapToGrid w:val="0"/>
        <w:spacing w:line="600" w:lineRule="exact"/>
        <w:ind w:firstLine="702" w:firstLineChars="200"/>
        <w:outlineLvl w:val="2"/>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 xml:space="preserve">3.防病保叶 </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收获前25天左右,每亩喷施2%胺鲜酯水剂20ml + 5%萘乙酸水剂5ml + 硫酸锌30g～50g + 30%吡唑醚菌酯悬浮剂20ml，促进营养物质向荚果转运，加快成熟，防止早衰。</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firstLine="641"/>
        <w:outlineLvl w:val="0"/>
        <w:rPr>
          <w:rFonts w:hint="eastAsia" w:ascii="Times New Roman" w:hAnsi="Times New Roman" w:eastAsia="黑体"/>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适宜区域</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全国各花生产区。</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641" w:firstLineChars="0"/>
        <w:outlineLvl w:val="0"/>
        <w:rPr>
          <w:rFonts w:hint="eastAsia" w:ascii="Times New Roman" w:hAnsi="Times New Roman" w:eastAsia="黑体"/>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注意事项</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outlineLvl w:val="1"/>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1.根据实际情况，做好虫害和杂草防治。</w:t>
      </w:r>
    </w:p>
    <w:p>
      <w:pPr>
        <w:keepNext w:val="0"/>
        <w:keepLines w:val="0"/>
        <w:pageBreakBefore w:val="0"/>
        <w:widowControl w:val="0"/>
        <w:kinsoku/>
        <w:wordWrap/>
        <w:overflowPunct/>
        <w:topLinePunct w:val="0"/>
        <w:autoSpaceDE/>
        <w:autoSpaceDN/>
        <w:bidi w:val="0"/>
        <w:adjustRightInd w:val="0"/>
        <w:snapToGrid w:val="0"/>
        <w:spacing w:line="600" w:lineRule="exact"/>
        <w:ind w:firstLine="700" w:firstLineChars="200"/>
        <w:outlineLvl w:val="1"/>
        <w:rPr>
          <w:rFonts w:hint="default" w:ascii="楷体" w:hAnsi="楷体" w:eastAsia="楷体" w:cs="楷体"/>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2.根据发病情况，做好白绢病、青枯病等根茎部病害防治</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p>
    <w:p>
      <w:pPr>
        <w:keepNext w:val="0"/>
        <w:keepLines w:val="0"/>
        <w:pageBreakBefore w:val="0"/>
        <w:kinsoku/>
        <w:wordWrap/>
        <w:overflowPunct/>
        <w:topLinePunct w:val="0"/>
        <w:autoSpaceDE/>
        <w:autoSpaceDN/>
        <w:bidi w:val="0"/>
        <w:snapToGrid w:val="0"/>
        <w:spacing w:line="600" w:lineRule="exact"/>
        <w:ind w:firstLine="640" w:firstLineChars="200"/>
        <w:outlineLvl w:val="0"/>
        <w:rPr>
          <w:rFonts w:hint="eastAsia" w:ascii="Times New Roman" w:hAnsi="Times New Roman" w:eastAsia="黑体"/>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五、技术依托单位</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单位名称：河南省农业科学院花生研究所、河南省经济作物推广总站</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联系人：臧秀旺、赵君君</w:t>
      </w:r>
    </w:p>
    <w:p>
      <w:pPr>
        <w:keepNext w:val="0"/>
        <w:keepLines w:val="0"/>
        <w:pageBreakBefore w:val="0"/>
        <w:kinsoku/>
        <w:wordWrap/>
        <w:overflowPunct/>
        <w:topLinePunct w:val="0"/>
        <w:autoSpaceDE/>
        <w:autoSpaceDN/>
        <w:bidi w:val="0"/>
        <w:spacing w:line="240" w:lineRule="auto"/>
      </w:pPr>
      <w:bookmarkStart w:id="0" w:name="_GoBack"/>
      <w:bookmarkEnd w:id="0"/>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color w:val="000000"/>
                              <w:sz w:val="28"/>
                              <w:szCs w:val="28"/>
                            </w:rPr>
                          </w:pPr>
                          <w:r>
                            <w:rPr>
                              <w:color w:val="000000"/>
                              <w:sz w:val="28"/>
                              <w:szCs w:val="28"/>
                            </w:rPr>
                            <w:fldChar w:fldCharType="begin"/>
                          </w:r>
                          <w:r>
                            <w:rPr>
                              <w:color w:val="000000"/>
                              <w:sz w:val="28"/>
                              <w:szCs w:val="28"/>
                            </w:rPr>
                            <w:instrText xml:space="preserve"> PAGE  \* MERGEFORMAT </w:instrText>
                          </w:r>
                          <w:r>
                            <w:rPr>
                              <w:color w:val="000000"/>
                              <w:sz w:val="28"/>
                              <w:szCs w:val="28"/>
                            </w:rPr>
                            <w:fldChar w:fldCharType="separate"/>
                          </w:r>
                          <w:r>
                            <w:rPr>
                              <w:color w:val="000000"/>
                              <w:sz w:val="28"/>
                              <w:szCs w:val="28"/>
                            </w:rPr>
                            <w:t>5</w:t>
                          </w:r>
                          <w:r>
                            <w:rPr>
                              <w:color w:val="000000"/>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t+ljbhYCAAAaBAAADgAAAAAAAAABACAAAAA1AQAAZHJzL2Uyb0RvYy54bWxQSwUGAAAAAAYA&#10;BgBZAQAAvQUAAAAA&#10;">
              <v:fill on="f" focussize="0,0"/>
              <v:stroke on="f" weight="0.5pt"/>
              <v:imagedata o:title=""/>
              <o:lock v:ext="edit" aspectratio="f"/>
              <v:textbox inset="0mm,0mm,0mm,0mm" style="mso-fit-shape-to-text:t;">
                <w:txbxContent>
                  <w:p>
                    <w:pPr>
                      <w:pStyle w:val="8"/>
                      <w:rPr>
                        <w:color w:val="000000"/>
                        <w:sz w:val="28"/>
                        <w:szCs w:val="28"/>
                      </w:rPr>
                    </w:pPr>
                    <w:r>
                      <w:rPr>
                        <w:color w:val="000000"/>
                        <w:sz w:val="28"/>
                        <w:szCs w:val="28"/>
                      </w:rPr>
                      <w:fldChar w:fldCharType="begin"/>
                    </w:r>
                    <w:r>
                      <w:rPr>
                        <w:color w:val="000000"/>
                        <w:sz w:val="28"/>
                        <w:szCs w:val="28"/>
                      </w:rPr>
                      <w:instrText xml:space="preserve"> PAGE  \* MERGEFORMAT </w:instrText>
                    </w:r>
                    <w:r>
                      <w:rPr>
                        <w:color w:val="000000"/>
                        <w:sz w:val="28"/>
                        <w:szCs w:val="28"/>
                      </w:rPr>
                      <w:fldChar w:fldCharType="separate"/>
                    </w:r>
                    <w:r>
                      <w:rPr>
                        <w:color w:val="000000"/>
                        <w:sz w:val="28"/>
                        <w:szCs w:val="28"/>
                      </w:rPr>
                      <w:t>5</w:t>
                    </w:r>
                    <w:r>
                      <w:rPr>
                        <w:color w:val="000000"/>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453B25"/>
    <w:multiLevelType w:val="singleLevel"/>
    <w:tmpl w:val="59453B25"/>
    <w:lvl w:ilvl="0" w:tentative="0">
      <w:start w:val="2"/>
      <w:numFmt w:val="chineseCounting"/>
      <w:suff w:val="nothing"/>
      <w:lvlText w:val="（%1）"/>
      <w:lvlJc w:val="left"/>
      <w:rPr>
        <w:rFonts w:hint="eastAsia"/>
      </w:rPr>
    </w:lvl>
  </w:abstractNum>
  <w:abstractNum w:abstractNumId="1">
    <w:nsid w:val="69747A29"/>
    <w:multiLevelType w:val="singleLevel"/>
    <w:tmpl w:val="69747A29"/>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261D34"/>
    <w:rsid w:val="025C1390"/>
    <w:rsid w:val="0999234A"/>
    <w:rsid w:val="0E4B1F3E"/>
    <w:rsid w:val="12FA2E34"/>
    <w:rsid w:val="15DD5B72"/>
    <w:rsid w:val="18240C92"/>
    <w:rsid w:val="18916970"/>
    <w:rsid w:val="1B530684"/>
    <w:rsid w:val="201A5385"/>
    <w:rsid w:val="20C04A0E"/>
    <w:rsid w:val="226F2A0B"/>
    <w:rsid w:val="260D5FFF"/>
    <w:rsid w:val="27AC518B"/>
    <w:rsid w:val="281E282F"/>
    <w:rsid w:val="296F4568"/>
    <w:rsid w:val="2CEF2903"/>
    <w:rsid w:val="2D7D78BD"/>
    <w:rsid w:val="2E11603C"/>
    <w:rsid w:val="303E5AA1"/>
    <w:rsid w:val="312B1A2F"/>
    <w:rsid w:val="34EB1ECD"/>
    <w:rsid w:val="35EA010B"/>
    <w:rsid w:val="3A125B81"/>
    <w:rsid w:val="3F2EFBC7"/>
    <w:rsid w:val="3FBD50BF"/>
    <w:rsid w:val="3FE881D2"/>
    <w:rsid w:val="41EE2DB1"/>
    <w:rsid w:val="42F205FF"/>
    <w:rsid w:val="44C82ECA"/>
    <w:rsid w:val="47A76458"/>
    <w:rsid w:val="480102A9"/>
    <w:rsid w:val="480F2160"/>
    <w:rsid w:val="4A917608"/>
    <w:rsid w:val="4B5743EE"/>
    <w:rsid w:val="4BFA6FA0"/>
    <w:rsid w:val="4C975D73"/>
    <w:rsid w:val="4EB61552"/>
    <w:rsid w:val="5455251D"/>
    <w:rsid w:val="54961914"/>
    <w:rsid w:val="55DF6F76"/>
    <w:rsid w:val="5BBEA509"/>
    <w:rsid w:val="5FF57DE0"/>
    <w:rsid w:val="641D434E"/>
    <w:rsid w:val="66F9AC0C"/>
    <w:rsid w:val="68CB60E9"/>
    <w:rsid w:val="69735746"/>
    <w:rsid w:val="69CC4E56"/>
    <w:rsid w:val="6CBF1A0E"/>
    <w:rsid w:val="6D605FE2"/>
    <w:rsid w:val="6EA70CF0"/>
    <w:rsid w:val="753F290D"/>
    <w:rsid w:val="775407D3"/>
    <w:rsid w:val="77F32695"/>
    <w:rsid w:val="77F6018F"/>
    <w:rsid w:val="795F4AF5"/>
    <w:rsid w:val="7B073DE8"/>
    <w:rsid w:val="7D66E537"/>
    <w:rsid w:val="7DFEDD4A"/>
    <w:rsid w:val="7E3EFCDE"/>
    <w:rsid w:val="7EE58EA5"/>
    <w:rsid w:val="7EE70340"/>
    <w:rsid w:val="7EFCFDC0"/>
    <w:rsid w:val="7FDD9654"/>
    <w:rsid w:val="7FF7D1DA"/>
    <w:rsid w:val="8D7BE201"/>
    <w:rsid w:val="AD7C0EA5"/>
    <w:rsid w:val="BF7BE17C"/>
    <w:rsid w:val="BFFDAD1F"/>
    <w:rsid w:val="D5E4ACE4"/>
    <w:rsid w:val="DDF8EEF8"/>
    <w:rsid w:val="DF37FC29"/>
    <w:rsid w:val="EAF590ED"/>
    <w:rsid w:val="EDF71CD3"/>
    <w:rsid w:val="EED04D04"/>
    <w:rsid w:val="FBF66FEE"/>
    <w:rsid w:val="FCFDE5A1"/>
    <w:rsid w:val="FD3FFA2D"/>
    <w:rsid w:val="FF2F803E"/>
    <w:rsid w:val="FFB7D9D7"/>
    <w:rsid w:val="FFFF4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qFormat="1"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iPriority="99" w:semiHidden="0" w:name="Body Text First Indent"/>
    <w:lsdException w:qFormat="1"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color w:val="000000"/>
      <w:kern w:val="0"/>
      <w:sz w:val="24"/>
      <w:szCs w:val="24"/>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列表段落1"/>
    <w:basedOn w:val="1"/>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true">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2646</Words>
  <Characters>3461</Characters>
  <Lines>0</Lines>
  <Paragraphs>0</Paragraphs>
  <TotalTime>4</TotalTime>
  <ScaleCrop>false</ScaleCrop>
  <LinksUpToDate>false</LinksUpToDate>
  <CharactersWithSpaces>3561</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2023-02-13T18:43:00Z</dcterms:created>
  <dc:creator>马政华</dc:creator>
  <cp:lastModifiedBy>gkb</cp:lastModifiedBy>
  <dcterms:modified xsi:type="dcterms:W3CDTF">2025-07-31T17:16:26Z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011EC12AC58B4B36B563892EBC4FB1A0_13</vt:lpwstr>
  </property>
  <property fmtid="{D5CDD505-2E9C-101B-9397-08002B2CF9AE}" pid="4" name="KSOTemplateDocerSaveRecord">
    <vt:lpwstr>eyJoZGlkIjoiYjkxNmY3YTQ5N2VmNDljYzg2ODE4YzQxZmNlMjU3NWUiLCJ1c2VySWQiOiI1MzQ0MDExMjQifQ==</vt:lpwstr>
  </property>
</Properties>
</file>