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小麦水肥一体化生产技术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摘要：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针对小麦生育期需水量与降水量不匹配，水肥资源瓶颈约束等问题，在全省范围内推广应用水肥一体化技术，实现小麦水肥精准调控。水肥一体化技术是一项新型农业技术措施，即通过建立田间灌溉施肥系统，统筹管理小麦苗期、返青期、拔节期、孕穗期、扬花期和灌浆期等关键生育期水肥施用，最终实现节水节肥增产的目标。建立技术应用示范区，辐射带动周边，全省已推广面积1</w:t>
      </w:r>
      <w:r>
        <w:rPr>
          <w:rFonts w:ascii="仿宋_GB2312" w:hAnsi="仿宋_GB2312" w:eastAsia="仿宋_GB2312" w:cs="仿宋_GB2312"/>
          <w:b w:val="0"/>
          <w:bCs w:val="0"/>
          <w:color w:val="auto"/>
          <w:sz w:val="32"/>
          <w:szCs w:val="32"/>
        </w:rPr>
        <w:t>17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万亩，示范区小麦亩增产</w:t>
      </w:r>
      <w:r>
        <w:rPr>
          <w:rFonts w:ascii="仿宋_GB2312" w:hAnsi="仿宋_GB2312" w:eastAsia="仿宋_GB2312" w:cs="仿宋_GB2312"/>
          <w:b w:val="0"/>
          <w:bCs w:val="0"/>
          <w:color w:val="auto"/>
          <w:sz w:val="32"/>
          <w:szCs w:val="32"/>
        </w:rPr>
        <w:t>10%-15%，亩节水30%以上，亩节肥20%-30%，亩节本增收120-250元。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一、技术概述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2" w:firstLineChars="200"/>
        <w:textAlignment w:val="auto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（一）基本情况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小麦是河南省主要粮食作物，常年种植面积在</w:t>
      </w:r>
      <w:r>
        <w:rPr>
          <w:rFonts w:ascii="仿宋_GB2312" w:hAnsi="仿宋_GB2312" w:eastAsia="仿宋_GB2312" w:cs="仿宋_GB2312"/>
          <w:b w:val="0"/>
          <w:bCs w:val="0"/>
          <w:color w:val="auto"/>
          <w:sz w:val="32"/>
          <w:szCs w:val="32"/>
        </w:rPr>
        <w:t>8500万亩以上，产量占全国总产量的1/4。小麦生育期长，不同时期对水肥需求不同，科学精准的水肥供给是满足小麦高产的关键。水肥一体化技术，向作物根区土壤适时适量、集中高效供应水分和养分，及时有效满足作物水肥需求，是实现小麦水肥精准调控，支撑小麦单产提升的关键措施。河南小麦生育期需水量与降水量不匹配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该技术能够</w:t>
      </w:r>
      <w:r>
        <w:rPr>
          <w:rFonts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破解粮食需求刚性增长与水肥资源瓶颈约束之间的矛盾，推进全省小麦大面积单产提升，服务新一轮千亿斤粮食提升工程。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2" w:firstLineChars="200"/>
        <w:textAlignment w:val="auto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（二）推广应用情况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近年来，小麦水肥一体化技术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持续在全省范围内推广，推广规模每年均有所扩大。全省建立示范区</w:t>
      </w:r>
      <w:r>
        <w:rPr>
          <w:rFonts w:ascii="仿宋_GB2312" w:hAnsi="仿宋_GB2312" w:eastAsia="仿宋_GB2312" w:cs="仿宋_GB2312"/>
          <w:b w:val="0"/>
          <w:bCs w:val="0"/>
          <w:color w:val="auto"/>
          <w:sz w:val="32"/>
          <w:szCs w:val="32"/>
        </w:rPr>
        <w:t>20多个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。2</w:t>
      </w:r>
      <w:r>
        <w:rPr>
          <w:rFonts w:ascii="仿宋_GB2312" w:hAnsi="仿宋_GB2312" w:eastAsia="仿宋_GB2312" w:cs="仿宋_GB2312"/>
          <w:b w:val="0"/>
          <w:bCs w:val="0"/>
          <w:color w:val="auto"/>
          <w:sz w:val="32"/>
          <w:szCs w:val="32"/>
        </w:rPr>
        <w:t>023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年，小麦水肥一体化技术在全省范围内推广应用面积</w:t>
      </w:r>
      <w:r>
        <w:rPr>
          <w:rFonts w:ascii="仿宋_GB2312" w:hAnsi="仿宋_GB2312" w:eastAsia="仿宋_GB2312" w:cs="仿宋_GB2312"/>
          <w:b w:val="0"/>
          <w:bCs w:val="0"/>
          <w:color w:val="auto"/>
          <w:sz w:val="32"/>
          <w:szCs w:val="32"/>
        </w:rPr>
        <w:t>117万亩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2" w:firstLineChars="200"/>
        <w:textAlignment w:val="auto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（三）提质增效情况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相较于非水肥一体化技术应用区域，技术应用示范区小麦亩增产</w:t>
      </w:r>
      <w:r>
        <w:rPr>
          <w:rFonts w:ascii="仿宋_GB2312" w:hAnsi="仿宋_GB2312" w:eastAsia="仿宋_GB2312" w:cs="仿宋_GB2312"/>
          <w:b w:val="0"/>
          <w:bCs w:val="0"/>
          <w:color w:val="auto"/>
          <w:sz w:val="32"/>
          <w:szCs w:val="32"/>
        </w:rPr>
        <w:t>10%-15%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，亩节水</w:t>
      </w:r>
      <w:r>
        <w:rPr>
          <w:rFonts w:ascii="仿宋_GB2312" w:hAnsi="仿宋_GB2312" w:eastAsia="仿宋_GB2312" w:cs="仿宋_GB2312"/>
          <w:b w:val="0"/>
          <w:bCs w:val="0"/>
          <w:color w:val="auto"/>
          <w:sz w:val="32"/>
          <w:szCs w:val="32"/>
        </w:rPr>
        <w:t>30%以上，亩节肥20%-30%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，亩节本增收</w:t>
      </w:r>
      <w:r>
        <w:rPr>
          <w:rFonts w:ascii="仿宋_GB2312" w:hAnsi="仿宋_GB2312" w:eastAsia="仿宋_GB2312" w:cs="仿宋_GB2312"/>
          <w:b w:val="0"/>
          <w:bCs w:val="0"/>
          <w:color w:val="auto"/>
          <w:sz w:val="32"/>
          <w:szCs w:val="32"/>
        </w:rPr>
        <w:t>120-250元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2" w:firstLineChars="200"/>
        <w:textAlignment w:val="auto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（四）获奖情况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该技术</w:t>
      </w:r>
      <w:r>
        <w:rPr>
          <w:rFonts w:ascii="仿宋_GB2312" w:hAnsi="仿宋_GB2312" w:eastAsia="仿宋_GB2312" w:cs="仿宋_GB2312"/>
          <w:b w:val="0"/>
          <w:bCs w:val="0"/>
          <w:color w:val="auto"/>
          <w:sz w:val="32"/>
          <w:szCs w:val="32"/>
        </w:rPr>
        <w:t>2016年获得省科技进步奖三等奖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二、技术要点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2" w:firstLineChars="200"/>
        <w:textAlignment w:val="auto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（一）关键技术环节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1.精细整地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夏玉米收获时实施秸秆粉碎还田，覆盖在田面抑蒸保墒。进入适播期，采用旋耕机旋耕两遍，深度15厘米以上，实施连年旋耕的地块一般每3年深耕1次，深度28～35厘米，确保打破犁底层。旋耕后趁墒耙地，做到耕层上虚下实，地面平整无坷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2.科学选种包衣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选择通过国家或本省审定。适宜在当地种植的节水耐旱、高产稳产、抗病抗逆，适宜机械化生产的冬小麦品种，避免选择抗寒能力弱的春性品种和自留种。小麦种子要经过包衣处理，或者根据种植区域常发病虫害进行药剂拌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3.适墒适期播种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耕层土壤相对含水量不低于70%时，及时趁墒播种，确保一播全苗；墒情不足地块，应提前灌水造墒或播后滴灌出苗水，确保苗齐苗匀。过早播种易形成冬前旺苗，增大冻害风险，应在区域适播期内稍晚播种。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4.水肥一体设施设备配置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田间灌溉施肥设施设备包括首部枢纽、输配水管网和灌水器三部分。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首部枢纽。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包括提水、加压、过滤、施肥、控制、测量与保护等设备。提水设备采用潜水泵或离心泵。加压设备采用加压泵。过滤设备采用二级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以上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过滤装置，根据不同水源，可选择离心过滤器+筛网过滤器、离心过滤器+碟片过滤器，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含沙量较大的水源应加选砂石过滤器，也可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在水源旁建造经久耐用、成本更低的沉淀过滤池。施肥设备采用敞口式塑料施肥桶或施肥池，配合使用加压注肥泵，有条件的地区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鼓励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采用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移动灌溉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施肥机。控制设备采用闸阀、碟阀、球阀等，根据首部管径大小和需求选择适宜的控制阀门。测量设备采用压力表、流量计或水表。保护设备采用进排气阀、安全阀、逆止阀、泄水阀等。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输配水管网。包括干管、支管、毛管三级管道。干管一般埋在地下，管径90～125毫米，管壁厚2.0～3.0毫米。支管一般安放在地面，宜采用PE软管，管径40～60毫米，管壁厚1.0～1.5毫米。毛管主要指滴灌带、微喷带等田间灌溉设备，其中滴灌带宜采用PE软管，管径15～20毫米，出水口间距20～30厘米，流量1～3升/小时；微喷带宜采用PE软管，管径40～60毫米，流量20～30升/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灌水器。用于小麦种植的灌水器可采用滴灌带、微喷带或卷盘式喷灌机。其中滴灌带包括迷宫式滴灌带或内镶贴片式滴灌带，建议选择内镶贴片式滴灌带，提高灌溉和施肥均匀度。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5.灌水器田间铺设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滴灌带或微喷带沿着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冬</w:t>
      </w:r>
      <w:r>
        <w:rPr>
          <w:rFonts w:hint="eastAsia" w:ascii="仿宋" w:hAnsi="仿宋" w:eastAsia="仿宋"/>
          <w:color w:val="auto"/>
          <w:sz w:val="32"/>
          <w:szCs w:val="32"/>
        </w:rPr>
        <w:t>小麦种植平行方向进行铺设，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与支管垂直。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滴灌带模式下。有条件的地区，可采用具备浅埋铺设滴灌带功能的北斗导航播种机，一次性完成播种和铺带作业，浅埋时黏土或壤土地埋深2～3厘米，砂土地埋深4～5厘米，防止风吹或积水后滴灌带偏离铺设区域。无条件的地区，采取人工方法或使用机械将滴灌带铺设在地表，铺设时确保滴灌带出水口向上、平整顺直。铺设间距根据土壤质地进行确定，黏土或壤土地块间距60厘米左右，砂土地块间距40厘米左右。铺设长度一般不超过50米，首尾流量偏差率控制在10%以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/>
          <w:color w:val="auto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微喷带模式下。有条件的地区，可采用播种铺带一体机，铺设间隔根据微喷带喷幅和土壤质地进行确定，黏土或壤土地间距1.8米左右，砂土地间距1.2米左右。无条件的地区，采取人工方法铺带，铺设时确保微喷带喷孔向上、平整顺直不打弯、尾部封堵。铺设长度50~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70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米，确保首尾流量和喷幅大小一致。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2" w:firstLineChars="200"/>
        <w:textAlignment w:val="auto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（二）水肥管理要点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小麦水肥管理的关键时期包括苗期、返青期、拔节期、孕穗期、扬花期和灌浆期。基肥一般选择复合肥，追肥选择尿素，叶面喷肥选择磷酸二氢钾。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1.灌溉管理。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播前监测土壤墒情，0～20厘米土壤相对含水量低于70%时适量灌水造墒，每亩灌水量20～30方，确保足墒播种。入冬前，0～40厘米土壤相对含水量低于60%时，每次每亩灌水10～20方；拔节前，0～40厘米土壤相对含水量低于65%时，每次每亩灌水20～25方；拔节、孕穗、扬花期，0～60厘米土壤相对含水量低于70%时，每次每亩灌水25～30方；灌浆期，0～60厘米土壤相对含水量低于65%时，每次每亩灌水20～25方。灌溉应选择在晴天无风的上午10时至下午4时之间、地表温度不低于3℃时进行，小水细灌，确保当日下渗、田面不积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2.施肥管理。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参照河南省土壤肥料站制定的小麦测土配方施肥技术指导意见，在总养分施用量的基础上减少20%～30%，细化制定各地区施肥方案。氮肥基追比例为4:6，其中40%的氮肥基施，60%的氮肥在拔节、孕穗、扬花和灌浆后期随水追施，追施比例依次为40%、30%、20%、10%。磷肥全部基施。钾肥基追比例为5:5，其中50%的钾肥基施，50%的钾肥在拔节、孕穗后期随水追施，追施比例分别为50%、50%。有条件的地区，可在孕穗中、后期，因地制宜采用无人机叶面适量喷施硫、锌、硼、锰等中微量元素及磷酸二氢钾，施肥时要控制好肥液浓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三、适宜区域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适宜于小麦种植区，特别是在水资源相对匮乏的地区。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四、注意事项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技术推广过程中需要注意灌溉施肥系统使用与维护，以保障系统的正常运转。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1.系统使用。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灌溉施肥系统每次使用前先用约20%的灌水量进行清水灌溉，可通过调整阀门开启度使系统内压力保持稳定均衡，然后打开施肥设备的控制开关注入肥液，待施肥结束后，继续用约20%的灌水量进行清水灌溉，确保肥料全部施入田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2.系统维护。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灌溉施肥系统使用一段时间后，根据管道系统堵塞情况，使用高压水流冲洗主管道和支管道。为防止滴头、喷水口堵塞，要定期清洗滴灌带和微喷带，同时清洗离心、碟片、网式过滤器。定期对管网进行检查，发现漏水立即处理并及时修缮。冬小麦—夏玉米轮作种植区，入冬前排空灌溉施肥系统中管道内残存水，防止结冰爆管，做好易损部件保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五、技术依托单位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/>
        </w:rPr>
        <w:t>单位名称：河南省土壤肥料站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firstLine="640" w:firstLineChars="200"/>
        <w:jc w:val="left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/>
        </w:rPr>
        <w:t>联系人：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刘戈</w:t>
      </w:r>
    </w:p>
    <w:p>
      <w:pPr>
        <w:keepNext w:val="0"/>
        <w:keepLines w:val="0"/>
        <w:pageBreakBefore w:val="0"/>
        <w:kinsoku/>
        <w:overflowPunct/>
        <w:bidi w:val="0"/>
        <w:adjustRightInd w:val="0"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0371-65917969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1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华文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??_GB2312">
    <w:altName w:val="URW Book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0000000000000000000"/>
    <w:charset w:val="00"/>
    <w:family w:val="modern"/>
    <w:pitch w:val="default"/>
    <w:sig w:usb0="00000000" w:usb1="00000000" w:usb2="00000016" w:usb3="00000000" w:csb0="00040001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Microsoft YaHei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Times New Roman" w:hAnsi="Times New Roman" w:cs="Times New Roma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2574290</wp:posOffset>
              </wp:positionH>
              <wp:positionV relativeFrom="paragraph">
                <wp:posOffset>-1270</wp:posOffset>
              </wp:positionV>
              <wp:extent cx="192405" cy="128270"/>
              <wp:effectExtent l="0" t="0" r="0" b="508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92505" cy="128337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5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false" anchor="t" anchorCtr="false" forceAA="false" compatLnSpc="true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2.7pt;margin-top:-0.1pt;height:10.1pt;width:15.15pt;mso-position-horizontal-relative:margin;z-index:251659264;mso-width-relative:page;mso-height-relative:page;" filled="f" stroked="f" coordsize="21600,21600" o:gfxdata="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BYAAABkcnMvUEsBAhQA&#10;FAAAAAgAh07iQD/SQkrXAAAACAEAAA8AAAAAAAAAAQAgAAAAOAAAAGRycy9kb3ducmV2LnhtbFBL&#10;AQIUABQAAAAIAIdO4kDRn2KwGgIAABkEAAAOAAAAAAAAAAEAIAAAADw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5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sdt>
      <w:sdtPr>
        <w:id w:val="1098292654"/>
        <w:showingPlcHdr/>
      </w:sdtPr>
      <w:sdtEndPr>
        <w:rPr>
          <w:rFonts w:ascii="Times New Roman" w:hAnsi="Times New Roman" w:cs="Times New Roman"/>
        </w:rPr>
      </w:sdtEndPr>
      <w:sdtContent>
        <w:r>
          <w:t xml:space="preserve">     </w:t>
        </w:r>
      </w:sdtContent>
    </w:sdt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36F"/>
    <w:rsid w:val="000C1AD4"/>
    <w:rsid w:val="0012476A"/>
    <w:rsid w:val="00161EDB"/>
    <w:rsid w:val="001973E7"/>
    <w:rsid w:val="00252342"/>
    <w:rsid w:val="002848C4"/>
    <w:rsid w:val="00333E9D"/>
    <w:rsid w:val="003441D2"/>
    <w:rsid w:val="003C1353"/>
    <w:rsid w:val="003C536F"/>
    <w:rsid w:val="00415A12"/>
    <w:rsid w:val="00435410"/>
    <w:rsid w:val="0045517F"/>
    <w:rsid w:val="004B00CC"/>
    <w:rsid w:val="004C5DEC"/>
    <w:rsid w:val="005E7DE1"/>
    <w:rsid w:val="00670A9A"/>
    <w:rsid w:val="006A27DD"/>
    <w:rsid w:val="006E5CF1"/>
    <w:rsid w:val="007522B7"/>
    <w:rsid w:val="00885C04"/>
    <w:rsid w:val="00896365"/>
    <w:rsid w:val="00A2602A"/>
    <w:rsid w:val="00A9318D"/>
    <w:rsid w:val="00C037C2"/>
    <w:rsid w:val="00C5036F"/>
    <w:rsid w:val="00F564E7"/>
    <w:rsid w:val="2E054E72"/>
    <w:rsid w:val="5BF959EE"/>
    <w:rsid w:val="67EF0AE2"/>
    <w:rsid w:val="68CE5855"/>
    <w:rsid w:val="6A961F11"/>
    <w:rsid w:val="7F97063E"/>
    <w:rsid w:val="9FFBCAF1"/>
    <w:rsid w:val="D96FA934"/>
    <w:rsid w:val="DFFA42FB"/>
    <w:rsid w:val="EFF77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qFormat="1" w:unhideWhenUsed="0" w:uiPriority="99" w:semiHidden="0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eastAsia="仿宋_GB2312"/>
      <w:sz w:val="30"/>
    </w:rPr>
  </w:style>
  <w:style w:type="paragraph" w:styleId="3">
    <w:name w:val="Body Text Indent"/>
    <w:basedOn w:val="1"/>
    <w:next w:val="4"/>
    <w:qFormat/>
    <w:uiPriority w:val="99"/>
    <w:pPr>
      <w:ind w:firstLine="720" w:firstLineChars="200"/>
      <w:jc w:val="center"/>
    </w:pPr>
    <w:rPr>
      <w:rFonts w:ascii="黑体" w:eastAsia="黑体"/>
      <w:sz w:val="36"/>
    </w:rPr>
  </w:style>
  <w:style w:type="paragraph" w:styleId="4">
    <w:name w:val="index 7"/>
    <w:basedOn w:val="1"/>
    <w:next w:val="1"/>
    <w:qFormat/>
    <w:uiPriority w:val="99"/>
    <w:pPr>
      <w:ind w:left="2520"/>
    </w:p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8">
    <w:name w:val="Body Text First Indent"/>
    <w:basedOn w:val="2"/>
    <w:next w:val="9"/>
    <w:unhideWhenUsed/>
    <w:qFormat/>
    <w:uiPriority w:val="99"/>
    <w:pPr>
      <w:spacing w:after="120"/>
      <w:ind w:firstLine="420" w:firstLineChars="100"/>
    </w:pPr>
    <w:rPr>
      <w:sz w:val="21"/>
    </w:rPr>
  </w:style>
  <w:style w:type="paragraph" w:styleId="9">
    <w:name w:val="Body Text First Indent 2"/>
    <w:basedOn w:val="3"/>
    <w:next w:val="8"/>
    <w:qFormat/>
    <w:uiPriority w:val="99"/>
    <w:pPr>
      <w:widowControl w:val="0"/>
      <w:spacing w:before="100" w:beforeAutospacing="1" w:after="120" w:line="240" w:lineRule="auto"/>
      <w:ind w:left="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2">
    <w:name w:val="Default"/>
    <w:basedOn w:val="1"/>
    <w:qFormat/>
    <w:uiPriority w:val="99"/>
    <w:pPr>
      <w:widowControl/>
      <w:autoSpaceDE w:val="0"/>
      <w:autoSpaceDN w:val="0"/>
      <w:adjustRightInd w:val="0"/>
      <w:spacing w:after="160" w:line="259" w:lineRule="auto"/>
      <w:jc w:val="left"/>
    </w:pPr>
    <w:rPr>
      <w:rFonts w:ascii="??_GB2312" w:hAnsi="Calibri" w:eastAsia="Times New Roman" w:cs="??_GB2312"/>
      <w:color w:val="000000"/>
      <w:kern w:val="0"/>
      <w:sz w:val="24"/>
    </w:rPr>
  </w:style>
  <w:style w:type="character" w:customStyle="1" w:styleId="13">
    <w:name w:val="页眉 字符"/>
    <w:basedOn w:val="11"/>
    <w:link w:val="6"/>
    <w:qFormat/>
    <w:uiPriority w:val="99"/>
    <w:rPr>
      <w:sz w:val="18"/>
      <w:szCs w:val="18"/>
    </w:rPr>
  </w:style>
  <w:style w:type="character" w:customStyle="1" w:styleId="14">
    <w:name w:val="页脚 字符"/>
    <w:basedOn w:val="11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2454</Words>
  <Characters>2643</Characters>
  <Lines>19</Lines>
  <Paragraphs>5</Paragraphs>
  <TotalTime>2</TotalTime>
  <ScaleCrop>false</ScaleCrop>
  <LinksUpToDate>false</LinksUpToDate>
  <CharactersWithSpaces>2645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2024-10-24T09:30:00Z</dcterms:created>
  <dc:creator>A4883</dc:creator>
  <cp:lastModifiedBy>huanghe</cp:lastModifiedBy>
  <dcterms:modified xsi:type="dcterms:W3CDTF">2025-07-21T16:52:45Z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eyJoZGlkIjoiYjkxNmY3YTQ5N2VmNDljYzg2ODE4YzQxZmNlMjU3NWUiLCJ1c2VySWQiOiI1MzQ0MDExMjQifQ==</vt:lpwstr>
  </property>
  <property fmtid="{D5CDD505-2E9C-101B-9397-08002B2CF9AE}" pid="3" name="KSOProductBuildVer">
    <vt:lpwstr>2052-11.8.2.10489</vt:lpwstr>
  </property>
  <property fmtid="{D5CDD505-2E9C-101B-9397-08002B2CF9AE}" pid="4" name="ICV">
    <vt:lpwstr>3E5481D18EF149C58AD4AF49BB3A52B2_12</vt:lpwstr>
  </property>
</Properties>
</file>