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vertAlign w:val="baseline"/>
          <w14:textFill>
            <w14:solidFill>
              <w14:schemeClr w14:val="tx1"/>
            </w14:solidFill>
          </w14:textFill>
        </w:rPr>
        <w:t>夏玉米种肥同播技术</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黑体" w:hAnsi="黑体" w:eastAsia="黑体" w:cs="黑体"/>
          <w:b w:val="0"/>
          <w:bCs w:val="0"/>
          <w:color w:val="000000" w:themeColor="text1"/>
          <w:sz w:val="32"/>
          <w:szCs w:val="32"/>
          <w:vertAlign w:val="baseline"/>
          <w14:textFill>
            <w14:solidFill>
              <w14:schemeClr w14:val="tx1"/>
            </w14:solidFill>
          </w14:textFill>
        </w:rPr>
        <w:t>摘要：</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河南省夏玉米常年种植面积5700万亩以上，是河南省的第一大秋粮作物。随着技术的发展，种肥同播面积不断扩大，但因土壤肥力改变、玉米和肥料品种更新、农机农艺融合等因素，种肥同播仍然存在机具、肥料品种选用不当，肥料用量、施用不科学，播种过深过浅，墒情差等问题，这些问题制约了玉米持续稳定增产。通过对前茬作物秸秆、田块质量、土壤墒情、玉米种子、施肥配方与施肥量、肥料形态与含水量、常规肥料、缓释肥料、水溶性肥料、机具选择、配套拖拉机、种植密度、播种深度、施肥位置、作业准备、试作业、作业调整、作业等技术环节进行标准化，推动了种肥同播标准化生产，技术推广应用面积不断扩大。</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黑体" w:hAnsi="黑体" w:eastAsia="黑体" w:cs="黑体"/>
          <w:b w:val="0"/>
          <w:bCs w:val="0"/>
          <w:color w:val="000000" w:themeColor="text1"/>
          <w:sz w:val="32"/>
          <w:szCs w:val="32"/>
          <w:vertAlign w:val="baseline"/>
          <w14:textFill>
            <w14:solidFill>
              <w14:schemeClr w14:val="tx1"/>
            </w14:solidFill>
          </w14:textFill>
        </w:rPr>
      </w:pPr>
      <w:r>
        <w:rPr>
          <w:rFonts w:hint="eastAsia" w:ascii="黑体" w:hAnsi="黑体" w:eastAsia="黑体" w:cs="黑体"/>
          <w:b w:val="0"/>
          <w:bCs w:val="0"/>
          <w:color w:val="000000" w:themeColor="text1"/>
          <w:sz w:val="32"/>
          <w:szCs w:val="32"/>
          <w:vertAlign w:val="baseline"/>
          <w14:textFill>
            <w14:solidFill>
              <w14:schemeClr w14:val="tx1"/>
            </w14:solidFill>
          </w14:textFill>
        </w:rPr>
        <w:t>一、技术概述</w:t>
      </w:r>
    </w:p>
    <w:p>
      <w:pPr>
        <w:keepNext w:val="0"/>
        <w:keepLines w:val="0"/>
        <w:pageBreakBefore w:val="0"/>
        <w:widowControl w:val="0"/>
        <w:kinsoku/>
        <w:wordWrap/>
        <w:overflowPunct/>
        <w:topLinePunct w:val="0"/>
        <w:autoSpaceDE/>
        <w:autoSpaceDN/>
        <w:bidi w:val="0"/>
        <w:snapToGrid w:val="0"/>
        <w:spacing w:line="580" w:lineRule="exact"/>
        <w:ind w:firstLine="642" w:firstLineChars="200"/>
        <w:textAlignment w:val="auto"/>
        <w:rPr>
          <w:rFonts w:hint="eastAsia" w:ascii="楷体" w:hAnsi="楷体" w:eastAsia="楷体" w:cs="楷体"/>
          <w:b/>
          <w:bCs/>
          <w:color w:val="000000" w:themeColor="text1"/>
          <w:sz w:val="32"/>
          <w:szCs w:val="32"/>
          <w:vertAlign w:val="baseline"/>
          <w14:textFill>
            <w14:solidFill>
              <w14:schemeClr w14:val="tx1"/>
            </w14:solidFill>
          </w14:textFill>
        </w:rPr>
      </w:pPr>
      <w:r>
        <w:rPr>
          <w:rFonts w:hint="eastAsia" w:ascii="楷体" w:hAnsi="楷体" w:eastAsia="楷体" w:cs="楷体"/>
          <w:b/>
          <w:bCs/>
          <w:color w:val="000000" w:themeColor="text1"/>
          <w:sz w:val="32"/>
          <w:szCs w:val="32"/>
          <w:vertAlign w:val="baseline"/>
          <w14:textFill>
            <w14:solidFill>
              <w14:schemeClr w14:val="tx1"/>
            </w14:solidFill>
          </w14:textFill>
        </w:rPr>
        <w:t>（一）基本情况</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bookmarkStart w:id="0" w:name="_Hlk69536935"/>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粮食生产是安天下、稳民心的战略产业。</w:t>
      </w:r>
      <w:bookmarkEnd w:id="0"/>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河南省是我国重要的粮食生产区，玉米产量占全国总产的8％左右，常年种植面积5700万亩以上，是河南省的第一大秋粮作物。然而，随着技术的发展，施肥结构、施肥量、施肥方法虽有较大的提高，但因土壤肥力改变、玉米品种更新、农机农艺不配套、技术到位率低等因素，种肥同播仍然存在机具、肥料品种选用不当，肥料用量、施用不科学，播种过深过浅，墒情差影响出苗等问题，这些问题制约了玉米持续稳定增产。基于此，从2013年开始，着眼于夏玉米种肥同播农机农艺融合、肥料品种配套等技术关键环节，先后在全省各地依托测土配方施肥项目开展了大量田间试验和大田技术示范，形成了成熟的夏玉米种肥同播技术，2019年</w:t>
      </w:r>
      <w:r>
        <w:rPr>
          <w:rFonts w:ascii="仿宋_GB2312" w:hAnsi="仿宋_GB2312" w:eastAsia="仿宋_GB2312" w:cs="仿宋_GB2312"/>
          <w:b w:val="0"/>
          <w:bCs w:val="0"/>
          <w:color w:val="000000" w:themeColor="text1"/>
          <w:sz w:val="32"/>
          <w:szCs w:val="32"/>
          <w:vertAlign w:val="baseline"/>
          <w14:textFill>
            <w14:solidFill>
              <w14:schemeClr w14:val="tx1"/>
            </w14:solidFill>
          </w14:textFill>
        </w:rPr>
        <w:t>形成了河南省地方标准《</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夏玉米种肥</w:t>
      </w:r>
      <w:r>
        <w:rPr>
          <w:rFonts w:ascii="仿宋_GB2312" w:hAnsi="仿宋_GB2312" w:eastAsia="仿宋_GB2312" w:cs="仿宋_GB2312"/>
          <w:b w:val="0"/>
          <w:bCs w:val="0"/>
          <w:color w:val="000000" w:themeColor="text1"/>
          <w:sz w:val="32"/>
          <w:szCs w:val="32"/>
          <w:vertAlign w:val="baseline"/>
          <w14:textFill>
            <w14:solidFill>
              <w14:schemeClr w14:val="tx1"/>
            </w14:solidFill>
          </w14:textFill>
        </w:rPr>
        <w:t>同播技术规程》</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 xml:space="preserve">（DB41/T </w:t>
      </w:r>
      <w:r>
        <w:rPr>
          <w:rFonts w:ascii="仿宋_GB2312" w:hAnsi="仿宋_GB2312" w:eastAsia="仿宋_GB2312" w:cs="仿宋_GB2312"/>
          <w:b w:val="0"/>
          <w:bCs w:val="0"/>
          <w:color w:val="000000" w:themeColor="text1"/>
          <w:sz w:val="32"/>
          <w:szCs w:val="32"/>
          <w:vertAlign w:val="baseline"/>
          <w14:textFill>
            <w14:solidFill>
              <w14:schemeClr w14:val="tx1"/>
            </w14:solidFill>
          </w14:textFill>
        </w:rPr>
        <w:t>1791</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—20</w:t>
      </w:r>
      <w:r>
        <w:rPr>
          <w:rFonts w:ascii="仿宋_GB2312" w:hAnsi="仿宋_GB2312" w:eastAsia="仿宋_GB2312" w:cs="仿宋_GB2312"/>
          <w:b w:val="0"/>
          <w:bCs w:val="0"/>
          <w:color w:val="000000" w:themeColor="text1"/>
          <w:sz w:val="32"/>
          <w:szCs w:val="32"/>
          <w:vertAlign w:val="baseline"/>
          <w14:textFill>
            <w14:solidFill>
              <w14:schemeClr w14:val="tx1"/>
            </w14:solidFill>
          </w14:textFill>
        </w:rPr>
        <w:t>19</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w:t>
      </w:r>
    </w:p>
    <w:p>
      <w:pPr>
        <w:keepNext w:val="0"/>
        <w:keepLines w:val="0"/>
        <w:pageBreakBefore w:val="0"/>
        <w:widowControl w:val="0"/>
        <w:kinsoku/>
        <w:wordWrap/>
        <w:overflowPunct/>
        <w:topLinePunct w:val="0"/>
        <w:autoSpaceDE/>
        <w:autoSpaceDN/>
        <w:bidi w:val="0"/>
        <w:snapToGrid w:val="0"/>
        <w:spacing w:line="580" w:lineRule="exact"/>
        <w:ind w:firstLine="642" w:firstLineChars="200"/>
        <w:textAlignment w:val="auto"/>
        <w:rPr>
          <w:rFonts w:hint="eastAsia" w:ascii="楷体" w:hAnsi="楷体" w:eastAsia="楷体" w:cs="楷体"/>
          <w:b/>
          <w:bCs/>
          <w:color w:val="000000" w:themeColor="text1"/>
          <w:sz w:val="32"/>
          <w:szCs w:val="32"/>
          <w:vertAlign w:val="baseline"/>
          <w14:textFill>
            <w14:solidFill>
              <w14:schemeClr w14:val="tx1"/>
            </w14:solidFill>
          </w14:textFill>
        </w:rPr>
      </w:pPr>
      <w:r>
        <w:rPr>
          <w:rFonts w:hint="eastAsia" w:ascii="楷体" w:hAnsi="楷体" w:eastAsia="楷体" w:cs="楷体"/>
          <w:b/>
          <w:bCs/>
          <w:color w:val="000000" w:themeColor="text1"/>
          <w:sz w:val="32"/>
          <w:szCs w:val="32"/>
          <w:vertAlign w:val="baseline"/>
          <w14:textFill>
            <w14:solidFill>
              <w14:schemeClr w14:val="tx1"/>
            </w14:solidFill>
          </w14:textFill>
        </w:rPr>
        <w:t>（二）推广应用情况</w:t>
      </w:r>
    </w:p>
    <w:p>
      <w:pPr>
        <w:keepNext w:val="0"/>
        <w:keepLines w:val="0"/>
        <w:pageBreakBefore w:val="0"/>
        <w:widowControl w:val="0"/>
        <w:kinsoku/>
        <w:wordWrap/>
        <w:overflowPunct/>
        <w:topLinePunct w:val="0"/>
        <w:autoSpaceDE/>
        <w:autoSpaceDN/>
        <w:bidi w:val="0"/>
        <w:snapToGrid w:val="0"/>
        <w:spacing w:line="580" w:lineRule="exact"/>
        <w:ind w:firstLine="64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自2013年开始在全省范围内推广应用，针对不同区域特点，因地制宜示范推动相关技术，通过设置大量试验和建立技术示范区，逐渐积累工作和实践经验，逐步完善熟化技术模式和体系，累计推广面积6700万亩次以上。</w:t>
      </w:r>
    </w:p>
    <w:p>
      <w:pPr>
        <w:keepNext w:val="0"/>
        <w:keepLines w:val="0"/>
        <w:pageBreakBefore w:val="0"/>
        <w:widowControl w:val="0"/>
        <w:kinsoku/>
        <w:wordWrap/>
        <w:overflowPunct/>
        <w:topLinePunct w:val="0"/>
        <w:autoSpaceDE/>
        <w:autoSpaceDN/>
        <w:bidi w:val="0"/>
        <w:snapToGrid w:val="0"/>
        <w:spacing w:line="580" w:lineRule="exact"/>
        <w:ind w:firstLine="642" w:firstLineChars="200"/>
        <w:textAlignment w:val="auto"/>
        <w:rPr>
          <w:rFonts w:hint="eastAsia" w:ascii="楷体" w:hAnsi="楷体" w:eastAsia="楷体" w:cs="楷体"/>
          <w:b/>
          <w:bCs/>
          <w:color w:val="000000" w:themeColor="text1"/>
          <w:sz w:val="32"/>
          <w:szCs w:val="32"/>
          <w:vertAlign w:val="baseline"/>
          <w14:textFill>
            <w14:solidFill>
              <w14:schemeClr w14:val="tx1"/>
            </w14:solidFill>
          </w14:textFill>
        </w:rPr>
      </w:pPr>
      <w:r>
        <w:rPr>
          <w:rFonts w:hint="eastAsia" w:ascii="楷体" w:hAnsi="楷体" w:eastAsia="楷体" w:cs="楷体"/>
          <w:b/>
          <w:bCs/>
          <w:color w:val="000000" w:themeColor="text1"/>
          <w:sz w:val="32"/>
          <w:szCs w:val="32"/>
          <w:vertAlign w:val="baseline"/>
          <w14:textFill>
            <w14:solidFill>
              <w14:schemeClr w14:val="tx1"/>
            </w14:solidFill>
          </w14:textFill>
        </w:rPr>
        <w:t>（三）提质增效情况</w:t>
      </w:r>
    </w:p>
    <w:p>
      <w:pPr>
        <w:keepNext w:val="0"/>
        <w:keepLines w:val="0"/>
        <w:pageBreakBefore w:val="0"/>
        <w:widowControl w:val="0"/>
        <w:kinsoku/>
        <w:wordWrap/>
        <w:overflowPunct/>
        <w:topLinePunct w:val="0"/>
        <w:autoSpaceDE/>
        <w:autoSpaceDN/>
        <w:bidi w:val="0"/>
        <w:snapToGrid w:val="0"/>
        <w:spacing w:line="580" w:lineRule="exact"/>
        <w:ind w:firstLine="64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技术的应用，亩均增产23.6元，亩均节肥1.1公斤，推动了藏粮于地、藏粮于技，解放了农村劳动力、壮大了新型农业主体、降低了面源污染、推动了农业绿色发展。</w:t>
      </w:r>
    </w:p>
    <w:p>
      <w:pPr>
        <w:keepNext w:val="0"/>
        <w:keepLines w:val="0"/>
        <w:pageBreakBefore w:val="0"/>
        <w:widowControl w:val="0"/>
        <w:kinsoku/>
        <w:wordWrap/>
        <w:overflowPunct/>
        <w:topLinePunct w:val="0"/>
        <w:autoSpaceDE/>
        <w:autoSpaceDN/>
        <w:bidi w:val="0"/>
        <w:snapToGrid w:val="0"/>
        <w:spacing w:line="580" w:lineRule="exact"/>
        <w:ind w:firstLine="642" w:firstLineChars="200"/>
        <w:textAlignment w:val="auto"/>
        <w:rPr>
          <w:rFonts w:hint="eastAsia" w:ascii="楷体" w:hAnsi="楷体" w:eastAsia="楷体" w:cs="楷体"/>
          <w:b/>
          <w:bCs/>
          <w:color w:val="000000" w:themeColor="text1"/>
          <w:sz w:val="32"/>
          <w:szCs w:val="32"/>
          <w:vertAlign w:val="baseline"/>
          <w14:textFill>
            <w14:solidFill>
              <w14:schemeClr w14:val="tx1"/>
            </w14:solidFill>
          </w14:textFill>
        </w:rPr>
      </w:pPr>
      <w:r>
        <w:rPr>
          <w:rFonts w:hint="eastAsia" w:ascii="楷体" w:hAnsi="楷体" w:eastAsia="楷体" w:cs="楷体"/>
          <w:b/>
          <w:bCs/>
          <w:color w:val="000000" w:themeColor="text1"/>
          <w:sz w:val="32"/>
          <w:szCs w:val="32"/>
          <w:vertAlign w:val="baseline"/>
          <w14:textFill>
            <w14:solidFill>
              <w14:schemeClr w14:val="tx1"/>
            </w14:solidFill>
          </w14:textFill>
        </w:rPr>
        <w:t>（四）获奖情况</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以该技术为核心的成果《河南省夏玉米减肥增效技术集成创新与推广</w:t>
      </w:r>
      <w:r>
        <w:rPr>
          <w:rFonts w:ascii="仿宋_GB2312" w:hAnsi="仿宋_GB2312" w:eastAsia="仿宋_GB2312" w:cs="仿宋_GB2312"/>
          <w:b w:val="0"/>
          <w:bCs w:val="0"/>
          <w:color w:val="000000" w:themeColor="text1"/>
          <w:sz w:val="32"/>
          <w:szCs w:val="32"/>
          <w:vertAlign w:val="baseline"/>
          <w14:textFill>
            <w14:solidFill>
              <w14:schemeClr w14:val="tx1"/>
            </w14:solidFill>
          </w14:textFill>
        </w:rPr>
        <w:t>》</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2019年获得了2016-2018年度全国农牧渔业丰收奖一等奖，《河南省夏玉米施肥分区种肥异位同播技术创新与应用》2020年获得了2019年度河南省科技进步三等奖。</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hint="eastAsia" w:ascii="黑体" w:hAnsi="黑体" w:eastAsia="黑体" w:cs="黑体"/>
          <w:b w:val="0"/>
          <w:bCs w:val="0"/>
          <w:color w:val="000000" w:themeColor="text1"/>
          <w:sz w:val="32"/>
          <w:szCs w:val="32"/>
          <w:vertAlign w:val="baseline"/>
          <w14:textFill>
            <w14:solidFill>
              <w14:schemeClr w14:val="tx1"/>
            </w14:solidFill>
          </w14:textFill>
        </w:rPr>
      </w:pPr>
      <w:r>
        <w:rPr>
          <w:rFonts w:hint="eastAsia" w:ascii="黑体" w:hAnsi="黑体" w:eastAsia="黑体" w:cs="黑体"/>
          <w:b w:val="0"/>
          <w:bCs w:val="0"/>
          <w:color w:val="000000" w:themeColor="text1"/>
          <w:sz w:val="32"/>
          <w:szCs w:val="32"/>
          <w:vertAlign w:val="baseline"/>
          <w14:textFill>
            <w14:solidFill>
              <w14:schemeClr w14:val="tx1"/>
            </w14:solidFill>
          </w14:textFill>
        </w:rPr>
        <w:t>二、技术要点</w:t>
      </w:r>
    </w:p>
    <w:p>
      <w:pPr>
        <w:keepNext w:val="0"/>
        <w:keepLines w:val="0"/>
        <w:pageBreakBefore w:val="0"/>
        <w:widowControl w:val="0"/>
        <w:kinsoku/>
        <w:wordWrap/>
        <w:overflowPunct/>
        <w:topLinePunct w:val="0"/>
        <w:autoSpaceDE/>
        <w:autoSpaceDN/>
        <w:bidi w:val="0"/>
        <w:snapToGrid w:val="0"/>
        <w:spacing w:line="580" w:lineRule="exact"/>
        <w:ind w:firstLine="642" w:firstLineChars="200"/>
        <w:textAlignment w:val="auto"/>
        <w:rPr>
          <w:rFonts w:hint="eastAsia" w:ascii="楷体" w:hAnsi="楷体" w:eastAsia="楷体" w:cs="楷体"/>
          <w:b/>
          <w:bCs/>
          <w:color w:val="000000" w:themeColor="text1"/>
          <w:sz w:val="32"/>
          <w:szCs w:val="32"/>
          <w:vertAlign w:val="baseline"/>
          <w14:textFill>
            <w14:solidFill>
              <w14:schemeClr w14:val="tx1"/>
            </w14:solidFill>
          </w14:textFill>
        </w:rPr>
      </w:pPr>
      <w:r>
        <w:rPr>
          <w:rFonts w:hint="eastAsia" w:ascii="楷体" w:hAnsi="楷体" w:eastAsia="楷体" w:cs="楷体"/>
          <w:b/>
          <w:bCs/>
          <w:color w:val="000000" w:themeColor="text1"/>
          <w:sz w:val="32"/>
          <w:szCs w:val="32"/>
          <w:vertAlign w:val="baseline"/>
          <w14:textFill>
            <w14:solidFill>
              <w14:schemeClr w14:val="tx1"/>
            </w14:solidFill>
          </w14:textFill>
        </w:rPr>
        <w:t>（一）基本要求</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1.前茬作物秸秆</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。前茬作物秸秆可于作物收获时或播种前，将秸秆切碎抛撒还田。冬小麦田块机收后保留麦茬低茬覆盖或者把秸秆切成3 cm～5 cm后均匀抛撒于地面覆盖，其他作物秸秆切碎长度应小于10 cm；残茬高度以不影响夏玉米机械播种为宜，一般应小于8 cm。</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2.田块质量。</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田块土壤环境质量应符合GB 15618规定，且平整度适宜于机械化耕作。</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3.土壤墒情。</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0 cm～20 cm耕层相对含水量70％～75％为宜。若相对含水量小于70%，于玉米播种后浇20 m</w:t>
      </w:r>
      <w:r>
        <w:rPr>
          <w:rFonts w:hint="eastAsia" w:ascii="仿宋_GB2312" w:hAnsi="仿宋_GB2312" w:eastAsia="仿宋_GB2312" w:cs="仿宋_GB2312"/>
          <w:b w:val="0"/>
          <w:bCs w:val="0"/>
          <w:color w:val="000000" w:themeColor="text1"/>
          <w:sz w:val="32"/>
          <w:szCs w:val="32"/>
          <w:vertAlign w:val="superscript"/>
          <w14:textFill>
            <w14:solidFill>
              <w14:schemeClr w14:val="tx1"/>
            </w14:solidFill>
          </w14:textFill>
        </w:rPr>
        <w:t>3</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～30 m</w:t>
      </w:r>
      <w:r>
        <w:rPr>
          <w:rFonts w:hint="eastAsia" w:ascii="仿宋_GB2312" w:hAnsi="仿宋_GB2312" w:eastAsia="仿宋_GB2312" w:cs="仿宋_GB2312"/>
          <w:b w:val="0"/>
          <w:bCs w:val="0"/>
          <w:color w:val="000000" w:themeColor="text1"/>
          <w:sz w:val="32"/>
          <w:szCs w:val="32"/>
          <w:vertAlign w:val="superscript"/>
          <w14:textFill>
            <w14:solidFill>
              <w14:schemeClr w14:val="tx1"/>
            </w14:solidFill>
          </w14:textFill>
        </w:rPr>
        <w:t>3</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蒙头水，以利出苗。</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4.玉米种子。</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选择适宜于当地生态条件，并经国家、省审定的玉米品种。</w:t>
      </w:r>
    </w:p>
    <w:p>
      <w:pPr>
        <w:keepNext w:val="0"/>
        <w:keepLines w:val="0"/>
        <w:pageBreakBefore w:val="0"/>
        <w:widowControl w:val="0"/>
        <w:kinsoku/>
        <w:wordWrap/>
        <w:overflowPunct/>
        <w:topLinePunct w:val="0"/>
        <w:autoSpaceDE/>
        <w:autoSpaceDN/>
        <w:bidi w:val="0"/>
        <w:snapToGrid w:val="0"/>
        <w:spacing w:line="580" w:lineRule="exact"/>
        <w:ind w:firstLine="642" w:firstLineChars="200"/>
        <w:textAlignment w:val="auto"/>
        <w:rPr>
          <w:rFonts w:hint="eastAsia" w:ascii="楷体" w:hAnsi="楷体" w:eastAsia="楷体" w:cs="楷体"/>
          <w:b/>
          <w:bCs/>
          <w:color w:val="000000" w:themeColor="text1"/>
          <w:sz w:val="32"/>
          <w:szCs w:val="32"/>
          <w:vertAlign w:val="baseline"/>
          <w14:textFill>
            <w14:solidFill>
              <w14:schemeClr w14:val="tx1"/>
            </w14:solidFill>
          </w14:textFill>
        </w:rPr>
      </w:pPr>
      <w:r>
        <w:rPr>
          <w:rFonts w:hint="eastAsia" w:ascii="楷体" w:hAnsi="楷体" w:eastAsia="楷体" w:cs="楷体"/>
          <w:b/>
          <w:bCs/>
          <w:color w:val="000000" w:themeColor="text1"/>
          <w:sz w:val="32"/>
          <w:szCs w:val="32"/>
          <w:vertAlign w:val="baseline"/>
          <w14:textFill>
            <w14:solidFill>
              <w14:schemeClr w14:val="tx1"/>
            </w14:solidFill>
          </w14:textFill>
        </w:rPr>
        <w:t>（二）肥料选择</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1.施肥配方与施肥量。</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参照当地夏玉米测土配方施肥技术意见或推荐确定。配套滴灌水肥一体化设施时，应适当调减肥料用量；种植密度增加时，应适当调增肥料用量。</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2.肥料形态与含水量。</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根据种肥同播机具使用说明选取，一般应为颗粒型，且其水分含量不宜超过12%。</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3.肥料品种。</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一是常规肥料。宜选用或自行配制与施肥配方一致或相近的复合肥料，自行配制的肥料不含易熏伤种子和幼苗的肥料品种，如碳酸氢铵等。二是缓释肥料。宜选用或自行配制含有氮素缓释养分、配方一致或接近的复合肥料，其中氮素养分缓释比例应根据土壤质地状况选择相应的氮养分缓释比例，一般壤质土壤氮肥缓释养分占总氮素养分的30%～40%，沙质土壤氮肥缓释养分占总氮素养分40%～50%。三是水溶性肥料。配套水肥一体化设施，追肥宜选用易水溶性肥料。</w:t>
      </w:r>
    </w:p>
    <w:p>
      <w:pPr>
        <w:keepNext w:val="0"/>
        <w:keepLines w:val="0"/>
        <w:pageBreakBefore w:val="0"/>
        <w:widowControl w:val="0"/>
        <w:kinsoku/>
        <w:wordWrap/>
        <w:overflowPunct/>
        <w:topLinePunct w:val="0"/>
        <w:autoSpaceDE/>
        <w:autoSpaceDN/>
        <w:bidi w:val="0"/>
        <w:snapToGrid w:val="0"/>
        <w:spacing w:line="580" w:lineRule="exact"/>
        <w:ind w:firstLine="642" w:firstLineChars="200"/>
        <w:textAlignment w:val="auto"/>
        <w:rPr>
          <w:rFonts w:hint="eastAsia" w:ascii="楷体" w:hAnsi="楷体" w:eastAsia="楷体" w:cs="楷体"/>
          <w:b/>
          <w:bCs/>
          <w:color w:val="000000" w:themeColor="text1"/>
          <w:sz w:val="32"/>
          <w:szCs w:val="32"/>
          <w:vertAlign w:val="baseline"/>
          <w14:textFill>
            <w14:solidFill>
              <w14:schemeClr w14:val="tx1"/>
            </w14:solidFill>
          </w14:textFill>
        </w:rPr>
      </w:pPr>
      <w:r>
        <w:rPr>
          <w:rFonts w:hint="eastAsia" w:ascii="楷体" w:hAnsi="楷体" w:eastAsia="楷体" w:cs="楷体"/>
          <w:b/>
          <w:bCs/>
          <w:color w:val="000000" w:themeColor="text1"/>
          <w:sz w:val="32"/>
          <w:szCs w:val="32"/>
          <w:vertAlign w:val="baseline"/>
          <w14:textFill>
            <w14:solidFill>
              <w14:schemeClr w14:val="tx1"/>
            </w14:solidFill>
          </w14:textFill>
        </w:rPr>
        <w:t>（三）种肥同播机具</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ascii="仿宋_GB2312" w:hAnsi="仿宋_GB2312" w:eastAsia="仿宋_GB2312" w:cs="仿宋_GB2312"/>
          <w:b/>
          <w:bCs/>
          <w:color w:val="000000" w:themeColor="text1"/>
          <w:sz w:val="32"/>
          <w:szCs w:val="32"/>
          <w:vertAlign w:val="baseline"/>
          <w14:textFill>
            <w14:solidFill>
              <w14:schemeClr w14:val="tx1"/>
            </w14:solidFill>
          </w14:textFill>
        </w:rPr>
        <w:drawing>
          <wp:anchor distT="0" distB="0" distL="114300" distR="114300" simplePos="0" relativeHeight="251659264" behindDoc="0" locked="0" layoutInCell="1" allowOverlap="1">
            <wp:simplePos x="0" y="0"/>
            <wp:positionH relativeFrom="column">
              <wp:posOffset>481965</wp:posOffset>
            </wp:positionH>
            <wp:positionV relativeFrom="paragraph">
              <wp:posOffset>2345690</wp:posOffset>
            </wp:positionV>
            <wp:extent cx="4886325" cy="2283460"/>
            <wp:effectExtent l="0" t="0" r="9525" b="2540"/>
            <wp:wrapTopAndBottom/>
            <wp:docPr id="2" name="图片 2" descr="E:\e\玉米产业技术体系\4照片\2023年\水肥滴灌有关\微信图片_20221205132436.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E:\e\玉米产业技术体系\4照片\2023年\水肥滴灌有关\微信图片_20221205132436.jpg"/>
                    <pic:cNvPicPr>
                      <a:picLocks noChangeAspect="true" noChangeArrowheads="true"/>
                    </pic:cNvPicPr>
                  </pic:nvPicPr>
                  <pic:blipFill>
                    <a:blip r:embed="rId5" cstate="print">
                      <a:extLst>
                        <a:ext uri="{28A0092B-C50C-407E-A947-70E740481C1C}">
                          <a14:useLocalDpi xmlns:a14="http://schemas.microsoft.com/office/drawing/2010/main" val="false"/>
                        </a:ext>
                      </a:extLst>
                    </a:blip>
                    <a:srcRect/>
                    <a:stretch>
                      <a:fillRect/>
                    </a:stretch>
                  </pic:blipFill>
                  <pic:spPr>
                    <a:xfrm>
                      <a:off x="0" y="0"/>
                      <a:ext cx="4886325" cy="2283460"/>
                    </a:xfrm>
                    <a:prstGeom prst="rect">
                      <a:avLst/>
                    </a:prstGeom>
                    <a:noFill/>
                    <a:ln>
                      <a:noFill/>
                    </a:ln>
                  </pic:spPr>
                </pic:pic>
              </a:graphicData>
            </a:graphic>
          </wp:anchor>
        </w:drawing>
      </w: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1.机具选择。</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一是免耕播种。可选择玉米免耕播种施肥或免耕播种施肥滴灌带铺设联合作业机具，实现开沟、播种、施肥、覆土、镇压或滴灌带浅埋铺设等联合作业。在土层板结的情况下，宜选择深松多层施肥玉米精量播种机。二是灭茬播种。可选择旋耕施肥播种机或苗带旋耕施肥播种机（只旋耕播种带土壤），实现旋耕、灭茬、开沟、播种、施肥、覆土和镇压等联合作业。</w:t>
      </w:r>
    </w:p>
    <w:p>
      <w:pPr>
        <w:adjustRightInd w:val="0"/>
        <w:snapToGrid w:val="0"/>
        <w:spacing w:line="600" w:lineRule="exact"/>
        <w:ind w:left="0" w:leftChars="0" w:firstLine="220" w:firstLineChars="0"/>
        <w:jc w:val="center"/>
        <w:rPr>
          <w:rFonts w:hint="eastAsia" w:ascii="仿宋_GB2312" w:hAnsi="仿宋_GB2312" w:eastAsia="仿宋_GB2312" w:cs="仿宋_GB2312"/>
          <w:b w:val="0"/>
          <w:bCs w:val="0"/>
          <w:color w:val="000000" w:themeColor="text1"/>
          <w:sz w:val="24"/>
          <w:szCs w:val="24"/>
          <w:vertAlign w:val="baseline"/>
          <w14:textFill>
            <w14:solidFill>
              <w14:schemeClr w14:val="tx1"/>
            </w14:solidFill>
          </w14:textFill>
        </w:rPr>
      </w:pPr>
      <w:r>
        <w:rPr>
          <w:rFonts w:hint="eastAsia" w:ascii="仿宋_GB2312" w:hAnsi="仿宋_GB2312" w:eastAsia="仿宋_GB2312" w:cs="仿宋_GB2312"/>
          <w:b w:val="0"/>
          <w:bCs w:val="0"/>
          <w:color w:val="000000" w:themeColor="text1"/>
          <w:sz w:val="24"/>
          <w:szCs w:val="24"/>
          <w:vertAlign w:val="baseline"/>
          <w14:textFill>
            <w14:solidFill>
              <w14:schemeClr w14:val="tx1"/>
            </w14:solidFill>
          </w14:textFill>
        </w:rPr>
        <w:t>图1 免耕播种施肥滴灌带铺设联合作业</w:t>
      </w:r>
    </w:p>
    <w:p>
      <w:pPr>
        <w:numPr>
          <w:ilvl w:val="0"/>
          <w:numId w:val="0"/>
        </w:numPr>
        <w:adjustRightInd w:val="0"/>
        <w:snapToGrid w:val="0"/>
        <w:spacing w:line="600" w:lineRule="exact"/>
        <w:ind w:firstLine="642" w:firstLineChars="200"/>
        <w:jc w:val="both"/>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lang w:val="en-US" w:eastAsia="zh-CN"/>
          <w14:textFill>
            <w14:solidFill>
              <w14:schemeClr w14:val="tx1"/>
            </w14:solidFill>
          </w14:textFill>
        </w:rPr>
        <w:t>2.</w:t>
      </w: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配套拖拉机。</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按选用的播种施肥机械使用说明书要求选择。宜采用四轮驱动型拖拉机，搭载卫星导航自动驾驶系统。</w:t>
      </w:r>
    </w:p>
    <w:p>
      <w:pPr>
        <w:numPr>
          <w:ilvl w:val="0"/>
          <w:numId w:val="0"/>
        </w:numPr>
        <w:adjustRightInd w:val="0"/>
        <w:snapToGrid w:val="0"/>
        <w:spacing w:line="600" w:lineRule="exact"/>
        <w:ind w:firstLine="642" w:firstLineChars="200"/>
        <w:jc w:val="both"/>
        <w:rPr>
          <w:rFonts w:hint="eastAsia" w:ascii="楷体" w:hAnsi="楷体" w:eastAsia="楷体" w:cs="楷体"/>
          <w:b/>
          <w:bCs/>
          <w:color w:val="000000" w:themeColor="text1"/>
          <w:sz w:val="32"/>
          <w:szCs w:val="32"/>
          <w:vertAlign w:val="baseline"/>
          <w14:textFill>
            <w14:solidFill>
              <w14:schemeClr w14:val="tx1"/>
            </w14:solidFill>
          </w14:textFill>
        </w:rPr>
      </w:pPr>
      <w:r>
        <w:rPr>
          <w:rFonts w:hint="eastAsia" w:ascii="楷体" w:hAnsi="楷体" w:eastAsia="楷体" w:cs="楷体"/>
          <w:b/>
          <w:bCs/>
          <w:color w:val="000000" w:themeColor="text1"/>
          <w:sz w:val="32"/>
          <w:szCs w:val="32"/>
          <w:vertAlign w:val="baseline"/>
          <w14:textFill>
            <w14:solidFill>
              <w14:schemeClr w14:val="tx1"/>
            </w14:solidFill>
          </w14:textFill>
        </w:rPr>
        <w:t>（四）机具参数设定</w:t>
      </w:r>
    </w:p>
    <w:p>
      <w:pPr>
        <w:numPr>
          <w:ilvl w:val="0"/>
          <w:numId w:val="0"/>
        </w:numPr>
        <w:adjustRightInd w:val="0"/>
        <w:snapToGrid w:val="0"/>
        <w:spacing w:line="600" w:lineRule="exact"/>
        <w:ind w:firstLine="642" w:firstLineChars="200"/>
        <w:jc w:val="both"/>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1.种植密度。</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根据品种特性、种植与收获模式，合理密植。行距应适于当地的种植与机收模式，株距由种植密度与行距确定。</w:t>
      </w:r>
      <w:r>
        <w:rPr>
          <w:rFonts w:ascii="仿宋_GB2312" w:hAnsi="仿宋_GB2312" w:eastAsia="仿宋_GB2312" w:cs="仿宋_GB2312"/>
          <w:b w:val="0"/>
          <w:bCs w:val="0"/>
          <w:color w:val="000000" w:themeColor="text1"/>
          <w:sz w:val="32"/>
          <w:szCs w:val="32"/>
          <w:vertAlign w:val="baseline"/>
          <w14:textFill>
            <w14:solidFill>
              <w14:schemeClr w14:val="tx1"/>
            </w14:solidFill>
          </w14:textFill>
        </w:rPr>
        <w:drawing>
          <wp:anchor distT="0" distB="0" distL="114300" distR="114300" simplePos="0" relativeHeight="251661312" behindDoc="0" locked="0" layoutInCell="1" allowOverlap="1">
            <wp:simplePos x="0" y="0"/>
            <wp:positionH relativeFrom="margin">
              <wp:posOffset>1390015</wp:posOffset>
            </wp:positionH>
            <wp:positionV relativeFrom="paragraph">
              <wp:posOffset>1202690</wp:posOffset>
            </wp:positionV>
            <wp:extent cx="2984500" cy="2238375"/>
            <wp:effectExtent l="0" t="0" r="6350" b="9525"/>
            <wp:wrapTopAndBottom/>
            <wp:docPr id="5" name="图片 5" descr="D:\Documents\WeChat Files\wxid_kp8mpor4lb8y41\FileStorage\Temp\34ad83ca24c6eadad37fc1b224e18c0.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D:\Documents\WeChat Files\wxid_kp8mpor4lb8y41\FileStorage\Temp\34ad83ca24c6eadad37fc1b224e18c0.jpg"/>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2984500" cy="2238375"/>
                    </a:xfrm>
                    <a:prstGeom prst="rect">
                      <a:avLst/>
                    </a:prstGeom>
                    <a:noFill/>
                    <a:ln>
                      <a:noFill/>
                    </a:ln>
                  </pic:spPr>
                </pic:pic>
              </a:graphicData>
            </a:graphic>
          </wp:anchor>
        </w:drawing>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配套滴灌水肥一体化设施且种植密度增加时，宜采用宽窄行（40 cm+80 cm）模式。玉米种植密度（株/亩）=666.7 m</w:t>
      </w:r>
      <w:r>
        <w:rPr>
          <w:rFonts w:hint="eastAsia" w:ascii="仿宋_GB2312" w:hAnsi="仿宋_GB2312" w:eastAsia="仿宋_GB2312" w:cs="仿宋_GB2312"/>
          <w:b w:val="0"/>
          <w:bCs w:val="0"/>
          <w:color w:val="000000" w:themeColor="text1"/>
          <w:sz w:val="32"/>
          <w:szCs w:val="32"/>
          <w:vertAlign w:val="superscript"/>
          <w14:textFill>
            <w14:solidFill>
              <w14:schemeClr w14:val="tx1"/>
            </w14:solidFill>
          </w14:textFill>
        </w:rPr>
        <w:t>2</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/（平均行距</w:t>
      </w:r>
      <w:r>
        <w:rPr>
          <w:rFonts w:hint="eastAsia" w:ascii="仿宋_GB2312" w:hAnsi="仿宋_GB2312" w:eastAsia="仿宋_GB2312" w:cs="仿宋_GB2312"/>
          <w:b w:val="0"/>
          <w:bCs w:val="0"/>
          <w:color w:val="000000" w:themeColor="text1"/>
          <w:sz w:val="32"/>
          <w:szCs w:val="32"/>
          <w:vertAlign w:val="baseli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vertAlign w:val="baseline"/>
          <w:lang w:val="en-US" w:eastAsia="zh-CN"/>
          <w14:textFill>
            <w14:solidFill>
              <w14:schemeClr w14:val="tx1"/>
            </w14:solidFill>
          </w14:textFill>
        </w:rPr>
        <w:t>m</w:t>
      </w:r>
      <w:r>
        <w:rPr>
          <w:rFonts w:hint="eastAsia" w:ascii="仿宋_GB2312" w:hAnsi="仿宋_GB2312" w:eastAsia="仿宋_GB2312" w:cs="仿宋_GB2312"/>
          <w:b w:val="0"/>
          <w:bCs w:val="0"/>
          <w:color w:val="000000" w:themeColor="text1"/>
          <w:sz w:val="32"/>
          <w:szCs w:val="32"/>
          <w:vertAlign w:val="baseli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×平均株距</w:t>
      </w:r>
      <w:r>
        <w:rPr>
          <w:rFonts w:hint="eastAsia" w:ascii="仿宋_GB2312" w:hAnsi="仿宋_GB2312" w:eastAsia="仿宋_GB2312" w:cs="仿宋_GB2312"/>
          <w:b w:val="0"/>
          <w:bCs w:val="0"/>
          <w:color w:val="000000" w:themeColor="text1"/>
          <w:sz w:val="32"/>
          <w:szCs w:val="32"/>
          <w:vertAlign w:val="baseline"/>
          <w:lang w:val="en-US" w:eastAsia="zh-CN"/>
          <w14:textFill>
            <w14:solidFill>
              <w14:schemeClr w14:val="tx1"/>
            </w14:solidFill>
          </w14:textFill>
        </w:rPr>
        <w:t>(（m）</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w:t>
      </w:r>
    </w:p>
    <w:p>
      <w:pPr>
        <w:adjustRightInd w:val="0"/>
        <w:snapToGrid w:val="0"/>
        <w:spacing w:line="600" w:lineRule="exact"/>
        <w:ind w:firstLine="640"/>
        <w:jc w:val="center"/>
        <w:rPr>
          <w:rFonts w:hint="eastAsia" w:ascii="仿宋_GB2312" w:hAnsi="仿宋_GB2312" w:eastAsia="仿宋_GB2312" w:cs="仿宋_GB2312"/>
          <w:b w:val="0"/>
          <w:bCs w:val="0"/>
          <w:color w:val="000000" w:themeColor="text1"/>
          <w:sz w:val="24"/>
          <w:szCs w:val="24"/>
          <w:vertAlign w:val="baseline"/>
          <w14:textFill>
            <w14:solidFill>
              <w14:schemeClr w14:val="tx1"/>
            </w14:solidFill>
          </w14:textFill>
        </w:rPr>
      </w:pPr>
      <w:r>
        <w:rPr>
          <w:rFonts w:hint="eastAsia" w:ascii="仿宋_GB2312" w:hAnsi="仿宋_GB2312" w:eastAsia="仿宋_GB2312" w:cs="仿宋_GB2312"/>
          <w:b w:val="0"/>
          <w:bCs w:val="0"/>
          <w:color w:val="000000" w:themeColor="text1"/>
          <w:sz w:val="24"/>
          <w:szCs w:val="24"/>
          <w:vertAlign w:val="baseline"/>
          <w14:textFill>
            <w14:solidFill>
              <w14:schemeClr w14:val="tx1"/>
            </w14:solidFill>
          </w14:textFill>
        </w:rPr>
        <w:t>图2 玉米</w:t>
      </w:r>
      <w:r>
        <w:rPr>
          <w:rFonts w:ascii="仿宋_GB2312" w:hAnsi="仿宋_GB2312" w:eastAsia="仿宋_GB2312" w:cs="仿宋_GB2312"/>
          <w:b w:val="0"/>
          <w:bCs w:val="0"/>
          <w:color w:val="000000" w:themeColor="text1"/>
          <w:sz w:val="24"/>
          <w:szCs w:val="24"/>
          <w:vertAlign w:val="baseline"/>
          <w14:textFill>
            <w14:solidFill>
              <w14:schemeClr w14:val="tx1"/>
            </w14:solidFill>
          </w14:textFill>
        </w:rPr>
        <w:t>种植密度与滴灌带铺设位置</w:t>
      </w:r>
    </w:p>
    <w:p>
      <w:pPr>
        <w:keepNext w:val="0"/>
        <w:keepLines w:val="0"/>
        <w:pageBreakBefore w:val="0"/>
        <w:widowControl w:val="0"/>
        <w:kinsoku/>
        <w:wordWrap/>
        <w:overflowPunct/>
        <w:topLinePunct w:val="0"/>
        <w:autoSpaceDE/>
        <w:autoSpaceDN/>
        <w:bidi w:val="0"/>
        <w:adjustRightInd w:val="0"/>
        <w:snapToGrid w:val="0"/>
        <w:spacing w:line="580" w:lineRule="exact"/>
        <w:ind w:firstLine="641"/>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2.播种深度。</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种子以播后覆土厚度3 cm～5 cm为宜，墒情好时可偏浅，墒情差时可偏深。</w:t>
      </w:r>
    </w:p>
    <w:p>
      <w:pPr>
        <w:keepNext w:val="0"/>
        <w:keepLines w:val="0"/>
        <w:pageBreakBefore w:val="0"/>
        <w:widowControl w:val="0"/>
        <w:kinsoku/>
        <w:wordWrap/>
        <w:overflowPunct/>
        <w:topLinePunct w:val="0"/>
        <w:autoSpaceDE/>
        <w:autoSpaceDN/>
        <w:bidi w:val="0"/>
        <w:adjustRightInd w:val="0"/>
        <w:snapToGrid w:val="0"/>
        <w:spacing w:line="580" w:lineRule="exact"/>
        <w:ind w:firstLine="641"/>
        <w:textAlignment w:val="auto"/>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ascii="仿宋_GB2312" w:hAnsi="仿宋_GB2312" w:eastAsia="仿宋_GB2312" w:cs="仿宋_GB2312"/>
          <w:b/>
          <w:bCs/>
          <w:color w:val="000000" w:themeColor="text1"/>
          <w:sz w:val="32"/>
          <w:szCs w:val="32"/>
          <w:vertAlign w:val="baseline"/>
          <w14:textFill>
            <w14:solidFill>
              <w14:schemeClr w14:val="tx1"/>
            </w14:solidFill>
          </w14:textFill>
        </w:rPr>
        <w:drawing>
          <wp:anchor distT="0" distB="0" distL="114300" distR="114300" simplePos="0" relativeHeight="251660288" behindDoc="0" locked="0" layoutInCell="1" allowOverlap="1">
            <wp:simplePos x="0" y="0"/>
            <wp:positionH relativeFrom="margin">
              <wp:posOffset>1396365</wp:posOffset>
            </wp:positionH>
            <wp:positionV relativeFrom="paragraph">
              <wp:posOffset>790575</wp:posOffset>
            </wp:positionV>
            <wp:extent cx="3114675" cy="2335530"/>
            <wp:effectExtent l="0" t="0" r="9525" b="7620"/>
            <wp:wrapTopAndBottom/>
            <wp:docPr id="4" name="图片 4" descr="F:\f\照片\20190815手机\IMG_20190627_094103.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F:\f\照片\20190815手机\IMG_20190627_094103.jpg"/>
                    <pic:cNvPicPr>
                      <a:picLocks noChangeAspect="true" noChangeArrowheads="true"/>
                    </pic:cNvPicPr>
                  </pic:nvPicPr>
                  <pic:blipFill>
                    <a:blip r:embed="rId7" cstate="print">
                      <a:extLst>
                        <a:ext uri="{28A0092B-C50C-407E-A947-70E740481C1C}">
                          <a14:useLocalDpi xmlns:a14="http://schemas.microsoft.com/office/drawing/2010/main" val="false"/>
                        </a:ext>
                      </a:extLst>
                    </a:blip>
                    <a:srcRect/>
                    <a:stretch>
                      <a:fillRect/>
                    </a:stretch>
                  </pic:blipFill>
                  <pic:spPr>
                    <a:xfrm>
                      <a:off x="0" y="0"/>
                      <a:ext cx="3114675" cy="2335530"/>
                    </a:xfrm>
                    <a:prstGeom prst="rect">
                      <a:avLst/>
                    </a:prstGeom>
                    <a:noFill/>
                    <a:ln>
                      <a:noFill/>
                    </a:ln>
                  </pic:spPr>
                </pic:pic>
              </a:graphicData>
            </a:graphic>
          </wp:anchor>
        </w:drawing>
      </w: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3.施肥位置。</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参考播种深度，将肥料施于种子垂直距离5 cm～6 cm以下，横向间距7 cm以上的位置。</w:t>
      </w:r>
    </w:p>
    <w:p>
      <w:pPr>
        <w:adjustRightInd w:val="0"/>
        <w:snapToGrid w:val="0"/>
        <w:spacing w:line="600" w:lineRule="exact"/>
        <w:ind w:firstLine="640"/>
        <w:jc w:val="center"/>
        <w:rPr>
          <w:rFonts w:hint="eastAsia" w:ascii="仿宋_GB2312" w:hAnsi="仿宋_GB2312" w:eastAsia="仿宋_GB2312" w:cs="仿宋_GB2312"/>
          <w:b w:val="0"/>
          <w:bCs w:val="0"/>
          <w:color w:val="000000" w:themeColor="text1"/>
          <w:sz w:val="24"/>
          <w:szCs w:val="24"/>
          <w:vertAlign w:val="baseline"/>
          <w14:textFill>
            <w14:solidFill>
              <w14:schemeClr w14:val="tx1"/>
            </w14:solidFill>
          </w14:textFill>
        </w:rPr>
      </w:pPr>
      <w:r>
        <w:rPr>
          <w:rFonts w:hint="eastAsia" w:ascii="仿宋_GB2312" w:hAnsi="仿宋_GB2312" w:eastAsia="仿宋_GB2312" w:cs="仿宋_GB2312"/>
          <w:b w:val="0"/>
          <w:bCs w:val="0"/>
          <w:color w:val="000000" w:themeColor="text1"/>
          <w:sz w:val="24"/>
          <w:szCs w:val="24"/>
          <w:vertAlign w:val="baseline"/>
          <w14:textFill>
            <w14:solidFill>
              <w14:schemeClr w14:val="tx1"/>
            </w14:solidFill>
          </w14:textFill>
        </w:rPr>
        <w:t>图</w:t>
      </w:r>
      <w:r>
        <w:rPr>
          <w:rFonts w:ascii="仿宋_GB2312" w:hAnsi="仿宋_GB2312" w:eastAsia="仿宋_GB2312" w:cs="仿宋_GB2312"/>
          <w:b w:val="0"/>
          <w:bCs w:val="0"/>
          <w:color w:val="000000" w:themeColor="text1"/>
          <w:sz w:val="24"/>
          <w:szCs w:val="24"/>
          <w:vertAlign w:val="baseline"/>
          <w14:textFill>
            <w14:solidFill>
              <w14:schemeClr w14:val="tx1"/>
            </w14:solidFill>
          </w14:textFill>
        </w:rPr>
        <w:t>3</w:t>
      </w:r>
      <w:r>
        <w:rPr>
          <w:rFonts w:hint="eastAsia" w:ascii="仿宋_GB2312" w:hAnsi="仿宋_GB2312" w:eastAsia="仿宋_GB2312" w:cs="仿宋_GB2312"/>
          <w:b w:val="0"/>
          <w:bCs w:val="0"/>
          <w:color w:val="000000" w:themeColor="text1"/>
          <w:sz w:val="24"/>
          <w:szCs w:val="24"/>
          <w:vertAlign w:val="baseline"/>
          <w14:textFill>
            <w14:solidFill>
              <w14:schemeClr w14:val="tx1"/>
            </w14:solidFill>
          </w14:textFill>
        </w:rPr>
        <w:t xml:space="preserve"> 玉米</w:t>
      </w:r>
      <w:r>
        <w:rPr>
          <w:rFonts w:ascii="仿宋_GB2312" w:hAnsi="仿宋_GB2312" w:eastAsia="仿宋_GB2312" w:cs="仿宋_GB2312"/>
          <w:b w:val="0"/>
          <w:bCs w:val="0"/>
          <w:color w:val="000000" w:themeColor="text1"/>
          <w:sz w:val="24"/>
          <w:szCs w:val="24"/>
          <w:vertAlign w:val="baseline"/>
          <w14:textFill>
            <w14:solidFill>
              <w14:schemeClr w14:val="tx1"/>
            </w14:solidFill>
          </w14:textFill>
        </w:rPr>
        <w:t>根系</w:t>
      </w:r>
      <w:r>
        <w:rPr>
          <w:rFonts w:hint="eastAsia" w:ascii="仿宋_GB2312" w:hAnsi="仿宋_GB2312" w:eastAsia="仿宋_GB2312" w:cs="仿宋_GB2312"/>
          <w:b w:val="0"/>
          <w:bCs w:val="0"/>
          <w:color w:val="000000" w:themeColor="text1"/>
          <w:sz w:val="24"/>
          <w:szCs w:val="24"/>
          <w:vertAlign w:val="baseline"/>
          <w14:textFill>
            <w14:solidFill>
              <w14:schemeClr w14:val="tx1"/>
            </w14:solidFill>
          </w14:textFill>
        </w:rPr>
        <w:t>分布</w:t>
      </w:r>
    </w:p>
    <w:p>
      <w:pPr>
        <w:snapToGrid w:val="0"/>
        <w:spacing w:line="560" w:lineRule="exact"/>
        <w:ind w:firstLine="642" w:firstLineChars="200"/>
        <w:rPr>
          <w:rFonts w:hint="eastAsia" w:ascii="楷体" w:hAnsi="楷体" w:eastAsia="楷体" w:cs="楷体"/>
          <w:b/>
          <w:bCs/>
          <w:color w:val="000000" w:themeColor="text1"/>
          <w:sz w:val="32"/>
          <w:szCs w:val="32"/>
          <w:vertAlign w:val="baseline"/>
          <w14:textFill>
            <w14:solidFill>
              <w14:schemeClr w14:val="tx1"/>
            </w14:solidFill>
          </w14:textFill>
        </w:rPr>
      </w:pPr>
      <w:r>
        <w:rPr>
          <w:rFonts w:hint="eastAsia" w:ascii="楷体" w:hAnsi="楷体" w:eastAsia="楷体" w:cs="楷体"/>
          <w:b/>
          <w:bCs/>
          <w:color w:val="000000" w:themeColor="text1"/>
          <w:sz w:val="32"/>
          <w:szCs w:val="32"/>
          <w:vertAlign w:val="baseline"/>
          <w14:textFill>
            <w14:solidFill>
              <w14:schemeClr w14:val="tx1"/>
            </w14:solidFill>
          </w14:textFill>
        </w:rPr>
        <w:t>（五）作业</w:t>
      </w:r>
    </w:p>
    <w:p>
      <w:pPr>
        <w:adjustRightInd w:val="0"/>
        <w:snapToGrid w:val="0"/>
        <w:spacing w:line="600" w:lineRule="exact"/>
        <w:ind w:firstLine="640"/>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1.作业准备。</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根据种植密度、播种面积，确定玉米种子与肥料用量；并将机具调整到确定的种子、肥料单位用量。</w:t>
      </w:r>
    </w:p>
    <w:p>
      <w:pPr>
        <w:adjustRightInd w:val="0"/>
        <w:snapToGrid w:val="0"/>
        <w:spacing w:line="600" w:lineRule="exact"/>
        <w:ind w:firstLine="640"/>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2.试作业。</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按照种肥同播机具使用说明设定的机速进行试播种（肥），考察播种密度、施肥量等是否符合预设目标。</w:t>
      </w:r>
    </w:p>
    <w:p>
      <w:pPr>
        <w:adjustRightInd w:val="0"/>
        <w:snapToGrid w:val="0"/>
        <w:spacing w:line="600" w:lineRule="exact"/>
        <w:ind w:firstLine="640"/>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3.作业调整。</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根据试作业排种（肥）株距、行距、均匀程度与播种（肥）深度，调整种肥同播机具参数，直至符合要求为止。若因田块平整度、前茬秸秆还田量等因素影响排种（肥）质量，宜旋耕后再行种肥同播作业。</w:t>
      </w:r>
    </w:p>
    <w:p>
      <w:pPr>
        <w:adjustRightInd w:val="0"/>
        <w:snapToGrid w:val="0"/>
        <w:spacing w:line="600" w:lineRule="exact"/>
        <w:ind w:firstLine="640"/>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bCs/>
          <w:color w:val="000000" w:themeColor="text1"/>
          <w:sz w:val="32"/>
          <w:szCs w:val="32"/>
          <w:vertAlign w:val="baseline"/>
          <w14:textFill>
            <w14:solidFill>
              <w14:schemeClr w14:val="tx1"/>
            </w14:solidFill>
          </w14:textFill>
        </w:rPr>
        <w:t>4.作业。</w:t>
      </w: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按照设定的参数与机速进行种肥同播作业。作业时掌握方向，使种植各行平行一致。同时，应注意测观察机具，如有堆土、堵塞或秸秆缠绕应及时清理疏通。中途停车时，应退后1 m～2 m 再前行播种，避免漏播。</w:t>
      </w:r>
    </w:p>
    <w:p>
      <w:pPr>
        <w:adjustRightInd w:val="0"/>
        <w:snapToGrid w:val="0"/>
        <w:spacing w:line="600" w:lineRule="exact"/>
        <w:ind w:firstLine="640"/>
        <w:rPr>
          <w:rFonts w:hint="eastAsia" w:ascii="黑体" w:hAnsi="黑体" w:eastAsia="黑体" w:cs="黑体"/>
          <w:b w:val="0"/>
          <w:bCs w:val="0"/>
          <w:color w:val="000000" w:themeColor="text1"/>
          <w:sz w:val="32"/>
          <w:szCs w:val="32"/>
          <w:vertAlign w:val="baseline"/>
          <w14:textFill>
            <w14:solidFill>
              <w14:schemeClr w14:val="tx1"/>
            </w14:solidFill>
          </w14:textFill>
        </w:rPr>
      </w:pPr>
      <w:r>
        <w:rPr>
          <w:rFonts w:hint="eastAsia" w:ascii="黑体" w:hAnsi="黑体" w:eastAsia="黑体" w:cs="黑体"/>
          <w:b w:val="0"/>
          <w:bCs w:val="0"/>
          <w:color w:val="000000" w:themeColor="text1"/>
          <w:sz w:val="32"/>
          <w:szCs w:val="32"/>
          <w:vertAlign w:val="baseline"/>
          <w14:textFill>
            <w14:solidFill>
              <w14:schemeClr w14:val="tx1"/>
            </w14:solidFill>
          </w14:textFill>
        </w:rPr>
        <w:t>三、适宜区域</w:t>
      </w:r>
    </w:p>
    <w:p>
      <w:pPr>
        <w:adjustRightInd w:val="0"/>
        <w:snapToGrid w:val="0"/>
        <w:spacing w:line="600" w:lineRule="exact"/>
        <w:ind w:firstLine="640"/>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河南省夏玉米种植区。</w:t>
      </w:r>
    </w:p>
    <w:p>
      <w:pPr>
        <w:adjustRightInd w:val="0"/>
        <w:snapToGrid w:val="0"/>
        <w:spacing w:line="600" w:lineRule="exact"/>
        <w:ind w:firstLine="640"/>
        <w:rPr>
          <w:rFonts w:hint="eastAsia" w:ascii="黑体" w:hAnsi="黑体" w:eastAsia="黑体" w:cs="黑体"/>
          <w:b w:val="0"/>
          <w:bCs w:val="0"/>
          <w:color w:val="000000" w:themeColor="text1"/>
          <w:sz w:val="32"/>
          <w:szCs w:val="32"/>
          <w:vertAlign w:val="baseline"/>
          <w14:textFill>
            <w14:solidFill>
              <w14:schemeClr w14:val="tx1"/>
            </w14:solidFill>
          </w14:textFill>
        </w:rPr>
      </w:pPr>
      <w:r>
        <w:rPr>
          <w:rFonts w:hint="eastAsia" w:ascii="黑体" w:hAnsi="黑体" w:eastAsia="黑体" w:cs="黑体"/>
          <w:b w:val="0"/>
          <w:bCs w:val="0"/>
          <w:color w:val="000000" w:themeColor="text1"/>
          <w:sz w:val="32"/>
          <w:szCs w:val="32"/>
          <w:vertAlign w:val="baseline"/>
          <w14:textFill>
            <w14:solidFill>
              <w14:schemeClr w14:val="tx1"/>
            </w14:solidFill>
          </w14:textFill>
        </w:rPr>
        <w:t>四、注意事项</w:t>
      </w:r>
    </w:p>
    <w:p>
      <w:pPr>
        <w:spacing w:line="600" w:lineRule="exact"/>
        <w:ind w:firstLine="640" w:firstLineChars="200"/>
        <w:rPr>
          <w:rFonts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t>施用技术应根据生产实践进行选择，或因地制宜进行一定的调整。具体田块应结合实际土壤耕性、土壤肥力、灌排条件等确定肥料品种、施肥机具与施肥技术；施肥配方应结合基础地力情况进行大配方小调整。在连年推广应用技术的情况下，应注意农业生产动态变化，适时调整方向和侧重点。</w:t>
      </w:r>
    </w:p>
    <w:p>
      <w:pPr>
        <w:snapToGrid w:val="0"/>
        <w:spacing w:line="560" w:lineRule="exact"/>
        <w:ind w:firstLine="640" w:firstLineChars="200"/>
        <w:rPr>
          <w:rFonts w:hint="eastAsia" w:ascii="黑体" w:hAnsi="黑体" w:eastAsia="黑体" w:cs="黑体"/>
          <w:b w:val="0"/>
          <w:bCs w:val="0"/>
          <w:color w:val="000000" w:themeColor="text1"/>
          <w:sz w:val="32"/>
          <w:szCs w:val="32"/>
          <w:vertAlign w:val="baseline"/>
          <w14:textFill>
            <w14:solidFill>
              <w14:schemeClr w14:val="tx1"/>
            </w14:solidFill>
          </w14:textFill>
        </w:rPr>
      </w:pPr>
      <w:r>
        <w:rPr>
          <w:rFonts w:hint="eastAsia" w:ascii="黑体" w:hAnsi="黑体" w:eastAsia="黑体" w:cs="黑体"/>
          <w:b w:val="0"/>
          <w:bCs w:val="0"/>
          <w:color w:val="000000" w:themeColor="text1"/>
          <w:sz w:val="32"/>
          <w:szCs w:val="32"/>
          <w:vertAlign w:val="baseline"/>
          <w14:textFill>
            <w14:solidFill>
              <w14:schemeClr w14:val="tx1"/>
            </w14:solidFill>
          </w14:textFill>
        </w:rPr>
        <w:t>五、技术依托单位</w:t>
      </w:r>
    </w:p>
    <w:p>
      <w:pPr>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left="0" w:leftChars="0" w:firstLine="640" w:firstLineChars="200"/>
        <w:jc w:val="left"/>
        <w:textAlignment w:val="auto"/>
        <w:rPr>
          <w:rFonts w:hint="default" w:ascii="仿宋_GB2312" w:hAnsi="仿宋_GB2312" w:eastAsia="仿宋_GB2312" w:cs="仿宋_GB2312"/>
          <w:b w:val="0"/>
          <w:bCs w:val="0"/>
          <w:color w:val="auto"/>
          <w:kern w:val="2"/>
          <w:sz w:val="32"/>
          <w:szCs w:val="32"/>
          <w:lang w:val="en" w:eastAsia="zh-CN"/>
        </w:rPr>
      </w:pPr>
      <w:r>
        <w:rPr>
          <w:rFonts w:hint="eastAsia" w:ascii="仿宋_GB2312" w:hAnsi="仿宋_GB2312" w:eastAsia="仿宋_GB2312" w:cs="仿宋_GB2312"/>
          <w:b w:val="0"/>
          <w:bCs w:val="0"/>
          <w:color w:val="auto"/>
          <w:kern w:val="2"/>
          <w:sz w:val="32"/>
          <w:szCs w:val="32"/>
          <w:lang w:val="en-US" w:eastAsia="zh-CN"/>
        </w:rPr>
        <w:t>单位名称：河南省土壤肥料站、河南省玉米产业技术体系、河南省耕地保育产业技术体系</w:t>
      </w:r>
      <w:bookmarkStart w:id="1" w:name="_GoBack"/>
      <w:bookmarkEnd w:id="1"/>
    </w:p>
    <w:p>
      <w:pPr>
        <w:pStyle w:val="10"/>
        <w:keepNext w:val="0"/>
        <w:keepLines w:val="0"/>
        <w:pageBreakBefore w:val="0"/>
        <w:widowControl w:val="0"/>
        <w:kinsoku/>
        <w:wordWrap/>
        <w:overflowPunct/>
        <w:topLinePunct/>
        <w:autoSpaceDE/>
        <w:autoSpaceDN/>
        <w:bidi w:val="0"/>
        <w:adjustRightInd w:val="0"/>
        <w:snapToGrid w:val="0"/>
        <w:spacing w:before="0" w:beforeAutospacing="0" w:after="0" w:afterAutospacing="0" w:line="560" w:lineRule="exact"/>
        <w:ind w:left="0" w:leftChars="0" w:firstLine="640" w:firstLineChars="200"/>
        <w:jc w:val="left"/>
        <w:textAlignment w:val="auto"/>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kern w:val="2"/>
          <w:sz w:val="32"/>
          <w:szCs w:val="32"/>
          <w:lang w:val="en-US" w:eastAsia="zh-CN"/>
        </w:rPr>
        <w:t>联系人：</w:t>
      </w:r>
      <w:r>
        <w:rPr>
          <w:rFonts w:hint="eastAsia" w:ascii="仿宋_GB2312" w:hAnsi="仿宋_GB2312" w:eastAsia="仿宋_GB2312" w:cs="仿宋_GB2312"/>
          <w:color w:val="auto"/>
          <w:sz w:val="32"/>
          <w:szCs w:val="32"/>
        </w:rPr>
        <w:t>闫军营</w:t>
      </w:r>
    </w:p>
    <w:p>
      <w:pPr>
        <w:pStyle w:val="10"/>
        <w:keepNext w:val="0"/>
        <w:keepLines w:val="0"/>
        <w:pageBreakBefore w:val="0"/>
        <w:widowControl w:val="0"/>
        <w:kinsoku/>
        <w:wordWrap/>
        <w:overflowPunct/>
        <w:topLinePunct/>
        <w:autoSpaceDE/>
        <w:autoSpaceDN/>
        <w:bidi w:val="0"/>
        <w:adjustRightInd w:val="0"/>
        <w:snapToGrid w:val="0"/>
        <w:spacing w:before="0" w:beforeAutospacing="0" w:after="0" w:afterAutospacing="0" w:line="560" w:lineRule="exact"/>
        <w:ind w:left="0" w:leftChars="0" w:firstLine="640" w:firstLineChars="200"/>
        <w:jc w:val="left"/>
        <w:textAlignment w:val="auto"/>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kern w:val="2"/>
          <w:sz w:val="32"/>
          <w:szCs w:val="32"/>
          <w:lang w:val="en-US" w:eastAsia="zh-CN"/>
        </w:rPr>
        <w:t>联系电话：</w:t>
      </w:r>
      <w:r>
        <w:rPr>
          <w:rFonts w:hint="eastAsia" w:ascii="仿宋_GB2312" w:hAnsi="仿宋_GB2312" w:eastAsia="仿宋_GB2312" w:cs="仿宋_GB2312"/>
          <w:color w:val="auto"/>
          <w:sz w:val="32"/>
          <w:szCs w:val="32"/>
        </w:rPr>
        <w:t>0371-65917972</w:t>
      </w:r>
    </w:p>
    <w:p>
      <w:pPr>
        <w:spacing w:line="600" w:lineRule="exact"/>
        <w:ind w:firstLine="640" w:firstLineChars="200"/>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pPr>
    </w:p>
    <w:sectPr>
      <w:footerReference r:id="rId3" w:type="default"/>
      <w:pgSz w:w="11906" w:h="16838"/>
      <w:pgMar w:top="1701" w:right="136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_GB2312">
    <w:altName w:val="URW Bookman"/>
    <w:panose1 w:val="00000000000000000000"/>
    <w:charset w:val="00"/>
    <w:family w:val="auto"/>
    <w:pitch w:val="default"/>
    <w:sig w:usb0="00000000" w:usb1="00000000" w:usb2="00000000" w:usb3="00000000" w:csb0="00000001"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URW Bookman">
    <w:panose1 w:val="00000400000000000000"/>
    <w:charset w:val="00"/>
    <w:family w:val="auto"/>
    <w:pitch w:val="default"/>
    <w:sig w:usb0="00000287" w:usb1="00000800" w:usb2="00000000" w:usb3="00000000" w:csb0="6000009F"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8</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5ZGViOWU4MzcwMTFlYWJkZmVmNjk1M2YxYzFhNTQifQ=="/>
  </w:docVars>
  <w:rsids>
    <w:rsidRoot w:val="006B7BA4"/>
    <w:rsid w:val="000149D3"/>
    <w:rsid w:val="00031986"/>
    <w:rsid w:val="0003708E"/>
    <w:rsid w:val="00071AF4"/>
    <w:rsid w:val="000B587D"/>
    <w:rsid w:val="001101E1"/>
    <w:rsid w:val="00133B52"/>
    <w:rsid w:val="0014186C"/>
    <w:rsid w:val="00172885"/>
    <w:rsid w:val="0018691B"/>
    <w:rsid w:val="00194456"/>
    <w:rsid w:val="0019766E"/>
    <w:rsid w:val="001A738E"/>
    <w:rsid w:val="001D43ED"/>
    <w:rsid w:val="00203D81"/>
    <w:rsid w:val="00211E38"/>
    <w:rsid w:val="002331A6"/>
    <w:rsid w:val="00236C01"/>
    <w:rsid w:val="002744B7"/>
    <w:rsid w:val="0027459C"/>
    <w:rsid w:val="00300008"/>
    <w:rsid w:val="00326D6E"/>
    <w:rsid w:val="003404A6"/>
    <w:rsid w:val="003455DB"/>
    <w:rsid w:val="00357C56"/>
    <w:rsid w:val="003D689F"/>
    <w:rsid w:val="0044257D"/>
    <w:rsid w:val="00455763"/>
    <w:rsid w:val="0049612C"/>
    <w:rsid w:val="004B0102"/>
    <w:rsid w:val="004C7BA3"/>
    <w:rsid w:val="004E08CF"/>
    <w:rsid w:val="004E74A4"/>
    <w:rsid w:val="005131B1"/>
    <w:rsid w:val="0055224F"/>
    <w:rsid w:val="00556616"/>
    <w:rsid w:val="005666CC"/>
    <w:rsid w:val="005A0465"/>
    <w:rsid w:val="005C3936"/>
    <w:rsid w:val="006040FC"/>
    <w:rsid w:val="00622289"/>
    <w:rsid w:val="00626670"/>
    <w:rsid w:val="006327E9"/>
    <w:rsid w:val="00662248"/>
    <w:rsid w:val="00665653"/>
    <w:rsid w:val="00675862"/>
    <w:rsid w:val="006851AD"/>
    <w:rsid w:val="00693811"/>
    <w:rsid w:val="006B3D34"/>
    <w:rsid w:val="006B7BA4"/>
    <w:rsid w:val="006D47EA"/>
    <w:rsid w:val="00701788"/>
    <w:rsid w:val="0071042A"/>
    <w:rsid w:val="0072668F"/>
    <w:rsid w:val="007358DA"/>
    <w:rsid w:val="00740931"/>
    <w:rsid w:val="00766693"/>
    <w:rsid w:val="007871BA"/>
    <w:rsid w:val="00790FC1"/>
    <w:rsid w:val="00793393"/>
    <w:rsid w:val="007960DC"/>
    <w:rsid w:val="007B501B"/>
    <w:rsid w:val="007B57BB"/>
    <w:rsid w:val="007C7F84"/>
    <w:rsid w:val="00813760"/>
    <w:rsid w:val="00832DD1"/>
    <w:rsid w:val="00874E72"/>
    <w:rsid w:val="00882700"/>
    <w:rsid w:val="0089532C"/>
    <w:rsid w:val="0089704E"/>
    <w:rsid w:val="008C0116"/>
    <w:rsid w:val="008D353C"/>
    <w:rsid w:val="008E678D"/>
    <w:rsid w:val="009676F5"/>
    <w:rsid w:val="00970C23"/>
    <w:rsid w:val="009857FC"/>
    <w:rsid w:val="00993195"/>
    <w:rsid w:val="009A17F0"/>
    <w:rsid w:val="009A5D3A"/>
    <w:rsid w:val="009C4F3B"/>
    <w:rsid w:val="00A15880"/>
    <w:rsid w:val="00A24DAD"/>
    <w:rsid w:val="00A6729B"/>
    <w:rsid w:val="00AC1D0F"/>
    <w:rsid w:val="00AC24EA"/>
    <w:rsid w:val="00AF3B67"/>
    <w:rsid w:val="00B7407F"/>
    <w:rsid w:val="00BA7AEC"/>
    <w:rsid w:val="00C450B1"/>
    <w:rsid w:val="00C45B08"/>
    <w:rsid w:val="00C6275F"/>
    <w:rsid w:val="00C72D8D"/>
    <w:rsid w:val="00C91A28"/>
    <w:rsid w:val="00CA3D63"/>
    <w:rsid w:val="00CA40DE"/>
    <w:rsid w:val="00CB34F2"/>
    <w:rsid w:val="00CD276C"/>
    <w:rsid w:val="00CD2CFA"/>
    <w:rsid w:val="00CF4FD1"/>
    <w:rsid w:val="00D11877"/>
    <w:rsid w:val="00D243D2"/>
    <w:rsid w:val="00D71A49"/>
    <w:rsid w:val="00D808D1"/>
    <w:rsid w:val="00DB21B6"/>
    <w:rsid w:val="00DC52D3"/>
    <w:rsid w:val="00DD0D75"/>
    <w:rsid w:val="00DF1354"/>
    <w:rsid w:val="00DF37B9"/>
    <w:rsid w:val="00DF7A3A"/>
    <w:rsid w:val="00E16930"/>
    <w:rsid w:val="00E26CF7"/>
    <w:rsid w:val="00E4023B"/>
    <w:rsid w:val="00E54AE6"/>
    <w:rsid w:val="00E6070B"/>
    <w:rsid w:val="00E87823"/>
    <w:rsid w:val="00EC7C01"/>
    <w:rsid w:val="00EF74F8"/>
    <w:rsid w:val="00F152A7"/>
    <w:rsid w:val="00F27AE4"/>
    <w:rsid w:val="00F42744"/>
    <w:rsid w:val="00F45AA3"/>
    <w:rsid w:val="00F474B9"/>
    <w:rsid w:val="00F61AF2"/>
    <w:rsid w:val="00F7539B"/>
    <w:rsid w:val="00FB586B"/>
    <w:rsid w:val="00FF2B5D"/>
    <w:rsid w:val="11541239"/>
    <w:rsid w:val="1E85162E"/>
    <w:rsid w:val="1FFD7117"/>
    <w:rsid w:val="51122473"/>
    <w:rsid w:val="57BCEB02"/>
    <w:rsid w:val="5FFF3EC1"/>
    <w:rsid w:val="7B7BA7D0"/>
    <w:rsid w:val="BBFF21D5"/>
    <w:rsid w:val="BF7F73BD"/>
    <w:rsid w:val="C1F7051C"/>
    <w:rsid w:val="C6BDBE41"/>
    <w:rsid w:val="DAFFB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unhideWhenUsed/>
    <w:qFormat/>
    <w:uiPriority w:val="99"/>
    <w:pPr>
      <w:spacing w:after="120"/>
      <w:ind w:firstLine="420" w:firstLineChars="100"/>
    </w:pPr>
    <w:rPr>
      <w:sz w:val="21"/>
    </w:rPr>
  </w:style>
  <w:style w:type="paragraph" w:styleId="3">
    <w:name w:val="Body Text"/>
    <w:basedOn w:val="1"/>
    <w:next w:val="4"/>
    <w:qFormat/>
    <w:uiPriority w:val="0"/>
    <w:rPr>
      <w:rFonts w:eastAsia="仿宋_GB2312"/>
      <w:sz w:val="30"/>
    </w:rPr>
  </w:style>
  <w:style w:type="paragraph" w:customStyle="1" w:styleId="4">
    <w:name w:val="Default"/>
    <w:basedOn w:val="1"/>
    <w:qFormat/>
    <w:uiPriority w:val="99"/>
    <w:pPr>
      <w:widowControl/>
      <w:autoSpaceDE w:val="0"/>
      <w:autoSpaceDN w:val="0"/>
      <w:adjustRightInd w:val="0"/>
      <w:spacing w:after="160" w:line="259" w:lineRule="auto"/>
      <w:jc w:val="left"/>
    </w:pPr>
    <w:rPr>
      <w:rFonts w:ascii="??_GB2312" w:hAnsi="Calibri" w:eastAsia="Times New Roman" w:cs="??_GB2312"/>
      <w:color w:val="000000"/>
      <w:kern w:val="0"/>
      <w:sz w:val="24"/>
    </w:rPr>
  </w:style>
  <w:style w:type="paragraph" w:styleId="5">
    <w:name w:val="Body Text First Indent 2"/>
    <w:basedOn w:val="6"/>
    <w:next w:val="2"/>
    <w:qFormat/>
    <w:uiPriority w:val="99"/>
    <w:pPr>
      <w:widowControl w:val="0"/>
      <w:spacing w:before="100" w:beforeAutospacing="1" w:after="120" w:line="240" w:lineRule="auto"/>
      <w:ind w:left="0" w:leftChars="200" w:firstLine="420" w:firstLineChars="20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99"/>
    <w:pPr>
      <w:ind w:firstLine="720" w:firstLineChars="200"/>
      <w:jc w:val="center"/>
    </w:pPr>
    <w:rPr>
      <w:rFonts w:ascii="黑体" w:eastAsia="黑体"/>
      <w:sz w:val="36"/>
    </w:rPr>
  </w:style>
  <w:style w:type="paragraph" w:styleId="7">
    <w:name w:val="index 7"/>
    <w:basedOn w:val="1"/>
    <w:next w:val="1"/>
    <w:qFormat/>
    <w:uiPriority w:val="99"/>
    <w:pPr>
      <w:ind w:left="252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eastAsia="宋体" w:cs="宋体"/>
      <w:color w:val="000000"/>
      <w:kern w:val="0"/>
      <w:sz w:val="24"/>
      <w:szCs w:val="24"/>
    </w:rPr>
  </w:style>
  <w:style w:type="table" w:styleId="12">
    <w:name w:val="Table Grid"/>
    <w:basedOn w:val="11"/>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563C1" w:themeColor="hyperlink"/>
      <w:u w:val="single"/>
      <w14:textFill>
        <w14:solidFill>
          <w14:schemeClr w14:val="hlink"/>
        </w14:solidFill>
      </w14:textFill>
    </w:rPr>
  </w:style>
  <w:style w:type="paragraph" w:customStyle="1" w:styleId="15">
    <w:name w:val="列表段落1"/>
    <w:basedOn w:val="1"/>
    <w:qFormat/>
    <w:uiPriority w:val="0"/>
    <w:pPr>
      <w:ind w:firstLine="420" w:firstLineChars="200"/>
    </w:pPr>
    <w:rPr>
      <w:rFonts w:ascii="Times New Roman" w:hAnsi="Times New Roman" w:eastAsia="宋体" w:cs="Times New Roman"/>
      <w:szCs w:val="24"/>
    </w:rPr>
  </w:style>
  <w:style w:type="character" w:customStyle="1" w:styleId="16">
    <w:name w:val="页眉 字符"/>
    <w:basedOn w:val="13"/>
    <w:link w:val="9"/>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2508</Words>
  <Characters>2691</Characters>
  <Lines>20</Lines>
  <Paragraphs>5</Paragraphs>
  <TotalTime>12</TotalTime>
  <ScaleCrop>false</ScaleCrop>
  <LinksUpToDate>false</LinksUpToDate>
  <CharactersWithSpaces>2716</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2024-10-23T17:42:00Z</dcterms:created>
  <dc:creator>Administrator.USER-20221015PE</dc:creator>
  <cp:lastModifiedBy>huanghe</cp:lastModifiedBy>
  <dcterms:modified xsi:type="dcterms:W3CDTF">2025-07-24T08:55:59Z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00F138567528427289CFF9BBF0BF0F78</vt:lpwstr>
  </property>
  <property fmtid="{D5CDD505-2E9C-101B-9397-08002B2CF9AE}" pid="4" name="KSOTemplateDocerSaveRecord">
    <vt:lpwstr>eyJoZGlkIjoiYjkxNmY3YTQ5N2VmNDljYzg2ODE4YzQxZmNlMjU3NWUiLCJ1c2VySWQiOiI1MzQ0MDExMjQifQ==</vt:lpwstr>
  </property>
</Properties>
</file>