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2072A3">
      <w:pPr>
        <w:snapToGrid w:val="0"/>
        <w:spacing w:line="640" w:lineRule="exact"/>
        <w:ind w:firstLine="560" w:firstLineChars="200"/>
        <w:rPr>
          <w:rFonts w:ascii="Times New Roman" w:hAnsi="Times New Roman" w:eastAsia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3D15A9F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0" w:firstLineChars="0"/>
        <w:jc w:val="center"/>
        <w:textAlignment w:val="auto"/>
        <w:rPr>
          <w:rFonts w:hint="eastAsia" w:ascii="仿宋_GB2312" w:hAnsi="仿宋_GB2312" w:eastAsia="方正小标宋简体" w:cs="方正小标宋简体"/>
          <w:b w:val="0"/>
          <w:kern w:val="2"/>
          <w:sz w:val="44"/>
          <w:szCs w:val="44"/>
        </w:rPr>
      </w:pPr>
      <w:r>
        <w:rPr>
          <w:rFonts w:hint="eastAsia" w:ascii="仿宋_GB2312" w:hAnsi="仿宋_GB2312" w:eastAsia="方正小标宋简体" w:cs="方正小标宋简体"/>
          <w:b w:val="0"/>
          <w:kern w:val="2"/>
          <w:sz w:val="44"/>
          <w:szCs w:val="44"/>
        </w:rPr>
        <w:t>优质小麦—玉米水肥一体</w:t>
      </w:r>
    </w:p>
    <w:p w14:paraId="3E7B3855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0" w:firstLineChars="0"/>
        <w:jc w:val="center"/>
        <w:textAlignment w:val="auto"/>
        <w:rPr>
          <w:rFonts w:hint="eastAsia" w:ascii="仿宋_GB2312" w:hAnsi="仿宋_GB2312" w:eastAsia="方正小标宋简体" w:cs="方正小标宋简体"/>
          <w:b w:val="0"/>
          <w:kern w:val="2"/>
          <w:sz w:val="44"/>
          <w:szCs w:val="44"/>
        </w:rPr>
      </w:pPr>
      <w:r>
        <w:rPr>
          <w:rFonts w:hint="eastAsia" w:ascii="仿宋_GB2312" w:hAnsi="仿宋_GB2312" w:eastAsia="方正小标宋简体" w:cs="方正小标宋简体"/>
          <w:b w:val="0"/>
          <w:kern w:val="2"/>
          <w:sz w:val="44"/>
          <w:szCs w:val="44"/>
        </w:rPr>
        <w:t>精准调控绿色丰产高效技术</w:t>
      </w:r>
    </w:p>
    <w:p w14:paraId="7CDF0165">
      <w:pPr>
        <w:adjustRightInd w:val="0"/>
        <w:snapToGrid w:val="0"/>
        <w:spacing w:line="640" w:lineRule="exact"/>
        <w:ind w:firstLine="640" w:firstLineChars="200"/>
        <w:rPr>
          <w:rFonts w:ascii="Times New Roman" w:hAnsi="Times New Roman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A33667C">
      <w:pPr>
        <w:adjustRightInd w:val="0"/>
        <w:snapToGrid w:val="0"/>
        <w:spacing w:line="640" w:lineRule="exact"/>
        <w:ind w:firstLine="640" w:firstLineChars="200"/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摘要：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针对黄淮海区域小麦—玉米周年生产中水肥管理粗放、利用效率低、产量品质不协同、综合生产效率效益低等问题，以产量、品质、效率、效益协同提升为目标，以周年光温资源高效品种组配、深耕/松双镇压高质量整地播种、根冠协同高质量群体构建、有机无机结合多元素平衡施肥、微喷滴灌水肥精准管理、主要病虫害绿色高效防控为核心关键技术，构建了优质小麦—玉米水肥一体精准调控绿色丰产高效技术，实现了优质小麦玉米产量品质协同提升、水肥药利用效率大幅提高、生产效率和生产效益同步增长，小麦—玉米周年平均单产增加5.2%以上，小麦蛋白质与湿面筋含量提升6.2%-8.7%，玉米淀粉含量提升6.1%-7.2%，肥料、水分、农药利用效率提高10%以上，综合生产效率提高15%以上，节本增效10%以上。在河南省安阳市、鹤壁市、焦作市、新乡市、周口市、商丘市、驻马店市、南阳市等地每年建立示范区80万亩以上，辐射周边地区，实现了大范围推广应用。</w:t>
      </w:r>
    </w:p>
    <w:p w14:paraId="1F7AB92A">
      <w:pPr>
        <w:adjustRightInd w:val="0"/>
        <w:snapToGrid w:val="0"/>
        <w:spacing w:line="640" w:lineRule="exact"/>
        <w:ind w:firstLine="640" w:firstLineChars="200"/>
        <w:rPr>
          <w:rFonts w:ascii="Times New Roman" w:hAnsi="Times New Roman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一、技术概述</w:t>
      </w:r>
    </w:p>
    <w:p w14:paraId="4BB6E1E5">
      <w:pPr>
        <w:snapToGrid w:val="0"/>
        <w:spacing w:line="640" w:lineRule="exact"/>
        <w:ind w:firstLine="643" w:firstLineChars="200"/>
        <w:rPr>
          <w:rFonts w:hint="eastAsia" w:ascii="楷体_GB2312" w:hAnsi="楷体" w:eastAsia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（一）基本情况</w:t>
      </w:r>
      <w:bookmarkStart w:id="0" w:name="_Hlk178440287"/>
    </w:p>
    <w:bookmarkEnd w:id="0"/>
    <w:p w14:paraId="2B980626">
      <w:pPr>
        <w:snapToGrid w:val="0"/>
        <w:spacing w:line="640" w:lineRule="exact"/>
        <w:ind w:firstLine="640" w:firstLineChars="200"/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随着农业经营主体种植规模的扩大，粮食生产正逐步向规模化、集约化、绿色化、高效化方式转变。现阶段黄淮海区域小麦—玉米周年生产中水肥管理粗放、利用效率低、产量品质不协同、综合生产效率效益低等问题限制了粮食产业的进一步高质量发展。该技术以产量、品质、效率、效益协同提升为目标，以周年光温资源高效品种组配、深耕/松双镇压高质量整地播种、根冠协同高质量群体构建、有机无机结合多元素平衡施肥、微喷滴灌水肥精准管理、主要病虫害绿色高效防控为核心关键技术，构建了产质效协同提升技术模式，能够推动实现黄淮海优质小麦—玉米周年生产单位面积产量、品质和综合生产效率、效益大幅度提升，为粮食产业的高质量发展提供技术支撑。</w:t>
      </w:r>
    </w:p>
    <w:p w14:paraId="7C430272">
      <w:pPr>
        <w:snapToGrid w:val="0"/>
        <w:spacing w:line="640" w:lineRule="exact"/>
        <w:ind w:firstLine="643" w:firstLineChars="200"/>
        <w:rPr>
          <w:rFonts w:hint="eastAsia" w:ascii="楷体_GB2312" w:hAnsi="楷体" w:eastAsia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_GB2312" w:hAnsi="楷体" w:eastAsia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推广应用</w:t>
      </w:r>
      <w:r>
        <w:rPr>
          <w:rFonts w:ascii="楷体_GB2312" w:hAnsi="楷体" w:eastAsia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情况</w:t>
      </w:r>
    </w:p>
    <w:p w14:paraId="48359706">
      <w:pPr>
        <w:adjustRightInd w:val="0"/>
        <w:snapToGrid w:val="0"/>
        <w:spacing w:line="640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2022年以来，依托国家重点研发计划项目“优质小麦—玉米周年丰产增效与产业化技术研发及集成示范（2022YFD2300800）”，在河南省安阳市、鹤壁市、焦作市、新乡市、周口市、商丘市、驻马店市、南阳市等地每年建立示范区80万亩以上，辐射周边地区，实现了大范围推广应用。</w:t>
      </w:r>
    </w:p>
    <w:p w14:paraId="020F8C67">
      <w:pPr>
        <w:snapToGrid w:val="0"/>
        <w:spacing w:line="640" w:lineRule="exact"/>
        <w:ind w:firstLine="643" w:firstLineChars="200"/>
        <w:rPr>
          <w:rFonts w:hint="eastAsia" w:ascii="楷体" w:hAnsi="楷体" w:eastAsia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_GB2312" w:hAnsi="楷体" w:eastAsia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（三）提质增效情况</w:t>
      </w:r>
    </w:p>
    <w:p w14:paraId="01A72A02">
      <w:pPr>
        <w:adjustRightInd w:val="0"/>
        <w:snapToGrid w:val="0"/>
        <w:spacing w:line="640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通过优质小麦—玉米水肥一体精准调控绿色丰产高效技术的示范应用，实现了优质小麦玉米产量品质协同提升、水肥药利用效率大幅提高、生产效率和生产效益同步增长。</w:t>
      </w:r>
    </w:p>
    <w:p w14:paraId="4817F699">
      <w:pPr>
        <w:adjustRightInd w:val="0"/>
        <w:snapToGrid w:val="0"/>
        <w:spacing w:line="640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一是增加了小麦—玉米周年产量，周年平均单产增加5.2%以上。</w:t>
      </w:r>
    </w:p>
    <w:p w14:paraId="041239EA">
      <w:pPr>
        <w:adjustRightInd w:val="0"/>
        <w:snapToGrid w:val="0"/>
        <w:spacing w:line="640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二是提升了小麦、玉米核心品质指标，小麦蛋白质与湿面筋含量提升6.2%-8.7%，玉米淀粉含量提升6.1%-7.2%。</w:t>
      </w:r>
    </w:p>
    <w:p w14:paraId="761A93FC">
      <w:pPr>
        <w:adjustRightInd w:val="0"/>
        <w:snapToGrid w:val="0"/>
        <w:spacing w:line="640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三是提高了周年水肥药利用效率，肥料、水分、农药利用效率提高10%以上。</w:t>
      </w:r>
    </w:p>
    <w:p w14:paraId="798877BA">
      <w:pPr>
        <w:adjustRightInd w:val="0"/>
        <w:snapToGrid w:val="0"/>
        <w:spacing w:line="640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四是增加了规模机械化生产效率和生产效益，综合生产效率提高15%以上，节本增效10%以上。</w:t>
      </w:r>
    </w:p>
    <w:p w14:paraId="1117EA10">
      <w:pPr>
        <w:snapToGrid w:val="0"/>
        <w:spacing w:line="640" w:lineRule="exact"/>
        <w:ind w:firstLine="643" w:firstLineChars="200"/>
        <w:rPr>
          <w:rFonts w:hint="eastAsia" w:ascii="楷体_GB2312" w:hAnsi="楷体" w:eastAsia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（四）获奖情况</w:t>
      </w:r>
    </w:p>
    <w:p w14:paraId="52237234">
      <w:pPr>
        <w:snapToGrid w:val="0"/>
        <w:spacing w:line="640" w:lineRule="exact"/>
        <w:ind w:firstLine="640" w:firstLineChars="200"/>
        <w:rPr>
          <w:rFonts w:ascii="仿宋_GB2312" w:hAnsi="Times New Roman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以该技术作为核心技术，“黄淮南部冬小麦响应温光变化的抗逆丰产关键技术创建与应用”、“河南省夏玉米抗逆丰产高效关键技术创建与应用”分别获得2021年、2023年河南省科学技术进步二等奖。</w:t>
      </w:r>
    </w:p>
    <w:p w14:paraId="1F102DA7">
      <w:pPr>
        <w:snapToGrid w:val="0"/>
        <w:spacing w:line="640" w:lineRule="exact"/>
        <w:ind w:firstLine="640" w:firstLineChars="200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二、技术要点</w:t>
      </w:r>
    </w:p>
    <w:p w14:paraId="45CA1088">
      <w:pPr>
        <w:snapToGrid w:val="0"/>
        <w:spacing w:line="640" w:lineRule="exact"/>
        <w:ind w:firstLine="643" w:firstLineChars="200"/>
        <w:rPr>
          <w:rFonts w:hint="eastAsia" w:ascii="楷体_GB2312" w:hAnsi="楷体" w:eastAsia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（一）周年光温资源高效品种组配技术</w:t>
      </w:r>
    </w:p>
    <w:p w14:paraId="15151F10">
      <w:pPr>
        <w:snapToGrid w:val="0"/>
        <w:spacing w:line="640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过产量、品质、环境的指标体系，筛选出产量与品质协同、抗逆丰产的优质小麦品种和高产高淀粉玉米品种，在黄淮海南部（河南）进行合理生态布局优化；优化小麦—玉米周年积温分配（39:61或43:57）、辐射分配（53：47或56:44）和降水分配（40:60或42：58），采用小麦适当晚播、玉米适当密植并晚收的方式，调整延迟小麦播期，适当推迟玉米收获期，使周年光温资源得到充分利用，提高小麦—玉米周年产量和品质。</w:t>
      </w:r>
    </w:p>
    <w:p w14:paraId="34080EE5">
      <w:pPr>
        <w:snapToGrid w:val="0"/>
        <w:spacing w:line="640" w:lineRule="exact"/>
        <w:ind w:firstLine="643" w:firstLineChars="200"/>
        <w:rPr>
          <w:rFonts w:hint="eastAsia" w:ascii="楷体_GB2312" w:hAnsi="楷体" w:eastAsia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（二）深耕/松双镇压高质量整地播种技术</w:t>
      </w:r>
    </w:p>
    <w:p w14:paraId="6057A536">
      <w:pPr>
        <w:snapToGrid w:val="0"/>
        <w:spacing w:line="640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小麦季采用“秸秆精细粉碎+深耕/深松+深耙+镇压”的耕作模式构建高质量耕层，玉米收获后及时粉碎秸秆，确保秸秆粉碎长度≤5 cm，无明显漏切，抛撒均匀；2-3年以上未深耕的地块采用铧式犁深翻耕作25-30 cm，耕深均匀一致，不深耕的地块采用深松方式打破犁底层，改善土壤通气状况和水肥保蓄能力；使用驱动耙或旋耕机碎土耙实耕层土壤，耕作深度≥15 cm，优化土壤耕层结构；使用带有双镇压装置的播种机具进行播种作业，播前播后双镇压保墒提墒，提高小麦播深一致性，提升播种出苗质量。玉米季灭茬后种肥精准同播。</w:t>
      </w:r>
    </w:p>
    <w:p w14:paraId="3384F807">
      <w:pPr>
        <w:spacing w:line="360" w:lineRule="auto"/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drawing>
          <wp:inline distT="0" distB="0" distL="0" distR="0">
            <wp:extent cx="2591435" cy="1943735"/>
            <wp:effectExtent l="0" t="0" r="0" b="0"/>
            <wp:docPr id="168554289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5542899" name="图片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944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宋体" w:cs="Times New Roman"/>
          <w:sz w:val="24"/>
          <w:szCs w:val="24"/>
        </w:rPr>
        <w:drawing>
          <wp:inline distT="0" distB="0" distL="0" distR="0">
            <wp:extent cx="2591435" cy="1942465"/>
            <wp:effectExtent l="0" t="0" r="0" b="635"/>
            <wp:docPr id="95626825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268257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9428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F9B098">
      <w:pPr>
        <w:snapToGrid w:val="0"/>
        <w:spacing w:line="640" w:lineRule="exact"/>
        <w:ind w:firstLine="640" w:firstLineChars="200"/>
        <w:jc w:val="center"/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图1 小麦—玉米高质量整地播种</w:t>
      </w:r>
    </w:p>
    <w:p w14:paraId="3DEE7C5C">
      <w:pPr>
        <w:snapToGrid w:val="0"/>
        <w:spacing w:line="640" w:lineRule="exact"/>
        <w:ind w:firstLine="643" w:firstLineChars="200"/>
        <w:rPr>
          <w:rFonts w:hint="eastAsia" w:ascii="楷体_GB2312" w:hAnsi="楷体" w:eastAsia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（三）根冠协同高质量群体构建技术</w:t>
      </w:r>
    </w:p>
    <w:p w14:paraId="4CCFC388">
      <w:pPr>
        <w:snapToGrid w:val="0"/>
        <w:spacing w:line="640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小麦采用宽幅匀播（播幅8 cm、间距14 cm）、宽窄行（20 cm:10 cm）等方式提高播种均匀度；玉米采用宽窄行（80</w:t>
      </w:r>
      <w:bookmarkStart w:id="1" w:name="_Hlk180165634"/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cm</w:t>
      </w:r>
      <w:bookmarkEnd w:id="1"/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:40 cm）、双行错位播种等方式增加种植密度。利用北斗卫星导航精准定位播种，实现高效率、高精度、高质量播种作业，确保行直苗全苗匀苗壮。结合中期的水肥调控，促进根系发育，挖掘根系水肥利用潜能，改善冠层生长发育条件，促进根冠协调发育，实现足群体、健个体的高质量群体结构目标。</w:t>
      </w:r>
    </w:p>
    <w:p w14:paraId="08CBF379">
      <w:pPr>
        <w:snapToGrid w:val="0"/>
        <w:spacing w:line="640" w:lineRule="exact"/>
        <w:ind w:firstLine="643" w:firstLineChars="200"/>
        <w:rPr>
          <w:rFonts w:hint="eastAsia" w:ascii="楷体_GB2312" w:hAnsi="楷体" w:eastAsia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（四）有机无机结合多元素平衡施肥技术</w:t>
      </w:r>
    </w:p>
    <w:p w14:paraId="1D9260B2">
      <w:pPr>
        <w:snapToGrid w:val="0"/>
        <w:spacing w:line="640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根据目标产量、品质类型及土壤肥力水平，小麦季结合耕作增施或替代施用生物有机肥，高产地块有机肥替减15-20%化肥以提高肥料利用效率和绿色种植，中产地块每亩增施50-100 kg有机肥以提升土壤肥力水平，根据土壤养分测试结果，平衡施用氮、磷、钾肥，适当补施硫、锌、硼等中微量元素肥料，避免过量偏施氮肥；玉米季随种肥同播配施腐殖质肥料，中后期叶面喷施锌肥和磷酸二氢钾等叶面肥，实现养分高效、增产提质、绿色生产。</w:t>
      </w:r>
    </w:p>
    <w:p w14:paraId="26EFA070">
      <w:pPr>
        <w:snapToGrid w:val="0"/>
        <w:spacing w:line="640" w:lineRule="exact"/>
        <w:ind w:firstLine="643" w:firstLineChars="200"/>
        <w:rPr>
          <w:rFonts w:hint="eastAsia" w:ascii="楷体_GB2312" w:hAnsi="楷体" w:eastAsia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（五）微喷滴灌水肥精准管理技术</w:t>
      </w:r>
    </w:p>
    <w:p w14:paraId="3F8B45AE">
      <w:pPr>
        <w:snapToGrid w:val="0"/>
        <w:spacing w:line="640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微喷、滴灌带一铺两季连用，周年水肥一体化。根据天气降雨情况，小麦季分别在拔节期、孕穗期、开花期、灌浆前期灌溉，玉米季分别在拔节期、大喇叭口期、抽雄吐丝、灌浆前期灌溉；减少底肥施用量，增加追肥次数，追肥随灌溉一起施用，每季4-5次，调控两季水分养分按需供应，实现土壤-作物水肥供应的精准管理和高效利用。</w:t>
      </w:r>
    </w:p>
    <w:p w14:paraId="78071469">
      <w:pPr>
        <w:spacing w:line="360" w:lineRule="auto"/>
        <w:jc w:val="center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  <w:r>
        <w:rPr>
          <w:rFonts w:ascii="仿宋_GB2312" w:hAnsi="仿宋_GB2312" w:eastAsia="仿宋_GB2312" w:cs="仿宋_GB2312"/>
          <w:sz w:val="32"/>
          <w:szCs w:val="32"/>
          <w:lang w:bidi="ar"/>
        </w:rPr>
        <w:drawing>
          <wp:inline distT="0" distB="0" distL="0" distR="0">
            <wp:extent cx="2591435" cy="1944370"/>
            <wp:effectExtent l="0" t="0" r="0" b="0"/>
            <wp:docPr id="133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8" name="图片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14" r="-314"/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94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eastAsia="宋体" w:cs="Times New Roman"/>
          <w:szCs w:val="24"/>
        </w:rPr>
        <w:drawing>
          <wp:inline distT="0" distB="0" distL="0" distR="0">
            <wp:extent cx="2591435" cy="1943735"/>
            <wp:effectExtent l="0" t="0" r="0" b="0"/>
            <wp:docPr id="22537" name="图片 14" descr="草地上的风景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37" name="图片 14" descr="草地上的风景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399" b="28194"/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1AAFA7">
      <w:pPr>
        <w:snapToGrid w:val="0"/>
        <w:spacing w:line="640" w:lineRule="exact"/>
        <w:jc w:val="center"/>
        <w:rPr>
          <w:rFonts w:ascii="仿宋_GB2312" w:hAnsi="Times New Roman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图2 微喷滴灌水肥精准管理</w:t>
      </w:r>
    </w:p>
    <w:p w14:paraId="321B71EC">
      <w:pPr>
        <w:snapToGrid w:val="0"/>
        <w:spacing w:line="640" w:lineRule="exact"/>
        <w:ind w:firstLine="643" w:firstLineChars="200"/>
        <w:rPr>
          <w:rFonts w:hint="eastAsia" w:ascii="楷体_GB2312" w:hAnsi="楷体" w:eastAsia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（六）主要病虫害绿色高效防控技术</w:t>
      </w:r>
    </w:p>
    <w:p w14:paraId="3450FA52">
      <w:pPr>
        <w:snapToGrid w:val="0"/>
        <w:spacing w:line="640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实时监测病原菌和虫害发生情况，小麦季重点防治纹枯病、茎基腐病、赤霉病、白粉病等病害和蚜虫、麦红蜘蛛等虫害，玉米季重点防治根腐病、锈病、大小斑病等病害和金针虫、玉米螟、蓟马等虫害，预防为主，防控结合，以生物农药和物理防治为主，化学防治为辅，提高农药利用效率。</w:t>
      </w:r>
    </w:p>
    <w:p w14:paraId="67E67AA4">
      <w:pPr>
        <w:adjustRightInd w:val="0"/>
        <w:snapToGrid w:val="0"/>
        <w:spacing w:line="640" w:lineRule="exact"/>
        <w:ind w:firstLine="640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三、适宜区域</w:t>
      </w:r>
    </w:p>
    <w:p w14:paraId="255D9075">
      <w:pPr>
        <w:snapToGrid w:val="0"/>
        <w:spacing w:line="640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适宜于黄淮海冬小麦—夏玉米周年生产高中产地块，不适宜于土壤贫瘠、灌溉条件不足的低产地块。</w:t>
      </w:r>
    </w:p>
    <w:p w14:paraId="1CF4B139">
      <w:pPr>
        <w:adjustRightInd w:val="0"/>
        <w:snapToGrid w:val="0"/>
        <w:spacing w:line="640" w:lineRule="exact"/>
        <w:ind w:firstLine="640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四、注意事项</w:t>
      </w:r>
    </w:p>
    <w:p w14:paraId="74A02A0C">
      <w:pPr>
        <w:snapToGrid w:val="0"/>
        <w:spacing w:line="640" w:lineRule="exact"/>
        <w:ind w:firstLine="640" w:firstLineChars="200"/>
        <w:rPr>
          <w:rFonts w:hint="eastAsia" w:ascii="仿宋_GB2312" w:hAnsi="Times New Roman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1.土壤相对含水量≥85%时根据农时在深翻前后适当晾晒，确保整地质量。</w:t>
      </w:r>
    </w:p>
    <w:p w14:paraId="19B8D164">
      <w:pPr>
        <w:snapToGrid w:val="0"/>
        <w:spacing w:line="640" w:lineRule="exact"/>
        <w:ind w:firstLine="640" w:firstLineChars="200"/>
        <w:rPr>
          <w:rFonts w:hint="eastAsia" w:ascii="仿宋_GB2312" w:hAnsi="Times New Roman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2.根据土壤特性和土壤含水量确定适宜镇压强度，黏质土或土壤含水量≥75%时适当降低镇压强度。</w:t>
      </w:r>
    </w:p>
    <w:p w14:paraId="2F55672A">
      <w:pPr>
        <w:snapToGrid w:val="0"/>
        <w:spacing w:line="640" w:lineRule="exact"/>
        <w:ind w:firstLine="640" w:firstLineChars="200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五、技术依托单位</w:t>
      </w:r>
      <w:bookmarkStart w:id="2" w:name="_Hlk178440578"/>
    </w:p>
    <w:bookmarkEnd w:id="2"/>
    <w:p w14:paraId="44F7773C">
      <w:pPr>
        <w:keepNext w:val="0"/>
        <w:keepLines w:val="0"/>
        <w:pageBreakBefore w:val="0"/>
        <w:kinsoku/>
        <w:overflowPunct/>
        <w:bidi w:val="0"/>
        <w:adjustRightInd w:val="0"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/>
        </w:rPr>
        <w:t>单位名称</w:t>
      </w:r>
      <w:bookmarkStart w:id="3" w:name="_GoBack"/>
      <w:bookmarkEnd w:id="3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/>
        </w:rPr>
        <w:t>：河南省农业科学院小麦研究所、河南省农业科学院粮食作物研究所、河南省农业技术推广总站</w:t>
      </w:r>
    </w:p>
    <w:p w14:paraId="5B55E771">
      <w:pPr>
        <w:keepNext w:val="0"/>
        <w:keepLines w:val="0"/>
        <w:pageBreakBefore w:val="0"/>
        <w:kinsoku/>
        <w:overflowPunct/>
        <w:bidi w:val="0"/>
        <w:adjustRightInd w:val="0"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/>
        </w:rPr>
        <w:t>联系人：李向东、乔江方、蒋向</w:t>
      </w:r>
    </w:p>
    <w:p w14:paraId="75FC9519">
      <w:pPr>
        <w:keepNext w:val="0"/>
        <w:keepLines w:val="0"/>
        <w:pageBreakBefore w:val="0"/>
        <w:kinsoku/>
        <w:overflowPunct/>
        <w:bidi w:val="0"/>
        <w:adjustRightInd w:val="0"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/>
        </w:rPr>
        <w:t>联系电话：0371-65720186；0371-65739084；0371-65917929</w:t>
      </w:r>
    </w:p>
    <w:p w14:paraId="29F56EE2">
      <w:pPr>
        <w:adjustRightInd w:val="0"/>
        <w:snapToGrid w:val="0"/>
        <w:spacing w:line="640" w:lineRule="exact"/>
        <w:ind w:firstLine="560" w:firstLineChars="200"/>
        <w:rPr>
          <w:rFonts w:ascii="仿宋_GB2312" w:hAnsi="Times New Roman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281488">
    <w:pPr>
      <w:pStyle w:val="8"/>
      <w:jc w:val="center"/>
      <w:rPr>
        <w:rFonts w:ascii="Times New Roman" w:hAnsi="Times New Roman" w:cs="Times New Roma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2574290</wp:posOffset>
              </wp:positionH>
              <wp:positionV relativeFrom="paragraph">
                <wp:posOffset>-1270</wp:posOffset>
              </wp:positionV>
              <wp:extent cx="192405" cy="128270"/>
              <wp:effectExtent l="0" t="0" r="0" b="508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2505" cy="12833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103712">
                          <w:pPr>
                            <w:pStyle w:val="8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5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7pt;margin-top:-0.1pt;height:10.1pt;width:15.15pt;mso-position-horizontal-relative:margin;z-index:251659264;mso-width-relative:page;mso-height-relative:page;" filled="f" stroked="f" coordsize="21600,21600" o:gfxdata="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A/0kJK1wAAAAgBAAAPAAAAAAAAAAEAIAAAACIAAABkcnMvZG93bnJldi54bWxQ&#10;SwECFAAUAAAACACHTuJAlokLljECAABVBAAADgAAAAAAAAABACAAAAAm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8103712">
                    <w:pPr>
                      <w:pStyle w:val="8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5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sdt>
      <w:sdtPr>
        <w:id w:val="1098292654"/>
        <w:showingPlcHdr/>
      </w:sdtPr>
      <w:sdtEndPr>
        <w:rPr>
          <w:rFonts w:ascii="Times New Roman" w:hAnsi="Times New Roman" w:cs="Times New Roman"/>
        </w:rPr>
      </w:sdtEndPr>
      <w:sdtContent>
        <w:r>
          <w:t xml:space="preserve">     </w:t>
        </w:r>
      </w:sdtContent>
    </w:sdt>
  </w:p>
  <w:p w14:paraId="34D74A9F">
    <w:pPr>
      <w:pStyle w:val="8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36F"/>
    <w:rsid w:val="000C1AD4"/>
    <w:rsid w:val="000F03CD"/>
    <w:rsid w:val="001F17F3"/>
    <w:rsid w:val="00252342"/>
    <w:rsid w:val="00292B4F"/>
    <w:rsid w:val="00331DEB"/>
    <w:rsid w:val="00333E9D"/>
    <w:rsid w:val="003C536F"/>
    <w:rsid w:val="00415A12"/>
    <w:rsid w:val="0045517F"/>
    <w:rsid w:val="004B00CC"/>
    <w:rsid w:val="004C521A"/>
    <w:rsid w:val="00565CEA"/>
    <w:rsid w:val="005A7AB9"/>
    <w:rsid w:val="00627B6F"/>
    <w:rsid w:val="00681D08"/>
    <w:rsid w:val="007977F6"/>
    <w:rsid w:val="0098170D"/>
    <w:rsid w:val="00AC69D5"/>
    <w:rsid w:val="00BD4BCA"/>
    <w:rsid w:val="00BE1264"/>
    <w:rsid w:val="00BE4F7A"/>
    <w:rsid w:val="00C85F5B"/>
    <w:rsid w:val="00DD6EDF"/>
    <w:rsid w:val="00DE4DB3"/>
    <w:rsid w:val="5F9474C0"/>
    <w:rsid w:val="61C237AD"/>
    <w:rsid w:val="6D7F1D6E"/>
    <w:rsid w:val="7BFB3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qFormat="1" w:unhideWhenUsed="0" w:uiPriority="99" w:semiHidden="0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unhideWhenUsed/>
    <w:qFormat/>
    <w:uiPriority w:val="99"/>
    <w:pPr>
      <w:spacing w:after="120"/>
      <w:ind w:firstLine="420" w:firstLineChars="100"/>
    </w:pPr>
    <w:rPr>
      <w:sz w:val="21"/>
    </w:rPr>
  </w:style>
  <w:style w:type="paragraph" w:styleId="3">
    <w:name w:val="Body Text"/>
    <w:basedOn w:val="1"/>
    <w:next w:val="4"/>
    <w:qFormat/>
    <w:uiPriority w:val="0"/>
    <w:rPr>
      <w:rFonts w:eastAsia="仿宋_GB2312"/>
      <w:sz w:val="30"/>
    </w:rPr>
  </w:style>
  <w:style w:type="paragraph" w:customStyle="1" w:styleId="4">
    <w:name w:val="Default"/>
    <w:basedOn w:val="1"/>
    <w:qFormat/>
    <w:uiPriority w:val="99"/>
    <w:pPr>
      <w:widowControl/>
      <w:autoSpaceDE w:val="0"/>
      <w:autoSpaceDN w:val="0"/>
      <w:adjustRightInd w:val="0"/>
      <w:spacing w:after="160" w:line="259" w:lineRule="auto"/>
      <w:jc w:val="left"/>
    </w:pPr>
    <w:rPr>
      <w:rFonts w:ascii="??_GB2312" w:hAnsi="Calibri" w:eastAsia="Times New Roman" w:cs="??_GB2312"/>
      <w:color w:val="000000"/>
      <w:kern w:val="0"/>
      <w:sz w:val="24"/>
    </w:rPr>
  </w:style>
  <w:style w:type="paragraph" w:styleId="5">
    <w:name w:val="Body Text First Indent 2"/>
    <w:basedOn w:val="6"/>
    <w:next w:val="2"/>
    <w:qFormat/>
    <w:uiPriority w:val="99"/>
    <w:pPr>
      <w:widowControl w:val="0"/>
      <w:spacing w:before="100" w:beforeAutospacing="1" w:after="120" w:line="240" w:lineRule="auto"/>
      <w:ind w:left="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6">
    <w:name w:val="Body Text Indent"/>
    <w:basedOn w:val="1"/>
    <w:next w:val="7"/>
    <w:qFormat/>
    <w:uiPriority w:val="99"/>
    <w:pPr>
      <w:ind w:firstLine="720" w:firstLineChars="200"/>
      <w:jc w:val="center"/>
    </w:pPr>
    <w:rPr>
      <w:rFonts w:ascii="黑体" w:eastAsia="黑体"/>
      <w:sz w:val="36"/>
    </w:rPr>
  </w:style>
  <w:style w:type="paragraph" w:styleId="7">
    <w:name w:val="index 7"/>
    <w:basedOn w:val="1"/>
    <w:next w:val="1"/>
    <w:qFormat/>
    <w:uiPriority w:val="99"/>
    <w:pPr>
      <w:ind w:left="2520"/>
    </w:pPr>
  </w:style>
  <w:style w:type="paragraph" w:styleId="8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页眉 字符"/>
    <w:basedOn w:val="12"/>
    <w:link w:val="9"/>
    <w:qFormat/>
    <w:uiPriority w:val="99"/>
    <w:rPr>
      <w:sz w:val="18"/>
      <w:szCs w:val="18"/>
    </w:rPr>
  </w:style>
  <w:style w:type="character" w:customStyle="1" w:styleId="14">
    <w:name w:val="页脚 字符"/>
    <w:basedOn w:val="12"/>
    <w:link w:val="8"/>
    <w:qFormat/>
    <w:uiPriority w:val="99"/>
    <w:rPr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2670</Words>
  <Characters>2905</Characters>
  <Lines>22</Lines>
  <Paragraphs>6</Paragraphs>
  <TotalTime>0</TotalTime>
  <ScaleCrop>false</ScaleCrop>
  <LinksUpToDate>false</LinksUpToDate>
  <CharactersWithSpaces>2923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2024-09-29T14:26:00Z</dcterms:created>
  <dc:creator>A4883</dc:creator>
  <cp:lastModifiedBy>泡</cp:lastModifiedBy>
  <dcterms:modified xsi:type="dcterms:W3CDTF">2025-06-23T03:27:55Z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EA346BC47C70453BA77B3260AF6C4135_13</vt:lpwstr>
  </property>
  <property fmtid="{D5CDD505-2E9C-101B-9397-08002B2CF9AE}" pid="4" name="KSOTemplateDocerSaveRecord">
    <vt:lpwstr>eyJoZGlkIjoiYjkxNmY3YTQ5N2VmNDljYzg2ODE4YzQxZmNlMjU3NWUiLCJ1c2VySWQiOiI1MzQ0MDExMjQifQ==</vt:lpwstr>
  </property>
</Properties>
</file>