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bookmarkStart w:id="0" w:name="_Hlk180265923"/>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小麦茎基腐病“种翻拌喷”四法结合</w:t>
      </w:r>
    </w:p>
    <w:p>
      <w:pPr>
        <w:spacing w:line="640" w:lineRule="exact"/>
        <w:jc w:val="center"/>
        <w:rPr>
          <w:rFonts w:ascii="方正小标宋简体" w:hAnsi="方正小标宋简体" w:eastAsia="方正小标宋简体" w:cs="方正小标宋简体"/>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14:textFill>
            <w14:solidFill>
              <w14:schemeClr w14:val="tx1"/>
            </w14:solidFill>
          </w14:textFill>
        </w:rPr>
        <w:t>防控技术</w:t>
      </w:r>
    </w:p>
    <w:bookmarkEnd w:id="0"/>
    <w:p>
      <w:pPr>
        <w:adjustRightInd w:val="0"/>
        <w:snapToGrid w:val="0"/>
        <w:spacing w:line="64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p>
    <w:p>
      <w:pPr>
        <w:adjustRightInd w:val="0"/>
        <w:snapToGrid w:val="0"/>
        <w:spacing w:line="64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摘要：</w:t>
      </w:r>
      <w:r>
        <w:rPr>
          <w:rFonts w:hint="eastAsia" w:ascii="仿宋_GB2312" w:hAnsi="仿宋_GB2312" w:eastAsia="仿宋_GB2312" w:cs="仿宋_GB2312"/>
          <w:color w:val="000000" w:themeColor="text1"/>
          <w:sz w:val="32"/>
          <w:szCs w:val="32"/>
          <w14:textFill>
            <w14:solidFill>
              <w14:schemeClr w14:val="tx1"/>
            </w14:solidFill>
          </w14:textFill>
        </w:rPr>
        <w:t>小麦茎基腐病在黄淮冬麦区危害日益严重，西北、华北等麦区也陆续报道，逐渐成为影响我国小麦安全生产的重要障碍因子之一。针对小麦抗茎基腐病资源缺乏、防控药剂不足、忽视农业农艺措施、综合防控技术水平落后等问题，本团队对黄淮麦区小麦茎基腐病病原学、检测技术、发病规律、成灾机理和防治关键技术等进行了长期系统研究，明确了拌种和苗期喷雾是病害防控的关键期，构建了小麦茎基腐病抗性评价体系，筛选出</w:t>
      </w:r>
      <w:r>
        <w:rPr>
          <w:rFonts w:hint="eastAsia" w:ascii="仿宋_GB2312" w:hAnsi="Times New Roman" w:eastAsia="仿宋_GB2312" w:cs="仿宋_GB2312"/>
          <w:color w:val="000000" w:themeColor="text1"/>
          <w:sz w:val="32"/>
          <w:szCs w:val="32"/>
          <w14:textFill>
            <w14:solidFill>
              <w14:schemeClr w14:val="tx1"/>
            </w14:solidFill>
          </w14:textFill>
        </w:rPr>
        <w:t>丰德存麦20号</w:t>
      </w:r>
      <w:r>
        <w:rPr>
          <w:rFonts w:hint="eastAsia" w:ascii="仿宋_GB2312" w:hAnsi="仿宋_GB2312" w:eastAsia="仿宋_GB2312" w:cs="仿宋_GB2312"/>
          <w:color w:val="000000" w:themeColor="text1"/>
          <w:sz w:val="32"/>
          <w:szCs w:val="32"/>
          <w14:textFill>
            <w14:solidFill>
              <w14:schemeClr w14:val="tx1"/>
            </w14:solidFill>
          </w14:textFill>
        </w:rPr>
        <w:t>等一批中抗小麦品种和三氟吡啶胺等一批高效低毒化学药剂及配方，研发了“深翻、晚播”等多元化结合的轻简化农业技术。在此基础上创新集成的提出了“小麦茎基腐病‘种翻拌喷’四法结合防控技术”，并在黄淮海冬麦区进行了多年多点验证示范，取得了良好的防病增收效果。仅在河南省，近三年累计推广</w:t>
      </w:r>
      <w:r>
        <w:rPr>
          <w:rFonts w:ascii="仿宋_GB2312" w:hAnsi="仿宋_GB2312" w:eastAsia="仿宋_GB2312" w:cs="仿宋_GB2312"/>
          <w:color w:val="000000" w:themeColor="text1"/>
          <w:sz w:val="32"/>
          <w:szCs w:val="32"/>
          <w14:textFill>
            <w14:solidFill>
              <w14:schemeClr w14:val="tx1"/>
            </w14:solidFill>
          </w14:textFill>
        </w:rPr>
        <w:t>1008.5</w:t>
      </w:r>
      <w:r>
        <w:rPr>
          <w:rFonts w:hint="eastAsia" w:ascii="仿宋_GB2312" w:hAnsi="仿宋_GB2312" w:eastAsia="仿宋_GB2312" w:cs="仿宋_GB2312"/>
          <w:color w:val="000000" w:themeColor="text1"/>
          <w:sz w:val="32"/>
          <w:szCs w:val="32"/>
          <w14:textFill>
            <w14:solidFill>
              <w14:schemeClr w14:val="tx1"/>
            </w14:solidFill>
          </w14:textFill>
        </w:rPr>
        <w:t>万亩，增产</w:t>
      </w:r>
      <w:r>
        <w:rPr>
          <w:rFonts w:ascii="仿宋_GB2312" w:hAnsi="仿宋_GB2312" w:eastAsia="仿宋_GB2312" w:cs="仿宋_GB2312"/>
          <w:color w:val="000000" w:themeColor="text1"/>
          <w:sz w:val="32"/>
          <w:szCs w:val="32"/>
          <w14:textFill>
            <w14:solidFill>
              <w14:schemeClr w14:val="tx1"/>
            </w14:solidFill>
          </w14:textFill>
        </w:rPr>
        <w:t>8.2</w:t>
      </w:r>
      <w:r>
        <w:rPr>
          <w:rFonts w:hint="eastAsia" w:ascii="仿宋_GB2312" w:hAnsi="仿宋_GB2312" w:eastAsia="仿宋_GB2312" w:cs="仿宋_GB2312"/>
          <w:color w:val="000000" w:themeColor="text1"/>
          <w:sz w:val="32"/>
          <w:szCs w:val="32"/>
          <w14:textFill>
            <w14:solidFill>
              <w14:schemeClr w14:val="tx1"/>
            </w14:solidFill>
          </w14:textFill>
        </w:rPr>
        <w:t>亿公斤以上。全国农技中心发布的2023-2024年小麦茎基腐病防控技术方案中也充分采纳和应用了本技术方案。</w:t>
      </w:r>
    </w:p>
    <w:p>
      <w:pPr>
        <w:adjustRightInd w:val="0"/>
        <w:snapToGrid w:val="0"/>
        <w:spacing w:line="64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一、技术概述</w:t>
      </w:r>
    </w:p>
    <w:p>
      <w:pPr>
        <w:snapToGrid w:val="0"/>
        <w:spacing w:line="640" w:lineRule="exact"/>
        <w:ind w:firstLine="642" w:firstLineChars="20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（一）基本情况</w:t>
      </w: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小麦茎基腐病（Crown Rot of Wheat）是一种由多种镰孢菌引起的一种世界性小麦土传病害。近年，该病害在我国黄淮冬麦区普遍发生，而且呈现不断加重和蔓延趋势。据全国农业技术推广服务中心统计，2023年我国小麦茎基腐病发病面积近5000万亩，对小麦安全生产构成严重威胁。小麦茎基腐病的优势病原菌假禾谷镰孢不仅危害茎基部，还可危害穗部，造成严重的穗腐病（赤霉病）。由河南农业大学李洪连教授提出的“小麦茎基腐病近年为什么会在我国小麦主产区暴发成灾，如何进行科学有效地防控？”入选中国科协2022年度我国十大产业技术问题。</w:t>
      </w:r>
    </w:p>
    <w:p>
      <w:pPr>
        <w:pStyle w:val="16"/>
        <w:spacing w:line="560" w:lineRule="exact"/>
        <w:ind w:firstLine="640" w:firstLineChars="20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2012年以来，河南农业大学组织相关产学研单位，对黄淮麦区小麦茎基腐病的病原学、检测技术、发病规律、成灾机理和防治关键技术等进行了长期系统研究，在此基础上制订了河南省地方标准《小麦茎基腐病综合防治技术规程》（DB41/ T 2028-2021），在河南、山东、河北等地病害重发区进行了示范应用，取得了良好的防病效果以及显著的经济社会效益。全国农技中心发布的2023-2024年小麦茎基腐病防控技术方案中也充分采纳和应用了本技术方案。</w:t>
      </w:r>
      <w:r>
        <w:rPr>
          <w:rFonts w:hint="eastAsia" w:ascii="仿宋_GB2312" w:hAnsi="Times New Roman" w:eastAsia="仿宋_GB2312" w:cs="仿宋_GB2312"/>
          <w:color w:val="000000" w:themeColor="text1"/>
          <w:sz w:val="32"/>
          <w:szCs w:val="32"/>
          <w14:textFill>
            <w14:solidFill>
              <w14:schemeClr w14:val="tx1"/>
            </w14:solidFill>
          </w14:textFill>
        </w:rPr>
        <w:t>该技术成功入选2</w:t>
      </w:r>
      <w:r>
        <w:rPr>
          <w:rFonts w:ascii="仿宋_GB2312" w:hAnsi="Times New Roman" w:eastAsia="仿宋_GB2312" w:cs="仿宋_GB2312"/>
          <w:color w:val="000000" w:themeColor="text1"/>
          <w:sz w:val="32"/>
          <w:szCs w:val="32"/>
          <w14:textFill>
            <w14:solidFill>
              <w14:schemeClr w14:val="tx1"/>
            </w14:solidFill>
          </w14:textFill>
        </w:rPr>
        <w:t>024</w:t>
      </w:r>
      <w:r>
        <w:rPr>
          <w:rFonts w:hint="eastAsia" w:ascii="仿宋_GB2312" w:hAnsi="Times New Roman" w:eastAsia="仿宋_GB2312" w:cs="仿宋_GB2312"/>
          <w:color w:val="000000" w:themeColor="text1"/>
          <w:sz w:val="32"/>
          <w:szCs w:val="32"/>
          <w14:textFill>
            <w14:solidFill>
              <w14:schemeClr w14:val="tx1"/>
            </w14:solidFill>
          </w14:textFill>
        </w:rPr>
        <w:t>年农业农村部农业主推技术和河南省农业主推技术。今年</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又联合河南省植物保护检疫站、全国农业技术推广服务中心防治处，进一步优化升级了该病害综合防治技术。鉴于小麦茎基腐病在我国小麦种植区普遍发生，且呈现不断蔓延加重趋势，如果该技术能够继续作为农业主推技术在全国范围内推广实施，必将会对我国小麦茎基腐病的科学防控工作产生积极的推动作用，对小麦安全生产及国家粮食安全具有重要的现实意义。</w:t>
      </w: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anchor distT="0" distB="0" distL="114300" distR="114300" simplePos="0" relativeHeight="251664384" behindDoc="0" locked="0" layoutInCell="1" allowOverlap="1">
            <wp:simplePos x="0" y="0"/>
            <wp:positionH relativeFrom="margin">
              <wp:posOffset>614680</wp:posOffset>
            </wp:positionH>
            <wp:positionV relativeFrom="paragraph">
              <wp:posOffset>118110</wp:posOffset>
            </wp:positionV>
            <wp:extent cx="4455160" cy="2418080"/>
            <wp:effectExtent l="0" t="0" r="2540" b="7620"/>
            <wp:wrapNone/>
            <wp:docPr id="20" name="图片 20" descr="小麦茎基腐病2023-河南南阳"/>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20" descr="小麦茎基腐病2023-河南南阳"/>
                    <pic:cNvPicPr>
                      <a:picLocks noChangeAspect="true" noChangeArrowheads="true"/>
                    </pic:cNvPicPr>
                  </pic:nvPicPr>
                  <pic:blipFill>
                    <a:blip r:embed="rId5">
                      <a:extLst>
                        <a:ext uri="{28A0092B-C50C-407E-A947-70E740481C1C}">
                          <a14:useLocalDpi xmlns:a14="http://schemas.microsoft.com/office/drawing/2010/main" val="false"/>
                        </a:ext>
                      </a:extLst>
                    </a:blip>
                    <a:srcRect l="21584"/>
                    <a:stretch>
                      <a:fillRect/>
                    </a:stretch>
                  </pic:blipFill>
                  <pic:spPr>
                    <a:xfrm>
                      <a:off x="0" y="0"/>
                      <a:ext cx="4455160" cy="2418080"/>
                    </a:xfrm>
                    <a:prstGeom prst="rect">
                      <a:avLst/>
                    </a:prstGeom>
                    <a:noFill/>
                  </pic:spPr>
                </pic:pic>
              </a:graphicData>
            </a:graphic>
          </wp:anchor>
        </w:drawing>
      </w: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560" w:lineRule="exact"/>
        <w:ind w:firstLine="560"/>
        <w:jc w:val="both"/>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pPr>
    </w:p>
    <w:p>
      <w:pPr>
        <w:pStyle w:val="16"/>
        <w:spacing w:line="600" w:lineRule="exact"/>
        <w:ind w:firstLine="560"/>
        <w:jc w:val="center"/>
        <w:rPr>
          <w:rFonts w:ascii="黑体" w:hAnsi="黑体" w:eastAsia="仿宋_GB2312" w:cs="仿宋_GB2312"/>
          <w:snapToGrid w:val="0"/>
          <w:color w:val="000000" w:themeColor="text1"/>
          <w:sz w:val="24"/>
          <w:szCs w:val="24"/>
          <w14:textFill>
            <w14:solidFill>
              <w14:schemeClr w14:val="tx1"/>
            </w14:solidFill>
          </w14:textFill>
        </w:rPr>
      </w:pPr>
      <w:r>
        <w:rPr>
          <w:rFonts w:hint="eastAsia" w:ascii="黑体" w:hAnsi="黑体" w:eastAsia="仿宋_GB2312" w:cs="仿宋_GB2312"/>
          <w:snapToGrid w:val="0"/>
          <w:color w:val="000000" w:themeColor="text1"/>
          <w:sz w:val="24"/>
          <w:szCs w:val="24"/>
          <w14:textFill>
            <w14:solidFill>
              <w14:schemeClr w14:val="tx1"/>
            </w14:solidFill>
          </w14:textFill>
        </w:rPr>
        <w:t>图</w:t>
      </w:r>
      <w:r>
        <w:rPr>
          <w:rFonts w:hint="eastAsia" w:ascii="黑体" w:hAnsi="黑体" w:eastAsia="仿宋_GB2312" w:cs="仿宋_GB2312"/>
          <w:snapToGrid w:val="0"/>
          <w:color w:val="000000" w:themeColor="text1"/>
          <w:sz w:val="24"/>
          <w:szCs w:val="24"/>
          <w:lang w:eastAsia="zh-CN"/>
          <w14:textFill>
            <w14:solidFill>
              <w14:schemeClr w14:val="tx1"/>
            </w14:solidFill>
          </w14:textFill>
        </w:rPr>
        <w:t>1</w:t>
      </w:r>
      <w:r>
        <w:rPr>
          <w:rFonts w:hint="eastAsia" w:ascii="黑体" w:hAnsi="黑体" w:eastAsia="仿宋_GB2312" w:cs="仿宋_GB2312"/>
          <w:snapToGrid w:val="0"/>
          <w:color w:val="000000" w:themeColor="text1"/>
          <w:sz w:val="24"/>
          <w:szCs w:val="24"/>
          <w14:textFill>
            <w14:solidFill>
              <w14:schemeClr w14:val="tx1"/>
            </w14:solidFill>
          </w14:textFill>
        </w:rPr>
        <w:t xml:space="preserve"> 小麦茎基腐病重病田（白穗症状）</w:t>
      </w:r>
    </w:p>
    <w:p>
      <w:pPr>
        <w:snapToGrid w:val="0"/>
        <w:spacing w:line="640" w:lineRule="exact"/>
        <w:ind w:firstLine="64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（二）推广应用情况</w:t>
      </w:r>
    </w:p>
    <w:p>
      <w:pPr>
        <w:pStyle w:val="16"/>
        <w:spacing w:line="560" w:lineRule="exact"/>
        <w:ind w:firstLine="560"/>
        <w:jc w:val="both"/>
        <w:rPr>
          <w:rFonts w:ascii="Times New Roman" w:hAnsi="Times New Roman" w:eastAsia="仿宋_GB2312" w:cs="仿宋_GB2312"/>
          <w:color w:val="000000" w:themeColor="text1"/>
          <w:sz w:val="32"/>
          <w:szCs w:val="32"/>
          <w:lang w:val="en-US"/>
          <w14:textFill>
            <w14:solidFill>
              <w14:schemeClr w14:val="tx1"/>
            </w14:solidFill>
          </w14:textFill>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河南农业大学等单位集成的“小麦茎基腐病‘种翻拌喷’四法结合防控技术”经在河南各地及周边省份山东、河北等省份试验示范，取得了良好的防病保产效果，在重病田病害平均防治效果达到75%以上，相对常规防治方法每亩小麦平均增产15%以上，农民每亩平均增收200元以上。202</w:t>
      </w:r>
      <w:r>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t>1</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w:t>
      </w:r>
      <w:r>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t>4</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年累计在河南省建立示范区</w:t>
      </w:r>
      <w:r>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t>51</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个，累计示范、推广1</w:t>
      </w:r>
      <w:r>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t>008.5</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万亩，示范区与群众自防区相比增收小麦</w:t>
      </w:r>
      <w:r>
        <w:rPr>
          <w:rFonts w:ascii="仿宋_GB2312" w:hAnsi="仿宋_GB2312" w:eastAsia="仿宋_GB2312" w:cs="仿宋_GB2312"/>
          <w:color w:val="000000" w:themeColor="text1"/>
          <w:kern w:val="2"/>
          <w:sz w:val="32"/>
          <w:szCs w:val="32"/>
          <w:lang w:val="en-US" w:eastAsia="zh-CN" w:bidi="ar-SA"/>
          <w14:textFill>
            <w14:solidFill>
              <w14:schemeClr w14:val="tx1"/>
            </w14:solidFill>
          </w14:textFill>
        </w:rPr>
        <w:t>8.2</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亿公斤。鉴于目前小麦茎基腐病已经逐渐成为我国小麦生产中的重大病害，仅黄淮麦区冀、鲁、豫三省每年发病面积4000万亩以上，如果该技术能在全国小麦茎基腐病发生区推广使用，必将对我国小麦茎基腐病科学有效防控和国家粮食安全提供重要技术支撑。</w:t>
      </w:r>
    </w:p>
    <w:p>
      <w:pPr>
        <w:snapToGrid w:val="0"/>
        <w:spacing w:line="640" w:lineRule="exact"/>
        <w:ind w:firstLine="64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（三）提质增效情况</w:t>
      </w:r>
    </w:p>
    <w:p>
      <w:pPr>
        <w:snapToGrid w:val="0"/>
        <w:spacing w:line="56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推广使用小麦茎基腐病综合防控技术地块，每亩平均投入约30元，一般病田平均可挽回小麦产量损失50公斤以上，按目前小麦价格可折价140元左右，每亩可增加农民净收入110元以上；重病田可以挽回损失100公斤以上，增收260元左右。按照我国小麦茎基腐病5000万亩病田推广应用1/3计算，每年可以挽回小麦损失10亿斤以上，经济社会效益十分显著。</w:t>
      </w:r>
    </w:p>
    <w:p>
      <w:pPr>
        <w:snapToGrid w:val="0"/>
        <w:spacing w:line="640" w:lineRule="exact"/>
        <w:ind w:firstLine="642" w:firstLineChars="20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（四）获奖情况</w:t>
      </w:r>
    </w:p>
    <w:p>
      <w:pPr>
        <w:adjustRightInd w:val="0"/>
        <w:snapToGrid w:val="0"/>
        <w:spacing w:line="64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该技术入选2</w:t>
      </w:r>
      <w:r>
        <w:rPr>
          <w:rFonts w:ascii="仿宋_GB2312" w:hAnsi="Times New Roman" w:eastAsia="仿宋_GB2312" w:cs="仿宋_GB2312"/>
          <w:color w:val="000000" w:themeColor="text1"/>
          <w:sz w:val="32"/>
          <w:szCs w:val="32"/>
          <w14:textFill>
            <w14:solidFill>
              <w14:schemeClr w14:val="tx1"/>
            </w14:solidFill>
          </w14:textFill>
        </w:rPr>
        <w:t>024</w:t>
      </w:r>
      <w:r>
        <w:rPr>
          <w:rFonts w:hint="eastAsia" w:ascii="仿宋_GB2312" w:hAnsi="Times New Roman" w:eastAsia="仿宋_GB2312" w:cs="仿宋_GB2312"/>
          <w:color w:val="000000" w:themeColor="text1"/>
          <w:sz w:val="32"/>
          <w:szCs w:val="32"/>
          <w14:textFill>
            <w14:solidFill>
              <w14:schemeClr w14:val="tx1"/>
            </w14:solidFill>
          </w14:textFill>
        </w:rPr>
        <w:t>年农业农村部农业主推技术和河南省农业主推技术，以该技术为核心的成果分别荣获2022年度河南省科学技术进步奖壹等奖和2021年度神农中华科技奖二等奖。</w:t>
      </w:r>
    </w:p>
    <w:p>
      <w:pPr>
        <w:snapToGrid w:val="0"/>
        <w:spacing w:line="64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二、技术要点</w:t>
      </w:r>
    </w:p>
    <w:p>
      <w:pPr>
        <w:snapToGrid w:val="0"/>
        <w:spacing w:line="600" w:lineRule="exact"/>
        <w:ind w:firstLine="642" w:firstLineChars="20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（一）核心技术</w:t>
      </w:r>
    </w:p>
    <w:p>
      <w:pPr>
        <w:snapToGrid w:val="0"/>
        <w:spacing w:line="64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本技术的核心是“种翻拌喷”，具体为“抗性品种、种子处理、土壤深翻和春季返青期药剂精准喷雾”。</w:t>
      </w:r>
    </w:p>
    <w:p>
      <w:pPr>
        <w:snapToGrid w:val="0"/>
        <w:spacing w:line="600" w:lineRule="exact"/>
        <w:ind w:firstLine="642" w:firstLineChars="200"/>
        <w:rPr>
          <w:rFonts w:ascii="仿宋_GB2312" w:hAnsi="Times New Roman" w:eastAsia="仿宋_GB2312" w:cs="仿宋_GB2312"/>
          <w:b/>
          <w:bCs/>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1.选用抗（耐）病品种</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选用对小麦茎基腐病菌具有较好抗（耐）性的丰产小麦品种，可以降低病害的危害程度。河南农业大学技术研发团队通过室内人工接种和人工病圃鉴定的方法鉴定了</w:t>
      </w:r>
      <w:r>
        <w:rPr>
          <w:rFonts w:ascii="仿宋_GB2312" w:hAnsi="Times New Roman" w:eastAsia="仿宋_GB2312" w:cs="仿宋_GB2312"/>
          <w:color w:val="000000" w:themeColor="text1"/>
          <w:sz w:val="32"/>
          <w:szCs w:val="32"/>
          <w14:textFill>
            <w14:solidFill>
              <w14:schemeClr w14:val="tx1"/>
            </w14:solidFill>
          </w14:textFill>
        </w:rPr>
        <w:t>6</w:t>
      </w:r>
      <w:r>
        <w:rPr>
          <w:rFonts w:hint="eastAsia" w:ascii="仿宋_GB2312" w:hAnsi="Times New Roman" w:eastAsia="仿宋_GB2312" w:cs="仿宋_GB2312"/>
          <w:color w:val="000000" w:themeColor="text1"/>
          <w:sz w:val="32"/>
          <w:szCs w:val="32"/>
          <w14:textFill>
            <w14:solidFill>
              <w14:schemeClr w14:val="tx1"/>
            </w14:solidFill>
          </w14:textFill>
        </w:rPr>
        <w:t>60多份我国黄淮麦区主推和新近审定的小麦品种对茎基腐病的抗性，发现85%以上的品种表现为感病或高感，但丰德存麦20号、存麦618、周麦24、丰德存麦5号、徐麦2023、郑麦6687、秋乐168、洛麦26、西农509、西农519、中育</w:t>
      </w:r>
    </w:p>
    <w:p>
      <w:pPr>
        <w:snapToGrid w:val="0"/>
        <w:spacing w:line="600" w:lineRule="exact"/>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1702、济麦22、淄麦11、开麦18、石优17等小麦品种田间发病程度较轻，表现比较稳定的成株期抗性，可以结合各地实际在重病田推广使用。</w:t>
      </w:r>
    </w:p>
    <w:p>
      <w:pPr>
        <w:pStyle w:val="16"/>
        <w:spacing w:line="600" w:lineRule="exact"/>
        <w:ind w:firstLine="420"/>
        <w:jc w:val="center"/>
        <w:rPr>
          <w:rFonts w:ascii="黑体" w:hAnsi="黑体" w:eastAsia="仿宋_GB2312" w:cs="仿宋_GB2312"/>
          <w:snapToGrid w:val="0"/>
          <w:color w:val="000000" w:themeColor="text1"/>
          <w:sz w:val="24"/>
          <w:szCs w:val="24"/>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anchor distT="0" distB="0" distL="114300" distR="114300" simplePos="0" relativeHeight="251659264" behindDoc="0" locked="0" layoutInCell="1" allowOverlap="1">
            <wp:simplePos x="0" y="0"/>
            <wp:positionH relativeFrom="margin">
              <wp:posOffset>546100</wp:posOffset>
            </wp:positionH>
            <wp:positionV relativeFrom="paragraph">
              <wp:posOffset>38100</wp:posOffset>
            </wp:positionV>
            <wp:extent cx="4123055" cy="2774950"/>
            <wp:effectExtent l="0" t="0" r="4445" b="6350"/>
            <wp:wrapTopAndBottom/>
            <wp:docPr id="2"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true" noChangeArrowheads="true"/>
                    </pic:cNvPicPr>
                  </pic:nvPicPr>
                  <pic:blipFill>
                    <a:blip r:embed="rId6">
                      <a:extLst>
                        <a:ext uri="{28A0092B-C50C-407E-A947-70E740481C1C}">
                          <a14:useLocalDpi xmlns:a14="http://schemas.microsoft.com/office/drawing/2010/main" val="false"/>
                        </a:ext>
                      </a:extLst>
                    </a:blip>
                    <a:srcRect t="12701" b="6041"/>
                    <a:stretch>
                      <a:fillRect/>
                    </a:stretch>
                  </pic:blipFill>
                  <pic:spPr>
                    <a:xfrm>
                      <a:off x="0" y="0"/>
                      <a:ext cx="4123055" cy="2774950"/>
                    </a:xfrm>
                    <a:prstGeom prst="rect">
                      <a:avLst/>
                    </a:prstGeom>
                    <a:noFill/>
                  </pic:spPr>
                </pic:pic>
              </a:graphicData>
            </a:graphic>
          </wp:anchor>
        </w:drawing>
      </w:r>
      <w:r>
        <w:rPr>
          <w:rFonts w:hint="eastAsia" w:ascii="黑体" w:hAnsi="黑体" w:eastAsia="仿宋_GB2312" w:cs="仿宋_GB2312"/>
          <w:snapToGrid w:val="0"/>
          <w:color w:val="000000" w:themeColor="text1"/>
          <w:sz w:val="24"/>
          <w:szCs w:val="24"/>
          <w14:textFill>
            <w14:solidFill>
              <w14:schemeClr w14:val="tx1"/>
            </w14:solidFill>
          </w14:textFill>
        </w:rPr>
        <w:t>图2 田间病圃抗感品种的差异（左：抗病品种；右：感病品种）</w:t>
      </w:r>
    </w:p>
    <w:p>
      <w:pPr>
        <w:snapToGrid w:val="0"/>
        <w:spacing w:line="600" w:lineRule="exact"/>
        <w:ind w:firstLine="642" w:firstLineChars="200"/>
        <w:rPr>
          <w:rFonts w:ascii="仿宋_GB2312" w:hAnsi="Times New Roman" w:eastAsia="仿宋_GB2312" w:cs="仿宋_GB2312"/>
          <w:b/>
          <w:bCs/>
          <w:color w:val="000000" w:themeColor="text1"/>
          <w:sz w:val="32"/>
          <w:szCs w:val="32"/>
          <w14:textFill>
            <w14:solidFill>
              <w14:schemeClr w14:val="tx1"/>
            </w14:solidFill>
          </w14:textFill>
        </w:rPr>
      </w:pPr>
      <w:r>
        <w:rPr>
          <w:rFonts w:ascii="仿宋_GB2312" w:hAnsi="Times New Roman" w:eastAsia="仿宋_GB2312" w:cs="仿宋_GB2312"/>
          <w:b/>
          <w:bCs/>
          <w:color w:val="000000" w:themeColor="text1"/>
          <w:sz w:val="32"/>
          <w:szCs w:val="32"/>
          <w14:textFill>
            <w14:solidFill>
              <w14:schemeClr w14:val="tx1"/>
            </w14:solidFill>
          </w14:textFill>
        </w:rPr>
        <w:t>2.</w:t>
      </w:r>
      <w:r>
        <w:rPr>
          <w:rFonts w:hint="eastAsia" w:ascii="仿宋_GB2312" w:hAnsi="Times New Roman" w:eastAsia="仿宋_GB2312" w:cs="仿宋_GB2312"/>
          <w:b/>
          <w:bCs/>
          <w:color w:val="000000" w:themeColor="text1"/>
          <w:sz w:val="32"/>
          <w:szCs w:val="32"/>
          <w14:textFill>
            <w14:solidFill>
              <w14:schemeClr w14:val="tx1"/>
            </w14:solidFill>
          </w14:textFill>
        </w:rPr>
        <w:t>深翻</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重病田小麦收获时留茬高度不高于10 cm，并将秸秆充分粉碎。播种前土壤进行25cm以上的深翻，每隔2年深翻1次。</w:t>
      </w:r>
    </w:p>
    <w:p>
      <w:pPr>
        <w:snapToGrid w:val="0"/>
        <w:spacing w:line="600" w:lineRule="exact"/>
        <w:ind w:firstLine="642" w:firstLineChars="200"/>
        <w:rPr>
          <w:rFonts w:ascii="仿宋_GB2312" w:hAnsi="Times New Roman" w:eastAsia="仿宋_GB2312" w:cs="仿宋_GB2312"/>
          <w:b/>
          <w:bCs/>
          <w:color w:val="000000" w:themeColor="text1"/>
          <w:sz w:val="32"/>
          <w:szCs w:val="32"/>
          <w14:textFill>
            <w14:solidFill>
              <w14:schemeClr w14:val="tx1"/>
            </w14:solidFill>
          </w14:textFill>
        </w:rPr>
      </w:pPr>
      <w:r>
        <w:rPr>
          <w:rFonts w:ascii="仿宋_GB2312" w:hAnsi="Times New Roman" w:eastAsia="仿宋_GB2312" w:cs="仿宋_GB2312"/>
          <w:b/>
          <w:bCs/>
          <w:color w:val="000000" w:themeColor="text1"/>
          <w:sz w:val="32"/>
          <w:szCs w:val="32"/>
          <w14:textFill>
            <w14:solidFill>
              <w14:schemeClr w14:val="tx1"/>
            </w14:solidFill>
          </w14:textFill>
        </w:rPr>
        <w:t>3</w:t>
      </w:r>
      <w:r>
        <w:rPr>
          <w:rFonts w:hint="eastAsia" w:ascii="仿宋_GB2312" w:hAnsi="Times New Roman" w:eastAsia="仿宋_GB2312" w:cs="仿宋_GB2312"/>
          <w:b/>
          <w:bCs/>
          <w:color w:val="000000" w:themeColor="text1"/>
          <w:sz w:val="32"/>
          <w:szCs w:val="32"/>
          <w14:textFill>
            <w14:solidFill>
              <w14:schemeClr w14:val="tx1"/>
            </w14:solidFill>
          </w14:textFill>
        </w:rPr>
        <w:t>.种子包衣或拌种</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选用三氟吡啶胺、戊唑醇、苯醚甲环唑、咯菌腈等杀菌剂或其复配剂进行种子包衣或拌种，常用药剂及使用方法见表1。</w:t>
      </w: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p>
    <w:p>
      <w:pPr>
        <w:pStyle w:val="2"/>
        <w:ind w:firstLine="240"/>
        <w:rPr>
          <w:rFonts w:ascii="仿宋_GB2312" w:hAnsi="Times New Roman" w:cs="仿宋_GB2312"/>
          <w:color w:val="000000" w:themeColor="text1"/>
          <w:sz w:val="24"/>
          <w:szCs w:val="24"/>
          <w14:textFill>
            <w14:solidFill>
              <w14:schemeClr w14:val="tx1"/>
            </w14:solidFill>
          </w14:textFill>
        </w:rPr>
      </w:pPr>
    </w:p>
    <w:p>
      <w:pPr>
        <w:pStyle w:val="5"/>
        <w:ind w:left="420"/>
      </w:pP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958"/>
        <w:gridCol w:w="2967"/>
        <w:gridCol w:w="1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6" w:hRule="atLeast"/>
        </w:trPr>
        <w:tc>
          <w:tcPr>
            <w:tcW w:w="2322" w:type="pct"/>
            <w:tcBorders>
              <w:top w:val="single" w:color="auto" w:sz="12" w:space="0"/>
              <w:left w:val="single" w:color="auto" w:sz="12" w:space="0"/>
              <w:bottom w:val="single" w:color="auto" w:sz="12" w:space="0"/>
              <w:right w:val="single" w:color="000000" w:sz="4" w:space="0"/>
            </w:tcBorders>
            <w:vAlign w:val="center"/>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药剂种类</w:t>
            </w:r>
          </w:p>
        </w:tc>
        <w:tc>
          <w:tcPr>
            <w:tcW w:w="1741" w:type="pct"/>
            <w:tcBorders>
              <w:top w:val="single" w:color="auto" w:sz="12" w:space="0"/>
              <w:left w:val="single" w:color="auto" w:sz="4" w:space="0"/>
              <w:bottom w:val="single" w:color="auto" w:sz="12" w:space="0"/>
              <w:right w:val="single" w:color="auto" w:sz="4" w:space="0"/>
            </w:tcBorders>
            <w:vAlign w:val="center"/>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每</w:t>
            </w:r>
            <w:r>
              <w:rPr>
                <w:rFonts w:hAnsi="宋体" w:eastAsia="仿宋_GB2312" w:cs="仿宋_GB2312"/>
                <w:color w:val="000000" w:themeColor="text1"/>
                <w:sz w:val="20"/>
                <w:szCs w:val="20"/>
                <w14:textFill>
                  <w14:solidFill>
                    <w14:schemeClr w14:val="tx1"/>
                  </w14:solidFill>
                </w14:textFill>
              </w:rPr>
              <w:t>100kg</w:t>
            </w:r>
            <w:r>
              <w:rPr>
                <w:rFonts w:hint="eastAsia" w:hAnsi="宋体" w:eastAsia="仿宋_GB2312" w:cs="仿宋_GB2312"/>
                <w:color w:val="000000" w:themeColor="text1"/>
                <w:sz w:val="20"/>
                <w:szCs w:val="20"/>
                <w14:textFill>
                  <w14:solidFill>
                    <w14:schemeClr w14:val="tx1"/>
                  </w14:solidFill>
                </w14:textFill>
              </w:rPr>
              <w:t>种子使用</w:t>
            </w:r>
          </w:p>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剂量（</w:t>
            </w:r>
            <w:r>
              <w:rPr>
                <w:rFonts w:hAnsi="宋体" w:eastAsia="仿宋_GB2312" w:cs="仿宋_GB2312"/>
                <w:color w:val="000000" w:themeColor="text1"/>
                <w:sz w:val="20"/>
                <w:szCs w:val="20"/>
                <w14:textFill>
                  <w14:solidFill>
                    <w14:schemeClr w14:val="tx1"/>
                  </w14:solidFill>
                </w14:textFill>
              </w:rPr>
              <w:t>g</w:t>
            </w:r>
            <w:r>
              <w:rPr>
                <w:rFonts w:hint="eastAsia" w:hAnsi="宋体" w:eastAsia="仿宋_GB2312" w:cs="仿宋_GB2312"/>
                <w:color w:val="000000" w:themeColor="text1"/>
                <w:sz w:val="20"/>
                <w:szCs w:val="20"/>
                <w14:textFill>
                  <w14:solidFill>
                    <w14:schemeClr w14:val="tx1"/>
                  </w14:solidFill>
                </w14:textFill>
              </w:rPr>
              <w:t>或</w:t>
            </w:r>
            <w:r>
              <w:rPr>
                <w:rFonts w:hAnsi="宋体" w:eastAsia="仿宋_GB2312" w:cs="仿宋_GB2312"/>
                <w:color w:val="000000" w:themeColor="text1"/>
                <w:sz w:val="20"/>
                <w:szCs w:val="20"/>
                <w14:textFill>
                  <w14:solidFill>
                    <w14:schemeClr w14:val="tx1"/>
                  </w14:solidFill>
                </w14:textFill>
              </w:rPr>
              <w:t xml:space="preserve"> mL</w:t>
            </w:r>
            <w:r>
              <w:rPr>
                <w:rFonts w:hint="eastAsia" w:hAnsi="宋体" w:eastAsia="仿宋_GB2312" w:cs="仿宋_GB2312"/>
                <w:color w:val="000000" w:themeColor="text1"/>
                <w:sz w:val="20"/>
                <w:szCs w:val="20"/>
                <w14:textFill>
                  <w14:solidFill>
                    <w14:schemeClr w14:val="tx1"/>
                  </w14:solidFill>
                </w14:textFill>
              </w:rPr>
              <w:t>）</w:t>
            </w:r>
          </w:p>
        </w:tc>
        <w:tc>
          <w:tcPr>
            <w:tcW w:w="937" w:type="pct"/>
            <w:tcBorders>
              <w:top w:val="single" w:color="auto" w:sz="12" w:space="0"/>
              <w:left w:val="single" w:color="auto" w:sz="4" w:space="0"/>
              <w:bottom w:val="single" w:color="auto" w:sz="12" w:space="0"/>
              <w:right w:val="single" w:color="auto" w:sz="12" w:space="0"/>
            </w:tcBorders>
            <w:vAlign w:val="center"/>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处理方法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4"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200克/升三氟吡啶胺</w:t>
            </w:r>
            <w:r>
              <w:rPr>
                <w:rFonts w:hint="eastAsia" w:hAnsi="宋体" w:eastAsia="仿宋_GB2312" w:cs="仿宋_GB2312"/>
                <w:color w:val="000000" w:themeColor="text1"/>
                <w:sz w:val="20"/>
                <w:szCs w:val="20"/>
                <w14:textFill>
                  <w14:solidFill>
                    <w14:schemeClr w14:val="tx1"/>
                  </w14:solidFill>
                </w14:textFill>
              </w:rPr>
              <w:t>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 xml:space="preserve">150~300 </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9"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bookmarkStart w:id="1" w:name="_Hlk180060021"/>
            <w:r>
              <w:rPr>
                <w:rFonts w:hAnsi="宋体" w:eastAsia="仿宋_GB2312" w:cs="仿宋_GB2312"/>
                <w:color w:val="000000" w:themeColor="text1"/>
                <w:sz w:val="20"/>
                <w:szCs w:val="20"/>
                <w14:textFill>
                  <w14:solidFill>
                    <w14:schemeClr w14:val="tx1"/>
                  </w14:solidFill>
                </w14:textFill>
              </w:rPr>
              <w:t>27%</w:t>
            </w:r>
            <w:r>
              <w:rPr>
                <w:rFonts w:hint="eastAsia" w:hAnsi="宋体" w:eastAsia="仿宋_GB2312" w:cs="仿宋_GB2312"/>
                <w:color w:val="000000" w:themeColor="text1"/>
                <w:sz w:val="20"/>
                <w:szCs w:val="20"/>
                <w14:textFill>
                  <w14:solidFill>
                    <w14:schemeClr w14:val="tx1"/>
                  </w14:solidFill>
                </w14:textFill>
              </w:rPr>
              <w:t>苯醚·咯·噻虫悬浮种衣剂</w:t>
            </w:r>
            <w:bookmarkEnd w:id="1"/>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400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600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6%</w:t>
            </w:r>
            <w:r>
              <w:rPr>
                <w:rFonts w:hint="eastAsia" w:hAnsi="宋体" w:eastAsia="仿宋_GB2312" w:cs="仿宋_GB2312"/>
                <w:color w:val="000000" w:themeColor="text1"/>
                <w:sz w:val="20"/>
                <w:szCs w:val="20"/>
                <w14:textFill>
                  <w14:solidFill>
                    <w14:schemeClr w14:val="tx1"/>
                  </w14:solidFill>
                </w14:textFill>
              </w:rPr>
              <w:t>戊唑醇悬浮种衣剂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40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60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3%</w:t>
            </w:r>
            <w:r>
              <w:rPr>
                <w:rFonts w:hint="eastAsia" w:hAnsi="宋体" w:eastAsia="仿宋_GB2312" w:cs="仿宋_GB2312"/>
                <w:color w:val="000000" w:themeColor="text1"/>
                <w:sz w:val="20"/>
                <w:szCs w:val="20"/>
                <w14:textFill>
                  <w14:solidFill>
                    <w14:schemeClr w14:val="tx1"/>
                  </w14:solidFill>
                </w14:textFill>
              </w:rPr>
              <w:t>苯醚甲环唑悬浮种衣剂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300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500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32%</w:t>
            </w:r>
            <w:r>
              <w:rPr>
                <w:rFonts w:hint="eastAsia" w:hAnsi="宋体" w:eastAsia="仿宋_GB2312" w:cs="仿宋_GB2312"/>
                <w:color w:val="000000" w:themeColor="text1"/>
                <w:sz w:val="20"/>
                <w:szCs w:val="20"/>
                <w14:textFill>
                  <w14:solidFill>
                    <w14:schemeClr w14:val="tx1"/>
                  </w14:solidFill>
                </w14:textFill>
              </w:rPr>
              <w:t>戊唑·吡虫啉悬浮种衣剂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300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700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4.8%</w:t>
            </w:r>
            <w:r>
              <w:rPr>
                <w:rFonts w:hint="eastAsia" w:hAnsi="宋体" w:eastAsia="仿宋_GB2312" w:cs="仿宋_GB2312"/>
                <w:color w:val="000000" w:themeColor="text1"/>
                <w:sz w:val="20"/>
                <w:szCs w:val="20"/>
                <w14:textFill>
                  <w14:solidFill>
                    <w14:schemeClr w14:val="tx1"/>
                  </w14:solidFill>
                </w14:textFill>
              </w:rPr>
              <w:t>苯醚•咯菌腈悬浮种衣剂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200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300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33%</w:t>
            </w:r>
            <w:r>
              <w:rPr>
                <w:rFonts w:hint="eastAsia" w:hAnsi="宋体" w:eastAsia="仿宋_GB2312" w:cs="仿宋_GB2312"/>
                <w:color w:val="000000" w:themeColor="text1"/>
                <w:sz w:val="20"/>
                <w:szCs w:val="20"/>
                <w14:textFill>
                  <w14:solidFill>
                    <w14:schemeClr w14:val="tx1"/>
                  </w14:solidFill>
                </w14:textFill>
              </w:rPr>
              <w:t>咯菌腈•噻虫胺悬浮种衣剂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200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400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种子包衣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48%</w:t>
            </w:r>
            <w:r>
              <w:rPr>
                <w:rFonts w:hint="eastAsia" w:hAnsi="宋体" w:eastAsia="仿宋_GB2312" w:cs="仿宋_GB2312"/>
                <w:color w:val="000000" w:themeColor="text1"/>
                <w:sz w:val="20"/>
                <w:szCs w:val="20"/>
                <w14:textFill>
                  <w14:solidFill>
                    <w14:schemeClr w14:val="tx1"/>
                  </w14:solidFill>
                </w14:textFill>
              </w:rPr>
              <w:t>氰烯菌酯•戊唑醇悬浮剂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200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300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拌种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11%</w:t>
            </w:r>
            <w:r>
              <w:rPr>
                <w:rFonts w:hint="eastAsia" w:hAnsi="宋体" w:eastAsia="仿宋_GB2312" w:cs="仿宋_GB2312"/>
                <w:color w:val="000000" w:themeColor="text1"/>
                <w:sz w:val="20"/>
                <w:szCs w:val="20"/>
                <w14:textFill>
                  <w14:solidFill>
                    <w14:schemeClr w14:val="tx1"/>
                  </w14:solidFill>
                </w14:textFill>
              </w:rPr>
              <w:t>吡唑醚菌酯•灭菌唑悬浮剂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60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75</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拌种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2322" w:type="pct"/>
            <w:tcBorders>
              <w:top w:val="single" w:color="000000" w:sz="4" w:space="0"/>
              <w:left w:val="single" w:color="auto" w:sz="12" w:space="0"/>
              <w:bottom w:val="single" w:color="000000" w:sz="4"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10%</w:t>
            </w:r>
            <w:r>
              <w:rPr>
                <w:rFonts w:hint="eastAsia" w:hAnsi="宋体" w:eastAsia="仿宋_GB2312" w:cs="仿宋_GB2312"/>
                <w:color w:val="000000" w:themeColor="text1"/>
                <w:sz w:val="20"/>
                <w:szCs w:val="20"/>
                <w14:textFill>
                  <w14:solidFill>
                    <w14:schemeClr w14:val="tx1"/>
                  </w14:solidFill>
                </w14:textFill>
              </w:rPr>
              <w:t>咯菌腈•嘧菌酯悬浮剂</w:t>
            </w:r>
          </w:p>
        </w:tc>
        <w:tc>
          <w:tcPr>
            <w:tcW w:w="1741" w:type="pct"/>
            <w:tcBorders>
              <w:top w:val="single" w:color="000000" w:sz="4" w:space="0"/>
              <w:left w:val="single" w:color="auto" w:sz="4" w:space="0"/>
              <w:bottom w:val="single" w:color="000000" w:sz="4"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Ansi="宋体" w:eastAsia="仿宋_GB2312" w:cs="仿宋_GB2312"/>
                <w:color w:val="000000" w:themeColor="text1"/>
                <w:sz w:val="20"/>
                <w:szCs w:val="20"/>
                <w14:textFill>
                  <w14:solidFill>
                    <w14:schemeClr w14:val="tx1"/>
                  </w14:solidFill>
                </w14:textFill>
              </w:rPr>
              <w:t>200</w:t>
            </w:r>
            <w:r>
              <w:rPr>
                <w:rFonts w:hint="eastAsia" w:hAnsi="宋体" w:eastAsia="仿宋_GB2312" w:cs="仿宋_GB2312"/>
                <w:color w:val="000000" w:themeColor="text1"/>
                <w:sz w:val="20"/>
                <w:szCs w:val="20"/>
                <w14:textFill>
                  <w14:solidFill>
                    <w14:schemeClr w14:val="tx1"/>
                  </w14:solidFill>
                </w14:textFill>
              </w:rPr>
              <w:t>～</w:t>
            </w:r>
            <w:r>
              <w:rPr>
                <w:rFonts w:hAnsi="宋体" w:eastAsia="仿宋_GB2312" w:cs="仿宋_GB2312"/>
                <w:color w:val="000000" w:themeColor="text1"/>
                <w:sz w:val="20"/>
                <w:szCs w:val="20"/>
                <w14:textFill>
                  <w14:solidFill>
                    <w14:schemeClr w14:val="tx1"/>
                  </w14:solidFill>
                </w14:textFill>
              </w:rPr>
              <w:t>250</w:t>
            </w:r>
          </w:p>
        </w:tc>
        <w:tc>
          <w:tcPr>
            <w:tcW w:w="937" w:type="pct"/>
            <w:tcBorders>
              <w:top w:val="single" w:color="000000" w:sz="4" w:space="0"/>
              <w:left w:val="single" w:color="auto" w:sz="4" w:space="0"/>
              <w:bottom w:val="single" w:color="000000" w:sz="4"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r>
              <w:rPr>
                <w:rFonts w:hint="eastAsia" w:hAnsi="宋体" w:eastAsia="仿宋_GB2312" w:cs="仿宋_GB2312"/>
                <w:color w:val="000000" w:themeColor="text1"/>
                <w:sz w:val="20"/>
                <w:szCs w:val="20"/>
                <w14:textFill>
                  <w14:solidFill>
                    <w14:schemeClr w14:val="tx1"/>
                  </w14:solidFill>
                </w14:textFill>
              </w:rPr>
              <w:t>拌种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6" w:hRule="atLeast"/>
        </w:trPr>
        <w:tc>
          <w:tcPr>
            <w:tcW w:w="2322" w:type="pct"/>
            <w:tcBorders>
              <w:top w:val="single" w:color="000000" w:sz="4" w:space="0"/>
              <w:left w:val="single" w:color="auto" w:sz="12" w:space="0"/>
              <w:bottom w:val="single" w:color="auto" w:sz="12" w:space="0"/>
              <w:right w:val="single" w:color="000000"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p>
        </w:tc>
        <w:tc>
          <w:tcPr>
            <w:tcW w:w="1741" w:type="pct"/>
            <w:tcBorders>
              <w:top w:val="single" w:color="000000" w:sz="4" w:space="0"/>
              <w:left w:val="single" w:color="auto" w:sz="4" w:space="0"/>
              <w:bottom w:val="single" w:color="auto" w:sz="12" w:space="0"/>
              <w:right w:val="single" w:color="auto" w:sz="4"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p>
        </w:tc>
        <w:tc>
          <w:tcPr>
            <w:tcW w:w="937" w:type="pct"/>
            <w:tcBorders>
              <w:top w:val="single" w:color="000000" w:sz="4" w:space="0"/>
              <w:left w:val="single" w:color="auto" w:sz="4" w:space="0"/>
              <w:bottom w:val="single" w:color="auto" w:sz="12" w:space="0"/>
              <w:right w:val="single" w:color="auto" w:sz="12" w:space="0"/>
            </w:tcBorders>
          </w:tcPr>
          <w:p>
            <w:pPr>
              <w:spacing w:line="276" w:lineRule="auto"/>
              <w:jc w:val="left"/>
              <w:rPr>
                <w:rFonts w:hAnsi="宋体" w:eastAsia="仿宋_GB2312" w:cs="仿宋_GB2312"/>
                <w:color w:val="000000" w:themeColor="text1"/>
                <w:sz w:val="20"/>
                <w:szCs w:val="20"/>
                <w14:textFill>
                  <w14:solidFill>
                    <w14:schemeClr w14:val="tx1"/>
                  </w14:solidFill>
                </w14:textFill>
              </w:rPr>
            </w:pPr>
          </w:p>
        </w:tc>
      </w:tr>
    </w:tbl>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r>
        <w:rPr>
          <w:rFonts w:hint="eastAsia" w:ascii="仿宋_GB2312" w:hAnsi="Times New Roman" w:eastAsia="仿宋_GB2312" w:cs="仿宋_GB2312"/>
          <w:color w:val="000000" w:themeColor="text1"/>
          <w:sz w:val="24"/>
          <w:szCs w:val="24"/>
          <w14:textFill>
            <w14:solidFill>
              <w14:schemeClr w14:val="tx1"/>
            </w14:solidFill>
          </w14:textFill>
        </w:rPr>
        <w:t>表1  种子处理防治小麦茎基腐病的药剂及使用方法</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pStyle w:val="2"/>
        <w:ind w:firstLine="320"/>
        <w:rPr>
          <w:rFonts w:ascii="仿宋_GB2312" w:hAnsi="Times New Roman" w:cs="仿宋_GB2312"/>
          <w:color w:val="000000" w:themeColor="text1"/>
          <w:sz w:val="32"/>
          <w:szCs w:val="32"/>
          <w14:textFill>
            <w14:solidFill>
              <w14:schemeClr w14:val="tx1"/>
            </w14:solidFill>
          </w14:textFill>
        </w:rPr>
      </w:pPr>
      <w:r>
        <w:rPr>
          <w:sz w:val="32"/>
        </w:rPr>
        <mc:AlternateContent>
          <mc:Choice Requires="wps">
            <w:drawing>
              <wp:anchor distT="0" distB="0" distL="114300" distR="114300" simplePos="0" relativeHeight="251669504" behindDoc="0" locked="0" layoutInCell="1" allowOverlap="1">
                <wp:simplePos x="0" y="0"/>
                <wp:positionH relativeFrom="column">
                  <wp:posOffset>92710</wp:posOffset>
                </wp:positionH>
                <wp:positionV relativeFrom="paragraph">
                  <wp:posOffset>25400</wp:posOffset>
                </wp:positionV>
                <wp:extent cx="5459095" cy="3389630"/>
                <wp:effectExtent l="0" t="0" r="0" b="0"/>
                <wp:wrapNone/>
                <wp:docPr id="6" name="文本框 6"/>
                <wp:cNvGraphicFramePr/>
                <a:graphic xmlns:a="http://schemas.openxmlformats.org/drawingml/2006/main">
                  <a:graphicData uri="http://schemas.microsoft.com/office/word/2010/wordprocessingShape">
                    <wps:wsp>
                      <wps:cNvSpPr txBox="true"/>
                      <wps:spPr>
                        <a:xfrm>
                          <a:off x="1235710" y="5293360"/>
                          <a:ext cx="5459095" cy="33896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both"/>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inline distT="0" distB="0" distL="114300" distR="114300">
                                  <wp:extent cx="5585460" cy="2879090"/>
                                  <wp:effectExtent l="0" t="0" r="15240" b="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7">
                                            <a:extLst>
                                              <a:ext uri="{28A0092B-C50C-407E-A947-70E740481C1C}">
                                                <a14:useLocalDpi xmlns:a14="http://schemas.microsoft.com/office/drawing/2010/main" val="false"/>
                                              </a:ext>
                                            </a:extLst>
                                          </a:blip>
                                          <a:srcRect/>
                                          <a:stretch>
                                            <a:fillRect/>
                                          </a:stretch>
                                        </pic:blipFill>
                                        <pic:spPr>
                                          <a:xfrm>
                                            <a:off x="0" y="0"/>
                                            <a:ext cx="5585460" cy="2879090"/>
                                          </a:xfrm>
                                          <a:prstGeom prst="rect">
                                            <a:avLst/>
                                          </a:prstGeom>
                                          <a:noFill/>
                                        </pic:spPr>
                                      </pic:pic>
                                    </a:graphicData>
                                  </a:graphic>
                                </wp:inline>
                              </w:drawing>
                            </w: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r>
                              <w:rPr>
                                <w:rFonts w:hint="default" w:ascii="仿宋_GB2312" w:hAnsi="Times New Roman" w:eastAsia="仿宋_GB2312" w:cs="仿宋_GB2312"/>
                                <w:color w:val="000000" w:themeColor="text1"/>
                                <w:sz w:val="24"/>
                                <w:szCs w:val="24"/>
                                <w:lang w:val="en"/>
                                <w14:textFill>
                                  <w14:solidFill>
                                    <w14:schemeClr w14:val="tx1"/>
                                  </w14:solidFill>
                                </w14:textFill>
                              </w:rPr>
                              <w:t xml:space="preserve">图3 </w:t>
                            </w:r>
                            <w:r>
                              <w:rPr>
                                <w:rFonts w:hint="eastAsia" w:ascii="仿宋_GB2312" w:hAnsi="Times New Roman" w:eastAsia="仿宋_GB2312" w:cs="仿宋_GB2312"/>
                                <w:color w:val="000000" w:themeColor="text1"/>
                                <w:sz w:val="24"/>
                                <w:szCs w:val="24"/>
                                <w14:textFill>
                                  <w14:solidFill>
                                    <w14:schemeClr w14:val="tx1"/>
                                  </w14:solidFill>
                                </w14:textFill>
                              </w:rPr>
                              <w:t>戊唑醇悬浮种衣剂包衣对小麦茎基腐病苗期防治效果</w:t>
                            </w:r>
                          </w:p>
                          <w:p>
                            <w:pPr>
                              <w:pStyle w:val="2"/>
                              <w:ind w:firstLine="210"/>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7.3pt;margin-top:2pt;height:266.9pt;width:429.85pt;z-index:251669504;mso-width-relative:page;mso-height-relative:page;" filled="f" stroked="f" coordsize="21600,21600" o:gfxdata="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BYAAABkcnMvUEsBAhQAFAAAAAgAh07iQFzPSxXZAAAACAEAAA8AAAAAAAAA&#10;AQAgAAAAOAAAAGRycy9kb3ducmV2LnhtbFBLAQIUABQAAAAIAIdO4kAa854bMwIAADcEAAAOAAAA&#10;AAAAAAEAIAAAAD4BAABkcnMvZTJvRG9jLnhtbFBLBQYAAAAABgAGAFkBAADjBQAAAAA=&#10;">
                <v:fill on="f" focussize="0,0"/>
                <v:stroke on="f" weight="0.5pt"/>
                <v:imagedata o:title=""/>
                <o:lock v:ext="edit" aspectratio="f"/>
                <v:textbox>
                  <w:txbxContent>
                    <w:p>
                      <w:pPr>
                        <w:jc w:val="both"/>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inline distT="0" distB="0" distL="114300" distR="114300">
                            <wp:extent cx="5585460" cy="2879090"/>
                            <wp:effectExtent l="0" t="0" r="15240" b="0"/>
                            <wp:docPr id="4"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true" noChangeArrowheads="true"/>
                                    </pic:cNvPicPr>
                                  </pic:nvPicPr>
                                  <pic:blipFill>
                                    <a:blip r:embed="rId7">
                                      <a:extLst>
                                        <a:ext uri="{28A0092B-C50C-407E-A947-70E740481C1C}">
                                          <a14:useLocalDpi xmlns:a14="http://schemas.microsoft.com/office/drawing/2010/main" val="false"/>
                                        </a:ext>
                                      </a:extLst>
                                    </a:blip>
                                    <a:srcRect/>
                                    <a:stretch>
                                      <a:fillRect/>
                                    </a:stretch>
                                  </pic:blipFill>
                                  <pic:spPr>
                                    <a:xfrm>
                                      <a:off x="0" y="0"/>
                                      <a:ext cx="5585460" cy="2879090"/>
                                    </a:xfrm>
                                    <a:prstGeom prst="rect">
                                      <a:avLst/>
                                    </a:prstGeom>
                                    <a:noFill/>
                                  </pic:spPr>
                                </pic:pic>
                              </a:graphicData>
                            </a:graphic>
                          </wp:inline>
                        </w:drawing>
                      </w: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r>
                        <w:rPr>
                          <w:rFonts w:hint="default" w:ascii="仿宋_GB2312" w:hAnsi="Times New Roman" w:eastAsia="仿宋_GB2312" w:cs="仿宋_GB2312"/>
                          <w:color w:val="000000" w:themeColor="text1"/>
                          <w:sz w:val="24"/>
                          <w:szCs w:val="24"/>
                          <w:lang w:val="en"/>
                          <w14:textFill>
                            <w14:solidFill>
                              <w14:schemeClr w14:val="tx1"/>
                            </w14:solidFill>
                          </w14:textFill>
                        </w:rPr>
                        <w:t xml:space="preserve">图3 </w:t>
                      </w:r>
                      <w:r>
                        <w:rPr>
                          <w:rFonts w:hint="eastAsia" w:ascii="仿宋_GB2312" w:hAnsi="Times New Roman" w:eastAsia="仿宋_GB2312" w:cs="仿宋_GB2312"/>
                          <w:color w:val="000000" w:themeColor="text1"/>
                          <w:sz w:val="24"/>
                          <w:szCs w:val="24"/>
                          <w14:textFill>
                            <w14:solidFill>
                              <w14:schemeClr w14:val="tx1"/>
                            </w14:solidFill>
                          </w14:textFill>
                        </w:rPr>
                        <w:t>戊唑醇悬浮种衣剂包衣对小麦茎基腐病苗期防治效果</w:t>
                      </w:r>
                    </w:p>
                    <w:p>
                      <w:pPr>
                        <w:pStyle w:val="2"/>
                        <w:ind w:firstLine="210"/>
                      </w:pPr>
                    </w:p>
                  </w:txbxContent>
                </v:textbox>
              </v:shape>
            </w:pict>
          </mc:Fallback>
        </mc:AlternateContent>
      </w:r>
    </w:p>
    <w:p>
      <w:pPr>
        <w:pStyle w:val="5"/>
        <w:ind w:left="420"/>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480" w:firstLineChars="20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sz w:val="32"/>
        </w:rPr>
        <mc:AlternateContent>
          <mc:Choice Requires="wps">
            <w:drawing>
              <wp:anchor distT="0" distB="0" distL="114300" distR="114300" simplePos="0" relativeHeight="251670528" behindDoc="0" locked="0" layoutInCell="1" allowOverlap="1">
                <wp:simplePos x="0" y="0"/>
                <wp:positionH relativeFrom="column">
                  <wp:posOffset>-296545</wp:posOffset>
                </wp:positionH>
                <wp:positionV relativeFrom="paragraph">
                  <wp:posOffset>116840</wp:posOffset>
                </wp:positionV>
                <wp:extent cx="5939155" cy="3000375"/>
                <wp:effectExtent l="0" t="0" r="0" b="0"/>
                <wp:wrapNone/>
                <wp:docPr id="7" name="文本框 7"/>
                <wp:cNvGraphicFramePr/>
                <a:graphic xmlns:a="http://schemas.openxmlformats.org/drawingml/2006/main">
                  <a:graphicData uri="http://schemas.microsoft.com/office/word/2010/wordprocessingShape">
                    <wps:wsp>
                      <wps:cNvSpPr txBox="true"/>
                      <wps:spPr>
                        <a:xfrm>
                          <a:off x="1594485" y="943610"/>
                          <a:ext cx="5939155" cy="30003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inline distT="0" distB="0" distL="114300" distR="114300">
                                  <wp:extent cx="5274310" cy="2463165"/>
                                  <wp:effectExtent l="0" t="0" r="2540" b="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noChangeArrowheads="true"/>
                                          </pic:cNvPicPr>
                                        </pic:nvPicPr>
                                        <pic:blipFill>
                                          <a:blip r:embed="rId8">
                                            <a:extLst>
                                              <a:ext uri="{28A0092B-C50C-407E-A947-70E740481C1C}">
                                                <a14:useLocalDpi xmlns:a14="http://schemas.microsoft.com/office/drawing/2010/main" val="false"/>
                                              </a:ext>
                                            </a:extLst>
                                          </a:blip>
                                          <a:srcRect/>
                                          <a:stretch>
                                            <a:fillRect/>
                                          </a:stretch>
                                        </pic:blipFill>
                                        <pic:spPr>
                                          <a:xfrm>
                                            <a:off x="0" y="0"/>
                                            <a:ext cx="5274310" cy="2463165"/>
                                          </a:xfrm>
                                          <a:prstGeom prst="rect">
                                            <a:avLst/>
                                          </a:prstGeom>
                                          <a:noFill/>
                                        </pic:spPr>
                                      </pic:pic>
                                    </a:graphicData>
                                  </a:graphic>
                                </wp:inline>
                              </w:drawing>
                            </w: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r>
                              <w:rPr>
                                <w:rFonts w:hint="eastAsia" w:ascii="仿宋_GB2312" w:hAnsi="Times New Roman" w:eastAsia="仿宋_GB2312" w:cs="仿宋_GB2312"/>
                                <w:color w:val="000000" w:themeColor="text1"/>
                                <w:sz w:val="24"/>
                                <w:szCs w:val="24"/>
                                <w14:textFill>
                                  <w14:solidFill>
                                    <w14:schemeClr w14:val="tx1"/>
                                  </w14:solidFill>
                                </w14:textFill>
                              </w:rPr>
                              <w:t>图</w:t>
                            </w:r>
                            <w:r>
                              <w:rPr>
                                <w:rFonts w:hint="default" w:ascii="仿宋_GB2312" w:hAnsi="Times New Roman" w:eastAsia="仿宋_GB2312" w:cs="仿宋_GB2312"/>
                                <w:color w:val="000000" w:themeColor="text1"/>
                                <w:sz w:val="24"/>
                                <w:szCs w:val="24"/>
                                <w:lang w:val="en"/>
                                <w14:textFill>
                                  <w14:solidFill>
                                    <w14:schemeClr w14:val="tx1"/>
                                  </w14:solidFill>
                                </w14:textFill>
                              </w:rPr>
                              <w:t>4</w:t>
                            </w:r>
                            <w:r>
                              <w:rPr>
                                <w:rFonts w:hint="eastAsia" w:ascii="仿宋_GB2312" w:hAnsi="Times New Roman" w:eastAsia="仿宋_GB2312" w:cs="仿宋_GB2312"/>
                                <w:color w:val="000000" w:themeColor="text1"/>
                                <w:sz w:val="24"/>
                                <w:szCs w:val="24"/>
                                <w14:textFill>
                                  <w14:solidFill>
                                    <w14:schemeClr w14:val="tx1"/>
                                  </w14:solidFill>
                                </w14:textFill>
                              </w:rPr>
                              <w:t xml:space="preserve"> 三氟吡啶胺+酷拉斯种子包衣田间防效</w:t>
                            </w:r>
                          </w:p>
                          <w:p>
                            <w:pPr>
                              <w:pStyle w:val="2"/>
                              <w:ind w:firstLine="210"/>
                            </w:pPr>
                          </w:p>
                        </w:txbxContent>
                      </wps:txbx>
                      <wps:bodyPr rot="0" spcFirstLastPara="0" vertOverflow="overflow" horzOverflow="overflow" vert="horz" wrap="square" lIns="91440" tIns="45720" rIns="91440" bIns="4572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3.35pt;margin-top:9.2pt;height:236.25pt;width:467.65pt;z-index:251670528;mso-width-relative:page;mso-height-relative:page;" filled="f" stroked="f" coordsize="21600,21600" o:gfxdata="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BYAAABkcnMvUEsBAhQAFAAAAAgAh07iQBG6YWHbAAAACgEAAA8AAAAAAAAA&#10;AQAgAAAAOAAAAGRycy9kb3ducmV2LnhtbFBLAQIUABQAAAAIAIdO4kBo/1uIMQIAADYEAAAOAAAA&#10;AAAAAAEAIAAAAEABAABkcnMvZTJvRG9jLnhtbFBLBQYAAAAABgAGAFkBAADjBQAAAAA=&#10;">
                <v:fill on="f" focussize="0,0"/>
                <v:stroke on="f" weight="0.5pt"/>
                <v:imagedata o:title=""/>
                <o:lock v:ext="edit" aspectratio="f"/>
                <v:textbox>
                  <w:txbxContent>
                    <w:p>
                      <w:pPr>
                        <w:jc w:val="center"/>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inline distT="0" distB="0" distL="114300" distR="114300">
                            <wp:extent cx="5274310" cy="2463165"/>
                            <wp:effectExtent l="0" t="0" r="2540" b="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noChangeArrowheads="true"/>
                                    </pic:cNvPicPr>
                                  </pic:nvPicPr>
                                  <pic:blipFill>
                                    <a:blip r:embed="rId8">
                                      <a:extLst>
                                        <a:ext uri="{28A0092B-C50C-407E-A947-70E740481C1C}">
                                          <a14:useLocalDpi xmlns:a14="http://schemas.microsoft.com/office/drawing/2010/main" val="false"/>
                                        </a:ext>
                                      </a:extLst>
                                    </a:blip>
                                    <a:srcRect/>
                                    <a:stretch>
                                      <a:fillRect/>
                                    </a:stretch>
                                  </pic:blipFill>
                                  <pic:spPr>
                                    <a:xfrm>
                                      <a:off x="0" y="0"/>
                                      <a:ext cx="5274310" cy="2463165"/>
                                    </a:xfrm>
                                    <a:prstGeom prst="rect">
                                      <a:avLst/>
                                    </a:prstGeom>
                                    <a:noFill/>
                                  </pic:spPr>
                                </pic:pic>
                              </a:graphicData>
                            </a:graphic>
                          </wp:inline>
                        </w:drawing>
                      </w: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r>
                        <w:rPr>
                          <w:rFonts w:hint="eastAsia" w:ascii="仿宋_GB2312" w:hAnsi="Times New Roman" w:eastAsia="仿宋_GB2312" w:cs="仿宋_GB2312"/>
                          <w:color w:val="000000" w:themeColor="text1"/>
                          <w:sz w:val="24"/>
                          <w:szCs w:val="24"/>
                          <w14:textFill>
                            <w14:solidFill>
                              <w14:schemeClr w14:val="tx1"/>
                            </w14:solidFill>
                          </w14:textFill>
                        </w:rPr>
                        <w:t>图</w:t>
                      </w:r>
                      <w:r>
                        <w:rPr>
                          <w:rFonts w:hint="default" w:ascii="仿宋_GB2312" w:hAnsi="Times New Roman" w:eastAsia="仿宋_GB2312" w:cs="仿宋_GB2312"/>
                          <w:color w:val="000000" w:themeColor="text1"/>
                          <w:sz w:val="24"/>
                          <w:szCs w:val="24"/>
                          <w:lang w:val="en"/>
                          <w14:textFill>
                            <w14:solidFill>
                              <w14:schemeClr w14:val="tx1"/>
                            </w14:solidFill>
                          </w14:textFill>
                        </w:rPr>
                        <w:t>4</w:t>
                      </w:r>
                      <w:r>
                        <w:rPr>
                          <w:rFonts w:hint="eastAsia" w:ascii="仿宋_GB2312" w:hAnsi="Times New Roman" w:eastAsia="仿宋_GB2312" w:cs="仿宋_GB2312"/>
                          <w:color w:val="000000" w:themeColor="text1"/>
                          <w:sz w:val="24"/>
                          <w:szCs w:val="24"/>
                          <w14:textFill>
                            <w14:solidFill>
                              <w14:schemeClr w14:val="tx1"/>
                            </w14:solidFill>
                          </w14:textFill>
                        </w:rPr>
                        <w:t xml:space="preserve"> 三氟吡啶胺+酷拉斯种子包衣田间防效</w:t>
                      </w:r>
                    </w:p>
                    <w:p>
                      <w:pPr>
                        <w:pStyle w:val="2"/>
                        <w:ind w:firstLine="210"/>
                      </w:pPr>
                    </w:p>
                  </w:txbxContent>
                </v:textbox>
              </v:shape>
            </w:pict>
          </mc:Fallback>
        </mc:AlternateConten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p>
    <w:p>
      <w:pPr>
        <w:snapToGrid w:val="0"/>
        <w:spacing w:line="600" w:lineRule="exact"/>
        <w:rPr>
          <w:rFonts w:ascii="仿宋_GB2312" w:hAnsi="Times New Roman" w:eastAsia="仿宋_GB2312" w:cs="仿宋_GB2312"/>
          <w:b/>
          <w:bCs/>
          <w:color w:val="000000" w:themeColor="text1"/>
          <w:sz w:val="32"/>
          <w:szCs w:val="32"/>
          <w14:textFill>
            <w14:solidFill>
              <w14:schemeClr w14:val="tx1"/>
            </w14:solidFill>
          </w14:textFill>
        </w:rPr>
      </w:pPr>
    </w:p>
    <w:p>
      <w:pPr>
        <w:snapToGrid w:val="0"/>
        <w:spacing w:line="600" w:lineRule="exact"/>
        <w:ind w:firstLine="642" w:firstLineChars="200"/>
        <w:rPr>
          <w:rFonts w:ascii="仿宋_GB2312" w:hAnsi="Times New Roman" w:eastAsia="仿宋_GB2312" w:cs="仿宋_GB2312"/>
          <w:b/>
          <w:bCs/>
          <w:color w:val="000000" w:themeColor="text1"/>
          <w:sz w:val="32"/>
          <w:szCs w:val="32"/>
          <w14:textFill>
            <w14:solidFill>
              <w14:schemeClr w14:val="tx1"/>
            </w14:solidFill>
          </w14:textFill>
        </w:rPr>
      </w:pPr>
      <w:r>
        <w:rPr>
          <w:rFonts w:ascii="仿宋_GB2312" w:hAnsi="Times New Roman" w:eastAsia="仿宋_GB2312" w:cs="仿宋_GB2312"/>
          <w:b/>
          <w:bCs/>
          <w:color w:val="000000" w:themeColor="text1"/>
          <w:sz w:val="32"/>
          <w:szCs w:val="32"/>
          <w14:textFill>
            <w14:solidFill>
              <w14:schemeClr w14:val="tx1"/>
            </w14:solidFill>
          </w14:textFill>
        </w:rPr>
        <w:t>4.</w:t>
      </w:r>
      <w:r>
        <w:rPr>
          <w:rFonts w:hint="eastAsia" w:ascii="仿宋_GB2312" w:hAnsi="Times New Roman" w:eastAsia="仿宋_GB2312" w:cs="仿宋_GB2312"/>
          <w:b/>
          <w:bCs/>
          <w:color w:val="000000" w:themeColor="text1"/>
          <w:sz w:val="32"/>
          <w:szCs w:val="32"/>
          <w14:textFill>
            <w14:solidFill>
              <w14:schemeClr w14:val="tx1"/>
            </w14:solidFill>
          </w14:textFill>
        </w:rPr>
        <w:t>返青期喷雾</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返青至起身期，病株率达到5%的田块，可以采用氰烯菌酯、三唑类杀菌剂及其复配制剂进行茎基部喷雾防治。提倡三唑类杀菌剂与氰烯菌酯等具有内吸性治疗性杀菌剂混用。施药时最好使用自走式喷杆喷雾机或背负式喷雾器，用水量应不低于40 L/666.7m</w:t>
      </w:r>
      <w:r>
        <w:rPr>
          <w:rFonts w:hint="eastAsia" w:ascii="仿宋_GB2312" w:hAnsi="Times New Roman" w:eastAsia="仿宋_GB2312" w:cs="仿宋_GB2312"/>
          <w:color w:val="000000" w:themeColor="text1"/>
          <w:sz w:val="32"/>
          <w:szCs w:val="32"/>
          <w:vertAlign w:val="superscript"/>
          <w14:textFill>
            <w14:solidFill>
              <w14:schemeClr w14:val="tx1"/>
            </w14:solidFill>
          </w14:textFill>
        </w:rPr>
        <w:t>2</w:t>
      </w:r>
      <w:r>
        <w:rPr>
          <w:rFonts w:hint="eastAsia" w:ascii="仿宋_GB2312" w:hAnsi="Times New Roman" w:eastAsia="仿宋_GB2312" w:cs="仿宋_GB2312"/>
          <w:color w:val="000000" w:themeColor="text1"/>
          <w:sz w:val="32"/>
          <w:szCs w:val="32"/>
          <w14:textFill>
            <w14:solidFill>
              <w14:schemeClr w14:val="tx1"/>
            </w14:solidFill>
          </w14:textFill>
        </w:rPr>
        <w:t>，重点喷施小麦茎基部。常用药剂种类见表2。</w:t>
      </w:r>
    </w:p>
    <w:p>
      <w:pPr>
        <w:snapToGrid w:val="0"/>
        <w:spacing w:line="600" w:lineRule="exact"/>
        <w:ind w:firstLine="560"/>
        <w:jc w:val="center"/>
        <w:rPr>
          <w:rFonts w:ascii="仿宋_GB2312" w:hAnsi="Times New Roman" w:eastAsia="仿宋_GB2312" w:cs="仿宋_GB2312"/>
          <w:color w:val="000000" w:themeColor="text1"/>
          <w:sz w:val="24"/>
          <w:szCs w:val="24"/>
          <w14:textFill>
            <w14:solidFill>
              <w14:schemeClr w14:val="tx1"/>
            </w14:solidFill>
          </w14:textFill>
        </w:rPr>
      </w:pPr>
      <w:r>
        <w:rPr>
          <w:rFonts w:hint="eastAsia" w:ascii="仿宋_GB2312" w:hAnsi="Times New Roman" w:eastAsia="仿宋_GB2312" w:cs="仿宋_GB2312"/>
          <w:color w:val="000000" w:themeColor="text1"/>
          <w:sz w:val="24"/>
          <w:szCs w:val="24"/>
          <w14:textFill>
            <w14:solidFill>
              <w14:schemeClr w14:val="tx1"/>
            </w14:solidFill>
          </w14:textFill>
        </w:rPr>
        <w:t>表2  茎叶喷雾防治小麦茎基腐病的药剂</w:t>
      </w:r>
    </w:p>
    <w:tbl>
      <w:tblPr>
        <w:tblStyle w:val="11"/>
        <w:tblpPr w:leftFromText="180" w:rightFromText="180" w:vertAnchor="text" w:tblpX="123" w:tblpY="1"/>
        <w:tblOverlap w:val="never"/>
        <w:tblW w:w="49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602"/>
        <w:gridCol w:w="48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auto" w:sz="12" w:space="0"/>
              <w:left w:val="single" w:color="auto" w:sz="12" w:space="0"/>
              <w:bottom w:val="single" w:color="auto" w:sz="12"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药剂</w:t>
            </w:r>
          </w:p>
        </w:tc>
        <w:tc>
          <w:tcPr>
            <w:tcW w:w="2880" w:type="pct"/>
            <w:tcBorders>
              <w:top w:val="single" w:color="auto" w:sz="12" w:space="0"/>
              <w:left w:val="single" w:color="auto" w:sz="4" w:space="0"/>
              <w:bottom w:val="single" w:color="auto" w:sz="12" w:space="0"/>
              <w:right w:val="single" w:color="auto" w:sz="12" w:space="0"/>
            </w:tcBorders>
            <w:vAlign w:val="center"/>
          </w:tcPr>
          <w:p>
            <w:pPr>
              <w:autoSpaceDE w:val="0"/>
              <w:autoSpaceDN w:val="0"/>
              <w:spacing w:line="276" w:lineRule="auto"/>
              <w:ind w:firstLine="420"/>
              <w:jc w:val="center"/>
              <w:rPr>
                <w:rFonts w:ascii="宋体"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有效成分</w:t>
            </w:r>
            <w:r>
              <w:rPr>
                <w:rFonts w:hint="eastAsia" w:ascii="宋体" w:hAnsi="宋体" w:eastAsia="仿宋_GB2312" w:cs="仿宋_GB2312"/>
                <w:color w:val="000000" w:themeColor="text1"/>
                <w:szCs w:val="21"/>
                <w14:textFill>
                  <w14:solidFill>
                    <w14:schemeClr w14:val="tx1"/>
                  </w14:solidFill>
                </w14:textFill>
              </w:rPr>
              <w:t>用量（g或 mL/666.7m</w:t>
            </w:r>
            <w:r>
              <w:rPr>
                <w:rFonts w:hint="eastAsia" w:ascii="宋体" w:hAnsi="宋体" w:eastAsia="仿宋_GB2312" w:cs="仿宋_GB2312"/>
                <w:color w:val="000000" w:themeColor="text1"/>
                <w:szCs w:val="21"/>
                <w:vertAlign w:val="superscript"/>
                <w14:textFill>
                  <w14:solidFill>
                    <w14:schemeClr w14:val="tx1"/>
                  </w14:solidFill>
                </w14:textFill>
              </w:rPr>
              <w:t>2</w:t>
            </w:r>
            <w:r>
              <w:rPr>
                <w:rFonts w:hint="eastAsia" w:ascii="宋体" w:hAnsi="宋体" w:eastAsia="仿宋_GB2312" w:cs="仿宋_GB2312"/>
                <w:color w:val="000000" w:themeColor="text1"/>
                <w:szCs w:val="21"/>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000000" w:sz="4"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戊唑醇</w:t>
            </w:r>
          </w:p>
        </w:tc>
        <w:tc>
          <w:tcPr>
            <w:tcW w:w="2880" w:type="pct"/>
            <w:tcBorders>
              <w:top w:val="single" w:color="000000" w:sz="4" w:space="0"/>
              <w:left w:val="single" w:color="auto" w:sz="4" w:space="0"/>
              <w:bottom w:val="single" w:color="000000" w:sz="4"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Ansi="宋体" w:eastAsia="仿宋_GB2312" w:cs="仿宋_GB2312"/>
                <w:color w:val="000000" w:themeColor="text1"/>
                <w:szCs w:val="21"/>
                <w14:textFill>
                  <w14:solidFill>
                    <w14:schemeClr w14:val="tx1"/>
                  </w14:solidFill>
                </w14:textFill>
              </w:rPr>
              <w:t>3.75</w:t>
            </w:r>
            <w:r>
              <w:rPr>
                <w:rFonts w:hint="eastAsia" w:hAnsi="宋体" w:eastAsia="仿宋_GB2312" w:cs="仿宋_GB2312"/>
                <w:color w:val="000000" w:themeColor="text1"/>
                <w:szCs w:val="21"/>
                <w14:textFill>
                  <w14:solidFill>
                    <w14:schemeClr w14:val="tx1"/>
                  </w14:solidFill>
                </w14:textFill>
              </w:rPr>
              <w:t>～</w:t>
            </w:r>
            <w:r>
              <w:rPr>
                <w:rFonts w:hAnsi="宋体" w:eastAsia="仿宋_GB2312" w:cs="仿宋_GB2312"/>
                <w:color w:val="000000" w:themeColor="text1"/>
                <w:szCs w:val="21"/>
                <w14:textFill>
                  <w14:solidFill>
                    <w14:schemeClr w14:val="tx1"/>
                  </w14:solidFill>
                </w14:textFill>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000000" w:sz="4"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丙硫菌唑</w:t>
            </w:r>
          </w:p>
        </w:tc>
        <w:tc>
          <w:tcPr>
            <w:tcW w:w="2880" w:type="pct"/>
            <w:tcBorders>
              <w:top w:val="single" w:color="000000" w:sz="4" w:space="0"/>
              <w:left w:val="single" w:color="auto" w:sz="4" w:space="0"/>
              <w:bottom w:val="single" w:color="000000" w:sz="4"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Ansi="宋体" w:eastAsia="仿宋_GB2312" w:cs="仿宋_GB2312"/>
                <w:color w:val="000000" w:themeColor="text1"/>
                <w:szCs w:val="21"/>
                <w14:textFill>
                  <w14:solidFill>
                    <w14:schemeClr w14:val="tx1"/>
                  </w14:solidFill>
                </w14:textFill>
              </w:rPr>
              <w:t>12</w:t>
            </w:r>
            <w:r>
              <w:rPr>
                <w:rFonts w:hint="eastAsia" w:hAnsi="宋体" w:eastAsia="仿宋_GB2312" w:cs="仿宋_GB2312"/>
                <w:color w:val="000000" w:themeColor="text1"/>
                <w:szCs w:val="21"/>
                <w14:textFill>
                  <w14:solidFill>
                    <w14:schemeClr w14:val="tx1"/>
                  </w14:solidFill>
                </w14:textFill>
              </w:rPr>
              <w:t>～</w:t>
            </w:r>
            <w:r>
              <w:rPr>
                <w:rFonts w:hAnsi="宋体" w:eastAsia="仿宋_GB2312" w:cs="仿宋_GB2312"/>
                <w:color w:val="000000" w:themeColor="text1"/>
                <w:szCs w:val="21"/>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000000" w:sz="4"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丙环唑</w:t>
            </w:r>
          </w:p>
        </w:tc>
        <w:tc>
          <w:tcPr>
            <w:tcW w:w="2880" w:type="pct"/>
            <w:tcBorders>
              <w:top w:val="single" w:color="000000" w:sz="4" w:space="0"/>
              <w:left w:val="single" w:color="auto" w:sz="4" w:space="0"/>
              <w:bottom w:val="single" w:color="000000" w:sz="4"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Ansi="宋体" w:eastAsia="仿宋_GB2312" w:cs="仿宋_GB2312"/>
                <w:color w:val="000000" w:themeColor="text1"/>
                <w:szCs w:val="21"/>
                <w14:textFill>
                  <w14:solidFill>
                    <w14:schemeClr w14:val="tx1"/>
                  </w14:solidFill>
                </w14:textFill>
              </w:rPr>
              <w:t>12.5</w:t>
            </w:r>
            <w:r>
              <w:rPr>
                <w:rFonts w:hint="eastAsia" w:hAnsi="宋体" w:eastAsia="仿宋_GB2312" w:cs="仿宋_GB2312"/>
                <w:color w:val="000000" w:themeColor="text1"/>
                <w:szCs w:val="21"/>
                <w14:textFill>
                  <w14:solidFill>
                    <w14:schemeClr w14:val="tx1"/>
                  </w14:solidFill>
                </w14:textFill>
              </w:rPr>
              <w:t>～</w:t>
            </w:r>
            <w:r>
              <w:rPr>
                <w:rFonts w:hAnsi="宋体" w:eastAsia="仿宋_GB2312" w:cs="仿宋_GB2312"/>
                <w:color w:val="000000" w:themeColor="text1"/>
                <w:szCs w:val="21"/>
                <w14:textFill>
                  <w14:solidFill>
                    <w14:schemeClr w14:val="tx1"/>
                  </w14:solidFill>
                </w14:textFill>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000000" w:sz="4"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氰烯菌酯</w:t>
            </w:r>
          </w:p>
        </w:tc>
        <w:tc>
          <w:tcPr>
            <w:tcW w:w="2880" w:type="pct"/>
            <w:tcBorders>
              <w:top w:val="single" w:color="000000" w:sz="4" w:space="0"/>
              <w:left w:val="single" w:color="auto" w:sz="4" w:space="0"/>
              <w:bottom w:val="single" w:color="000000" w:sz="4"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Ansi="宋体" w:eastAsia="仿宋_GB2312" w:cs="仿宋_GB2312"/>
                <w:color w:val="000000" w:themeColor="text1"/>
                <w:szCs w:val="21"/>
                <w14:textFill>
                  <w14:solidFill>
                    <w14:schemeClr w14:val="tx1"/>
                  </w14:solidFill>
                </w14:textFill>
              </w:rPr>
              <w:t>20</w:t>
            </w:r>
            <w:r>
              <w:rPr>
                <w:rFonts w:hint="eastAsia" w:hAnsi="宋体" w:eastAsia="仿宋_GB2312" w:cs="仿宋_GB2312"/>
                <w:color w:val="000000" w:themeColor="text1"/>
                <w:szCs w:val="21"/>
                <w14:textFill>
                  <w14:solidFill>
                    <w14:schemeClr w14:val="tx1"/>
                  </w14:solidFill>
                </w14:textFill>
              </w:rPr>
              <w:t>～</w:t>
            </w:r>
            <w:r>
              <w:rPr>
                <w:rFonts w:hAnsi="宋体" w:eastAsia="仿宋_GB2312" w:cs="仿宋_GB2312"/>
                <w:color w:val="000000" w:themeColor="text1"/>
                <w:szCs w:val="21"/>
                <w14:textFill>
                  <w14:solidFill>
                    <w14:schemeClr w14:val="tx1"/>
                  </w14:solidFill>
                </w14:textFill>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000000" w:sz="4"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 xml:space="preserve"> 30%吡唑醚菌酯·戊唑醇悬浮剂</w:t>
            </w:r>
          </w:p>
        </w:tc>
        <w:tc>
          <w:tcPr>
            <w:tcW w:w="2880" w:type="pct"/>
            <w:tcBorders>
              <w:top w:val="single" w:color="000000" w:sz="4" w:space="0"/>
              <w:left w:val="single" w:color="auto" w:sz="4" w:space="0"/>
              <w:bottom w:val="single" w:color="000000" w:sz="4"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7</w:t>
            </w:r>
            <w:r>
              <w:rPr>
                <w:rFonts w:hAnsi="宋体" w:eastAsia="仿宋_GB2312" w:cs="仿宋_GB2312"/>
                <w:color w:val="000000" w:themeColor="text1"/>
                <w:szCs w:val="21"/>
                <w14:textFill>
                  <w14:solidFill>
                    <w14:schemeClr w14:val="tx1"/>
                  </w14:solidFill>
                </w14:textFill>
              </w:rPr>
              <w:t>.5</w:t>
            </w:r>
            <w:r>
              <w:rPr>
                <w:rFonts w:hint="eastAsia" w:hAnsi="宋体" w:eastAsia="仿宋_GB2312" w:cs="仿宋_GB2312"/>
                <w:color w:val="000000" w:themeColor="text1"/>
                <w:szCs w:val="21"/>
                <w14:textFill>
                  <w14:solidFill>
                    <w14:schemeClr w14:val="tx1"/>
                  </w14:solidFill>
                </w14:textFill>
              </w:rPr>
              <w:t>～9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trPr>
        <w:tc>
          <w:tcPr>
            <w:tcW w:w="2119" w:type="pct"/>
            <w:tcBorders>
              <w:top w:val="single" w:color="000000" w:sz="4" w:space="0"/>
              <w:left w:val="single" w:color="auto" w:sz="12" w:space="0"/>
              <w:bottom w:val="single" w:color="auto" w:sz="12" w:space="0"/>
              <w:right w:val="single" w:color="000000" w:sz="4"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int="eastAsia" w:hAnsi="宋体" w:eastAsia="仿宋_GB2312" w:cs="仿宋_GB2312"/>
                <w:color w:val="000000" w:themeColor="text1"/>
                <w:szCs w:val="21"/>
                <w14:textFill>
                  <w14:solidFill>
                    <w14:schemeClr w14:val="tx1"/>
                  </w14:solidFill>
                </w14:textFill>
              </w:rPr>
              <w:t>300克/升苯甲·丙环唑乳油</w:t>
            </w:r>
          </w:p>
        </w:tc>
        <w:tc>
          <w:tcPr>
            <w:tcW w:w="2880" w:type="pct"/>
            <w:tcBorders>
              <w:top w:val="single" w:color="000000" w:sz="4" w:space="0"/>
              <w:left w:val="single" w:color="auto" w:sz="4" w:space="0"/>
              <w:bottom w:val="single" w:color="auto" w:sz="12" w:space="0"/>
              <w:right w:val="single" w:color="auto" w:sz="12" w:space="0"/>
            </w:tcBorders>
            <w:vAlign w:val="center"/>
          </w:tcPr>
          <w:p>
            <w:pPr>
              <w:spacing w:before="120" w:after="120" w:line="276" w:lineRule="auto"/>
              <w:ind w:firstLine="420"/>
              <w:jc w:val="center"/>
              <w:rPr>
                <w:rFonts w:hAnsi="宋体" w:eastAsia="仿宋_GB2312" w:cs="仿宋_GB2312"/>
                <w:color w:val="000000" w:themeColor="text1"/>
                <w:szCs w:val="21"/>
                <w14:textFill>
                  <w14:solidFill>
                    <w14:schemeClr w14:val="tx1"/>
                  </w14:solidFill>
                </w14:textFill>
              </w:rPr>
            </w:pPr>
            <w:r>
              <w:rPr>
                <w:rFonts w:hAnsi="宋体" w:eastAsia="仿宋_GB2312" w:cs="仿宋_GB2312"/>
                <w:color w:val="000000" w:themeColor="text1"/>
                <w:szCs w:val="21"/>
                <w14:textFill>
                  <w14:solidFill>
                    <w14:schemeClr w14:val="tx1"/>
                  </w14:solidFill>
                </w14:textFill>
              </w:rPr>
              <w:t>6</w:t>
            </w:r>
            <w:r>
              <w:rPr>
                <w:rFonts w:hint="eastAsia" w:hAnsi="宋体" w:eastAsia="仿宋_GB2312" w:cs="仿宋_GB2312"/>
                <w:color w:val="000000" w:themeColor="text1"/>
                <w:szCs w:val="21"/>
                <w14:textFill>
                  <w14:solidFill>
                    <w14:schemeClr w14:val="tx1"/>
                  </w14:solidFill>
                </w14:textFill>
              </w:rPr>
              <w:t>～9</w:t>
            </w:r>
          </w:p>
        </w:tc>
      </w:tr>
    </w:tbl>
    <w:p>
      <w:pPr>
        <w:snapToGrid w:val="0"/>
        <w:spacing w:line="640" w:lineRule="exact"/>
        <w:ind w:firstLine="642" w:firstLineChars="200"/>
        <w:rPr>
          <w:rFonts w:ascii="楷体" w:hAnsi="楷体" w:eastAsia="楷体" w:cs="楷体"/>
          <w:b/>
          <w:bCs/>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（二）配套技术</w:t>
      </w:r>
    </w:p>
    <w:p>
      <w:pPr>
        <w:snapToGrid w:val="0"/>
        <w:spacing w:line="600" w:lineRule="exact"/>
        <w:ind w:firstLine="640"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“种翻拌喷”的核心技术，需要配套技术，实现防治效益的最大化。具体包括根据各地小麦生产实际，采用合理轮作、适当晚播、科学施肥灌水等健康栽培措施，生态调控及生物防治相结合的综合技术。</w:t>
      </w:r>
    </w:p>
    <w:p>
      <w:pPr>
        <w:snapToGrid w:val="0"/>
        <w:spacing w:line="600" w:lineRule="exact"/>
        <w:ind w:firstLine="642"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1.轮作：</w:t>
      </w:r>
      <w:r>
        <w:rPr>
          <w:rFonts w:hint="eastAsia" w:ascii="仿宋_GB2312" w:hAnsi="Times New Roman" w:eastAsia="仿宋_GB2312" w:cs="仿宋_GB2312"/>
          <w:color w:val="000000" w:themeColor="text1"/>
          <w:sz w:val="32"/>
          <w:szCs w:val="32"/>
          <w14:textFill>
            <w14:solidFill>
              <w14:schemeClr w14:val="tx1"/>
            </w14:solidFill>
          </w14:textFill>
        </w:rPr>
        <w:t>重病田宜种植油菜并与豆类、花生、棉花、水稻、蔬菜、中草药等作物实行2～3年轮作。</w:t>
      </w:r>
    </w:p>
    <w:p>
      <w:pPr>
        <w:snapToGrid w:val="0"/>
        <w:spacing w:line="600" w:lineRule="exact"/>
        <w:ind w:firstLine="642"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2.施肥：</w:t>
      </w:r>
      <w:r>
        <w:rPr>
          <w:rFonts w:hint="eastAsia" w:ascii="仿宋_GB2312" w:hAnsi="Times New Roman" w:eastAsia="仿宋_GB2312" w:cs="仿宋_GB2312"/>
          <w:color w:val="000000" w:themeColor="text1"/>
          <w:sz w:val="32"/>
          <w:szCs w:val="32"/>
          <w14:textFill>
            <w14:solidFill>
              <w14:schemeClr w14:val="tx1"/>
            </w14:solidFill>
          </w14:textFill>
        </w:rPr>
        <w:t>应控制氮肥施用量，一般减少10%～20%，适当增施磷钾肥和锌肥。盐渍化严重的地块应施用酸性肥料。</w:t>
      </w:r>
    </w:p>
    <w:p>
      <w:pPr>
        <w:snapToGrid w:val="0"/>
        <w:spacing w:line="600" w:lineRule="exact"/>
        <w:ind w:firstLine="642"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3.晚播：</w:t>
      </w:r>
      <w:r>
        <w:rPr>
          <w:rFonts w:hint="eastAsia" w:ascii="仿宋_GB2312" w:hAnsi="Times New Roman" w:eastAsia="仿宋_GB2312" w:cs="仿宋_GB2312"/>
          <w:color w:val="000000" w:themeColor="text1"/>
          <w:sz w:val="32"/>
          <w:szCs w:val="32"/>
          <w14:textFill>
            <w14:solidFill>
              <w14:schemeClr w14:val="tx1"/>
            </w14:solidFill>
          </w14:textFill>
        </w:rPr>
        <w:t>在适播期内尽量晚播，一般可比正常播期晚播7-10天。每晚播2～3天，播种量增加500g/666.7m</w:t>
      </w:r>
      <w:r>
        <w:rPr>
          <w:rFonts w:hint="eastAsia" w:ascii="仿宋_GB2312" w:hAnsi="Times New Roman" w:eastAsia="仿宋_GB2312" w:cs="仿宋_GB2312"/>
          <w:color w:val="000000" w:themeColor="text1"/>
          <w:sz w:val="32"/>
          <w:szCs w:val="32"/>
          <w:vertAlign w:val="superscript"/>
          <w14:textFill>
            <w14:solidFill>
              <w14:schemeClr w14:val="tx1"/>
            </w14:solidFill>
          </w14:textFill>
        </w:rPr>
        <w:t>2</w:t>
      </w:r>
      <w:r>
        <w:rPr>
          <w:rFonts w:hint="eastAsia" w:ascii="仿宋_GB2312" w:hAnsi="Times New Roman" w:eastAsia="仿宋_GB2312" w:cs="仿宋_GB2312"/>
          <w:color w:val="000000" w:themeColor="text1"/>
          <w:sz w:val="32"/>
          <w:szCs w:val="32"/>
          <w14:textFill>
            <w14:solidFill>
              <w14:schemeClr w14:val="tx1"/>
            </w14:solidFill>
          </w14:textFill>
        </w:rPr>
        <w:t>，播种深度不得超过5cm。</w:t>
      </w:r>
    </w:p>
    <w:p>
      <w:pPr>
        <w:snapToGrid w:val="0"/>
        <w:spacing w:line="600" w:lineRule="exact"/>
        <w:ind w:firstLine="642"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4.灌水：</w:t>
      </w:r>
      <w:r>
        <w:rPr>
          <w:rFonts w:hint="eastAsia" w:ascii="仿宋_GB2312" w:hAnsi="Times New Roman" w:eastAsia="仿宋_GB2312" w:cs="仿宋_GB2312"/>
          <w:color w:val="000000" w:themeColor="text1"/>
          <w:sz w:val="32"/>
          <w:szCs w:val="32"/>
          <w14:textFill>
            <w14:solidFill>
              <w14:schemeClr w14:val="tx1"/>
            </w14:solidFill>
          </w14:textFill>
        </w:rPr>
        <w:t>在小麦生长中后期遇到干旱和土壤墒情较差时应及时浇水，可以减轻发病程度。</w:t>
      </w: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drawing>
          <wp:anchor distT="0" distB="0" distL="114300" distR="114300" simplePos="0" relativeHeight="251663360" behindDoc="0" locked="0" layoutInCell="1" allowOverlap="1">
            <wp:simplePos x="0" y="0"/>
            <wp:positionH relativeFrom="column">
              <wp:posOffset>908685</wp:posOffset>
            </wp:positionH>
            <wp:positionV relativeFrom="paragraph">
              <wp:posOffset>50800</wp:posOffset>
            </wp:positionV>
            <wp:extent cx="3674745" cy="2286635"/>
            <wp:effectExtent l="0" t="0" r="8255" b="12065"/>
            <wp:wrapNone/>
            <wp:docPr id="5"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true" noChangeArrowheads="true"/>
                    </pic:cNvPicPr>
                  </pic:nvPicPr>
                  <pic:blipFill>
                    <a:blip r:embed="rId9">
                      <a:extLst>
                        <a:ext uri="{28A0092B-C50C-407E-A947-70E740481C1C}">
                          <a14:useLocalDpi xmlns:a14="http://schemas.microsoft.com/office/drawing/2010/main" val="false"/>
                        </a:ext>
                      </a:extLst>
                    </a:blip>
                    <a:srcRect t="7368"/>
                    <a:stretch>
                      <a:fillRect/>
                    </a:stretch>
                  </pic:blipFill>
                  <pic:spPr>
                    <a:xfrm>
                      <a:off x="0" y="0"/>
                      <a:ext cx="3674745" cy="2286635"/>
                    </a:xfrm>
                    <a:prstGeom prst="rect">
                      <a:avLst/>
                    </a:prstGeom>
                    <a:noFill/>
                  </pic:spPr>
                </pic:pic>
              </a:graphicData>
            </a:graphic>
          </wp:anchor>
        </w:drawing>
      </w: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p>
    <w:p>
      <w:pPr>
        <w:snapToGrid w:val="0"/>
        <w:spacing w:line="600" w:lineRule="exact"/>
        <w:ind w:firstLine="640" w:firstLineChars="200"/>
        <w:jc w:val="center"/>
        <w:rPr>
          <w:rFonts w:ascii="黑体" w:hAnsi="黑体" w:eastAsia="仿宋_GB2312" w:cs="仿宋_GB2312"/>
          <w:color w:val="000000" w:themeColor="text1"/>
          <w:sz w:val="32"/>
          <w:szCs w:val="32"/>
          <w14:textFill>
            <w14:solidFill>
              <w14:schemeClr w14:val="tx1"/>
            </w14:solidFill>
          </w14:textFill>
        </w:rPr>
      </w:pPr>
    </w:p>
    <w:p>
      <w:pPr>
        <w:snapToGrid w:val="0"/>
        <w:spacing w:line="600" w:lineRule="exact"/>
        <w:ind w:firstLine="480" w:firstLineChars="200"/>
        <w:jc w:val="center"/>
        <w:rPr>
          <w:rFonts w:ascii="黑体" w:hAnsi="黑体" w:eastAsia="仿宋_GB2312" w:cs="仿宋_GB2312"/>
          <w:color w:val="000000" w:themeColor="text1"/>
          <w:sz w:val="24"/>
          <w:szCs w:val="24"/>
          <w14:textFill>
            <w14:solidFill>
              <w14:schemeClr w14:val="tx1"/>
            </w14:solidFill>
          </w14:textFill>
        </w:rPr>
      </w:pPr>
      <w:r>
        <w:rPr>
          <w:rFonts w:hint="eastAsia" w:ascii="黑体" w:hAnsi="黑体" w:eastAsia="仿宋_GB2312" w:cs="仿宋_GB2312"/>
          <w:color w:val="000000" w:themeColor="text1"/>
          <w:sz w:val="24"/>
          <w:szCs w:val="24"/>
          <w14:textFill>
            <w14:solidFill>
              <w14:schemeClr w14:val="tx1"/>
            </w14:solidFill>
          </w14:textFill>
        </w:rPr>
        <w:t>图5 芽孢杆菌拌种+菌肥土壤处理对小麦茎基腐病防病效果</w:t>
      </w:r>
    </w:p>
    <w:p>
      <w:pPr>
        <w:snapToGrid w:val="0"/>
        <w:spacing w:line="600" w:lineRule="exact"/>
        <w:ind w:firstLine="480" w:firstLineChars="200"/>
        <w:jc w:val="center"/>
        <w:rPr>
          <w:rFonts w:ascii="黑体" w:hAnsi="黑体" w:eastAsia="仿宋_GB2312" w:cs="仿宋_GB2312"/>
          <w:color w:val="000000" w:themeColor="text1"/>
          <w:sz w:val="24"/>
          <w:szCs w:val="24"/>
          <w14:textFill>
            <w14:solidFill>
              <w14:schemeClr w14:val="tx1"/>
            </w14:solidFill>
          </w14:textFill>
        </w:rPr>
      </w:pPr>
      <w:bookmarkStart w:id="2" w:name="bookmark19"/>
      <w:r>
        <w:rPr>
          <w:rFonts w:hint="eastAsia" w:ascii="黑体" w:hAnsi="黑体" w:eastAsia="仿宋_GB2312" w:cs="仿宋_GB2312"/>
          <w:color w:val="000000" w:themeColor="text1"/>
          <w:sz w:val="24"/>
          <w:szCs w:val="24"/>
          <w14:textFill>
            <w14:solidFill>
              <w14:schemeClr w14:val="tx1"/>
            </w14:solidFill>
          </w14:textFill>
        </w:rPr>
        <w:t>（左：清水对照，右：芽孢杆菌拌种+菌肥土壤处理）</w:t>
      </w:r>
      <w:bookmarkEnd w:id="2"/>
    </w:p>
    <w:p>
      <w:pPr>
        <w:snapToGrid w:val="0"/>
        <w:spacing w:line="600" w:lineRule="exact"/>
        <w:ind w:firstLine="642" w:firstLineChars="200"/>
        <w:rPr>
          <w:rFonts w:ascii="仿宋_GB2312" w:hAnsi="Times New Roman"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b/>
          <w:bCs/>
          <w:color w:val="000000" w:themeColor="text1"/>
          <w:sz w:val="32"/>
          <w:szCs w:val="32"/>
          <w14:textFill>
            <w14:solidFill>
              <w14:schemeClr w14:val="tx1"/>
            </w14:solidFill>
          </w14:textFill>
        </w:rPr>
        <w:t>5.生物防治和生态治理：</w:t>
      </w:r>
      <w:r>
        <w:rPr>
          <w:rFonts w:hint="eastAsia" w:ascii="仿宋_GB2312" w:hAnsi="Times New Roman" w:eastAsia="仿宋_GB2312" w:cs="仿宋_GB2312"/>
          <w:color w:val="000000" w:themeColor="text1"/>
          <w:sz w:val="32"/>
          <w:szCs w:val="32"/>
          <w14:textFill>
            <w14:solidFill>
              <w14:schemeClr w14:val="tx1"/>
            </w14:solidFill>
          </w14:textFill>
        </w:rPr>
        <w:t>播种期可选用芽孢杆菌（</w:t>
      </w:r>
      <w:r>
        <w:rPr>
          <w:rFonts w:hint="eastAsia" w:ascii="仿宋_GB2312" w:hAnsi="Times New Roman" w:eastAsia="仿宋_GB2312" w:cs="仿宋_GB2312"/>
          <w:i/>
          <w:iCs/>
          <w:color w:val="000000" w:themeColor="text1"/>
          <w:sz w:val="32"/>
          <w:szCs w:val="32"/>
          <w14:textFill>
            <w14:solidFill>
              <w14:schemeClr w14:val="tx1"/>
            </w14:solidFill>
          </w14:textFill>
        </w:rPr>
        <w:t>Bacillus</w:t>
      </w:r>
      <w:r>
        <w:rPr>
          <w:rFonts w:hint="eastAsia" w:ascii="仿宋_GB2312" w:hAnsi="Times New Roman" w:eastAsia="仿宋_GB2312" w:cs="仿宋_GB2312"/>
          <w:color w:val="000000" w:themeColor="text1"/>
          <w:sz w:val="32"/>
          <w:szCs w:val="32"/>
          <w14:textFill>
            <w14:solidFill>
              <w14:schemeClr w14:val="tx1"/>
            </w14:solidFill>
          </w14:textFill>
        </w:rPr>
        <w:t xml:space="preserve"> spp.）、木霉菌（</w:t>
      </w:r>
      <w:r>
        <w:rPr>
          <w:rFonts w:hint="eastAsia" w:ascii="仿宋_GB2312" w:hAnsi="Times New Roman" w:eastAsia="仿宋_GB2312" w:cs="仿宋_GB2312"/>
          <w:i/>
          <w:iCs/>
          <w:color w:val="000000" w:themeColor="text1"/>
          <w:sz w:val="32"/>
          <w:szCs w:val="32"/>
          <w14:textFill>
            <w14:solidFill>
              <w14:schemeClr w14:val="tx1"/>
            </w14:solidFill>
          </w14:textFill>
        </w:rPr>
        <w:t>Trichoderma</w:t>
      </w:r>
      <w:r>
        <w:rPr>
          <w:rFonts w:hint="eastAsia" w:ascii="仿宋_GB2312" w:hAnsi="Times New Roman" w:eastAsia="仿宋_GB2312" w:cs="仿宋_GB2312"/>
          <w:color w:val="000000" w:themeColor="text1"/>
          <w:sz w:val="32"/>
          <w:szCs w:val="32"/>
          <w14:textFill>
            <w14:solidFill>
              <w14:schemeClr w14:val="tx1"/>
            </w14:solidFill>
          </w14:textFill>
        </w:rPr>
        <w:t xml:space="preserve"> spp.）等生物菌剂拌种或土壤处理，对病害具有一定的防治作用（图5）。</w:t>
      </w:r>
    </w:p>
    <w:p>
      <w:pPr>
        <w:snapToGrid w:val="0"/>
        <w:spacing w:line="600" w:lineRule="exact"/>
        <w:ind w:firstLine="640" w:firstLineChars="200"/>
        <w:rPr>
          <w:rFonts w:ascii="黑体" w:hAnsi="黑体" w:eastAsia="仿宋_GB2312" w:cs="仿宋_GB2312"/>
          <w:color w:val="000000" w:themeColor="text1"/>
          <w:sz w:val="32"/>
          <w:szCs w:val="32"/>
          <w14:textFill>
            <w14:solidFill>
              <w14:schemeClr w14:val="tx1"/>
            </w14:solidFill>
          </w14:textFill>
        </w:rPr>
      </w:pPr>
      <w:r>
        <w:rPr>
          <w:rFonts w:hint="eastAsia" w:ascii="仿宋_GB2312" w:hAnsi="Times New Roman" w:eastAsia="仿宋_GB2312" w:cs="仿宋_GB2312"/>
          <w:color w:val="000000" w:themeColor="text1"/>
          <w:sz w:val="32"/>
          <w:szCs w:val="32"/>
          <w14:textFill>
            <w14:solidFill>
              <w14:schemeClr w14:val="tx1"/>
            </w14:solidFill>
          </w14:textFill>
        </w:rPr>
        <w:t>小麦收获后，每666.7m</w:t>
      </w:r>
      <w:r>
        <w:rPr>
          <w:rFonts w:hint="eastAsia" w:ascii="仿宋_GB2312" w:hAnsi="Times New Roman" w:eastAsia="仿宋_GB2312" w:cs="仿宋_GB2312"/>
          <w:color w:val="000000" w:themeColor="text1"/>
          <w:sz w:val="32"/>
          <w:szCs w:val="32"/>
          <w:vertAlign w:val="superscript"/>
          <w14:textFill>
            <w14:solidFill>
              <w14:schemeClr w14:val="tx1"/>
            </w14:solidFill>
          </w14:textFill>
        </w:rPr>
        <w:t>2</w:t>
      </w:r>
      <w:r>
        <w:rPr>
          <w:rFonts w:hint="eastAsia" w:ascii="仿宋_GB2312" w:hAnsi="Times New Roman" w:eastAsia="仿宋_GB2312" w:cs="仿宋_GB2312"/>
          <w:color w:val="000000" w:themeColor="text1"/>
          <w:sz w:val="32"/>
          <w:szCs w:val="32"/>
          <w14:textFill>
            <w14:solidFill>
              <w14:schemeClr w14:val="tx1"/>
            </w14:solidFill>
          </w14:textFill>
        </w:rPr>
        <w:t>用含有效菌100亿 cfu/g 以上的秸秆腐熟剂2kg～3kg，均匀撒施在小麦秸秆及根茬上。整地时鼓励施用生物肥或腐熟有机肥，改善土壤微生态环境。</w:t>
      </w:r>
    </w:p>
    <w:p>
      <w:pPr>
        <w:adjustRightInd w:val="0"/>
        <w:snapToGrid w:val="0"/>
        <w:spacing w:line="640" w:lineRule="exact"/>
        <w:ind w:firstLine="64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三、适宜区域</w:t>
      </w:r>
    </w:p>
    <w:p>
      <w:pPr>
        <w:snapToGrid w:val="0"/>
        <w:spacing w:line="600" w:lineRule="exact"/>
        <w:ind w:firstLine="640" w:firstLineChars="200"/>
        <w:rPr>
          <w:rFonts w:ascii="Times New Roman" w:hAnsi="Times New Roman"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本技术适合在黄淮海冬小麦种植区。</w:t>
      </w:r>
    </w:p>
    <w:p>
      <w:pPr>
        <w:adjustRightInd w:val="0"/>
        <w:snapToGrid w:val="0"/>
        <w:spacing w:line="640" w:lineRule="exact"/>
        <w:ind w:firstLine="64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四、注意事项</w:t>
      </w:r>
    </w:p>
    <w:p>
      <w:pPr>
        <w:snapToGrid w:val="0"/>
        <w:spacing w:line="60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务必按照药剂的推荐使用剂量使用，不能随意减少或增加农药的使用量。春季喷雾施药时最好使用自走式喷杆喷雾机或背负式喷雾器，用水量应不低于40 L/666.7m</w:t>
      </w:r>
      <w:r>
        <w:rPr>
          <w:rFonts w:hint="eastAsia" w:ascii="仿宋_GB2312" w:hAnsi="仿宋_GB2312" w:eastAsia="仿宋_GB2312" w:cs="仿宋_GB2312"/>
          <w:color w:val="000000" w:themeColor="text1"/>
          <w:sz w:val="32"/>
          <w:szCs w:val="32"/>
          <w:vertAlign w:val="superscript"/>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，重点喷施小麦茎基部。不建议使用植保无人机进行喷雾。</w:t>
      </w:r>
    </w:p>
    <w:p>
      <w:pPr>
        <w:snapToGrid w:val="0"/>
        <w:spacing w:line="600" w:lineRule="exact"/>
        <w:ind w:firstLine="640" w:firstLineChars="200"/>
        <w:rPr>
          <w:rFonts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五、技术依托单位</w:t>
      </w:r>
    </w:p>
    <w:p>
      <w:pPr>
        <w:topLinePunct/>
        <w:adjustRightInd w:val="0"/>
        <w:snapToGrid w:val="0"/>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单位：河南农业大学、河南省植物保护检疫站</w:t>
      </w:r>
    </w:p>
    <w:p>
      <w:pPr>
        <w:pStyle w:val="10"/>
        <w:widowControl w:val="0"/>
        <w:topLinePunct/>
        <w:adjustRightInd w:val="0"/>
        <w:snapToGrid w:val="0"/>
        <w:spacing w:before="0" w:beforeAutospacing="0" w:after="0" w:afterAutospacing="0" w:line="560" w:lineRule="exact"/>
        <w:ind w:firstLine="640" w:firstLineChars="200"/>
        <w:outlineLvl w:val="1"/>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联系人：孙炳剑、</w:t>
      </w:r>
      <w:r>
        <w:rPr>
          <w:rFonts w:hint="eastAsia" w:ascii="仿宋_GB2312" w:hAnsi="仿宋_GB2312" w:eastAsia="仿宋_GB2312" w:cs="仿宋_GB2312"/>
          <w:color w:val="auto"/>
          <w:sz w:val="32"/>
          <w:szCs w:val="32"/>
        </w:rPr>
        <w:t>张国彦</w:t>
      </w:r>
    </w:p>
    <w:p>
      <w:pPr>
        <w:adjustRightInd w:val="0"/>
        <w:snapToGrid w:val="0"/>
        <w:spacing w:line="640" w:lineRule="exact"/>
        <w:ind w:firstLine="640" w:firstLineChars="200"/>
        <w:rPr>
          <w:rFonts w:eastAsia="仿宋_GB2312" w:cs="仿宋_GB2312"/>
          <w:color w:val="000000" w:themeColor="text1"/>
          <w:sz w:val="32"/>
          <w:szCs w:val="32"/>
          <w14:textFill>
            <w14:solidFill>
              <w14:schemeClr w14:val="tx1"/>
            </w14:solidFill>
          </w14:textFill>
        </w:rPr>
      </w:pPr>
      <w:bookmarkStart w:id="3" w:name="_GoBack"/>
      <w:bookmarkEnd w:id="3"/>
    </w:p>
    <w:sectPr>
      <w:footerReference r:id="rId3"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_GB2312">
    <w:altName w:val="邢世新硬笔行书简体"/>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中山行书百年纪念版">
    <w:panose1 w:val="02010609000101010101"/>
    <w:charset w:val="86"/>
    <w:family w:val="auto"/>
    <w:pitch w:val="default"/>
    <w:sig w:usb0="800002BF" w:usb1="08476CFA" w:usb2="00000012" w:usb3="00000000" w:csb0="00040000" w:csb1="00000000"/>
  </w:font>
  <w:font w:name="全新硬笔楷书简">
    <w:panose1 w:val="0201060004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posOffset>2574290</wp:posOffset>
              </wp:positionH>
              <wp:positionV relativeFrom="paragraph">
                <wp:posOffset>-1270</wp:posOffset>
              </wp:positionV>
              <wp:extent cx="192405" cy="128270"/>
              <wp:effectExtent l="0" t="0" r="0" b="5080"/>
              <wp:wrapNone/>
              <wp:docPr id="1" name="文本框 1"/>
              <wp:cNvGraphicFramePr/>
              <a:graphic xmlns:a="http://schemas.openxmlformats.org/drawingml/2006/main">
                <a:graphicData uri="http://schemas.microsoft.com/office/word/2010/wordprocessingShape">
                  <wps:wsp>
                    <wps:cNvSpPr txBox="true"/>
                    <wps:spPr>
                      <a:xfrm>
                        <a:off x="0" y="0"/>
                        <a:ext cx="192505" cy="12833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wps:txbx>
                    <wps:bodyPr rot="0" spcFirstLastPara="0" vertOverflow="overflow" horzOverflow="overflow" vert="horz" wrap="square" lIns="0" tIns="0" rIns="0" bIns="0" numCol="1" spcCol="0" rtlCol="0" fromWordArt="false" anchor="t" anchorCtr="false" forceAA="false" compatLnSpc="true">
                      <a:noAutofit/>
                    </wps:bodyPr>
                  </wps:wsp>
                </a:graphicData>
              </a:graphic>
            </wp:anchor>
          </w:drawing>
        </mc:Choice>
        <mc:Fallback>
          <w:pict>
            <v:shape id="_x0000_s1026" o:spid="_x0000_s1026" o:spt="202" type="#_x0000_t202" style="position:absolute;left:0pt;margin-left:202.7pt;margin-top:-0.1pt;height:10.1pt;width:15.15pt;mso-position-horizontal-relative:margin;z-index:251660288;mso-width-relative:page;mso-height-relative:page;" filled="f" stroked="f" coordsize="21600,21600" o:gfxdata="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BYAAABkcnMvUEsBAhQA&#10;FAAAAAgAh07iQD/SQkrXAAAACAEAAA8AAAAAAAAAAQAgAAAAOAAAAGRycy9kb3ducmV2LnhtbFBL&#10;AQIUABQAAAAIAIdO4kDRn2KwGgIAABkEAAAOAAAAAAAAAAEAIAAAADwBAABkcnMvZTJvRG9jLnht&#10;bFBLBQYAAAAABgAGAFkBAADIBQAAAAA=&#10;">
              <v:fill on="f" focussize="0,0"/>
              <v:stroke on="f" weight="0.5pt"/>
              <v:imagedata o:title=""/>
              <o:lock v:ext="edit" aspectratio="f"/>
              <v:textbox inset="0mm,0mm,0mm,0mm">
                <w:txbxContent>
                  <w:p>
                    <w:pPr>
                      <w:pStyle w:val="8"/>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txbxContent>
              </v:textbox>
            </v:shape>
          </w:pict>
        </mc:Fallback>
      </mc:AlternateContent>
    </w:r>
    <w:sdt>
      <w:sdtPr>
        <w:id w:val="1098292654"/>
        <w:showingPlcHdr/>
      </w:sdtPr>
      <w:sdtEndPr>
        <w:rPr>
          <w:rFonts w:ascii="Times New Roman" w:hAnsi="Times New Roman" w:cs="Times New Roman"/>
        </w:rPr>
      </w:sdtEndPr>
      <w:sdtContent>
        <w:r>
          <w:t xml:space="preserve">     </w:t>
        </w:r>
      </w:sdtContent>
    </w:sdt>
  </w:p>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36F"/>
    <w:rsid w:val="000162DA"/>
    <w:rsid w:val="00067CA6"/>
    <w:rsid w:val="0008579F"/>
    <w:rsid w:val="000B42CB"/>
    <w:rsid w:val="000C1AD4"/>
    <w:rsid w:val="0017748E"/>
    <w:rsid w:val="00184B6C"/>
    <w:rsid w:val="001C457A"/>
    <w:rsid w:val="001D22C9"/>
    <w:rsid w:val="002162A9"/>
    <w:rsid w:val="00252342"/>
    <w:rsid w:val="00254B38"/>
    <w:rsid w:val="002B7B3E"/>
    <w:rsid w:val="00333E9D"/>
    <w:rsid w:val="00361CE7"/>
    <w:rsid w:val="00362DC3"/>
    <w:rsid w:val="003C536F"/>
    <w:rsid w:val="00415A12"/>
    <w:rsid w:val="0045517F"/>
    <w:rsid w:val="004A1A91"/>
    <w:rsid w:val="004B00CC"/>
    <w:rsid w:val="004B661D"/>
    <w:rsid w:val="005E2E56"/>
    <w:rsid w:val="007B7065"/>
    <w:rsid w:val="008178F8"/>
    <w:rsid w:val="009A662A"/>
    <w:rsid w:val="00A13280"/>
    <w:rsid w:val="00A415D5"/>
    <w:rsid w:val="00B51897"/>
    <w:rsid w:val="00C02C55"/>
    <w:rsid w:val="00C37975"/>
    <w:rsid w:val="00C71EED"/>
    <w:rsid w:val="00C83A27"/>
    <w:rsid w:val="00E52676"/>
    <w:rsid w:val="00EC340B"/>
    <w:rsid w:val="00F67A64"/>
    <w:rsid w:val="00FB6B72"/>
    <w:rsid w:val="067BE1CD"/>
    <w:rsid w:val="192B02E8"/>
    <w:rsid w:val="28CE6EA0"/>
    <w:rsid w:val="2C1D190D"/>
    <w:rsid w:val="2D237D7E"/>
    <w:rsid w:val="32C817F2"/>
    <w:rsid w:val="33BE4DDD"/>
    <w:rsid w:val="36BF0CA3"/>
    <w:rsid w:val="53F001F1"/>
    <w:rsid w:val="575F0466"/>
    <w:rsid w:val="84DD7F9F"/>
    <w:rsid w:val="F5FDB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rPr>
      <w:rFonts w:eastAsia="仿宋_GB2312"/>
      <w:sz w:val="30"/>
    </w:rPr>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spacing w:before="100" w:beforeAutospacing="1" w:after="120"/>
      <w:ind w:leftChars="200" w:firstLine="420"/>
      <w:jc w:val="both"/>
    </w:pPr>
    <w:rPr>
      <w:rFonts w:ascii="Calibri" w:hAnsi="Calibri" w:eastAsia="宋体" w:cs="Times New Roman"/>
      <w:sz w:val="21"/>
      <w:szCs w:val="24"/>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8">
    <w:name w:val="footer"/>
    <w:basedOn w:val="1"/>
    <w:link w:val="15"/>
    <w:unhideWhenUsed/>
    <w:qFormat/>
    <w:uiPriority w:val="99"/>
    <w:pPr>
      <w:tabs>
        <w:tab w:val="center" w:pos="4153"/>
        <w:tab w:val="right" w:pos="8306"/>
      </w:tabs>
      <w:snapToGrid w:val="0"/>
      <w:jc w:val="left"/>
    </w:pPr>
    <w:rPr>
      <w:sz w:val="18"/>
      <w:szCs w:val="18"/>
    </w:rPr>
  </w:style>
  <w:style w:type="paragraph" w:styleId="9">
    <w:name w:val="header"/>
    <w:basedOn w:val="1"/>
    <w:link w:val="14"/>
    <w:unhideWhenUsed/>
    <w:qFormat/>
    <w:uiPriority w:val="99"/>
    <w:pP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cs="宋体"/>
      <w:color w:val="000000"/>
      <w:kern w:val="0"/>
      <w:sz w:val="24"/>
    </w:r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character" w:customStyle="1" w:styleId="14">
    <w:name w:val="页眉 字符"/>
    <w:basedOn w:val="12"/>
    <w:link w:val="9"/>
    <w:qFormat/>
    <w:uiPriority w:val="99"/>
    <w:rPr>
      <w:sz w:val="18"/>
      <w:szCs w:val="18"/>
    </w:rPr>
  </w:style>
  <w:style w:type="character" w:customStyle="1" w:styleId="15">
    <w:name w:val="页脚 字符"/>
    <w:basedOn w:val="12"/>
    <w:link w:val="8"/>
    <w:qFormat/>
    <w:uiPriority w:val="99"/>
    <w:rPr>
      <w:sz w:val="18"/>
      <w:szCs w:val="18"/>
    </w:rPr>
  </w:style>
  <w:style w:type="paragraph" w:customStyle="1" w:styleId="16">
    <w:name w:val="Body text|1"/>
    <w:basedOn w:val="1"/>
    <w:qFormat/>
    <w:uiPriority w:val="0"/>
    <w:pPr>
      <w:spacing w:line="420" w:lineRule="auto"/>
      <w:ind w:firstLine="400"/>
      <w:jc w:val="left"/>
    </w:pPr>
    <w:rPr>
      <w:rFonts w:ascii="宋体" w:hAnsi="宋体" w:eastAsia="宋体" w:cs="宋体"/>
      <w:color w:val="000000"/>
      <w:kern w:val="0"/>
      <w:sz w:val="30"/>
      <w:szCs w:val="30"/>
      <w:lang w:val="zh-TW" w:eastAsia="zh-TW" w:bidi="zh-TW"/>
    </w:rPr>
  </w:style>
  <w:style w:type="paragraph" w:styleId="17">
    <w:name w:val="List Paragraph"/>
    <w:basedOn w:val="1"/>
    <w:qFormat/>
    <w:uiPriority w:val="99"/>
    <w:pPr>
      <w:ind w:firstLine="420" w:firstLineChars="200"/>
    </w:pPr>
  </w:style>
  <w:style w:type="character" w:customStyle="1" w:styleId="18">
    <w:name w:val="未处理的提及1"/>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542</Words>
  <Characters>3091</Characters>
  <Lines>25</Lines>
  <Paragraphs>7</Paragraphs>
  <TotalTime>9</TotalTime>
  <ScaleCrop>false</ScaleCrop>
  <LinksUpToDate>false</LinksUpToDate>
  <CharactersWithSpaces>3626</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2025-07-26T07:41:00Z</dcterms:created>
  <dc:creator>A4883</dc:creator>
  <cp:lastModifiedBy>gkb</cp:lastModifiedBy>
  <dcterms:modified xsi:type="dcterms:W3CDTF">2025-07-31T17:17:25Z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eyJoZGlkIjoiYjkxNmY3YTQ5N2VmNDljYzg2ODE4YzQxZmNlMjU3NWUiLCJ1c2VySWQiOiI1MzQ0MDExMjQifQ==</vt:lpwstr>
  </property>
  <property fmtid="{D5CDD505-2E9C-101B-9397-08002B2CF9AE}" pid="3" name="KSOProductBuildVer">
    <vt:lpwstr>2052-11.1.0.10161</vt:lpwstr>
  </property>
  <property fmtid="{D5CDD505-2E9C-101B-9397-08002B2CF9AE}" pid="4" name="ICV">
    <vt:lpwstr>67E694A5173F485C84C53F916DE4C326_12</vt:lpwstr>
  </property>
</Properties>
</file>