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513C9">
      <w:pPr>
        <w:pStyle w:val="7"/>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color w:val="auto"/>
          <w:sz w:val="44"/>
          <w:szCs w:val="44"/>
        </w:rPr>
      </w:pPr>
      <w:r>
        <w:rPr>
          <w:rFonts w:hint="eastAsia" w:ascii="方正小标宋_GBK" w:hAnsi="方正小标宋_GBK" w:eastAsia="方正小标宋_GBK" w:cs="方正小标宋_GBK"/>
          <w:b/>
          <w:color w:val="auto"/>
          <w:sz w:val="44"/>
          <w:szCs w:val="44"/>
        </w:rPr>
        <w:t>20</w:t>
      </w:r>
      <w:r>
        <w:rPr>
          <w:rFonts w:hint="eastAsia" w:ascii="方正小标宋_GBK" w:hAnsi="方正小标宋_GBK" w:eastAsia="方正小标宋_GBK" w:cs="方正小标宋_GBK"/>
          <w:b/>
          <w:color w:val="auto"/>
          <w:sz w:val="44"/>
          <w:szCs w:val="44"/>
          <w:lang w:val="en-US" w:eastAsia="zh-CN"/>
        </w:rPr>
        <w:t>24</w:t>
      </w:r>
      <w:r>
        <w:rPr>
          <w:rFonts w:hint="eastAsia" w:ascii="方正小标宋_GBK" w:hAnsi="方正小标宋_GBK" w:eastAsia="方正小标宋_GBK" w:cs="方正小标宋_GBK"/>
          <w:b/>
          <w:color w:val="auto"/>
          <w:sz w:val="44"/>
          <w:szCs w:val="44"/>
        </w:rPr>
        <w:t>年</w:t>
      </w:r>
      <w:r>
        <w:rPr>
          <w:rFonts w:hint="eastAsia" w:ascii="方正小标宋_GBK" w:hAnsi="方正小标宋_GBK" w:eastAsia="方正小标宋_GBK" w:cs="方正小标宋_GBK"/>
          <w:b/>
          <w:color w:val="auto"/>
          <w:sz w:val="44"/>
          <w:szCs w:val="44"/>
          <w:lang w:val="en-US" w:eastAsia="zh-CN"/>
        </w:rPr>
        <w:t>高新区</w:t>
      </w:r>
      <w:r>
        <w:rPr>
          <w:rFonts w:hint="eastAsia" w:ascii="方正小标宋_GBK" w:hAnsi="方正小标宋_GBK" w:eastAsia="方正小标宋_GBK" w:cs="方正小标宋_GBK"/>
          <w:b/>
          <w:color w:val="auto"/>
          <w:sz w:val="44"/>
          <w:szCs w:val="44"/>
        </w:rPr>
        <w:t>国民经济和社会发展</w:t>
      </w:r>
    </w:p>
    <w:p w14:paraId="19B4B2C3">
      <w:pPr>
        <w:pStyle w:val="7"/>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b/>
          <w:color w:val="auto"/>
          <w:sz w:val="44"/>
          <w:szCs w:val="44"/>
        </w:rPr>
        <w:t>统计公报</w:t>
      </w:r>
    </w:p>
    <w:p w14:paraId="209E69EB">
      <w:pPr>
        <w:pStyle w:val="7"/>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楷体" w:hAnsi="楷体" w:eastAsia="楷体" w:cs="楷体"/>
          <w:color w:val="auto"/>
          <w:sz w:val="32"/>
          <w:szCs w:val="32"/>
        </w:rPr>
      </w:pPr>
      <w:r>
        <w:rPr>
          <w:rFonts w:hint="eastAsia" w:ascii="楷体" w:hAnsi="楷体" w:eastAsia="楷体" w:cs="楷体"/>
          <w:color w:val="auto"/>
          <w:sz w:val="32"/>
          <w:szCs w:val="32"/>
          <w:lang w:val="en-US" w:eastAsia="zh-CN"/>
        </w:rPr>
        <w:t>高新区</w:t>
      </w:r>
      <w:r>
        <w:rPr>
          <w:rFonts w:hint="eastAsia" w:ascii="楷体" w:hAnsi="楷体" w:eastAsia="楷体" w:cs="楷体"/>
          <w:color w:val="auto"/>
          <w:sz w:val="32"/>
          <w:szCs w:val="32"/>
        </w:rPr>
        <w:t>统计</w:t>
      </w:r>
      <w:r>
        <w:rPr>
          <w:rFonts w:hint="eastAsia" w:ascii="楷体" w:hAnsi="楷体" w:eastAsia="楷体" w:cs="楷体"/>
          <w:color w:val="auto"/>
          <w:sz w:val="32"/>
          <w:szCs w:val="32"/>
          <w:lang w:val="en-US" w:eastAsia="zh-CN"/>
        </w:rPr>
        <w:t>普查中心</w:t>
      </w:r>
    </w:p>
    <w:p w14:paraId="3997E1F0">
      <w:pPr>
        <w:pStyle w:val="7"/>
        <w:keepNext w:val="0"/>
        <w:keepLines w:val="0"/>
        <w:pageBreakBefore w:val="0"/>
        <w:widowControl/>
        <w:kinsoku/>
        <w:wordWrap/>
        <w:overflowPunct/>
        <w:topLinePunct w:val="0"/>
        <w:autoSpaceDE/>
        <w:autoSpaceDN/>
        <w:bidi w:val="0"/>
        <w:adjustRightInd/>
        <w:snapToGrid/>
        <w:spacing w:line="600" w:lineRule="exact"/>
        <w:jc w:val="center"/>
        <w:textAlignment w:val="auto"/>
        <w:rPr>
          <w:rFonts w:ascii="楷体" w:hAnsi="楷体" w:eastAsia="楷体" w:cs="楷体"/>
          <w:color w:val="auto"/>
          <w:sz w:val="32"/>
          <w:szCs w:val="32"/>
        </w:rPr>
      </w:pPr>
      <w:r>
        <w:rPr>
          <w:rFonts w:hint="eastAsia" w:ascii="楷体" w:hAnsi="楷体" w:eastAsia="楷体" w:cs="楷体"/>
          <w:color w:val="auto"/>
          <w:sz w:val="32"/>
          <w:szCs w:val="32"/>
          <w:lang w:eastAsia="zh-CN"/>
        </w:rPr>
        <w:t>202</w:t>
      </w:r>
      <w:r>
        <w:rPr>
          <w:rFonts w:hint="eastAsia" w:ascii="楷体" w:hAnsi="楷体" w:eastAsia="楷体" w:cs="楷体"/>
          <w:color w:val="auto"/>
          <w:sz w:val="32"/>
          <w:szCs w:val="32"/>
          <w:lang w:val="en-US" w:eastAsia="zh-CN"/>
        </w:rPr>
        <w:t>5</w:t>
      </w:r>
      <w:r>
        <w:rPr>
          <w:rFonts w:hint="eastAsia" w:ascii="楷体" w:hAnsi="楷体" w:eastAsia="楷体" w:cs="楷体"/>
          <w:color w:val="auto"/>
          <w:sz w:val="32"/>
          <w:szCs w:val="32"/>
          <w:lang w:eastAsia="zh-CN"/>
        </w:rPr>
        <w:t>年6月20日</w:t>
      </w:r>
    </w:p>
    <w:p w14:paraId="537ABCCE">
      <w:pPr>
        <w:pStyle w:val="7"/>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eastAsia="仿宋"/>
          <w:color w:val="auto"/>
          <w:sz w:val="32"/>
          <w:szCs w:val="32"/>
        </w:rPr>
      </w:pPr>
    </w:p>
    <w:p w14:paraId="7FC999D4">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ascii="仿宋" w:hAnsi="仿宋" w:eastAsia="仿宋" w:cs="仿宋"/>
          <w:color w:val="auto"/>
          <w:sz w:val="32"/>
          <w:szCs w:val="32"/>
        </w:rPr>
      </w:pPr>
      <w:r>
        <w:rPr>
          <w:rFonts w:hint="eastAsia" w:ascii="仿宋" w:hAnsi="仿宋" w:eastAsia="仿宋" w:cs="仿宋"/>
          <w:b/>
          <w:color w:val="auto"/>
          <w:sz w:val="32"/>
          <w:szCs w:val="32"/>
        </w:rPr>
        <w:t>一、综合</w:t>
      </w:r>
    </w:p>
    <w:p w14:paraId="0B0E251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宋体" w:eastAsia="仿宋_GB2312"/>
          <w:bCs/>
          <w:color w:val="0000FF"/>
          <w:kern w:val="0"/>
          <w:sz w:val="32"/>
          <w:szCs w:val="32"/>
          <w:shd w:val="clear" w:color="auto" w:fill="FFFFFF"/>
        </w:rPr>
      </w:pPr>
      <w:r>
        <w:rPr>
          <w:rFonts w:hint="eastAsia" w:ascii="仿宋" w:hAnsi="仿宋" w:eastAsia="仿宋" w:cs="仿宋"/>
          <w:color w:val="auto"/>
          <w:sz w:val="32"/>
          <w:szCs w:val="32"/>
        </w:rPr>
        <w:t>初步核算，全年全区地区生产总值</w:t>
      </w:r>
      <w:r>
        <w:rPr>
          <w:rFonts w:hint="eastAsia" w:ascii="仿宋_GB2312" w:hAnsi="宋体" w:eastAsia="仿宋_GB2312"/>
          <w:bCs/>
          <w:color w:val="auto"/>
          <w:kern w:val="0"/>
          <w:sz w:val="32"/>
          <w:szCs w:val="32"/>
          <w:shd w:val="clear" w:color="auto" w:fill="FFFFFF"/>
          <w:lang w:val="en-US" w:eastAsia="zh-CN"/>
        </w:rPr>
        <w:t>143.4</w:t>
      </w:r>
      <w:r>
        <w:rPr>
          <w:rFonts w:hint="eastAsia" w:ascii="仿宋" w:hAnsi="仿宋" w:eastAsia="仿宋" w:cs="仿宋"/>
          <w:color w:val="auto"/>
          <w:sz w:val="32"/>
          <w:szCs w:val="32"/>
        </w:rPr>
        <w:t>亿元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rPr>
        <w:t>增长</w:t>
      </w:r>
      <w:r>
        <w:rPr>
          <w:rFonts w:hint="eastAsia" w:ascii="仿宋" w:hAnsi="仿宋" w:eastAsia="仿宋" w:cs="仿宋"/>
          <w:color w:val="auto"/>
          <w:sz w:val="32"/>
          <w:szCs w:val="32"/>
          <w:lang w:val="en-US" w:eastAsia="zh-CN"/>
        </w:rPr>
        <w:t>4.8</w:t>
      </w:r>
      <w:r>
        <w:rPr>
          <w:rFonts w:hint="eastAsia" w:ascii="仿宋" w:hAnsi="仿宋" w:eastAsia="仿宋" w:cs="仿宋"/>
          <w:color w:val="auto"/>
          <w:sz w:val="32"/>
          <w:szCs w:val="32"/>
        </w:rPr>
        <w:t>%。其中：第一产业增加值</w:t>
      </w: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亿元，增长</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%；第二产业</w:t>
      </w:r>
      <w:r>
        <w:rPr>
          <w:rFonts w:hint="eastAsia" w:ascii="仿宋_GB2312" w:hAnsi="宋体" w:eastAsia="仿宋_GB2312"/>
          <w:bCs/>
          <w:color w:val="auto"/>
          <w:kern w:val="0"/>
          <w:sz w:val="32"/>
          <w:szCs w:val="32"/>
          <w:shd w:val="clear" w:color="auto" w:fill="FFFFFF"/>
        </w:rPr>
        <w:t>增加值</w:t>
      </w:r>
      <w:r>
        <w:rPr>
          <w:rFonts w:hint="eastAsia" w:ascii="仿宋_GB2312" w:hAnsi="宋体" w:eastAsia="仿宋_GB2312"/>
          <w:bCs/>
          <w:color w:val="auto"/>
          <w:kern w:val="0"/>
          <w:sz w:val="32"/>
          <w:szCs w:val="32"/>
          <w:shd w:val="clear" w:color="auto" w:fill="FFFFFF"/>
          <w:lang w:val="en-US" w:eastAsia="zh-CN"/>
        </w:rPr>
        <w:t>47.8</w:t>
      </w:r>
      <w:r>
        <w:rPr>
          <w:rFonts w:hint="eastAsia" w:ascii="仿宋_GB2312" w:hAnsi="宋体" w:eastAsia="仿宋_GB2312"/>
          <w:bCs/>
          <w:color w:val="auto"/>
          <w:kern w:val="0"/>
          <w:sz w:val="32"/>
          <w:szCs w:val="32"/>
          <w:shd w:val="clear" w:color="auto" w:fill="FFFFFF"/>
        </w:rPr>
        <w:t>亿元，增长</w:t>
      </w:r>
      <w:r>
        <w:rPr>
          <w:rFonts w:hint="eastAsia" w:ascii="仿宋_GB2312" w:hAnsi="宋体" w:eastAsia="仿宋_GB2312"/>
          <w:bCs/>
          <w:color w:val="auto"/>
          <w:kern w:val="0"/>
          <w:sz w:val="32"/>
          <w:szCs w:val="32"/>
          <w:shd w:val="clear" w:color="auto" w:fill="FFFFFF"/>
          <w:lang w:val="en-US" w:eastAsia="zh-CN"/>
        </w:rPr>
        <w:t>2.6</w:t>
      </w:r>
      <w:r>
        <w:rPr>
          <w:rFonts w:hint="eastAsia" w:ascii="仿宋_GB2312" w:hAnsi="宋体" w:eastAsia="仿宋_GB2312"/>
          <w:bCs/>
          <w:color w:val="auto"/>
          <w:kern w:val="0"/>
          <w:sz w:val="32"/>
          <w:szCs w:val="32"/>
          <w:shd w:val="clear" w:color="auto" w:fill="FFFFFF"/>
        </w:rPr>
        <w:t>%；第三产业增加值</w:t>
      </w:r>
      <w:r>
        <w:rPr>
          <w:rFonts w:hint="eastAsia" w:ascii="仿宋_GB2312" w:hAnsi="宋体" w:eastAsia="仿宋_GB2312"/>
          <w:bCs/>
          <w:color w:val="auto"/>
          <w:kern w:val="0"/>
          <w:sz w:val="32"/>
          <w:szCs w:val="32"/>
          <w:shd w:val="clear" w:color="auto" w:fill="FFFFFF"/>
          <w:lang w:val="en-US" w:eastAsia="zh-CN"/>
        </w:rPr>
        <w:t>89.0</w:t>
      </w:r>
      <w:r>
        <w:rPr>
          <w:rFonts w:hint="eastAsia" w:ascii="仿宋_GB2312" w:hAnsi="宋体" w:eastAsia="仿宋_GB2312"/>
          <w:bCs/>
          <w:color w:val="auto"/>
          <w:kern w:val="0"/>
          <w:sz w:val="32"/>
          <w:szCs w:val="32"/>
          <w:shd w:val="clear" w:color="auto" w:fill="FFFFFF"/>
        </w:rPr>
        <w:t>亿元，增长</w:t>
      </w:r>
      <w:r>
        <w:rPr>
          <w:rFonts w:hint="eastAsia" w:ascii="仿宋_GB2312" w:hAnsi="宋体" w:eastAsia="仿宋_GB2312"/>
          <w:bCs/>
          <w:color w:val="auto"/>
          <w:kern w:val="0"/>
          <w:sz w:val="32"/>
          <w:szCs w:val="32"/>
          <w:shd w:val="clear" w:color="auto" w:fill="FFFFFF"/>
          <w:lang w:val="en-US" w:eastAsia="zh-CN"/>
        </w:rPr>
        <w:t>6.3</w:t>
      </w:r>
      <w:r>
        <w:rPr>
          <w:rFonts w:hint="eastAsia" w:ascii="仿宋_GB2312" w:hAnsi="宋体" w:eastAsia="仿宋_GB2312"/>
          <w:bCs/>
          <w:color w:val="auto"/>
          <w:kern w:val="0"/>
          <w:sz w:val="32"/>
          <w:szCs w:val="32"/>
          <w:shd w:val="clear" w:color="auto" w:fill="FFFFFF"/>
        </w:rPr>
        <w:t>%</w:t>
      </w:r>
      <w:r>
        <w:rPr>
          <w:rFonts w:hint="eastAsia" w:ascii="仿宋_GB2312" w:hAnsi="宋体" w:eastAsia="仿宋_GB2312"/>
          <w:bCs/>
          <w:color w:val="auto"/>
          <w:kern w:val="0"/>
          <w:sz w:val="32"/>
          <w:szCs w:val="32"/>
          <w:shd w:val="clear" w:color="auto" w:fill="FFFFFF"/>
          <w:lang w:eastAsia="zh-CN"/>
        </w:rPr>
        <w:t>。三次产业占比为4.</w:t>
      </w:r>
      <w:r>
        <w:rPr>
          <w:rFonts w:hint="eastAsia" w:ascii="仿宋_GB2312" w:hAnsi="宋体" w:eastAsia="仿宋_GB2312"/>
          <w:bCs/>
          <w:color w:val="auto"/>
          <w:kern w:val="0"/>
          <w:sz w:val="32"/>
          <w:szCs w:val="32"/>
          <w:shd w:val="clear" w:color="auto" w:fill="FFFFFF"/>
          <w:lang w:val="en-US" w:eastAsia="zh-CN"/>
        </w:rPr>
        <w:t>6</w:t>
      </w:r>
      <w:r>
        <w:rPr>
          <w:rFonts w:hint="eastAsia" w:ascii="仿宋_GB2312" w:hAnsi="宋体" w:eastAsia="仿宋_GB2312"/>
          <w:bCs/>
          <w:color w:val="auto"/>
          <w:kern w:val="0"/>
          <w:sz w:val="32"/>
          <w:szCs w:val="32"/>
          <w:shd w:val="clear" w:color="auto" w:fill="FFFFFF"/>
          <w:lang w:eastAsia="zh-CN"/>
        </w:rPr>
        <w:t>：3</w:t>
      </w:r>
      <w:r>
        <w:rPr>
          <w:rFonts w:hint="eastAsia" w:ascii="仿宋_GB2312" w:hAnsi="宋体" w:eastAsia="仿宋_GB2312"/>
          <w:bCs/>
          <w:color w:val="auto"/>
          <w:kern w:val="0"/>
          <w:sz w:val="32"/>
          <w:szCs w:val="32"/>
          <w:shd w:val="clear" w:color="auto" w:fill="FFFFFF"/>
          <w:lang w:val="en-US" w:eastAsia="zh-CN"/>
        </w:rPr>
        <w:t>3</w:t>
      </w:r>
      <w:r>
        <w:rPr>
          <w:rFonts w:hint="eastAsia" w:ascii="仿宋_GB2312" w:hAnsi="宋体" w:eastAsia="仿宋_GB2312"/>
          <w:bCs/>
          <w:color w:val="auto"/>
          <w:kern w:val="0"/>
          <w:sz w:val="32"/>
          <w:szCs w:val="32"/>
          <w:shd w:val="clear" w:color="auto" w:fill="FFFFFF"/>
          <w:lang w:eastAsia="zh-CN"/>
        </w:rPr>
        <w:t>.</w:t>
      </w:r>
      <w:r>
        <w:rPr>
          <w:rFonts w:hint="eastAsia" w:ascii="仿宋_GB2312" w:hAnsi="宋体" w:eastAsia="仿宋_GB2312"/>
          <w:bCs/>
          <w:color w:val="auto"/>
          <w:kern w:val="0"/>
          <w:sz w:val="32"/>
          <w:szCs w:val="32"/>
          <w:shd w:val="clear" w:color="auto" w:fill="FFFFFF"/>
          <w:lang w:val="en-US" w:eastAsia="zh-CN"/>
        </w:rPr>
        <w:t>3</w:t>
      </w:r>
      <w:r>
        <w:rPr>
          <w:rFonts w:hint="eastAsia" w:ascii="仿宋_GB2312" w:hAnsi="宋体" w:eastAsia="仿宋_GB2312"/>
          <w:bCs/>
          <w:color w:val="auto"/>
          <w:kern w:val="0"/>
          <w:sz w:val="32"/>
          <w:szCs w:val="32"/>
          <w:shd w:val="clear" w:color="auto" w:fill="FFFFFF"/>
          <w:lang w:eastAsia="zh-CN"/>
        </w:rPr>
        <w:t>：</w:t>
      </w:r>
      <w:r>
        <w:rPr>
          <w:rFonts w:hint="eastAsia" w:ascii="仿宋_GB2312" w:hAnsi="宋体" w:eastAsia="仿宋_GB2312"/>
          <w:bCs/>
          <w:color w:val="auto"/>
          <w:kern w:val="0"/>
          <w:sz w:val="32"/>
          <w:szCs w:val="32"/>
          <w:shd w:val="clear" w:color="auto" w:fill="FFFFFF"/>
          <w:lang w:val="en-US" w:eastAsia="zh-CN"/>
        </w:rPr>
        <w:t>62</w:t>
      </w:r>
      <w:r>
        <w:rPr>
          <w:rFonts w:hint="eastAsia" w:ascii="仿宋_GB2312" w:hAnsi="宋体" w:eastAsia="仿宋_GB2312"/>
          <w:bCs/>
          <w:color w:val="auto"/>
          <w:kern w:val="0"/>
          <w:sz w:val="32"/>
          <w:szCs w:val="32"/>
          <w:shd w:val="clear" w:color="auto" w:fill="FFFFFF"/>
          <w:lang w:eastAsia="zh-CN"/>
        </w:rPr>
        <w:t>.</w:t>
      </w:r>
      <w:r>
        <w:rPr>
          <w:rFonts w:hint="eastAsia" w:ascii="仿宋_GB2312" w:hAnsi="宋体" w:eastAsia="仿宋_GB2312"/>
          <w:bCs/>
          <w:color w:val="auto"/>
          <w:kern w:val="0"/>
          <w:sz w:val="32"/>
          <w:szCs w:val="32"/>
          <w:shd w:val="clear" w:color="auto" w:fill="FFFFFF"/>
          <w:lang w:val="en-US" w:eastAsia="zh-CN"/>
        </w:rPr>
        <w:t>1</w:t>
      </w:r>
      <w:r>
        <w:rPr>
          <w:rFonts w:hint="eastAsia" w:ascii="仿宋_GB2312" w:hAnsi="宋体" w:eastAsia="仿宋_GB2312"/>
          <w:bCs/>
          <w:color w:val="auto"/>
          <w:kern w:val="0"/>
          <w:sz w:val="32"/>
          <w:szCs w:val="32"/>
          <w:shd w:val="clear" w:color="auto" w:fill="FFFFFF"/>
          <w:lang w:eastAsia="zh-CN"/>
        </w:rPr>
        <w:t>。按常住人口计算，全年</w:t>
      </w:r>
      <w:r>
        <w:rPr>
          <w:rFonts w:hint="eastAsia" w:ascii="仿宋" w:hAnsi="仿宋" w:eastAsia="仿宋" w:cs="仿宋"/>
          <w:color w:val="auto"/>
          <w:sz w:val="32"/>
          <w:szCs w:val="32"/>
        </w:rPr>
        <w:t>人均地区生产总值</w:t>
      </w:r>
      <w:r>
        <w:rPr>
          <w:rFonts w:hint="eastAsia" w:ascii="仿宋" w:hAnsi="仿宋" w:eastAsia="仿宋" w:cs="仿宋"/>
          <w:color w:val="auto"/>
          <w:sz w:val="32"/>
          <w:szCs w:val="32"/>
          <w:lang w:val="en-US" w:eastAsia="zh-CN"/>
        </w:rPr>
        <w:t>67973</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2.9%</w:t>
      </w:r>
      <w:r>
        <w:rPr>
          <w:rFonts w:hint="eastAsia" w:ascii="仿宋_GB2312" w:hAnsi="宋体" w:eastAsia="仿宋_GB2312"/>
          <w:bCs/>
          <w:color w:val="auto"/>
          <w:kern w:val="0"/>
          <w:sz w:val="32"/>
          <w:szCs w:val="32"/>
          <w:shd w:val="clear" w:color="auto" w:fill="FFFFFF"/>
        </w:rPr>
        <w:t>。</w:t>
      </w:r>
    </w:p>
    <w:p w14:paraId="03DA6A16">
      <w:pPr>
        <w:pStyle w:val="7"/>
        <w:keepNext w:val="0"/>
        <w:keepLines w:val="0"/>
        <w:pageBreakBefore w:val="0"/>
        <w:widowControl/>
        <w:kinsoku/>
        <w:wordWrap/>
        <w:overflowPunct/>
        <w:topLinePunct w:val="0"/>
        <w:autoSpaceDE/>
        <w:autoSpaceDN/>
        <w:bidi w:val="0"/>
        <w:adjustRightInd/>
        <w:snapToGrid/>
        <w:spacing w:line="560" w:lineRule="exact"/>
        <w:ind w:firstLine="640" w:firstLineChars="200"/>
        <w:jc w:val="both"/>
        <w:rPr>
          <w:rFonts w:hint="eastAsia" w:ascii="仿宋_GB2312" w:hAnsi="宋体" w:eastAsia="仿宋_GB2312" w:cstheme="minorBidi"/>
          <w:bCs/>
          <w:color w:val="0000FF"/>
          <w:kern w:val="0"/>
          <w:sz w:val="32"/>
          <w:szCs w:val="32"/>
          <w:shd w:val="clear" w:color="auto" w:fill="FFFFFF"/>
          <w:lang w:val="en-US" w:eastAsia="zh-CN" w:bidi="ar-SA"/>
        </w:rPr>
      </w:pPr>
      <w:r>
        <w:rPr>
          <w:rFonts w:hint="eastAsia" w:ascii="仿宋_GB2312" w:hAnsi="宋体" w:eastAsia="仿宋_GB2312" w:cstheme="minorBidi"/>
          <w:bCs/>
          <w:color w:val="auto"/>
          <w:kern w:val="0"/>
          <w:sz w:val="32"/>
          <w:szCs w:val="32"/>
          <w:shd w:val="clear" w:color="auto" w:fill="FFFFFF"/>
          <w:lang w:val="en-US" w:eastAsia="zh-CN" w:bidi="ar-SA"/>
        </w:rPr>
        <w:t>年末全区常住人口21.48万人，其中城镇常住人口11.67万人，乡村常住人口9.81万人；常住人口城镇化率为54.32%。</w:t>
      </w:r>
    </w:p>
    <w:p w14:paraId="05CB26A9">
      <w:pPr>
        <w:keepNext w:val="0"/>
        <w:keepLines w:val="0"/>
        <w:pageBreakBefore w:val="0"/>
        <w:kinsoku/>
        <w:wordWrap/>
        <w:overflowPunct/>
        <w:topLinePunct w:val="0"/>
        <w:autoSpaceDE/>
        <w:autoSpaceDN/>
        <w:bidi w:val="0"/>
        <w:adjustRightInd/>
        <w:snapToGrid/>
        <w:spacing w:line="560" w:lineRule="exact"/>
        <w:ind w:firstLine="422" w:firstLineChars="150"/>
        <w:jc w:val="center"/>
        <w:rPr>
          <w:rFonts w:hint="default" w:ascii="仿宋" w:hAnsi="仿宋" w:eastAsia="仿宋" w:cs="仿宋"/>
          <w:b/>
          <w:bCs w:val="0"/>
          <w:color w:val="auto"/>
          <w:kern w:val="0"/>
          <w:sz w:val="28"/>
          <w:szCs w:val="28"/>
          <w:shd w:val="clear" w:color="auto" w:fill="FFFFFF"/>
          <w:lang w:val="en-US" w:eastAsia="zh-CN"/>
        </w:rPr>
      </w:pPr>
      <w:r>
        <w:rPr>
          <w:rFonts w:hint="eastAsia" w:ascii="仿宋" w:hAnsi="仿宋" w:eastAsia="仿宋" w:cs="仿宋"/>
          <w:b/>
          <w:bCs w:val="0"/>
          <w:color w:val="auto"/>
          <w:kern w:val="0"/>
          <w:sz w:val="28"/>
          <w:szCs w:val="28"/>
          <w:shd w:val="clear" w:color="auto" w:fill="FFFFFF"/>
          <w:lang w:val="en-US" w:eastAsia="zh-CN"/>
        </w:rPr>
        <w:t>表1 2024年年末高新区常住人口数及其构成</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14:paraId="26547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auto" w:sz="4" w:space="0"/>
              <w:right w:val="single" w:color="auto" w:sz="4" w:space="0"/>
            </w:tcBorders>
          </w:tcPr>
          <w:p w14:paraId="71D3CEED">
            <w:pPr>
              <w:pStyle w:val="7"/>
              <w:keepNext w:val="0"/>
              <w:keepLines w:val="0"/>
              <w:pageBreakBefore w:val="0"/>
              <w:widowControl/>
              <w:kinsoku/>
              <w:wordWrap/>
              <w:overflowPunct/>
              <w:topLinePunct w:val="0"/>
              <w:autoSpaceDE/>
              <w:autoSpaceDN/>
              <w:bidi w:val="0"/>
              <w:adjustRightInd/>
              <w:snapToGrid/>
              <w:spacing w:line="560" w:lineRule="exact"/>
              <w:jc w:val="center"/>
              <w:rPr>
                <w:rFonts w:hint="eastAsia"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指标</w:t>
            </w:r>
          </w:p>
        </w:tc>
        <w:tc>
          <w:tcPr>
            <w:tcW w:w="2841" w:type="dxa"/>
            <w:tcBorders>
              <w:top w:val="single" w:color="auto" w:sz="4" w:space="0"/>
              <w:left w:val="single" w:color="auto" w:sz="4" w:space="0"/>
              <w:bottom w:val="single" w:color="auto" w:sz="4" w:space="0"/>
              <w:right w:val="single" w:color="auto" w:sz="4" w:space="0"/>
            </w:tcBorders>
          </w:tcPr>
          <w:p w14:paraId="0E708756">
            <w:pPr>
              <w:pStyle w:val="7"/>
              <w:keepNext w:val="0"/>
              <w:keepLines w:val="0"/>
              <w:pageBreakBefore w:val="0"/>
              <w:widowControl/>
              <w:kinsoku/>
              <w:wordWrap/>
              <w:overflowPunct/>
              <w:topLinePunct w:val="0"/>
              <w:autoSpaceDE/>
              <w:autoSpaceDN/>
              <w:bidi w:val="0"/>
              <w:adjustRightInd/>
              <w:snapToGrid/>
              <w:spacing w:line="560" w:lineRule="exact"/>
              <w:jc w:val="center"/>
              <w:rPr>
                <w:rFonts w:hint="eastAsia"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年末数（人）</w:t>
            </w:r>
          </w:p>
        </w:tc>
        <w:tc>
          <w:tcPr>
            <w:tcW w:w="2841" w:type="dxa"/>
            <w:tcBorders>
              <w:top w:val="single" w:color="auto" w:sz="4" w:space="0"/>
              <w:left w:val="single" w:color="auto" w:sz="4" w:space="0"/>
              <w:bottom w:val="single" w:color="auto" w:sz="4" w:space="0"/>
              <w:right w:val="nil"/>
            </w:tcBorders>
          </w:tcPr>
          <w:p w14:paraId="3D24BFA2">
            <w:pPr>
              <w:pStyle w:val="7"/>
              <w:keepNext w:val="0"/>
              <w:keepLines w:val="0"/>
              <w:pageBreakBefore w:val="0"/>
              <w:widowControl/>
              <w:kinsoku/>
              <w:wordWrap/>
              <w:overflowPunct/>
              <w:topLinePunct w:val="0"/>
              <w:autoSpaceDE/>
              <w:autoSpaceDN/>
              <w:bidi w:val="0"/>
              <w:adjustRightInd/>
              <w:snapToGrid/>
              <w:spacing w:line="560" w:lineRule="exact"/>
              <w:jc w:val="center"/>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比重（%）</w:t>
            </w:r>
          </w:p>
        </w:tc>
      </w:tr>
      <w:tr w14:paraId="288A8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auto" w:sz="4" w:space="0"/>
              <w:right w:val="single" w:color="auto" w:sz="4" w:space="0"/>
            </w:tcBorders>
          </w:tcPr>
          <w:p w14:paraId="2DF915E7">
            <w:pPr>
              <w:pStyle w:val="7"/>
              <w:keepNext w:val="0"/>
              <w:keepLines w:val="0"/>
              <w:pageBreakBefore w:val="0"/>
              <w:widowControl/>
              <w:kinsoku/>
              <w:wordWrap/>
              <w:overflowPunct/>
              <w:topLinePunct w:val="0"/>
              <w:autoSpaceDE/>
              <w:autoSpaceDN/>
              <w:bidi w:val="0"/>
              <w:adjustRightInd/>
              <w:snapToGrid/>
              <w:spacing w:line="560" w:lineRule="exact"/>
              <w:jc w:val="left"/>
              <w:rPr>
                <w:rFonts w:hint="eastAsia"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全区常住人口</w:t>
            </w:r>
          </w:p>
        </w:tc>
        <w:tc>
          <w:tcPr>
            <w:tcW w:w="2841" w:type="dxa"/>
            <w:tcBorders>
              <w:top w:val="single" w:color="auto" w:sz="4" w:space="0"/>
              <w:left w:val="single" w:color="auto" w:sz="4" w:space="0"/>
              <w:bottom w:val="single" w:color="auto" w:sz="4" w:space="0"/>
              <w:right w:val="single" w:color="auto" w:sz="4" w:space="0"/>
            </w:tcBorders>
          </w:tcPr>
          <w:p w14:paraId="3E12DE15">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214820</w:t>
            </w:r>
          </w:p>
        </w:tc>
        <w:tc>
          <w:tcPr>
            <w:tcW w:w="2841" w:type="dxa"/>
            <w:tcBorders>
              <w:top w:val="single" w:color="auto" w:sz="4" w:space="0"/>
              <w:left w:val="single" w:color="auto" w:sz="4" w:space="0"/>
              <w:bottom w:val="single" w:color="auto" w:sz="4" w:space="0"/>
              <w:right w:val="nil"/>
            </w:tcBorders>
          </w:tcPr>
          <w:p w14:paraId="1B738F48">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100.0</w:t>
            </w:r>
          </w:p>
        </w:tc>
      </w:tr>
      <w:tr w14:paraId="3EC59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auto" w:sz="4" w:space="0"/>
              <w:right w:val="single" w:color="auto" w:sz="4" w:space="0"/>
            </w:tcBorders>
          </w:tcPr>
          <w:p w14:paraId="4488DE7F">
            <w:pPr>
              <w:pStyle w:val="7"/>
              <w:keepNext w:val="0"/>
              <w:keepLines w:val="0"/>
              <w:pageBreakBefore w:val="0"/>
              <w:widowControl/>
              <w:kinsoku/>
              <w:wordWrap/>
              <w:overflowPunct/>
              <w:topLinePunct w:val="0"/>
              <w:autoSpaceDE/>
              <w:autoSpaceDN/>
              <w:bidi w:val="0"/>
              <w:adjustRightInd/>
              <w:snapToGrid/>
              <w:spacing w:line="560" w:lineRule="exact"/>
              <w:jc w:val="left"/>
              <w:rPr>
                <w:rFonts w:hint="eastAsia"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其中：城镇</w:t>
            </w:r>
          </w:p>
        </w:tc>
        <w:tc>
          <w:tcPr>
            <w:tcW w:w="2841" w:type="dxa"/>
            <w:tcBorders>
              <w:top w:val="single" w:color="auto" w:sz="4" w:space="0"/>
              <w:left w:val="single" w:color="auto" w:sz="4" w:space="0"/>
              <w:bottom w:val="single" w:color="auto" w:sz="4" w:space="0"/>
              <w:right w:val="single" w:color="auto" w:sz="4" w:space="0"/>
            </w:tcBorders>
          </w:tcPr>
          <w:p w14:paraId="246FC5DA">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116680</w:t>
            </w:r>
          </w:p>
        </w:tc>
        <w:tc>
          <w:tcPr>
            <w:tcW w:w="2841" w:type="dxa"/>
            <w:tcBorders>
              <w:top w:val="single" w:color="auto" w:sz="4" w:space="0"/>
              <w:left w:val="single" w:color="auto" w:sz="4" w:space="0"/>
              <w:bottom w:val="single" w:color="auto" w:sz="4" w:space="0"/>
              <w:right w:val="nil"/>
            </w:tcBorders>
          </w:tcPr>
          <w:p w14:paraId="221399AC">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54.32</w:t>
            </w:r>
          </w:p>
        </w:tc>
      </w:tr>
      <w:tr w14:paraId="75BC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4" w:space="0"/>
              <w:left w:val="nil"/>
              <w:bottom w:val="single" w:color="auto" w:sz="4" w:space="0"/>
              <w:right w:val="single" w:color="auto" w:sz="4" w:space="0"/>
            </w:tcBorders>
          </w:tcPr>
          <w:p w14:paraId="3CF40ACC">
            <w:pPr>
              <w:pStyle w:val="7"/>
              <w:keepNext w:val="0"/>
              <w:keepLines w:val="0"/>
              <w:pageBreakBefore w:val="0"/>
              <w:widowControl/>
              <w:kinsoku/>
              <w:wordWrap/>
              <w:overflowPunct/>
              <w:topLinePunct w:val="0"/>
              <w:autoSpaceDE/>
              <w:autoSpaceDN/>
              <w:bidi w:val="0"/>
              <w:adjustRightInd/>
              <w:snapToGrid/>
              <w:spacing w:line="560" w:lineRule="exact"/>
              <w:jc w:val="lef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乡村</w:t>
            </w:r>
          </w:p>
        </w:tc>
        <w:tc>
          <w:tcPr>
            <w:tcW w:w="2841" w:type="dxa"/>
            <w:tcBorders>
              <w:top w:val="single" w:color="auto" w:sz="4" w:space="0"/>
              <w:left w:val="single" w:color="auto" w:sz="4" w:space="0"/>
              <w:bottom w:val="single" w:color="auto" w:sz="4" w:space="0"/>
              <w:right w:val="single" w:color="auto" w:sz="4" w:space="0"/>
            </w:tcBorders>
          </w:tcPr>
          <w:p w14:paraId="0149DC0E">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98140</w:t>
            </w:r>
          </w:p>
        </w:tc>
        <w:tc>
          <w:tcPr>
            <w:tcW w:w="2841" w:type="dxa"/>
            <w:tcBorders>
              <w:top w:val="single" w:color="auto" w:sz="4" w:space="0"/>
              <w:left w:val="single" w:color="auto" w:sz="4" w:space="0"/>
              <w:bottom w:val="single" w:color="auto" w:sz="4" w:space="0"/>
              <w:right w:val="nil"/>
            </w:tcBorders>
          </w:tcPr>
          <w:p w14:paraId="03CBF0C3">
            <w:pPr>
              <w:pStyle w:val="7"/>
              <w:keepNext w:val="0"/>
              <w:keepLines w:val="0"/>
              <w:pageBreakBefore w:val="0"/>
              <w:widowControl/>
              <w:kinsoku/>
              <w:wordWrap/>
              <w:overflowPunct/>
              <w:topLinePunct w:val="0"/>
              <w:autoSpaceDE/>
              <w:autoSpaceDN/>
              <w:bidi w:val="0"/>
              <w:adjustRightInd/>
              <w:snapToGrid/>
              <w:spacing w:line="560" w:lineRule="exact"/>
              <w:jc w:val="right"/>
              <w:rPr>
                <w:rFonts w:hint="default" w:ascii="仿宋_GB2312" w:hAnsi="宋体" w:eastAsia="仿宋_GB2312" w:cstheme="minorBidi"/>
                <w:bCs/>
                <w:color w:val="auto"/>
                <w:kern w:val="0"/>
                <w:sz w:val="28"/>
                <w:szCs w:val="28"/>
                <w:shd w:val="clear" w:color="auto" w:fill="FFFFFF"/>
                <w:vertAlign w:val="baseline"/>
                <w:lang w:val="en-US" w:eastAsia="zh-CN" w:bidi="ar-SA"/>
              </w:rPr>
            </w:pPr>
            <w:r>
              <w:rPr>
                <w:rFonts w:hint="eastAsia" w:ascii="仿宋_GB2312" w:hAnsi="宋体" w:eastAsia="仿宋_GB2312" w:cstheme="minorBidi"/>
                <w:bCs/>
                <w:color w:val="auto"/>
                <w:kern w:val="0"/>
                <w:sz w:val="28"/>
                <w:szCs w:val="28"/>
                <w:shd w:val="clear" w:color="auto" w:fill="FFFFFF"/>
                <w:vertAlign w:val="baseline"/>
                <w:lang w:val="en-US" w:eastAsia="zh-CN" w:bidi="ar-SA"/>
              </w:rPr>
              <w:t>45.68</w:t>
            </w:r>
          </w:p>
        </w:tc>
      </w:tr>
    </w:tbl>
    <w:p w14:paraId="50BC7CC4">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ascii="仿宋" w:hAnsi="仿宋" w:eastAsia="仿宋" w:cs="仿宋"/>
          <w:color w:val="auto"/>
          <w:sz w:val="32"/>
          <w:szCs w:val="32"/>
        </w:rPr>
      </w:pPr>
      <w:r>
        <w:rPr>
          <w:rFonts w:hint="eastAsia" w:ascii="仿宋" w:hAnsi="仿宋" w:eastAsia="仿宋" w:cs="仿宋"/>
          <w:b/>
          <w:color w:val="auto"/>
          <w:sz w:val="32"/>
          <w:szCs w:val="32"/>
        </w:rPr>
        <w:t>二、农业</w:t>
      </w:r>
    </w:p>
    <w:p w14:paraId="56104A5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FF"/>
          <w:sz w:val="32"/>
          <w:szCs w:val="32"/>
        </w:rPr>
      </w:pPr>
      <w:r>
        <w:rPr>
          <w:rFonts w:hint="eastAsia" w:ascii="仿宋" w:hAnsi="仿宋" w:eastAsia="仿宋" w:cs="仿宋"/>
          <w:color w:val="auto"/>
          <w:sz w:val="32"/>
          <w:szCs w:val="32"/>
        </w:rPr>
        <w:t>全年</w:t>
      </w:r>
      <w:r>
        <w:rPr>
          <w:rFonts w:hint="eastAsia" w:ascii="仿宋" w:hAnsi="仿宋" w:eastAsia="仿宋" w:cs="仿宋"/>
          <w:color w:val="auto"/>
          <w:sz w:val="32"/>
          <w:szCs w:val="32"/>
          <w:lang w:eastAsia="zh-CN"/>
        </w:rPr>
        <w:t>全区</w:t>
      </w:r>
      <w:r>
        <w:rPr>
          <w:rFonts w:hint="eastAsia" w:ascii="仿宋" w:hAnsi="仿宋" w:eastAsia="仿宋" w:cs="仿宋"/>
          <w:color w:val="auto"/>
          <w:sz w:val="32"/>
          <w:szCs w:val="32"/>
          <w:lang w:val="en-US" w:eastAsia="zh-CN"/>
        </w:rPr>
        <w:t>粮食</w:t>
      </w:r>
      <w:r>
        <w:rPr>
          <w:rFonts w:hint="eastAsia" w:ascii="仿宋" w:hAnsi="仿宋" w:eastAsia="仿宋" w:cs="仿宋"/>
          <w:color w:val="auto"/>
          <w:sz w:val="32"/>
          <w:szCs w:val="32"/>
        </w:rPr>
        <w:t>播种面积27</w:t>
      </w:r>
      <w:r>
        <w:rPr>
          <w:rFonts w:hint="eastAsia" w:ascii="仿宋" w:hAnsi="仿宋" w:eastAsia="仿宋" w:cs="仿宋"/>
          <w:color w:val="auto"/>
          <w:sz w:val="32"/>
          <w:szCs w:val="32"/>
          <w:lang w:val="en-US" w:eastAsia="zh-CN"/>
        </w:rPr>
        <w:t>.4万亩</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其中小麦播种面积14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8</w:t>
      </w:r>
      <w:r>
        <w:rPr>
          <w:rFonts w:hint="eastAsia" w:ascii="仿宋" w:hAnsi="仿宋" w:eastAsia="仿宋" w:cs="仿宋"/>
          <w:color w:val="auto"/>
          <w:sz w:val="32"/>
          <w:szCs w:val="32"/>
          <w:lang w:val="en-US" w:eastAsia="zh-CN"/>
        </w:rPr>
        <w:t>万亩</w:t>
      </w:r>
      <w:r>
        <w:rPr>
          <w:rFonts w:hint="eastAsia" w:ascii="仿宋" w:hAnsi="仿宋" w:eastAsia="仿宋" w:cs="仿宋"/>
          <w:color w:val="auto"/>
          <w:sz w:val="32"/>
          <w:szCs w:val="32"/>
        </w:rPr>
        <w:t>，玉米播种面积12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5</w:t>
      </w:r>
      <w:r>
        <w:rPr>
          <w:rFonts w:hint="eastAsia" w:ascii="仿宋" w:hAnsi="仿宋" w:eastAsia="仿宋" w:cs="仿宋"/>
          <w:color w:val="auto"/>
          <w:sz w:val="32"/>
          <w:szCs w:val="32"/>
          <w:lang w:val="en-US" w:eastAsia="zh-CN"/>
        </w:rPr>
        <w:t>万亩</w:t>
      </w:r>
      <w:r>
        <w:rPr>
          <w:rFonts w:hint="eastAsia" w:ascii="仿宋" w:hAnsi="仿宋" w:eastAsia="仿宋" w:cs="仿宋"/>
          <w:color w:val="auto"/>
          <w:sz w:val="32"/>
          <w:szCs w:val="32"/>
        </w:rPr>
        <w:t>。</w:t>
      </w:r>
    </w:p>
    <w:p w14:paraId="4F6CE6F1">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全年</w:t>
      </w:r>
      <w:r>
        <w:rPr>
          <w:rFonts w:hint="eastAsia" w:ascii="仿宋" w:hAnsi="仿宋" w:eastAsia="仿宋" w:cs="仿宋"/>
          <w:color w:val="auto"/>
          <w:sz w:val="32"/>
          <w:szCs w:val="32"/>
          <w:lang w:eastAsia="zh-CN"/>
        </w:rPr>
        <w:t>全区</w:t>
      </w:r>
      <w:r>
        <w:rPr>
          <w:rFonts w:hint="eastAsia" w:ascii="仿宋" w:hAnsi="仿宋" w:eastAsia="仿宋" w:cs="仿宋"/>
          <w:color w:val="auto"/>
          <w:sz w:val="32"/>
          <w:szCs w:val="32"/>
        </w:rPr>
        <w:t>粮食产量</w:t>
      </w:r>
      <w:r>
        <w:rPr>
          <w:rFonts w:hint="eastAsia" w:ascii="仿宋" w:hAnsi="仿宋" w:eastAsia="仿宋" w:cs="仿宋"/>
          <w:color w:val="auto"/>
          <w:sz w:val="32"/>
          <w:szCs w:val="32"/>
          <w:lang w:val="en-US" w:eastAsia="zh-CN"/>
        </w:rPr>
        <w:t>11.8万</w:t>
      </w:r>
      <w:r>
        <w:rPr>
          <w:rFonts w:hint="eastAsia" w:ascii="仿宋" w:hAnsi="仿宋" w:eastAsia="仿宋" w:cs="仿宋"/>
          <w:color w:val="auto"/>
          <w:sz w:val="32"/>
          <w:szCs w:val="32"/>
        </w:rPr>
        <w:t>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其中小麦产量6.7万吨，玉米5.0万吨</w:t>
      </w:r>
      <w:r>
        <w:rPr>
          <w:rFonts w:hint="eastAsia" w:ascii="仿宋" w:hAnsi="仿宋" w:eastAsia="仿宋" w:cs="仿宋"/>
          <w:color w:val="auto"/>
          <w:sz w:val="32"/>
          <w:szCs w:val="32"/>
        </w:rPr>
        <w:t>。</w:t>
      </w:r>
    </w:p>
    <w:p w14:paraId="326D7121">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ascii="仿宋" w:hAnsi="仿宋" w:eastAsia="仿宋" w:cs="仿宋"/>
          <w:color w:val="auto"/>
          <w:sz w:val="32"/>
          <w:szCs w:val="32"/>
        </w:rPr>
      </w:pPr>
      <w:r>
        <w:rPr>
          <w:rFonts w:hint="eastAsia" w:ascii="仿宋" w:hAnsi="仿宋" w:eastAsia="仿宋" w:cs="仿宋"/>
          <w:b/>
          <w:color w:val="auto"/>
          <w:sz w:val="32"/>
          <w:szCs w:val="32"/>
        </w:rPr>
        <w:t>三、工业和建筑业</w:t>
      </w:r>
    </w:p>
    <w:p w14:paraId="3A2C1E0E">
      <w:pPr>
        <w:pStyle w:val="7"/>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宋体" w:eastAsia="仿宋_GB2312"/>
          <w:bCs/>
          <w:color w:val="auto"/>
          <w:sz w:val="32"/>
          <w:szCs w:val="32"/>
          <w:shd w:val="clear" w:color="auto" w:fill="FFFFFF"/>
          <w:lang w:val="en-US" w:eastAsia="zh-CN"/>
        </w:rPr>
      </w:pPr>
      <w:r>
        <w:rPr>
          <w:rFonts w:hint="eastAsia" w:ascii="仿宋_GB2312" w:hAnsi="宋体" w:eastAsia="仿宋_GB2312"/>
          <w:bCs/>
          <w:color w:val="auto"/>
          <w:sz w:val="32"/>
          <w:szCs w:val="32"/>
          <w:shd w:val="clear" w:color="auto" w:fill="FFFFFF"/>
          <w:lang w:eastAsia="zh-CN"/>
        </w:rPr>
        <w:t>全年全区</w:t>
      </w:r>
      <w:r>
        <w:rPr>
          <w:rFonts w:hint="eastAsia" w:ascii="仿宋_GB2312" w:hAnsi="宋体" w:eastAsia="仿宋_GB2312"/>
          <w:bCs/>
          <w:color w:val="auto"/>
          <w:sz w:val="32"/>
          <w:szCs w:val="32"/>
          <w:shd w:val="clear" w:color="auto" w:fill="FFFFFF"/>
        </w:rPr>
        <w:t>规模以上工业企业产值完成</w:t>
      </w:r>
      <w:r>
        <w:rPr>
          <w:rFonts w:hint="eastAsia" w:ascii="仿宋_GB2312" w:hAnsi="宋体" w:eastAsia="仿宋_GB2312"/>
          <w:bCs/>
          <w:color w:val="auto"/>
          <w:sz w:val="32"/>
          <w:szCs w:val="32"/>
          <w:shd w:val="clear" w:color="auto" w:fill="FFFFFF"/>
          <w:lang w:val="en-US" w:eastAsia="zh-CN"/>
        </w:rPr>
        <w:t>117.1</w:t>
      </w:r>
      <w:r>
        <w:rPr>
          <w:rFonts w:hint="eastAsia" w:ascii="仿宋_GB2312" w:hAnsi="宋体" w:eastAsia="仿宋_GB2312"/>
          <w:bCs/>
          <w:color w:val="auto"/>
          <w:sz w:val="32"/>
          <w:szCs w:val="32"/>
          <w:shd w:val="clear" w:color="auto" w:fill="FFFFFF"/>
        </w:rPr>
        <w:t>亿元，</w:t>
      </w:r>
      <w:r>
        <w:rPr>
          <w:rFonts w:hint="eastAsia" w:ascii="仿宋_GB2312" w:hAnsi="宋体" w:eastAsia="仿宋_GB2312"/>
          <w:bCs/>
          <w:color w:val="auto"/>
          <w:sz w:val="32"/>
          <w:szCs w:val="32"/>
          <w:shd w:val="clear" w:color="auto" w:fill="FFFFFF"/>
          <w:lang w:val="en-US" w:eastAsia="zh-CN"/>
        </w:rPr>
        <w:t>同比下降3.1</w:t>
      </w:r>
      <w:r>
        <w:rPr>
          <w:rFonts w:hint="eastAsia" w:ascii="仿宋_GB2312" w:hAnsi="宋体" w:eastAsia="仿宋_GB2312"/>
          <w:bCs/>
          <w:color w:val="auto"/>
          <w:sz w:val="32"/>
          <w:szCs w:val="32"/>
          <w:shd w:val="clear" w:color="auto" w:fill="FFFFFF"/>
        </w:rPr>
        <w:t>%。</w:t>
      </w:r>
      <w:r>
        <w:rPr>
          <w:rFonts w:hint="eastAsia" w:ascii="仿宋" w:hAnsi="仿宋" w:eastAsia="仿宋" w:cs="仿宋"/>
          <w:color w:val="auto"/>
          <w:sz w:val="32"/>
          <w:szCs w:val="32"/>
        </w:rPr>
        <w:t>规模以上工业增加值</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rPr>
        <w:t>增长</w:t>
      </w:r>
      <w:r>
        <w:rPr>
          <w:rFonts w:hint="eastAsia" w:ascii="仿宋" w:hAnsi="仿宋" w:eastAsia="仿宋" w:cs="仿宋"/>
          <w:color w:val="auto"/>
          <w:sz w:val="32"/>
          <w:szCs w:val="32"/>
          <w:lang w:val="en-US" w:eastAsia="zh-CN"/>
        </w:rPr>
        <w:t>1.6</w:t>
      </w:r>
      <w:r>
        <w:rPr>
          <w:rFonts w:hint="eastAsia" w:ascii="仿宋" w:hAnsi="仿宋" w:eastAsia="仿宋" w:cs="仿宋"/>
          <w:color w:val="auto"/>
          <w:sz w:val="32"/>
          <w:szCs w:val="32"/>
        </w:rPr>
        <w:t>%；产品销售率</w:t>
      </w:r>
      <w:r>
        <w:rPr>
          <w:rFonts w:hint="eastAsia" w:ascii="仿宋" w:hAnsi="仿宋" w:eastAsia="仿宋" w:cs="仿宋"/>
          <w:color w:val="auto"/>
          <w:sz w:val="32"/>
          <w:szCs w:val="32"/>
          <w:lang w:val="en-US" w:eastAsia="zh-CN"/>
        </w:rPr>
        <w:t>98.3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_GB2312" w:hAnsi="宋体" w:eastAsia="仿宋_GB2312"/>
          <w:bCs/>
          <w:color w:val="auto"/>
          <w:sz w:val="32"/>
          <w:szCs w:val="32"/>
          <w:shd w:val="clear" w:color="auto" w:fill="FFFFFF"/>
        </w:rPr>
        <w:t>营业收入</w:t>
      </w:r>
      <w:r>
        <w:rPr>
          <w:rFonts w:hint="eastAsia" w:ascii="仿宋_GB2312" w:hAnsi="宋体" w:eastAsia="仿宋_GB2312"/>
          <w:bCs/>
          <w:color w:val="auto"/>
          <w:sz w:val="32"/>
          <w:szCs w:val="32"/>
          <w:shd w:val="clear" w:color="auto" w:fill="FFFFFF"/>
          <w:lang w:val="en-US" w:eastAsia="zh-CN"/>
        </w:rPr>
        <w:t>下降5.3</w:t>
      </w:r>
      <w:r>
        <w:rPr>
          <w:rFonts w:hint="eastAsia" w:ascii="仿宋_GB2312" w:hAnsi="宋体" w:eastAsia="仿宋_GB2312"/>
          <w:bCs/>
          <w:color w:val="auto"/>
          <w:sz w:val="32"/>
          <w:szCs w:val="32"/>
          <w:shd w:val="clear" w:color="auto" w:fill="FFFFFF"/>
        </w:rPr>
        <w:t>%；利润总额</w:t>
      </w:r>
      <w:r>
        <w:rPr>
          <w:rFonts w:hint="eastAsia" w:ascii="仿宋_GB2312" w:hAnsi="宋体" w:eastAsia="仿宋_GB2312"/>
          <w:bCs/>
          <w:color w:val="auto"/>
          <w:sz w:val="32"/>
          <w:szCs w:val="32"/>
          <w:shd w:val="clear" w:color="auto" w:fill="FFFFFF"/>
          <w:lang w:val="en-US" w:eastAsia="zh-CN"/>
        </w:rPr>
        <w:t>下降0.4</w:t>
      </w:r>
      <w:r>
        <w:rPr>
          <w:rFonts w:hint="eastAsia" w:ascii="仿宋_GB2312" w:hAnsi="宋体" w:eastAsia="仿宋_GB2312"/>
          <w:bCs/>
          <w:color w:val="auto"/>
          <w:sz w:val="32"/>
          <w:szCs w:val="32"/>
          <w:shd w:val="clear" w:color="auto" w:fill="FFFFFF"/>
        </w:rPr>
        <w:t>%</w:t>
      </w:r>
      <w:r>
        <w:rPr>
          <w:rFonts w:hint="eastAsia" w:ascii="仿宋_GB2312" w:hAnsi="宋体" w:eastAsia="仿宋_GB2312"/>
          <w:bCs/>
          <w:color w:val="auto"/>
          <w:sz w:val="32"/>
          <w:szCs w:val="32"/>
          <w:shd w:val="clear" w:color="auto" w:fill="FFFFFF"/>
          <w:lang w:eastAsia="zh-CN"/>
        </w:rPr>
        <w:t>。</w:t>
      </w:r>
      <w:r>
        <w:rPr>
          <w:rFonts w:hint="eastAsia" w:ascii="仿宋_GB2312" w:hAnsi="宋体" w:eastAsia="仿宋_GB2312"/>
          <w:bCs/>
          <w:color w:val="auto"/>
          <w:sz w:val="32"/>
          <w:szCs w:val="32"/>
          <w:shd w:val="clear" w:color="auto" w:fill="FFFFFF"/>
          <w:lang w:val="en-US" w:eastAsia="zh-CN"/>
        </w:rPr>
        <w:t>制造业增加值占规模以上工业增加值97.7%，</w:t>
      </w:r>
      <w:r>
        <w:rPr>
          <w:rFonts w:hint="eastAsia" w:ascii="仿宋_GB2312" w:hAnsi="宋体" w:eastAsia="仿宋_GB2312"/>
          <w:bCs/>
          <w:color w:val="auto"/>
          <w:sz w:val="32"/>
          <w:szCs w:val="32"/>
          <w:shd w:val="clear" w:color="auto" w:fill="FFFFFF"/>
        </w:rPr>
        <w:t>高新技术产业增加值</w:t>
      </w:r>
      <w:r>
        <w:rPr>
          <w:rFonts w:hint="eastAsia" w:ascii="仿宋_GB2312" w:hAnsi="宋体" w:eastAsia="仿宋_GB2312"/>
          <w:bCs/>
          <w:color w:val="auto"/>
          <w:sz w:val="32"/>
          <w:szCs w:val="32"/>
          <w:shd w:val="clear" w:color="auto" w:fill="FFFFFF"/>
          <w:lang w:val="en-US" w:eastAsia="zh-CN"/>
        </w:rPr>
        <w:t>同比增长11.35%，</w:t>
      </w:r>
      <w:r>
        <w:rPr>
          <w:rFonts w:hint="eastAsia" w:ascii="仿宋_GB2312" w:hAnsi="宋体" w:eastAsia="仿宋_GB2312"/>
          <w:bCs/>
          <w:color w:val="auto"/>
          <w:sz w:val="32"/>
          <w:szCs w:val="32"/>
          <w:shd w:val="clear" w:color="auto" w:fill="FFFFFF"/>
        </w:rPr>
        <w:t>占规模以上工业增加值</w:t>
      </w:r>
      <w:r>
        <w:rPr>
          <w:rFonts w:hint="eastAsia" w:ascii="仿宋_GB2312" w:hAnsi="宋体" w:eastAsia="仿宋_GB2312"/>
          <w:bCs/>
          <w:color w:val="auto"/>
          <w:sz w:val="32"/>
          <w:szCs w:val="32"/>
          <w:shd w:val="clear" w:color="auto" w:fill="FFFFFF"/>
          <w:lang w:val="en-US" w:eastAsia="zh-CN"/>
        </w:rPr>
        <w:t>62.7</w:t>
      </w:r>
      <w:r>
        <w:rPr>
          <w:rFonts w:hint="eastAsia" w:ascii="仿宋_GB2312" w:hAnsi="宋体" w:eastAsia="仿宋_GB2312"/>
          <w:bCs/>
          <w:color w:val="auto"/>
          <w:sz w:val="32"/>
          <w:szCs w:val="32"/>
          <w:shd w:val="clear" w:color="auto" w:fill="FFFFFF"/>
        </w:rPr>
        <w:t>%；高技术产业增加值</w:t>
      </w:r>
      <w:r>
        <w:rPr>
          <w:rFonts w:hint="eastAsia" w:ascii="仿宋_GB2312" w:hAnsi="宋体" w:eastAsia="仿宋_GB2312"/>
          <w:bCs/>
          <w:color w:val="auto"/>
          <w:sz w:val="32"/>
          <w:szCs w:val="32"/>
          <w:shd w:val="clear" w:color="auto" w:fill="FFFFFF"/>
          <w:lang w:val="en-US" w:eastAsia="zh-CN"/>
        </w:rPr>
        <w:t>同比增长11.28%，</w:t>
      </w:r>
      <w:r>
        <w:rPr>
          <w:rFonts w:hint="eastAsia" w:ascii="仿宋_GB2312" w:hAnsi="宋体" w:eastAsia="仿宋_GB2312"/>
          <w:bCs/>
          <w:color w:val="auto"/>
          <w:sz w:val="32"/>
          <w:szCs w:val="32"/>
          <w:shd w:val="clear" w:color="auto" w:fill="FFFFFF"/>
        </w:rPr>
        <w:t>占规模以上工业增加值的</w:t>
      </w:r>
      <w:r>
        <w:rPr>
          <w:rFonts w:hint="eastAsia" w:ascii="仿宋_GB2312" w:hAnsi="宋体" w:eastAsia="仿宋_GB2312"/>
          <w:bCs/>
          <w:color w:val="auto"/>
          <w:sz w:val="32"/>
          <w:szCs w:val="32"/>
          <w:shd w:val="clear" w:color="auto" w:fill="FFFFFF"/>
          <w:lang w:val="en-US" w:eastAsia="zh-CN"/>
        </w:rPr>
        <w:t>8.0</w:t>
      </w:r>
      <w:r>
        <w:rPr>
          <w:rFonts w:hint="eastAsia" w:ascii="仿宋_GB2312" w:hAnsi="宋体" w:eastAsia="仿宋_GB2312"/>
          <w:bCs/>
          <w:color w:val="auto"/>
          <w:sz w:val="32"/>
          <w:szCs w:val="32"/>
          <w:shd w:val="clear" w:color="auto" w:fill="FFFFFF"/>
        </w:rPr>
        <w:t>%；战略性新兴产业增加值</w:t>
      </w:r>
      <w:r>
        <w:rPr>
          <w:rFonts w:hint="eastAsia" w:ascii="仿宋" w:hAnsi="仿宋" w:eastAsia="仿宋" w:cs="仿宋"/>
          <w:color w:val="auto"/>
          <w:sz w:val="32"/>
          <w:szCs w:val="32"/>
          <w:lang w:val="en-US" w:eastAsia="zh-CN"/>
        </w:rPr>
        <w:t>同比</w:t>
      </w:r>
      <w:r>
        <w:rPr>
          <w:rFonts w:hint="eastAsia" w:ascii="仿宋_GB2312" w:hAnsi="宋体" w:eastAsia="仿宋_GB2312"/>
          <w:bCs/>
          <w:color w:val="auto"/>
          <w:sz w:val="32"/>
          <w:szCs w:val="32"/>
          <w:shd w:val="clear" w:color="auto" w:fill="FFFFFF"/>
          <w:lang w:eastAsia="zh-CN"/>
        </w:rPr>
        <w:t>增长</w:t>
      </w:r>
      <w:r>
        <w:rPr>
          <w:rFonts w:hint="eastAsia" w:ascii="仿宋_GB2312" w:hAnsi="宋体" w:eastAsia="仿宋_GB2312"/>
          <w:bCs/>
          <w:color w:val="auto"/>
          <w:sz w:val="32"/>
          <w:szCs w:val="32"/>
          <w:shd w:val="clear" w:color="auto" w:fill="FFFFFF"/>
          <w:lang w:val="en-US" w:eastAsia="zh-CN"/>
        </w:rPr>
        <w:t>11.3%</w:t>
      </w:r>
      <w:r>
        <w:rPr>
          <w:rFonts w:hint="eastAsia" w:ascii="仿宋_GB2312" w:hAnsi="宋体" w:eastAsia="仿宋_GB2312"/>
          <w:bCs/>
          <w:color w:val="auto"/>
          <w:sz w:val="32"/>
          <w:szCs w:val="32"/>
          <w:shd w:val="clear" w:color="auto" w:fill="FFFFFF"/>
        </w:rPr>
        <w:t>，占规模以上工业增加值的</w:t>
      </w:r>
      <w:r>
        <w:rPr>
          <w:rFonts w:hint="eastAsia" w:ascii="仿宋_GB2312" w:hAnsi="宋体" w:eastAsia="仿宋_GB2312"/>
          <w:bCs/>
          <w:color w:val="auto"/>
          <w:sz w:val="32"/>
          <w:szCs w:val="32"/>
          <w:shd w:val="clear" w:color="auto" w:fill="FFFFFF"/>
          <w:lang w:val="en-US" w:eastAsia="zh-CN"/>
        </w:rPr>
        <w:t>33.3</w:t>
      </w:r>
      <w:r>
        <w:rPr>
          <w:rFonts w:hint="eastAsia" w:ascii="仿宋_GB2312" w:hAnsi="宋体" w:eastAsia="仿宋_GB2312"/>
          <w:bCs/>
          <w:color w:val="auto"/>
          <w:sz w:val="32"/>
          <w:szCs w:val="32"/>
          <w:shd w:val="clear" w:color="auto" w:fill="FFFFFF"/>
        </w:rPr>
        <w:t>%</w:t>
      </w:r>
      <w:r>
        <w:rPr>
          <w:rFonts w:hint="eastAsia" w:ascii="仿宋_GB2312" w:hAnsi="宋体" w:eastAsia="仿宋_GB2312"/>
          <w:bCs/>
          <w:color w:val="auto"/>
          <w:sz w:val="32"/>
          <w:szCs w:val="32"/>
          <w:shd w:val="clear" w:color="auto" w:fill="FFFFFF"/>
          <w:lang w:eastAsia="zh-CN"/>
        </w:rPr>
        <w:t>。</w:t>
      </w:r>
    </w:p>
    <w:p w14:paraId="6B966D1F">
      <w:pPr>
        <w:pStyle w:val="7"/>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全年全区建筑业总产值</w:t>
      </w:r>
      <w:r>
        <w:rPr>
          <w:rFonts w:hint="eastAsia" w:ascii="仿宋" w:hAnsi="仿宋" w:eastAsia="仿宋" w:cs="仿宋"/>
          <w:color w:val="auto"/>
          <w:sz w:val="32"/>
          <w:szCs w:val="32"/>
          <w:lang w:val="en-US" w:eastAsia="zh-CN"/>
        </w:rPr>
        <w:t>同比增长7.8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14:paraId="4721257A">
      <w:pPr>
        <w:pStyle w:val="7"/>
        <w:keepNext w:val="0"/>
        <w:keepLines w:val="0"/>
        <w:pageBreakBefore w:val="0"/>
        <w:widowControl/>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color w:val="auto"/>
          <w:sz w:val="32"/>
          <w:szCs w:val="32"/>
          <w:lang w:eastAsia="zh-CN"/>
        </w:rPr>
      </w:pPr>
      <w:r>
        <w:rPr>
          <w:rFonts w:hint="eastAsia" w:ascii="仿宋" w:hAnsi="仿宋" w:eastAsia="仿宋" w:cs="仿宋"/>
          <w:b/>
          <w:color w:val="auto"/>
          <w:kern w:val="0"/>
          <w:sz w:val="32"/>
          <w:szCs w:val="32"/>
          <w:lang w:val="en-US" w:eastAsia="zh-CN" w:bidi="ar-SA"/>
        </w:rPr>
        <w:t>四、</w:t>
      </w:r>
      <w:r>
        <w:rPr>
          <w:rFonts w:hint="eastAsia" w:ascii="仿宋" w:hAnsi="仿宋" w:eastAsia="仿宋" w:cs="仿宋"/>
          <w:b/>
          <w:color w:val="auto"/>
          <w:sz w:val="32"/>
          <w:szCs w:val="32"/>
          <w:lang w:eastAsia="zh-CN"/>
        </w:rPr>
        <w:t>服务业</w:t>
      </w:r>
    </w:p>
    <w:p w14:paraId="7F568DA3">
      <w:pPr>
        <w:pStyle w:val="7"/>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color w:val="0000FF"/>
          <w:sz w:val="32"/>
          <w:szCs w:val="32"/>
          <w:lang w:eastAsia="zh-CN"/>
        </w:rPr>
      </w:pPr>
      <w:r>
        <w:rPr>
          <w:rFonts w:hint="eastAsia" w:ascii="仿宋" w:hAnsi="仿宋" w:eastAsia="仿宋" w:cs="仿宋"/>
          <w:color w:val="auto"/>
          <w:sz w:val="32"/>
          <w:szCs w:val="32"/>
        </w:rPr>
        <w:t>全年全</w:t>
      </w:r>
      <w:r>
        <w:rPr>
          <w:rFonts w:hint="eastAsia" w:ascii="仿宋" w:hAnsi="仿宋" w:eastAsia="仿宋" w:cs="仿宋"/>
          <w:color w:val="auto"/>
          <w:sz w:val="32"/>
          <w:szCs w:val="32"/>
          <w:lang w:eastAsia="zh-CN"/>
        </w:rPr>
        <w:t>区</w:t>
      </w:r>
      <w:r>
        <w:rPr>
          <w:rFonts w:hint="eastAsia" w:ascii="仿宋" w:hAnsi="仿宋" w:eastAsia="仿宋" w:cs="仿宋"/>
          <w:color w:val="auto"/>
          <w:sz w:val="32"/>
          <w:szCs w:val="32"/>
        </w:rPr>
        <w:t>批发和零售业增加值</w:t>
      </w:r>
      <w:r>
        <w:rPr>
          <w:rFonts w:hint="eastAsia" w:ascii="仿宋" w:hAnsi="仿宋" w:eastAsia="仿宋" w:cs="仿宋"/>
          <w:color w:val="auto"/>
          <w:sz w:val="32"/>
          <w:szCs w:val="32"/>
          <w:lang w:val="en-US" w:eastAsia="zh-CN"/>
        </w:rPr>
        <w:t>10.4</w:t>
      </w:r>
      <w:r>
        <w:rPr>
          <w:rFonts w:hint="eastAsia" w:ascii="仿宋" w:hAnsi="仿宋" w:eastAsia="仿宋" w:cs="仿宋"/>
          <w:color w:val="auto"/>
          <w:sz w:val="32"/>
          <w:szCs w:val="32"/>
        </w:rPr>
        <w:t>亿元，</w:t>
      </w:r>
      <w:r>
        <w:rPr>
          <w:rFonts w:hint="eastAsia" w:ascii="仿宋" w:hAnsi="仿宋" w:eastAsia="仿宋" w:cs="仿宋"/>
          <w:color w:val="auto"/>
          <w:sz w:val="32"/>
          <w:szCs w:val="32"/>
          <w:lang w:val="en-US" w:eastAsia="zh-CN"/>
        </w:rPr>
        <w:t>同比增长1.7</w:t>
      </w:r>
      <w:r>
        <w:rPr>
          <w:rFonts w:hint="eastAsia" w:ascii="仿宋" w:hAnsi="仿宋" w:eastAsia="仿宋" w:cs="仿宋"/>
          <w:color w:val="auto"/>
          <w:sz w:val="32"/>
          <w:szCs w:val="32"/>
        </w:rPr>
        <w:t>%；交通运输、仓储和邮政业增加值</w:t>
      </w:r>
      <w:r>
        <w:rPr>
          <w:rFonts w:hint="eastAsia" w:ascii="仿宋" w:hAnsi="仿宋" w:eastAsia="仿宋" w:cs="仿宋"/>
          <w:color w:val="auto"/>
          <w:sz w:val="32"/>
          <w:szCs w:val="32"/>
          <w:lang w:val="en-US" w:eastAsia="zh-CN"/>
        </w:rPr>
        <w:t>6.7</w:t>
      </w:r>
      <w:r>
        <w:rPr>
          <w:rFonts w:hint="eastAsia" w:ascii="仿宋" w:hAnsi="仿宋" w:eastAsia="仿宋" w:cs="仿宋"/>
          <w:color w:val="auto"/>
          <w:sz w:val="32"/>
          <w:szCs w:val="32"/>
        </w:rPr>
        <w:t>亿元，</w:t>
      </w:r>
      <w:r>
        <w:rPr>
          <w:rFonts w:hint="eastAsia" w:ascii="仿宋" w:hAnsi="仿宋" w:eastAsia="仿宋" w:cs="仿宋"/>
          <w:color w:val="auto"/>
          <w:sz w:val="32"/>
          <w:szCs w:val="32"/>
          <w:lang w:val="en-US" w:eastAsia="zh-CN"/>
        </w:rPr>
        <w:t>增长6.7</w:t>
      </w:r>
      <w:r>
        <w:rPr>
          <w:rFonts w:hint="eastAsia" w:ascii="仿宋" w:hAnsi="仿宋" w:eastAsia="仿宋" w:cs="仿宋"/>
          <w:color w:val="auto"/>
          <w:sz w:val="32"/>
          <w:szCs w:val="32"/>
        </w:rPr>
        <w:t>%；住宿和餐饮业增加值</w:t>
      </w:r>
      <w:r>
        <w:rPr>
          <w:rFonts w:hint="eastAsia" w:ascii="仿宋" w:hAnsi="仿宋" w:eastAsia="仿宋" w:cs="仿宋"/>
          <w:color w:val="auto"/>
          <w:sz w:val="32"/>
          <w:szCs w:val="32"/>
          <w:lang w:val="en-US" w:eastAsia="zh-CN"/>
        </w:rPr>
        <w:t>3.5</w:t>
      </w:r>
      <w:r>
        <w:rPr>
          <w:rFonts w:hint="eastAsia" w:ascii="仿宋" w:hAnsi="仿宋" w:eastAsia="仿宋" w:cs="仿宋"/>
          <w:color w:val="auto"/>
          <w:sz w:val="32"/>
          <w:szCs w:val="32"/>
        </w:rPr>
        <w:t>亿元，</w:t>
      </w:r>
      <w:r>
        <w:rPr>
          <w:rFonts w:hint="eastAsia" w:ascii="仿宋" w:hAnsi="仿宋" w:eastAsia="仿宋" w:cs="仿宋"/>
          <w:color w:val="auto"/>
          <w:sz w:val="32"/>
          <w:szCs w:val="32"/>
          <w:lang w:val="en-US" w:eastAsia="zh-CN"/>
        </w:rPr>
        <w:t>增长2.2</w:t>
      </w:r>
      <w:r>
        <w:rPr>
          <w:rFonts w:hint="eastAsia" w:ascii="仿宋" w:hAnsi="仿宋" w:eastAsia="仿宋" w:cs="仿宋"/>
          <w:color w:val="auto"/>
          <w:sz w:val="32"/>
          <w:szCs w:val="32"/>
        </w:rPr>
        <w:t>%；金融业增加值</w:t>
      </w:r>
      <w:r>
        <w:rPr>
          <w:rFonts w:hint="eastAsia" w:ascii="仿宋" w:hAnsi="仿宋" w:eastAsia="仿宋" w:cs="仿宋"/>
          <w:color w:val="auto"/>
          <w:sz w:val="32"/>
          <w:szCs w:val="32"/>
          <w:lang w:val="en-US" w:eastAsia="zh-CN"/>
        </w:rPr>
        <w:t>2.9</w:t>
      </w:r>
      <w:r>
        <w:rPr>
          <w:rFonts w:hint="eastAsia" w:ascii="仿宋" w:hAnsi="仿宋" w:eastAsia="仿宋" w:cs="仿宋"/>
          <w:color w:val="auto"/>
          <w:sz w:val="32"/>
          <w:szCs w:val="32"/>
        </w:rPr>
        <w:t>亿元，</w:t>
      </w:r>
      <w:r>
        <w:rPr>
          <w:rFonts w:hint="eastAsia" w:ascii="仿宋" w:hAnsi="仿宋" w:eastAsia="仿宋" w:cs="仿宋"/>
          <w:color w:val="auto"/>
          <w:sz w:val="32"/>
          <w:szCs w:val="32"/>
          <w:lang w:val="en-US" w:eastAsia="zh-CN"/>
        </w:rPr>
        <w:t>增长1.5</w:t>
      </w:r>
      <w:r>
        <w:rPr>
          <w:rFonts w:hint="eastAsia" w:ascii="仿宋" w:hAnsi="仿宋" w:eastAsia="仿宋" w:cs="仿宋"/>
          <w:color w:val="auto"/>
          <w:sz w:val="32"/>
          <w:szCs w:val="32"/>
        </w:rPr>
        <w:t>%；房地产业增加值</w:t>
      </w:r>
      <w:r>
        <w:rPr>
          <w:rFonts w:hint="eastAsia" w:ascii="仿宋" w:hAnsi="仿宋" w:eastAsia="仿宋" w:cs="仿宋"/>
          <w:color w:val="auto"/>
          <w:sz w:val="32"/>
          <w:szCs w:val="32"/>
          <w:lang w:val="en-US" w:eastAsia="zh-CN"/>
        </w:rPr>
        <w:t>8.4</w:t>
      </w:r>
      <w:r>
        <w:rPr>
          <w:rFonts w:hint="eastAsia" w:ascii="仿宋" w:hAnsi="仿宋" w:eastAsia="仿宋" w:cs="仿宋"/>
          <w:color w:val="auto"/>
          <w:sz w:val="32"/>
          <w:szCs w:val="32"/>
        </w:rPr>
        <w:t>亿元，增长</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rPr>
        <w:t>服务业增加值</w:t>
      </w:r>
      <w:r>
        <w:rPr>
          <w:rFonts w:hint="eastAsia" w:ascii="仿宋" w:hAnsi="仿宋" w:eastAsia="仿宋" w:cs="仿宋"/>
          <w:color w:val="auto"/>
          <w:sz w:val="32"/>
          <w:szCs w:val="32"/>
          <w:lang w:val="en-US" w:eastAsia="zh-CN"/>
        </w:rPr>
        <w:t>56.8</w:t>
      </w:r>
      <w:r>
        <w:rPr>
          <w:rFonts w:hint="eastAsia" w:ascii="仿宋" w:hAnsi="仿宋" w:eastAsia="仿宋" w:cs="仿宋"/>
          <w:color w:val="auto"/>
          <w:sz w:val="32"/>
          <w:szCs w:val="32"/>
        </w:rPr>
        <w:t>亿元，</w:t>
      </w:r>
      <w:r>
        <w:rPr>
          <w:rFonts w:hint="eastAsia" w:ascii="仿宋" w:hAnsi="仿宋" w:eastAsia="仿宋" w:cs="仿宋"/>
          <w:color w:val="auto"/>
          <w:sz w:val="32"/>
          <w:szCs w:val="32"/>
          <w:lang w:val="en-US" w:eastAsia="zh-CN"/>
        </w:rPr>
        <w:t>增长8.3</w:t>
      </w:r>
      <w:r>
        <w:rPr>
          <w:rFonts w:hint="eastAsia" w:ascii="仿宋" w:hAnsi="仿宋" w:eastAsia="仿宋" w:cs="仿宋"/>
          <w:color w:val="auto"/>
          <w:sz w:val="32"/>
          <w:szCs w:val="32"/>
        </w:rPr>
        <w:t>%；全年规模以上服务业企业营业收入</w:t>
      </w:r>
      <w:r>
        <w:rPr>
          <w:rFonts w:hint="eastAsia" w:ascii="仿宋" w:hAnsi="仿宋" w:eastAsia="仿宋" w:cs="仿宋"/>
          <w:color w:val="auto"/>
          <w:sz w:val="32"/>
          <w:szCs w:val="32"/>
          <w:lang w:val="en-US" w:eastAsia="zh-CN"/>
        </w:rPr>
        <w:t>同比增长2.6</w:t>
      </w:r>
      <w:r>
        <w:rPr>
          <w:rFonts w:hint="eastAsia" w:ascii="仿宋" w:hAnsi="仿宋" w:eastAsia="仿宋" w:cs="仿宋"/>
          <w:color w:val="auto"/>
          <w:sz w:val="32"/>
          <w:szCs w:val="32"/>
        </w:rPr>
        <w:t>%。</w:t>
      </w:r>
    </w:p>
    <w:p w14:paraId="5AA2831B">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ascii="仿宋" w:hAnsi="仿宋" w:eastAsia="仿宋" w:cs="仿宋"/>
          <w:b/>
          <w:color w:val="auto"/>
          <w:sz w:val="32"/>
          <w:szCs w:val="32"/>
        </w:rPr>
      </w:pPr>
      <w:r>
        <w:rPr>
          <w:rFonts w:hint="eastAsia" w:ascii="仿宋" w:hAnsi="仿宋" w:eastAsia="仿宋" w:cs="仿宋"/>
          <w:b/>
          <w:color w:val="auto"/>
          <w:sz w:val="32"/>
          <w:szCs w:val="32"/>
        </w:rPr>
        <w:t>五、固定资产投资</w:t>
      </w:r>
    </w:p>
    <w:p w14:paraId="00EA4F00">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FF"/>
          <w:sz w:val="32"/>
          <w:szCs w:val="32"/>
          <w:lang w:val="en-US" w:eastAsia="zh-CN"/>
        </w:rPr>
      </w:pPr>
      <w:r>
        <w:rPr>
          <w:rFonts w:hint="eastAsia" w:ascii="仿宋" w:hAnsi="仿宋" w:eastAsia="仿宋" w:cs="仿宋"/>
          <w:color w:val="auto"/>
          <w:sz w:val="32"/>
          <w:szCs w:val="32"/>
        </w:rPr>
        <w:t>全年</w:t>
      </w:r>
      <w:r>
        <w:rPr>
          <w:rFonts w:hint="eastAsia" w:ascii="仿宋" w:hAnsi="仿宋" w:eastAsia="仿宋" w:cs="仿宋"/>
          <w:color w:val="auto"/>
          <w:sz w:val="32"/>
          <w:szCs w:val="32"/>
          <w:lang w:eastAsia="zh-CN"/>
        </w:rPr>
        <w:t>全区</w:t>
      </w:r>
      <w:r>
        <w:rPr>
          <w:rFonts w:hint="eastAsia" w:ascii="仿宋" w:hAnsi="仿宋" w:eastAsia="仿宋" w:cs="仿宋"/>
          <w:color w:val="auto"/>
          <w:sz w:val="32"/>
          <w:szCs w:val="32"/>
        </w:rPr>
        <w:t>固定资产投资（不含农户）</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rPr>
        <w:t>增长</w:t>
      </w:r>
      <w:r>
        <w:rPr>
          <w:rFonts w:hint="eastAsia" w:ascii="仿宋" w:hAnsi="仿宋" w:eastAsia="仿宋" w:cs="仿宋"/>
          <w:color w:val="auto"/>
          <w:sz w:val="32"/>
          <w:szCs w:val="32"/>
          <w:lang w:val="en-US" w:eastAsia="zh-CN"/>
        </w:rPr>
        <w:t>11.2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，其中：工业投资</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52.6%；</w:t>
      </w:r>
      <w:r>
        <w:rPr>
          <w:rFonts w:hint="eastAsia" w:ascii="仿宋" w:hAnsi="仿宋" w:eastAsia="仿宋" w:cs="仿宋"/>
          <w:color w:val="auto"/>
          <w:sz w:val="32"/>
          <w:szCs w:val="32"/>
        </w:rPr>
        <w:t>民间投资</w:t>
      </w:r>
      <w:r>
        <w:rPr>
          <w:rFonts w:hint="eastAsia" w:ascii="仿宋" w:hAnsi="仿宋" w:eastAsia="仿宋" w:cs="仿宋"/>
          <w:color w:val="auto"/>
          <w:sz w:val="32"/>
          <w:szCs w:val="32"/>
          <w:lang w:val="en-US" w:eastAsia="zh-CN"/>
        </w:rPr>
        <w:t>同比</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增长</w:t>
      </w:r>
      <w:r>
        <w:rPr>
          <w:rFonts w:hint="eastAsia" w:ascii="仿宋" w:hAnsi="仿宋" w:eastAsia="仿宋" w:cs="仿宋"/>
          <w:color w:val="auto"/>
          <w:sz w:val="32"/>
          <w:szCs w:val="32"/>
          <w:lang w:val="en-US" w:eastAsia="zh-CN"/>
        </w:rPr>
        <w:t>125.9%；房地产开发投资同比增长0.3%。房地产销售面积同比下降15.9%。</w:t>
      </w:r>
    </w:p>
    <w:p w14:paraId="44182B08">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color w:val="auto"/>
          <w:sz w:val="32"/>
          <w:szCs w:val="32"/>
        </w:rPr>
      </w:pPr>
      <w:r>
        <w:rPr>
          <w:rFonts w:hint="eastAsia" w:ascii="仿宋" w:hAnsi="仿宋" w:eastAsia="仿宋" w:cs="仿宋"/>
          <w:b/>
          <w:color w:val="auto"/>
          <w:sz w:val="32"/>
          <w:szCs w:val="32"/>
          <w:lang w:eastAsia="zh-CN"/>
        </w:rPr>
        <w:t>六、</w:t>
      </w:r>
      <w:r>
        <w:rPr>
          <w:rFonts w:hint="eastAsia" w:ascii="仿宋" w:hAnsi="仿宋" w:eastAsia="仿宋" w:cs="仿宋"/>
          <w:b/>
          <w:color w:val="auto"/>
          <w:sz w:val="32"/>
          <w:szCs w:val="32"/>
        </w:rPr>
        <w:t>国内贸易</w:t>
      </w:r>
    </w:p>
    <w:p w14:paraId="7F6DDF93">
      <w:pPr>
        <w:pStyle w:val="7"/>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宋体"/>
          <w:color w:val="auto"/>
          <w:kern w:val="0"/>
          <w:sz w:val="32"/>
          <w:szCs w:val="32"/>
          <w:lang w:val="en-US" w:eastAsia="zh-CN" w:bidi="ar-SA"/>
        </w:rPr>
      </w:pPr>
      <w:bookmarkStart w:id="0" w:name="_GoBack"/>
      <w:r>
        <w:rPr>
          <w:rFonts w:hint="eastAsia" w:ascii="仿宋" w:hAnsi="仿宋" w:eastAsia="仿宋" w:cs="宋体"/>
          <w:color w:val="auto"/>
          <w:kern w:val="0"/>
          <w:sz w:val="32"/>
          <w:szCs w:val="32"/>
          <w:lang w:eastAsia="zh-CN"/>
        </w:rPr>
        <w:t>全年</w:t>
      </w:r>
      <w:r>
        <w:rPr>
          <w:rFonts w:hint="eastAsia" w:ascii="仿宋" w:hAnsi="仿宋" w:eastAsia="仿宋" w:cs="宋体"/>
          <w:color w:val="auto"/>
          <w:kern w:val="0"/>
          <w:sz w:val="32"/>
          <w:szCs w:val="32"/>
        </w:rPr>
        <w:t>全区社会消费品零售总额完成</w:t>
      </w:r>
      <w:r>
        <w:rPr>
          <w:rFonts w:hint="eastAsia" w:ascii="仿宋" w:hAnsi="仿宋" w:eastAsia="仿宋" w:cs="宋体"/>
          <w:color w:val="auto"/>
          <w:kern w:val="0"/>
          <w:sz w:val="32"/>
          <w:szCs w:val="32"/>
          <w:lang w:val="en-US" w:eastAsia="zh-CN"/>
        </w:rPr>
        <w:t>62.2亿元</w:t>
      </w:r>
      <w:r>
        <w:rPr>
          <w:rFonts w:hint="eastAsia" w:ascii="仿宋" w:hAnsi="仿宋" w:eastAsia="仿宋" w:cs="宋体"/>
          <w:color w:val="auto"/>
          <w:kern w:val="0"/>
          <w:sz w:val="32"/>
          <w:szCs w:val="32"/>
        </w:rPr>
        <w:t>，</w:t>
      </w:r>
      <w:r>
        <w:rPr>
          <w:rFonts w:hint="eastAsia" w:ascii="仿宋" w:hAnsi="仿宋" w:eastAsia="仿宋" w:cs="宋体"/>
          <w:color w:val="auto"/>
          <w:kern w:val="0"/>
          <w:sz w:val="32"/>
          <w:szCs w:val="32"/>
          <w:lang w:val="en-US" w:eastAsia="zh-CN"/>
        </w:rPr>
        <w:t>同比</w:t>
      </w:r>
      <w:r>
        <w:rPr>
          <w:rFonts w:hint="eastAsia" w:ascii="仿宋" w:hAnsi="仿宋" w:eastAsia="仿宋" w:cs="宋体"/>
          <w:color w:val="auto"/>
          <w:kern w:val="0"/>
          <w:sz w:val="32"/>
          <w:szCs w:val="32"/>
          <w:lang w:eastAsia="zh-CN"/>
        </w:rPr>
        <w:t>增长</w:t>
      </w:r>
      <w:r>
        <w:rPr>
          <w:rFonts w:hint="eastAsia" w:ascii="仿宋" w:hAnsi="仿宋" w:eastAsia="仿宋" w:cs="宋体"/>
          <w:color w:val="auto"/>
          <w:kern w:val="0"/>
          <w:sz w:val="32"/>
          <w:szCs w:val="32"/>
          <w:lang w:val="en-US" w:eastAsia="zh-CN"/>
        </w:rPr>
        <w:t>6.8</w:t>
      </w:r>
      <w:r>
        <w:rPr>
          <w:rFonts w:hint="eastAsia" w:ascii="仿宋" w:hAnsi="仿宋" w:eastAsia="仿宋" w:cs="宋体"/>
          <w:color w:val="auto"/>
          <w:kern w:val="0"/>
          <w:sz w:val="32"/>
          <w:szCs w:val="32"/>
        </w:rPr>
        <w:t>%。</w:t>
      </w:r>
      <w:r>
        <w:rPr>
          <w:rFonts w:hint="eastAsia" w:ascii="仿宋" w:hAnsi="仿宋" w:eastAsia="仿宋" w:cs="宋体"/>
          <w:color w:val="auto"/>
          <w:kern w:val="0"/>
          <w:sz w:val="32"/>
          <w:szCs w:val="32"/>
          <w:lang w:val="en-US" w:eastAsia="zh-CN"/>
        </w:rPr>
        <w:t>其中，</w:t>
      </w:r>
      <w:r>
        <w:rPr>
          <w:rFonts w:hint="eastAsia" w:ascii="仿宋" w:hAnsi="仿宋" w:eastAsia="仿宋" w:cs="宋体"/>
          <w:color w:val="auto"/>
          <w:kern w:val="0"/>
          <w:sz w:val="32"/>
          <w:szCs w:val="32"/>
          <w:lang w:eastAsia="zh-CN"/>
        </w:rPr>
        <w:t>限额以上</w:t>
      </w:r>
      <w:r>
        <w:rPr>
          <w:rFonts w:hint="eastAsia" w:ascii="仿宋" w:hAnsi="仿宋" w:eastAsia="仿宋" w:cs="宋体"/>
          <w:color w:val="auto"/>
          <w:kern w:val="0"/>
          <w:sz w:val="32"/>
          <w:szCs w:val="32"/>
          <w:lang w:val="en-US" w:eastAsia="zh-CN"/>
        </w:rPr>
        <w:t>零售</w:t>
      </w:r>
      <w:r>
        <w:rPr>
          <w:rFonts w:hint="eastAsia" w:ascii="仿宋" w:hAnsi="仿宋" w:eastAsia="仿宋" w:cs="宋体"/>
          <w:color w:val="auto"/>
          <w:kern w:val="0"/>
          <w:sz w:val="32"/>
          <w:szCs w:val="32"/>
          <w:lang w:eastAsia="zh-CN"/>
        </w:rPr>
        <w:t>额</w:t>
      </w:r>
      <w:r>
        <w:rPr>
          <w:rFonts w:hint="eastAsia" w:ascii="仿宋" w:hAnsi="仿宋" w:eastAsia="仿宋" w:cs="宋体"/>
          <w:color w:val="auto"/>
          <w:kern w:val="0"/>
          <w:sz w:val="32"/>
          <w:szCs w:val="32"/>
          <w:lang w:val="en-US" w:eastAsia="zh-CN"/>
        </w:rPr>
        <w:t>完成34.0亿元，同比下降4.2%，按商品零售类型统计，烟酒类零售额同比增长25.2%，服装、鞋帽、针纺织品类增长100.1%，中西药品类下降6.2%，石油及制品类增长30.1%，汽车类下降5.9%，其他未列明商品类增长1.3%。</w:t>
      </w:r>
    </w:p>
    <w:bookmarkEnd w:id="0"/>
    <w:p w14:paraId="5C99D834">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七</w:t>
      </w:r>
      <w:r>
        <w:rPr>
          <w:rFonts w:hint="eastAsia" w:ascii="仿宋" w:hAnsi="仿宋" w:eastAsia="仿宋" w:cs="仿宋"/>
          <w:b/>
          <w:color w:val="auto"/>
          <w:sz w:val="32"/>
          <w:szCs w:val="32"/>
        </w:rPr>
        <w:t>、</w:t>
      </w:r>
      <w:r>
        <w:rPr>
          <w:rFonts w:hint="eastAsia" w:ascii="仿宋" w:hAnsi="仿宋" w:eastAsia="仿宋" w:cs="仿宋"/>
          <w:b/>
          <w:color w:val="auto"/>
          <w:sz w:val="32"/>
          <w:szCs w:val="32"/>
          <w:lang w:eastAsia="zh-CN"/>
        </w:rPr>
        <w:t>财政金融</w:t>
      </w:r>
    </w:p>
    <w:p w14:paraId="5B6C350E">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jc w:val="both"/>
        <w:textAlignment w:val="auto"/>
        <w:rPr>
          <w:rFonts w:hint="eastAsia" w:ascii="仿宋_GB2312" w:hAnsi="仿宋_GB2312" w:eastAsia="仿宋_GB2312" w:cs="仿宋_GB2312"/>
          <w:i w:val="0"/>
          <w:caps w:val="0"/>
          <w:color w:val="auto"/>
          <w:spacing w:val="0"/>
          <w:sz w:val="32"/>
          <w:szCs w:val="32"/>
        </w:rPr>
      </w:pPr>
      <w:r>
        <w:rPr>
          <w:rFonts w:hint="eastAsia" w:ascii="仿宋" w:hAnsi="仿宋" w:eastAsia="仿宋" w:cs="仿宋"/>
          <w:color w:val="auto"/>
          <w:kern w:val="0"/>
          <w:sz w:val="32"/>
          <w:szCs w:val="32"/>
        </w:rPr>
        <w:t>一般公共预算收入完成</w:t>
      </w:r>
      <w:r>
        <w:rPr>
          <w:rFonts w:hint="eastAsia" w:ascii="仿宋" w:hAnsi="仿宋" w:eastAsia="仿宋" w:cs="仿宋"/>
          <w:color w:val="auto"/>
          <w:kern w:val="0"/>
          <w:sz w:val="32"/>
          <w:szCs w:val="32"/>
          <w:lang w:val="en-US" w:eastAsia="zh-CN"/>
        </w:rPr>
        <w:t>9.7</w:t>
      </w:r>
      <w:r>
        <w:rPr>
          <w:rFonts w:hint="eastAsia" w:ascii="仿宋" w:hAnsi="仿宋" w:eastAsia="仿宋" w:cs="仿宋"/>
          <w:color w:val="auto"/>
          <w:kern w:val="0"/>
          <w:sz w:val="32"/>
          <w:szCs w:val="32"/>
        </w:rPr>
        <w:t>亿元，</w:t>
      </w:r>
      <w:r>
        <w:rPr>
          <w:rFonts w:hint="eastAsia" w:ascii="仿宋" w:hAnsi="仿宋" w:eastAsia="仿宋" w:cs="仿宋"/>
          <w:color w:val="auto"/>
          <w:kern w:val="0"/>
          <w:sz w:val="32"/>
          <w:szCs w:val="32"/>
          <w:lang w:val="en-US" w:eastAsia="zh-CN"/>
        </w:rPr>
        <w:t>同比下降3.5</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其中，税收收入7.4亿元，下降22.0%，</w:t>
      </w:r>
      <w:r>
        <w:rPr>
          <w:rFonts w:hint="eastAsia" w:ascii="仿宋" w:hAnsi="仿宋" w:eastAsia="仿宋" w:cs="仿宋"/>
          <w:color w:val="auto"/>
          <w:kern w:val="0"/>
          <w:sz w:val="32"/>
          <w:szCs w:val="32"/>
        </w:rPr>
        <w:t>占</w:t>
      </w:r>
      <w:r>
        <w:rPr>
          <w:rFonts w:hint="eastAsia" w:ascii="仿宋" w:hAnsi="仿宋" w:eastAsia="仿宋" w:cs="仿宋"/>
          <w:color w:val="auto"/>
          <w:kern w:val="0"/>
          <w:sz w:val="32"/>
          <w:szCs w:val="32"/>
          <w:lang w:val="en-US" w:eastAsia="zh-CN"/>
        </w:rPr>
        <w:t>一般</w:t>
      </w:r>
      <w:r>
        <w:rPr>
          <w:rFonts w:hint="eastAsia" w:ascii="仿宋" w:hAnsi="仿宋" w:eastAsia="仿宋" w:cs="仿宋"/>
          <w:color w:val="auto"/>
          <w:kern w:val="0"/>
          <w:sz w:val="32"/>
          <w:szCs w:val="32"/>
        </w:rPr>
        <w:t>公共预算收入的比重为</w:t>
      </w:r>
      <w:r>
        <w:rPr>
          <w:rFonts w:hint="eastAsia" w:ascii="仿宋" w:hAnsi="仿宋" w:eastAsia="仿宋" w:cs="仿宋"/>
          <w:color w:val="auto"/>
          <w:kern w:val="0"/>
          <w:sz w:val="32"/>
          <w:szCs w:val="32"/>
          <w:lang w:val="en-US" w:eastAsia="zh-CN"/>
        </w:rPr>
        <w:t>76.7%。一般</w:t>
      </w:r>
      <w:r>
        <w:rPr>
          <w:rFonts w:hint="eastAsia" w:ascii="仿宋" w:hAnsi="仿宋" w:eastAsia="仿宋" w:cs="仿宋"/>
          <w:color w:val="auto"/>
          <w:kern w:val="0"/>
          <w:sz w:val="32"/>
          <w:szCs w:val="32"/>
        </w:rPr>
        <w:t>公共预算支出</w:t>
      </w:r>
      <w:r>
        <w:rPr>
          <w:rFonts w:hint="eastAsia" w:ascii="仿宋" w:hAnsi="仿宋" w:eastAsia="仿宋" w:cs="仿宋"/>
          <w:color w:val="auto"/>
          <w:kern w:val="0"/>
          <w:sz w:val="32"/>
          <w:szCs w:val="32"/>
          <w:lang w:val="en-US" w:eastAsia="zh-CN"/>
        </w:rPr>
        <w:t>14.4亿</w:t>
      </w:r>
      <w:r>
        <w:rPr>
          <w:rFonts w:hint="eastAsia" w:ascii="仿宋" w:hAnsi="仿宋" w:eastAsia="仿宋" w:cs="仿宋"/>
          <w:color w:val="auto"/>
          <w:kern w:val="0"/>
          <w:sz w:val="32"/>
          <w:szCs w:val="32"/>
        </w:rPr>
        <w:t>元，</w:t>
      </w:r>
      <w:r>
        <w:rPr>
          <w:rFonts w:hint="eastAsia" w:ascii="仿宋" w:hAnsi="仿宋" w:eastAsia="仿宋" w:cs="仿宋"/>
          <w:color w:val="auto"/>
          <w:kern w:val="0"/>
          <w:sz w:val="32"/>
          <w:szCs w:val="32"/>
          <w:lang w:val="en-US" w:eastAsia="zh-CN"/>
        </w:rPr>
        <w:t>增长7.1</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w:t>
      </w:r>
    </w:p>
    <w:p w14:paraId="0081BB78">
      <w:pPr>
        <w:pStyle w:val="7"/>
        <w:keepNext w:val="0"/>
        <w:keepLines w:val="0"/>
        <w:pageBreakBefore w:val="0"/>
        <w:widowControl/>
        <w:kinsoku/>
        <w:wordWrap/>
        <w:overflowPunct/>
        <w:topLinePunct w:val="0"/>
        <w:autoSpaceDE/>
        <w:autoSpaceDN/>
        <w:bidi w:val="0"/>
        <w:adjustRightInd/>
        <w:snapToGrid/>
        <w:spacing w:line="600" w:lineRule="exact"/>
        <w:ind w:firstLine="643" w:firstLineChars="200"/>
        <w:jc w:val="both"/>
        <w:textAlignment w:val="auto"/>
        <w:rPr>
          <w:rFonts w:ascii="仿宋" w:hAnsi="仿宋" w:eastAsia="仿宋" w:cs="仿宋"/>
          <w:color w:val="auto"/>
          <w:sz w:val="32"/>
          <w:szCs w:val="32"/>
        </w:rPr>
      </w:pPr>
      <w:r>
        <w:rPr>
          <w:rFonts w:hint="eastAsia" w:ascii="仿宋" w:hAnsi="仿宋" w:eastAsia="仿宋" w:cs="仿宋"/>
          <w:b/>
          <w:color w:val="auto"/>
          <w:sz w:val="32"/>
          <w:szCs w:val="32"/>
          <w:lang w:val="en-US" w:eastAsia="zh-CN"/>
        </w:rPr>
        <w:t>八</w:t>
      </w:r>
      <w:r>
        <w:rPr>
          <w:rFonts w:hint="eastAsia" w:ascii="仿宋" w:hAnsi="仿宋" w:eastAsia="仿宋" w:cs="仿宋"/>
          <w:b/>
          <w:color w:val="auto"/>
          <w:sz w:val="32"/>
          <w:szCs w:val="32"/>
          <w:lang w:eastAsia="zh-CN"/>
        </w:rPr>
        <w:t>、</w:t>
      </w:r>
      <w:r>
        <w:rPr>
          <w:rFonts w:hint="eastAsia" w:ascii="仿宋" w:hAnsi="仿宋" w:eastAsia="仿宋" w:cs="仿宋"/>
          <w:b/>
          <w:color w:val="auto"/>
          <w:sz w:val="32"/>
          <w:szCs w:val="32"/>
          <w:lang w:val="en-US" w:eastAsia="zh-CN"/>
        </w:rPr>
        <w:t>城镇</w:t>
      </w:r>
      <w:r>
        <w:rPr>
          <w:rFonts w:hint="eastAsia" w:ascii="仿宋" w:hAnsi="仿宋" w:eastAsia="仿宋" w:cs="仿宋"/>
          <w:b/>
          <w:color w:val="auto"/>
          <w:sz w:val="32"/>
          <w:szCs w:val="32"/>
          <w:lang w:eastAsia="zh-CN"/>
        </w:rPr>
        <w:t>收入消费</w:t>
      </w:r>
    </w:p>
    <w:p w14:paraId="2BC2A936">
      <w:pPr>
        <w:pStyle w:val="3"/>
        <w:keepNext w:val="0"/>
        <w:keepLines w:val="0"/>
        <w:pageBreakBefore w:val="0"/>
        <w:kinsoku/>
        <w:wordWrap/>
        <w:overflowPunct/>
        <w:topLinePunct w:val="0"/>
        <w:autoSpaceDE/>
        <w:autoSpaceDN/>
        <w:bidi w:val="0"/>
        <w:adjustRightInd/>
        <w:snapToGrid/>
        <w:spacing w:line="600" w:lineRule="exact"/>
        <w:ind w:left="0" w:leftChars="0" w:firstLine="720" w:firstLineChars="200"/>
        <w:jc w:val="both"/>
        <w:textAlignment w:val="auto"/>
        <w:rPr>
          <w:rFonts w:hint="eastAsia" w:ascii="仿宋" w:hAnsi="仿宋" w:eastAsia="仿宋"/>
          <w:color w:val="auto"/>
          <w:kern w:val="0"/>
          <w:sz w:val="32"/>
          <w:szCs w:val="32"/>
        </w:rPr>
      </w:pPr>
      <w:r>
        <w:rPr>
          <w:rFonts w:hint="eastAsia" w:ascii="仿宋_GB2312" w:hAnsi="仿宋_GB2312" w:eastAsia="仿宋_GB2312" w:cs="仿宋_GB2312"/>
          <w:color w:val="auto"/>
          <w:spacing w:val="20"/>
          <w:sz w:val="32"/>
          <w:szCs w:val="32"/>
          <w:lang w:eastAsia="zh-CN"/>
        </w:rPr>
        <w:t>全年全区</w:t>
      </w:r>
      <w:r>
        <w:rPr>
          <w:rFonts w:hint="eastAsia" w:ascii="仿宋" w:hAnsi="仿宋" w:eastAsia="仿宋"/>
          <w:color w:val="auto"/>
          <w:kern w:val="0"/>
          <w:sz w:val="32"/>
          <w:szCs w:val="32"/>
        </w:rPr>
        <w:t>城镇居民人均可支配收入</w:t>
      </w:r>
      <w:r>
        <w:rPr>
          <w:rFonts w:hint="eastAsia" w:ascii="仿宋" w:hAnsi="仿宋" w:eastAsia="仿宋"/>
          <w:color w:val="auto"/>
          <w:kern w:val="0"/>
          <w:sz w:val="32"/>
          <w:szCs w:val="32"/>
          <w:lang w:val="en-US" w:eastAsia="zh-CN"/>
        </w:rPr>
        <w:t>41167</w:t>
      </w:r>
      <w:r>
        <w:rPr>
          <w:rFonts w:hint="eastAsia" w:ascii="仿宋" w:hAnsi="仿宋" w:eastAsia="仿宋"/>
          <w:color w:val="auto"/>
          <w:kern w:val="0"/>
          <w:sz w:val="32"/>
          <w:szCs w:val="32"/>
        </w:rPr>
        <w:t>元，</w:t>
      </w:r>
      <w:r>
        <w:rPr>
          <w:rFonts w:hint="eastAsia" w:ascii="仿宋_GB2312" w:hAnsi="宋体" w:eastAsia="仿宋_GB2312"/>
          <w:bCs/>
          <w:color w:val="auto"/>
          <w:kern w:val="0"/>
          <w:sz w:val="32"/>
          <w:szCs w:val="32"/>
          <w:shd w:val="clear" w:color="auto" w:fill="FFFFFF"/>
          <w:lang w:val="en-US" w:eastAsia="zh-CN"/>
        </w:rPr>
        <w:t>同比</w:t>
      </w:r>
      <w:r>
        <w:rPr>
          <w:rFonts w:hint="eastAsia" w:ascii="仿宋_GB2312" w:hAnsi="宋体" w:eastAsia="仿宋_GB2312"/>
          <w:bCs/>
          <w:color w:val="auto"/>
          <w:kern w:val="0"/>
          <w:sz w:val="32"/>
          <w:szCs w:val="32"/>
          <w:shd w:val="clear" w:color="auto" w:fill="FFFFFF"/>
        </w:rPr>
        <w:t>增长</w:t>
      </w:r>
      <w:r>
        <w:rPr>
          <w:rFonts w:hint="eastAsia" w:ascii="仿宋" w:hAnsi="仿宋" w:eastAsia="仿宋"/>
          <w:color w:val="auto"/>
          <w:kern w:val="0"/>
          <w:sz w:val="32"/>
          <w:szCs w:val="32"/>
          <w:lang w:val="en-US" w:eastAsia="zh-CN"/>
        </w:rPr>
        <w:t>4.1</w:t>
      </w:r>
      <w:r>
        <w:rPr>
          <w:rFonts w:hint="eastAsia" w:ascii="仿宋" w:hAnsi="仿宋" w:eastAsia="仿宋"/>
          <w:color w:val="auto"/>
          <w:kern w:val="0"/>
          <w:sz w:val="32"/>
          <w:szCs w:val="32"/>
        </w:rPr>
        <w:t>%。</w:t>
      </w:r>
    </w:p>
    <w:p w14:paraId="4E2926FF">
      <w:pPr>
        <w:pStyle w:val="3"/>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olor w:val="auto"/>
          <w:kern w:val="0"/>
          <w:sz w:val="32"/>
          <w:szCs w:val="32"/>
        </w:rPr>
      </w:pPr>
      <w:r>
        <w:rPr>
          <w:rFonts w:hint="eastAsia" w:ascii="仿宋" w:hAnsi="仿宋" w:eastAsia="仿宋"/>
          <w:color w:val="auto"/>
          <w:kern w:val="0"/>
          <w:sz w:val="32"/>
          <w:szCs w:val="32"/>
          <w:lang w:eastAsia="zh-CN"/>
        </w:rPr>
        <w:t>全年全区</w:t>
      </w:r>
      <w:r>
        <w:rPr>
          <w:rFonts w:hint="eastAsia" w:ascii="仿宋" w:hAnsi="仿宋" w:eastAsia="仿宋"/>
          <w:color w:val="auto"/>
          <w:kern w:val="0"/>
          <w:sz w:val="32"/>
          <w:szCs w:val="32"/>
        </w:rPr>
        <w:t>城镇居民人均消费支出</w:t>
      </w:r>
      <w:r>
        <w:rPr>
          <w:rFonts w:hint="eastAsia" w:ascii="仿宋" w:hAnsi="仿宋" w:eastAsia="仿宋"/>
          <w:color w:val="auto"/>
          <w:kern w:val="0"/>
          <w:sz w:val="32"/>
          <w:szCs w:val="32"/>
          <w:lang w:val="en-US" w:eastAsia="zh-CN"/>
        </w:rPr>
        <w:t>23085</w:t>
      </w:r>
      <w:r>
        <w:rPr>
          <w:rFonts w:hint="eastAsia" w:ascii="仿宋" w:hAnsi="仿宋" w:eastAsia="仿宋"/>
          <w:color w:val="auto"/>
          <w:kern w:val="0"/>
          <w:sz w:val="32"/>
          <w:szCs w:val="32"/>
        </w:rPr>
        <w:t>元，</w:t>
      </w:r>
      <w:r>
        <w:rPr>
          <w:rFonts w:hint="eastAsia" w:ascii="仿宋_GB2312" w:hAnsi="宋体" w:eastAsia="仿宋_GB2312"/>
          <w:bCs/>
          <w:color w:val="auto"/>
          <w:kern w:val="0"/>
          <w:sz w:val="32"/>
          <w:szCs w:val="32"/>
          <w:shd w:val="clear" w:color="auto" w:fill="FFFFFF"/>
          <w:lang w:val="en-US" w:eastAsia="zh-CN"/>
        </w:rPr>
        <w:t>同比增长5.7</w:t>
      </w:r>
      <w:r>
        <w:rPr>
          <w:rFonts w:hint="eastAsia" w:ascii="仿宋_GB2312" w:hAnsi="宋体" w:eastAsia="仿宋_GB2312"/>
          <w:bCs/>
          <w:color w:val="auto"/>
          <w:kern w:val="0"/>
          <w:sz w:val="32"/>
          <w:szCs w:val="32"/>
          <w:shd w:val="clear" w:color="auto" w:fill="FFFFFF"/>
        </w:rPr>
        <w:t>%</w:t>
      </w:r>
      <w:r>
        <w:rPr>
          <w:rFonts w:hint="eastAsia" w:ascii="仿宋_GB2312" w:hAnsi="宋体" w:eastAsia="仿宋_GB2312"/>
          <w:bCs/>
          <w:color w:val="auto"/>
          <w:kern w:val="0"/>
          <w:sz w:val="32"/>
          <w:szCs w:val="32"/>
          <w:shd w:val="clear" w:color="auto" w:fill="FFFFFF"/>
          <w:lang w:eastAsia="zh-CN"/>
        </w:rPr>
        <w:t>。</w:t>
      </w:r>
    </w:p>
    <w:p w14:paraId="057F9B9B">
      <w:pPr>
        <w:pStyle w:val="7"/>
        <w:keepNext w:val="0"/>
        <w:keepLines w:val="0"/>
        <w:pageBreakBefore w:val="0"/>
        <w:widowControl/>
        <w:kinsoku/>
        <w:wordWrap/>
        <w:overflowPunct/>
        <w:topLinePunct w:val="0"/>
        <w:autoSpaceDE/>
        <w:autoSpaceDN/>
        <w:bidi w:val="0"/>
        <w:adjustRightInd/>
        <w:snapToGrid/>
        <w:spacing w:line="560" w:lineRule="exact"/>
        <w:ind w:firstLine="643" w:firstLineChars="200"/>
        <w:jc w:val="both"/>
        <w:rPr>
          <w:rFonts w:ascii="仿宋" w:hAnsi="仿宋" w:eastAsia="仿宋" w:cs="仿宋"/>
          <w:color w:val="auto"/>
          <w:sz w:val="32"/>
          <w:szCs w:val="32"/>
        </w:rPr>
      </w:pPr>
      <w:r>
        <w:rPr>
          <w:rFonts w:hint="eastAsia" w:ascii="仿宋" w:hAnsi="仿宋" w:eastAsia="仿宋" w:cs="仿宋"/>
          <w:b/>
          <w:color w:val="auto"/>
          <w:sz w:val="32"/>
          <w:szCs w:val="32"/>
        </w:rPr>
        <w:t>注：</w:t>
      </w:r>
    </w:p>
    <w:p w14:paraId="4D82624F">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1.本公报202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年数据为初步统计结果。部分数据因四舍五入的原因，存在总计与分项合计不等的情况。</w:t>
      </w:r>
    </w:p>
    <w:p w14:paraId="4A76BDAE">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2.地区生产总值、各产业增加值绝对数按现价计算，增长速度按</w:t>
      </w:r>
      <w:r>
        <w:rPr>
          <w:rFonts w:hint="eastAsia" w:ascii="仿宋" w:hAnsi="仿宋" w:eastAsia="仿宋" w:cs="仿宋"/>
          <w:color w:val="auto"/>
          <w:sz w:val="24"/>
          <w:szCs w:val="24"/>
          <w:lang w:eastAsia="zh-CN"/>
        </w:rPr>
        <w:t>不变</w:t>
      </w:r>
      <w:r>
        <w:rPr>
          <w:rFonts w:hint="eastAsia" w:ascii="仿宋" w:hAnsi="仿宋" w:eastAsia="仿宋" w:cs="仿宋"/>
          <w:color w:val="auto"/>
          <w:sz w:val="24"/>
          <w:szCs w:val="24"/>
        </w:rPr>
        <w:t>价格计算。</w:t>
      </w:r>
    </w:p>
    <w:p w14:paraId="46133ACD">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3.三次产业分类依据国家统计局2018年修订的《三次产业划分规定》，第一产业是指农、林、牧、渔业（不含农、林、牧、渔专业及辅助性活动）；第二产业是指采矿业（不含开采专业及辅助性活动），制造业（不含金属制品、机械和设备修理业），电力、热力、燃气及水生产和供应业，建筑业；第三产业即服务业，是指除第一产业、第二产业以外的其他行业（剔除国际组织）。</w:t>
      </w:r>
    </w:p>
    <w:p w14:paraId="745174B9">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.工业战略性新兴产业根据国家统计局制定的《战略性新兴产业分类（2018）》确定。高技术制造业根据国家统计局制定的《高技术产业（制造业）分类（2017）》确定。</w:t>
      </w:r>
    </w:p>
    <w:p w14:paraId="6CFD66DD">
      <w:pPr>
        <w:pStyle w:val="7"/>
        <w:keepNext w:val="0"/>
        <w:keepLines w:val="0"/>
        <w:widowControl/>
        <w:suppressLineNumbers w:val="0"/>
        <w:wordWrap/>
        <w:spacing w:before="0" w:beforeAutospacing="0" w:after="0" w:afterAutospacing="0" w:line="540" w:lineRule="atLeast"/>
        <w:ind w:left="0" w:right="0"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kern w:val="0"/>
          <w:sz w:val="24"/>
          <w:szCs w:val="24"/>
          <w:lang w:val="en-US" w:eastAsia="zh-CN" w:bidi="ar-SA"/>
        </w:rPr>
        <w:t>5、资料来源本公报中一般公共预算收入金额，一般公共预算支出金额等数据来自区财政局；其他数据来自区统计局。</w:t>
      </w:r>
    </w:p>
    <w:p w14:paraId="6B1A1C60">
      <w:pPr>
        <w:pStyle w:val="7"/>
        <w:keepNext w:val="0"/>
        <w:keepLines w:val="0"/>
        <w:pageBreakBefore w:val="0"/>
        <w:widowControl/>
        <w:kinsoku/>
        <w:wordWrap/>
        <w:overflowPunct/>
        <w:topLinePunct w:val="0"/>
        <w:autoSpaceDE/>
        <w:autoSpaceDN/>
        <w:bidi w:val="0"/>
        <w:adjustRightInd/>
        <w:snapToGrid/>
        <w:spacing w:line="560" w:lineRule="exact"/>
        <w:ind w:firstLine="480" w:firstLineChars="200"/>
        <w:jc w:val="both"/>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部分数据合计数或相对数由于单位取舍不同而产生的计算误差均未作机械调整。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A49C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2A404FF">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8bSus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pt6IoSxy0O/PLzx+XXn8vv72SZ&#10;5ekD1Jh1HzAvDe/8gEsz+wGdmfWgos1f5EMwjuKer+LKIRGRH61X63WFIYGx+YL47OF5iJDeS29J&#10;NhoacXpFVH76CGlMnVNyNefvtDFlgsb940DM7GG597HHbKVhP0yE9r49I58eB99Qh3tOifngUNe8&#10;I7MRZ2M/G8cQ9aErS5TrQbg9Jmyi9JYrjLBTYZxYYTdtV16Jx/eS9fBHbf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PfG0rrIAQAAmQMAAA4AAAAAAAAAAQAgAAAAHgEAAGRycy9lMm9Eb2Mu&#10;eG1sUEsFBgAAAAAGAAYAWQEAAFgFAAAAAA==&#10;">
              <v:fill on="f" focussize="0,0"/>
              <v:stroke on="f"/>
              <v:imagedata o:title=""/>
              <o:lock v:ext="edit" aspectratio="f"/>
              <v:textbox inset="0mm,0mm,0mm,0mm" style="mso-fit-shape-to-text:t;">
                <w:txbxContent>
                  <w:p w14:paraId="42A404FF">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OWIyODZkZDY4MWMxNTI3MDU2MTUxM2I2NzQ4OTkifQ=="/>
  </w:docVars>
  <w:rsids>
    <w:rsidRoot w:val="75D32B1E"/>
    <w:rsid w:val="00041EA3"/>
    <w:rsid w:val="000428E6"/>
    <w:rsid w:val="00082B3C"/>
    <w:rsid w:val="000859DA"/>
    <w:rsid w:val="000969AD"/>
    <w:rsid w:val="001A1DAE"/>
    <w:rsid w:val="001F7F7E"/>
    <w:rsid w:val="00201C1E"/>
    <w:rsid w:val="0024464A"/>
    <w:rsid w:val="00272F20"/>
    <w:rsid w:val="002E6413"/>
    <w:rsid w:val="003549D6"/>
    <w:rsid w:val="00385B80"/>
    <w:rsid w:val="003C43BB"/>
    <w:rsid w:val="00430C0A"/>
    <w:rsid w:val="0048298A"/>
    <w:rsid w:val="004C35CC"/>
    <w:rsid w:val="005213A2"/>
    <w:rsid w:val="005730FC"/>
    <w:rsid w:val="005F6255"/>
    <w:rsid w:val="006115C0"/>
    <w:rsid w:val="006123B1"/>
    <w:rsid w:val="006814B1"/>
    <w:rsid w:val="006D6F3B"/>
    <w:rsid w:val="00744BB3"/>
    <w:rsid w:val="007A159C"/>
    <w:rsid w:val="007A43C3"/>
    <w:rsid w:val="00831310"/>
    <w:rsid w:val="00902C2A"/>
    <w:rsid w:val="00933498"/>
    <w:rsid w:val="00995516"/>
    <w:rsid w:val="00A4512C"/>
    <w:rsid w:val="00B1089E"/>
    <w:rsid w:val="00B767A9"/>
    <w:rsid w:val="00C91165"/>
    <w:rsid w:val="00D01EFC"/>
    <w:rsid w:val="00D20B4D"/>
    <w:rsid w:val="00E53D07"/>
    <w:rsid w:val="00E56C41"/>
    <w:rsid w:val="00E7694E"/>
    <w:rsid w:val="00EA2817"/>
    <w:rsid w:val="00FB72F2"/>
    <w:rsid w:val="00FC3E1B"/>
    <w:rsid w:val="01017684"/>
    <w:rsid w:val="01347A59"/>
    <w:rsid w:val="01453A14"/>
    <w:rsid w:val="01527EDF"/>
    <w:rsid w:val="01634AAB"/>
    <w:rsid w:val="01A65484"/>
    <w:rsid w:val="01B6046E"/>
    <w:rsid w:val="01B74978"/>
    <w:rsid w:val="01BF5575"/>
    <w:rsid w:val="01C70348"/>
    <w:rsid w:val="01CA0D85"/>
    <w:rsid w:val="01E4091A"/>
    <w:rsid w:val="020B4C98"/>
    <w:rsid w:val="02225B04"/>
    <w:rsid w:val="02247086"/>
    <w:rsid w:val="02510197"/>
    <w:rsid w:val="02555ED9"/>
    <w:rsid w:val="026C1FFB"/>
    <w:rsid w:val="02A76009"/>
    <w:rsid w:val="02B726F0"/>
    <w:rsid w:val="02EB05EB"/>
    <w:rsid w:val="031F12CE"/>
    <w:rsid w:val="035717DD"/>
    <w:rsid w:val="036D1000"/>
    <w:rsid w:val="03773C2D"/>
    <w:rsid w:val="037802C6"/>
    <w:rsid w:val="03A36084"/>
    <w:rsid w:val="03BB45AA"/>
    <w:rsid w:val="03BF6142"/>
    <w:rsid w:val="03CF0ABD"/>
    <w:rsid w:val="03D177E1"/>
    <w:rsid w:val="03DC540D"/>
    <w:rsid w:val="0442423B"/>
    <w:rsid w:val="045126D0"/>
    <w:rsid w:val="04601D53"/>
    <w:rsid w:val="04644730"/>
    <w:rsid w:val="048D195A"/>
    <w:rsid w:val="04936845"/>
    <w:rsid w:val="04C679B5"/>
    <w:rsid w:val="04D07A99"/>
    <w:rsid w:val="04EC7060"/>
    <w:rsid w:val="04ED064B"/>
    <w:rsid w:val="04FC6AE0"/>
    <w:rsid w:val="05145BD8"/>
    <w:rsid w:val="05153056"/>
    <w:rsid w:val="051C2CDE"/>
    <w:rsid w:val="052A52EE"/>
    <w:rsid w:val="0539362A"/>
    <w:rsid w:val="05773A30"/>
    <w:rsid w:val="05D53406"/>
    <w:rsid w:val="05E82BC0"/>
    <w:rsid w:val="05F81055"/>
    <w:rsid w:val="0638308C"/>
    <w:rsid w:val="06420522"/>
    <w:rsid w:val="06514C09"/>
    <w:rsid w:val="066A57CB"/>
    <w:rsid w:val="06A44D39"/>
    <w:rsid w:val="06BA27AF"/>
    <w:rsid w:val="06C8767B"/>
    <w:rsid w:val="06DB44D3"/>
    <w:rsid w:val="06EB47E3"/>
    <w:rsid w:val="06ED1A3A"/>
    <w:rsid w:val="06F537E7"/>
    <w:rsid w:val="06FA27D5"/>
    <w:rsid w:val="070B051F"/>
    <w:rsid w:val="072145DC"/>
    <w:rsid w:val="073E53BF"/>
    <w:rsid w:val="07462294"/>
    <w:rsid w:val="075F2594"/>
    <w:rsid w:val="07691ADF"/>
    <w:rsid w:val="077C1812"/>
    <w:rsid w:val="07833724"/>
    <w:rsid w:val="079175D5"/>
    <w:rsid w:val="079F3753"/>
    <w:rsid w:val="07B436A2"/>
    <w:rsid w:val="07B976C5"/>
    <w:rsid w:val="080F15E4"/>
    <w:rsid w:val="08234384"/>
    <w:rsid w:val="0837011C"/>
    <w:rsid w:val="083D5445"/>
    <w:rsid w:val="084F33CB"/>
    <w:rsid w:val="08612A73"/>
    <w:rsid w:val="08714021"/>
    <w:rsid w:val="087629EB"/>
    <w:rsid w:val="08B5322E"/>
    <w:rsid w:val="08C94F2B"/>
    <w:rsid w:val="08CE42EF"/>
    <w:rsid w:val="08F301FA"/>
    <w:rsid w:val="093305F6"/>
    <w:rsid w:val="0946032A"/>
    <w:rsid w:val="096B378F"/>
    <w:rsid w:val="097053A7"/>
    <w:rsid w:val="09B87FCE"/>
    <w:rsid w:val="09D43B87"/>
    <w:rsid w:val="09DB4F16"/>
    <w:rsid w:val="09E76BEE"/>
    <w:rsid w:val="0A356BC7"/>
    <w:rsid w:val="0A36019B"/>
    <w:rsid w:val="0A4505E1"/>
    <w:rsid w:val="0A5627EE"/>
    <w:rsid w:val="0A5D3B7D"/>
    <w:rsid w:val="0A670558"/>
    <w:rsid w:val="0A80786B"/>
    <w:rsid w:val="0A984BB5"/>
    <w:rsid w:val="0AC31DC9"/>
    <w:rsid w:val="0ADD2F10"/>
    <w:rsid w:val="0AE61DC4"/>
    <w:rsid w:val="0AEC7FD0"/>
    <w:rsid w:val="0AFE12F5"/>
    <w:rsid w:val="0B297647"/>
    <w:rsid w:val="0B3F3C64"/>
    <w:rsid w:val="0B5C3E34"/>
    <w:rsid w:val="0B6131F9"/>
    <w:rsid w:val="0B6D6042"/>
    <w:rsid w:val="0B9244AD"/>
    <w:rsid w:val="0BA65D7A"/>
    <w:rsid w:val="0BC0456A"/>
    <w:rsid w:val="0BC814CA"/>
    <w:rsid w:val="0BDB2B67"/>
    <w:rsid w:val="0C0369A6"/>
    <w:rsid w:val="0C061FF2"/>
    <w:rsid w:val="0C2C3B88"/>
    <w:rsid w:val="0C380D85"/>
    <w:rsid w:val="0C452B1A"/>
    <w:rsid w:val="0C5E1E2E"/>
    <w:rsid w:val="0C871385"/>
    <w:rsid w:val="0C9475FE"/>
    <w:rsid w:val="0CC954FA"/>
    <w:rsid w:val="0CCE0D62"/>
    <w:rsid w:val="0CD81FE0"/>
    <w:rsid w:val="0CF54541"/>
    <w:rsid w:val="0D002EE5"/>
    <w:rsid w:val="0D054058"/>
    <w:rsid w:val="0D140704"/>
    <w:rsid w:val="0D197B03"/>
    <w:rsid w:val="0D1B236A"/>
    <w:rsid w:val="0D417786"/>
    <w:rsid w:val="0D4C612B"/>
    <w:rsid w:val="0D542E96"/>
    <w:rsid w:val="0D5A276F"/>
    <w:rsid w:val="0D821B4C"/>
    <w:rsid w:val="0D9D24E2"/>
    <w:rsid w:val="0DA73B82"/>
    <w:rsid w:val="0DAC1C3E"/>
    <w:rsid w:val="0DB00467"/>
    <w:rsid w:val="0DFA7935"/>
    <w:rsid w:val="0E013747"/>
    <w:rsid w:val="0E16593F"/>
    <w:rsid w:val="0E1B7FD7"/>
    <w:rsid w:val="0E5708C4"/>
    <w:rsid w:val="0E5928AD"/>
    <w:rsid w:val="0E5A03D3"/>
    <w:rsid w:val="0E8C446E"/>
    <w:rsid w:val="0E9909B8"/>
    <w:rsid w:val="0ECF491D"/>
    <w:rsid w:val="0F0A1DF9"/>
    <w:rsid w:val="0F346E76"/>
    <w:rsid w:val="0F362BEE"/>
    <w:rsid w:val="0F3B0205"/>
    <w:rsid w:val="0F4A3E67"/>
    <w:rsid w:val="0F515C7A"/>
    <w:rsid w:val="0F747687"/>
    <w:rsid w:val="0F781459"/>
    <w:rsid w:val="0FA2064B"/>
    <w:rsid w:val="0FA32AAF"/>
    <w:rsid w:val="0FA61B22"/>
    <w:rsid w:val="0FFD4225"/>
    <w:rsid w:val="0FFF56D6"/>
    <w:rsid w:val="10086339"/>
    <w:rsid w:val="100E3C08"/>
    <w:rsid w:val="10134CDE"/>
    <w:rsid w:val="10191164"/>
    <w:rsid w:val="102173FB"/>
    <w:rsid w:val="102B0279"/>
    <w:rsid w:val="103C51F6"/>
    <w:rsid w:val="104E0165"/>
    <w:rsid w:val="107C0AD5"/>
    <w:rsid w:val="10863702"/>
    <w:rsid w:val="108F0808"/>
    <w:rsid w:val="108F6A5A"/>
    <w:rsid w:val="10925A7C"/>
    <w:rsid w:val="109852EC"/>
    <w:rsid w:val="10C27336"/>
    <w:rsid w:val="10C61D50"/>
    <w:rsid w:val="10D64689"/>
    <w:rsid w:val="10D6635B"/>
    <w:rsid w:val="11234432"/>
    <w:rsid w:val="11351FC9"/>
    <w:rsid w:val="116E041E"/>
    <w:rsid w:val="118916FB"/>
    <w:rsid w:val="119D229A"/>
    <w:rsid w:val="11C5740C"/>
    <w:rsid w:val="11C97D4A"/>
    <w:rsid w:val="11EE6BF4"/>
    <w:rsid w:val="121D69D6"/>
    <w:rsid w:val="122B4943"/>
    <w:rsid w:val="124444F2"/>
    <w:rsid w:val="124F0883"/>
    <w:rsid w:val="12521AED"/>
    <w:rsid w:val="12A32349"/>
    <w:rsid w:val="12FE7EC7"/>
    <w:rsid w:val="1303728B"/>
    <w:rsid w:val="13190E51"/>
    <w:rsid w:val="13225964"/>
    <w:rsid w:val="135D5BA6"/>
    <w:rsid w:val="136057B9"/>
    <w:rsid w:val="13655850"/>
    <w:rsid w:val="13741F37"/>
    <w:rsid w:val="13750189"/>
    <w:rsid w:val="13783CEF"/>
    <w:rsid w:val="13EB3FA7"/>
    <w:rsid w:val="13EE5846"/>
    <w:rsid w:val="140B4AED"/>
    <w:rsid w:val="14180502"/>
    <w:rsid w:val="141E765D"/>
    <w:rsid w:val="141F1528"/>
    <w:rsid w:val="14396398"/>
    <w:rsid w:val="14847F58"/>
    <w:rsid w:val="148A3535"/>
    <w:rsid w:val="14A376BB"/>
    <w:rsid w:val="14A437A0"/>
    <w:rsid w:val="14A800EA"/>
    <w:rsid w:val="14A91E64"/>
    <w:rsid w:val="14AE2DAD"/>
    <w:rsid w:val="14B06F9F"/>
    <w:rsid w:val="14D7452C"/>
    <w:rsid w:val="14DB226E"/>
    <w:rsid w:val="14E1184E"/>
    <w:rsid w:val="151920E1"/>
    <w:rsid w:val="155E2E9F"/>
    <w:rsid w:val="15681628"/>
    <w:rsid w:val="15710277"/>
    <w:rsid w:val="157B57FF"/>
    <w:rsid w:val="15995E7A"/>
    <w:rsid w:val="15A71EC1"/>
    <w:rsid w:val="15B4486D"/>
    <w:rsid w:val="15BE6DAB"/>
    <w:rsid w:val="15C2342E"/>
    <w:rsid w:val="15FF3D3A"/>
    <w:rsid w:val="160A42F0"/>
    <w:rsid w:val="16457A62"/>
    <w:rsid w:val="16473A81"/>
    <w:rsid w:val="166A6559"/>
    <w:rsid w:val="16826719"/>
    <w:rsid w:val="168B3A44"/>
    <w:rsid w:val="169A1213"/>
    <w:rsid w:val="169C3C7F"/>
    <w:rsid w:val="16A3500D"/>
    <w:rsid w:val="16CA1510"/>
    <w:rsid w:val="16CC5ACB"/>
    <w:rsid w:val="16CF0EC8"/>
    <w:rsid w:val="16D46E2A"/>
    <w:rsid w:val="16D630A4"/>
    <w:rsid w:val="16DB0BA3"/>
    <w:rsid w:val="16DC051F"/>
    <w:rsid w:val="16EC657B"/>
    <w:rsid w:val="1723076A"/>
    <w:rsid w:val="173739A8"/>
    <w:rsid w:val="176A7232"/>
    <w:rsid w:val="178A3AD7"/>
    <w:rsid w:val="17AF79E2"/>
    <w:rsid w:val="17B945C0"/>
    <w:rsid w:val="17CF3BE0"/>
    <w:rsid w:val="17F04282"/>
    <w:rsid w:val="18041ADC"/>
    <w:rsid w:val="183C604C"/>
    <w:rsid w:val="18550589"/>
    <w:rsid w:val="185F4F64"/>
    <w:rsid w:val="18910E95"/>
    <w:rsid w:val="18A312F5"/>
    <w:rsid w:val="18A4506D"/>
    <w:rsid w:val="18CF3CB8"/>
    <w:rsid w:val="18DB7FA7"/>
    <w:rsid w:val="1903609F"/>
    <w:rsid w:val="190D2F64"/>
    <w:rsid w:val="190D7898"/>
    <w:rsid w:val="19227658"/>
    <w:rsid w:val="19235F91"/>
    <w:rsid w:val="19365251"/>
    <w:rsid w:val="193F7204"/>
    <w:rsid w:val="195C14A3"/>
    <w:rsid w:val="19665E27"/>
    <w:rsid w:val="197176DE"/>
    <w:rsid w:val="19A54D92"/>
    <w:rsid w:val="19BB5403"/>
    <w:rsid w:val="19BE3F0C"/>
    <w:rsid w:val="19C77265"/>
    <w:rsid w:val="19D92AF4"/>
    <w:rsid w:val="19F05074"/>
    <w:rsid w:val="19F31730"/>
    <w:rsid w:val="1A0C3F20"/>
    <w:rsid w:val="1A11228E"/>
    <w:rsid w:val="1A15545B"/>
    <w:rsid w:val="1A1661CA"/>
    <w:rsid w:val="1A271AB1"/>
    <w:rsid w:val="1A4268EB"/>
    <w:rsid w:val="1A676352"/>
    <w:rsid w:val="1A6B4094"/>
    <w:rsid w:val="1A7E0C69"/>
    <w:rsid w:val="1A9E4AB4"/>
    <w:rsid w:val="1AC333F8"/>
    <w:rsid w:val="1AD41E4A"/>
    <w:rsid w:val="1AF000F5"/>
    <w:rsid w:val="1AF57E02"/>
    <w:rsid w:val="1AF75928"/>
    <w:rsid w:val="1B1C713C"/>
    <w:rsid w:val="1B1D597D"/>
    <w:rsid w:val="1B214920"/>
    <w:rsid w:val="1B281F85"/>
    <w:rsid w:val="1B2D759B"/>
    <w:rsid w:val="1B4169AB"/>
    <w:rsid w:val="1B5C5FCB"/>
    <w:rsid w:val="1B8D1DE8"/>
    <w:rsid w:val="1B993335"/>
    <w:rsid w:val="1B9F38C9"/>
    <w:rsid w:val="1BB472B8"/>
    <w:rsid w:val="1BCA0B6E"/>
    <w:rsid w:val="1BE340FE"/>
    <w:rsid w:val="1BEC2FB3"/>
    <w:rsid w:val="1BEF2AA3"/>
    <w:rsid w:val="1BF73705"/>
    <w:rsid w:val="1C023003"/>
    <w:rsid w:val="1C025840"/>
    <w:rsid w:val="1C2E646B"/>
    <w:rsid w:val="1C3B1844"/>
    <w:rsid w:val="1C450915"/>
    <w:rsid w:val="1C8256C5"/>
    <w:rsid w:val="1C9660A5"/>
    <w:rsid w:val="1C9F1DD3"/>
    <w:rsid w:val="1CBB5A90"/>
    <w:rsid w:val="1CE974F2"/>
    <w:rsid w:val="1D1C78C7"/>
    <w:rsid w:val="1D326E93"/>
    <w:rsid w:val="1D6B6159"/>
    <w:rsid w:val="1D8334A3"/>
    <w:rsid w:val="1D972DAB"/>
    <w:rsid w:val="1DA17DCD"/>
    <w:rsid w:val="1DAF05B3"/>
    <w:rsid w:val="1DB23D88"/>
    <w:rsid w:val="1DEA1774"/>
    <w:rsid w:val="1E0C793C"/>
    <w:rsid w:val="1E220F0E"/>
    <w:rsid w:val="1E311151"/>
    <w:rsid w:val="1E445058"/>
    <w:rsid w:val="1E553C4C"/>
    <w:rsid w:val="1E5C77AF"/>
    <w:rsid w:val="1E6F77DF"/>
    <w:rsid w:val="1E7B16F8"/>
    <w:rsid w:val="1E96080A"/>
    <w:rsid w:val="1EA7598F"/>
    <w:rsid w:val="1EB57765"/>
    <w:rsid w:val="1ECB5101"/>
    <w:rsid w:val="1F0143D2"/>
    <w:rsid w:val="1F296668"/>
    <w:rsid w:val="1F39249A"/>
    <w:rsid w:val="1F784B5D"/>
    <w:rsid w:val="1F7C464D"/>
    <w:rsid w:val="1FCB1131"/>
    <w:rsid w:val="1FD71884"/>
    <w:rsid w:val="1FDB75C6"/>
    <w:rsid w:val="1FDF25FF"/>
    <w:rsid w:val="1FF730FD"/>
    <w:rsid w:val="20111287"/>
    <w:rsid w:val="201E1F01"/>
    <w:rsid w:val="201F53B1"/>
    <w:rsid w:val="202D5948"/>
    <w:rsid w:val="204825AF"/>
    <w:rsid w:val="20484530"/>
    <w:rsid w:val="205B24B5"/>
    <w:rsid w:val="206F7035"/>
    <w:rsid w:val="2072468A"/>
    <w:rsid w:val="20724974"/>
    <w:rsid w:val="207E493E"/>
    <w:rsid w:val="20A0436C"/>
    <w:rsid w:val="20AC2D10"/>
    <w:rsid w:val="20F47953"/>
    <w:rsid w:val="21051CA7"/>
    <w:rsid w:val="21192919"/>
    <w:rsid w:val="212339B6"/>
    <w:rsid w:val="212D5E52"/>
    <w:rsid w:val="21317A7A"/>
    <w:rsid w:val="21354AB4"/>
    <w:rsid w:val="214058BF"/>
    <w:rsid w:val="21410CD7"/>
    <w:rsid w:val="214271D1"/>
    <w:rsid w:val="217A4BBD"/>
    <w:rsid w:val="217E5C39"/>
    <w:rsid w:val="217F21D3"/>
    <w:rsid w:val="21DE0C2D"/>
    <w:rsid w:val="21FE759C"/>
    <w:rsid w:val="2208041A"/>
    <w:rsid w:val="2217240B"/>
    <w:rsid w:val="221E19EC"/>
    <w:rsid w:val="22350AE4"/>
    <w:rsid w:val="2237485C"/>
    <w:rsid w:val="2241051D"/>
    <w:rsid w:val="22547CC7"/>
    <w:rsid w:val="22645955"/>
    <w:rsid w:val="226514F4"/>
    <w:rsid w:val="229D440A"/>
    <w:rsid w:val="22BF3AAD"/>
    <w:rsid w:val="22D87DED"/>
    <w:rsid w:val="22FF31BA"/>
    <w:rsid w:val="230F7587"/>
    <w:rsid w:val="23337719"/>
    <w:rsid w:val="234B76E0"/>
    <w:rsid w:val="234C07DB"/>
    <w:rsid w:val="23502079"/>
    <w:rsid w:val="23694EE9"/>
    <w:rsid w:val="236B120B"/>
    <w:rsid w:val="238D507B"/>
    <w:rsid w:val="23A06262"/>
    <w:rsid w:val="23DD461A"/>
    <w:rsid w:val="242641B0"/>
    <w:rsid w:val="242673A6"/>
    <w:rsid w:val="242F7EE0"/>
    <w:rsid w:val="244A2F6C"/>
    <w:rsid w:val="244A6AC8"/>
    <w:rsid w:val="245A1973"/>
    <w:rsid w:val="246833F2"/>
    <w:rsid w:val="24B228BF"/>
    <w:rsid w:val="24B65F0C"/>
    <w:rsid w:val="24CD14A7"/>
    <w:rsid w:val="24D25C14"/>
    <w:rsid w:val="24D97E4C"/>
    <w:rsid w:val="24E01EA8"/>
    <w:rsid w:val="24EF7670"/>
    <w:rsid w:val="25096670"/>
    <w:rsid w:val="253B7E2A"/>
    <w:rsid w:val="254974E0"/>
    <w:rsid w:val="256718FC"/>
    <w:rsid w:val="257527D8"/>
    <w:rsid w:val="25A77F4A"/>
    <w:rsid w:val="25B032A3"/>
    <w:rsid w:val="25C46078"/>
    <w:rsid w:val="25D115E1"/>
    <w:rsid w:val="25DA0320"/>
    <w:rsid w:val="25E42F4C"/>
    <w:rsid w:val="26094761"/>
    <w:rsid w:val="260B2287"/>
    <w:rsid w:val="260E53C8"/>
    <w:rsid w:val="262B2929"/>
    <w:rsid w:val="26457D7B"/>
    <w:rsid w:val="26527EB6"/>
    <w:rsid w:val="26541E80"/>
    <w:rsid w:val="26606A77"/>
    <w:rsid w:val="26780E08"/>
    <w:rsid w:val="267E186D"/>
    <w:rsid w:val="26BB304D"/>
    <w:rsid w:val="26BC7A25"/>
    <w:rsid w:val="26D66D39"/>
    <w:rsid w:val="26E054C2"/>
    <w:rsid w:val="26E5094A"/>
    <w:rsid w:val="26F412B7"/>
    <w:rsid w:val="270D202F"/>
    <w:rsid w:val="271D04C4"/>
    <w:rsid w:val="2727357C"/>
    <w:rsid w:val="275D1833"/>
    <w:rsid w:val="275D2FB6"/>
    <w:rsid w:val="27651E6B"/>
    <w:rsid w:val="27843EBD"/>
    <w:rsid w:val="278818BE"/>
    <w:rsid w:val="27916CFA"/>
    <w:rsid w:val="27950FB5"/>
    <w:rsid w:val="279664C8"/>
    <w:rsid w:val="279F4C64"/>
    <w:rsid w:val="27A20FE9"/>
    <w:rsid w:val="27A4153B"/>
    <w:rsid w:val="27A54E4E"/>
    <w:rsid w:val="27B64475"/>
    <w:rsid w:val="27C70430"/>
    <w:rsid w:val="27DC212D"/>
    <w:rsid w:val="27EB2370"/>
    <w:rsid w:val="27F751B9"/>
    <w:rsid w:val="28017DE6"/>
    <w:rsid w:val="2810627B"/>
    <w:rsid w:val="28750910"/>
    <w:rsid w:val="287E7613"/>
    <w:rsid w:val="28AB7D51"/>
    <w:rsid w:val="28BA1D43"/>
    <w:rsid w:val="28CA01D8"/>
    <w:rsid w:val="2916166F"/>
    <w:rsid w:val="296879F1"/>
    <w:rsid w:val="298C3AA9"/>
    <w:rsid w:val="29A72C75"/>
    <w:rsid w:val="29C63095"/>
    <w:rsid w:val="29CD4916"/>
    <w:rsid w:val="29E00EFE"/>
    <w:rsid w:val="29F12D2D"/>
    <w:rsid w:val="29F46316"/>
    <w:rsid w:val="29FA6CC9"/>
    <w:rsid w:val="2A060B46"/>
    <w:rsid w:val="2A514B25"/>
    <w:rsid w:val="2AA2056F"/>
    <w:rsid w:val="2AD13CA0"/>
    <w:rsid w:val="2AF1427A"/>
    <w:rsid w:val="2AFC2AE6"/>
    <w:rsid w:val="2AFD1EAA"/>
    <w:rsid w:val="2B1E2A5D"/>
    <w:rsid w:val="2B2142FB"/>
    <w:rsid w:val="2B612949"/>
    <w:rsid w:val="2B7C5330"/>
    <w:rsid w:val="2BAF1907"/>
    <w:rsid w:val="2BB05DAB"/>
    <w:rsid w:val="2BD80E5D"/>
    <w:rsid w:val="2BD96290"/>
    <w:rsid w:val="2BE315B0"/>
    <w:rsid w:val="2BE5357A"/>
    <w:rsid w:val="2BE772F2"/>
    <w:rsid w:val="2BEB0CFB"/>
    <w:rsid w:val="2C484235"/>
    <w:rsid w:val="2C49281B"/>
    <w:rsid w:val="2C695F59"/>
    <w:rsid w:val="2C820DC9"/>
    <w:rsid w:val="2C956D4E"/>
    <w:rsid w:val="2C9B2631"/>
    <w:rsid w:val="2CB2345D"/>
    <w:rsid w:val="2CB43679"/>
    <w:rsid w:val="2CBB7F9F"/>
    <w:rsid w:val="2CC55886"/>
    <w:rsid w:val="2CF41CC7"/>
    <w:rsid w:val="2CF47F19"/>
    <w:rsid w:val="2CF577ED"/>
    <w:rsid w:val="2CFB3D8A"/>
    <w:rsid w:val="2D3A16A4"/>
    <w:rsid w:val="2D6706EB"/>
    <w:rsid w:val="2D6F23DE"/>
    <w:rsid w:val="2D7746A6"/>
    <w:rsid w:val="2D9E60D7"/>
    <w:rsid w:val="2DA0091A"/>
    <w:rsid w:val="2DAF2092"/>
    <w:rsid w:val="2DCC49F2"/>
    <w:rsid w:val="2DFA7533"/>
    <w:rsid w:val="2E083AB4"/>
    <w:rsid w:val="2E0979F4"/>
    <w:rsid w:val="2E187C37"/>
    <w:rsid w:val="2E3D144C"/>
    <w:rsid w:val="2E3E76ED"/>
    <w:rsid w:val="2E432A80"/>
    <w:rsid w:val="2E68261C"/>
    <w:rsid w:val="2E6D51E7"/>
    <w:rsid w:val="2E7E58A8"/>
    <w:rsid w:val="2E8C4181"/>
    <w:rsid w:val="2E950E26"/>
    <w:rsid w:val="2E9A25D8"/>
    <w:rsid w:val="2EB6049D"/>
    <w:rsid w:val="2EBE07DF"/>
    <w:rsid w:val="2EC52F9A"/>
    <w:rsid w:val="2EE82402"/>
    <w:rsid w:val="2EEE67F3"/>
    <w:rsid w:val="2EFE0BDB"/>
    <w:rsid w:val="2F0F2DE8"/>
    <w:rsid w:val="2F1403FE"/>
    <w:rsid w:val="2F427627"/>
    <w:rsid w:val="2F755E1A"/>
    <w:rsid w:val="2FA35866"/>
    <w:rsid w:val="2FBE65BC"/>
    <w:rsid w:val="2FD858D0"/>
    <w:rsid w:val="2FEE6EA1"/>
    <w:rsid w:val="2FF63FA8"/>
    <w:rsid w:val="300422BD"/>
    <w:rsid w:val="301601A6"/>
    <w:rsid w:val="302B2FD8"/>
    <w:rsid w:val="302E5A2A"/>
    <w:rsid w:val="30727EDD"/>
    <w:rsid w:val="30742770"/>
    <w:rsid w:val="309C0A74"/>
    <w:rsid w:val="30A21A3A"/>
    <w:rsid w:val="30AB6B41"/>
    <w:rsid w:val="30AC4667"/>
    <w:rsid w:val="30B654E5"/>
    <w:rsid w:val="30CF71A4"/>
    <w:rsid w:val="30F46739"/>
    <w:rsid w:val="31126BC0"/>
    <w:rsid w:val="31321010"/>
    <w:rsid w:val="313A65C2"/>
    <w:rsid w:val="313F3781"/>
    <w:rsid w:val="314B20D2"/>
    <w:rsid w:val="316F7D26"/>
    <w:rsid w:val="31953880"/>
    <w:rsid w:val="31A812D2"/>
    <w:rsid w:val="31D17310"/>
    <w:rsid w:val="31D9592F"/>
    <w:rsid w:val="31EC5663"/>
    <w:rsid w:val="31ED3E23"/>
    <w:rsid w:val="321101F9"/>
    <w:rsid w:val="32127EA5"/>
    <w:rsid w:val="32326DEE"/>
    <w:rsid w:val="32456B21"/>
    <w:rsid w:val="32597690"/>
    <w:rsid w:val="32676A97"/>
    <w:rsid w:val="32794452"/>
    <w:rsid w:val="327B0795"/>
    <w:rsid w:val="32887FC7"/>
    <w:rsid w:val="32D10501"/>
    <w:rsid w:val="32D70700"/>
    <w:rsid w:val="32D83E39"/>
    <w:rsid w:val="331F3816"/>
    <w:rsid w:val="33201F23"/>
    <w:rsid w:val="333358E4"/>
    <w:rsid w:val="33705E1F"/>
    <w:rsid w:val="33781E43"/>
    <w:rsid w:val="338A5133"/>
    <w:rsid w:val="33B45D0C"/>
    <w:rsid w:val="33E5680D"/>
    <w:rsid w:val="33FE167D"/>
    <w:rsid w:val="34034EE6"/>
    <w:rsid w:val="340C3D9A"/>
    <w:rsid w:val="342C4EC8"/>
    <w:rsid w:val="342C7F98"/>
    <w:rsid w:val="34311A53"/>
    <w:rsid w:val="34374DF8"/>
    <w:rsid w:val="3464452F"/>
    <w:rsid w:val="346F0CAD"/>
    <w:rsid w:val="347C1AB2"/>
    <w:rsid w:val="34CE214D"/>
    <w:rsid w:val="34F211E2"/>
    <w:rsid w:val="34F715C7"/>
    <w:rsid w:val="35004F81"/>
    <w:rsid w:val="355768CE"/>
    <w:rsid w:val="35C607AA"/>
    <w:rsid w:val="35DE41F4"/>
    <w:rsid w:val="35E30B2B"/>
    <w:rsid w:val="35FE3BB6"/>
    <w:rsid w:val="36343134"/>
    <w:rsid w:val="36421A71"/>
    <w:rsid w:val="36483084"/>
    <w:rsid w:val="364E58BC"/>
    <w:rsid w:val="367F38FD"/>
    <w:rsid w:val="36AD2EE7"/>
    <w:rsid w:val="36DD220B"/>
    <w:rsid w:val="36DD37CC"/>
    <w:rsid w:val="36EA5A89"/>
    <w:rsid w:val="36EB5FB2"/>
    <w:rsid w:val="36ED4944"/>
    <w:rsid w:val="3700570C"/>
    <w:rsid w:val="370276D6"/>
    <w:rsid w:val="37076A9B"/>
    <w:rsid w:val="370D4395"/>
    <w:rsid w:val="37410209"/>
    <w:rsid w:val="376379C1"/>
    <w:rsid w:val="3772660A"/>
    <w:rsid w:val="37737C8C"/>
    <w:rsid w:val="37772A4E"/>
    <w:rsid w:val="37806E25"/>
    <w:rsid w:val="37895702"/>
    <w:rsid w:val="379C71E3"/>
    <w:rsid w:val="37A12A4B"/>
    <w:rsid w:val="37AD1DE2"/>
    <w:rsid w:val="37BC7885"/>
    <w:rsid w:val="38064D7C"/>
    <w:rsid w:val="38196A86"/>
    <w:rsid w:val="38451629"/>
    <w:rsid w:val="385B17DF"/>
    <w:rsid w:val="38644B89"/>
    <w:rsid w:val="38795776"/>
    <w:rsid w:val="388A117B"/>
    <w:rsid w:val="388C36FB"/>
    <w:rsid w:val="3893203C"/>
    <w:rsid w:val="38A073B4"/>
    <w:rsid w:val="38AD7F63"/>
    <w:rsid w:val="38B769E8"/>
    <w:rsid w:val="38C86055"/>
    <w:rsid w:val="38DF26A8"/>
    <w:rsid w:val="391515EB"/>
    <w:rsid w:val="3929719C"/>
    <w:rsid w:val="39386DAA"/>
    <w:rsid w:val="394D6D52"/>
    <w:rsid w:val="39697599"/>
    <w:rsid w:val="396C0E37"/>
    <w:rsid w:val="397228F1"/>
    <w:rsid w:val="397F6DBC"/>
    <w:rsid w:val="39900FC9"/>
    <w:rsid w:val="39930ABA"/>
    <w:rsid w:val="39A46823"/>
    <w:rsid w:val="39BE5B37"/>
    <w:rsid w:val="39C944DB"/>
    <w:rsid w:val="39C96289"/>
    <w:rsid w:val="39CC3033"/>
    <w:rsid w:val="39CE1115"/>
    <w:rsid w:val="39F54EB1"/>
    <w:rsid w:val="39FA4695"/>
    <w:rsid w:val="39FF1CAB"/>
    <w:rsid w:val="3A020880"/>
    <w:rsid w:val="3A18053F"/>
    <w:rsid w:val="3A4D6EBA"/>
    <w:rsid w:val="3A661D2A"/>
    <w:rsid w:val="3A6F6E31"/>
    <w:rsid w:val="3A8723CC"/>
    <w:rsid w:val="3A887B03"/>
    <w:rsid w:val="3A8C2EB9"/>
    <w:rsid w:val="3AAD729F"/>
    <w:rsid w:val="3AB54DA3"/>
    <w:rsid w:val="3ADB611B"/>
    <w:rsid w:val="3AE315CD"/>
    <w:rsid w:val="3B0532F1"/>
    <w:rsid w:val="3B2216F2"/>
    <w:rsid w:val="3B2458B0"/>
    <w:rsid w:val="3B2E6F98"/>
    <w:rsid w:val="3B3346AA"/>
    <w:rsid w:val="3B351E28"/>
    <w:rsid w:val="3BBF5B96"/>
    <w:rsid w:val="3BD656B9"/>
    <w:rsid w:val="3BE519B4"/>
    <w:rsid w:val="3C0E61D6"/>
    <w:rsid w:val="3C3F2833"/>
    <w:rsid w:val="3C7050E2"/>
    <w:rsid w:val="3CD72A6B"/>
    <w:rsid w:val="3CF0295C"/>
    <w:rsid w:val="3D163594"/>
    <w:rsid w:val="3D204F2B"/>
    <w:rsid w:val="3D29776B"/>
    <w:rsid w:val="3D2A703F"/>
    <w:rsid w:val="3D32482E"/>
    <w:rsid w:val="3D3D3216"/>
    <w:rsid w:val="3D4E0F7F"/>
    <w:rsid w:val="3D581DFE"/>
    <w:rsid w:val="3D6A38DF"/>
    <w:rsid w:val="3DB86D41"/>
    <w:rsid w:val="3DBA4867"/>
    <w:rsid w:val="3DBB413B"/>
    <w:rsid w:val="3DC95DE0"/>
    <w:rsid w:val="3DE12C05"/>
    <w:rsid w:val="3DE92F1E"/>
    <w:rsid w:val="3DF21B38"/>
    <w:rsid w:val="3DFF671E"/>
    <w:rsid w:val="3E17702D"/>
    <w:rsid w:val="3E1A3557"/>
    <w:rsid w:val="3E360BF9"/>
    <w:rsid w:val="3E4F46AE"/>
    <w:rsid w:val="3E760D57"/>
    <w:rsid w:val="3EA572C5"/>
    <w:rsid w:val="3F2D72BA"/>
    <w:rsid w:val="3F491F68"/>
    <w:rsid w:val="3F536D21"/>
    <w:rsid w:val="3F76656C"/>
    <w:rsid w:val="3F9520B5"/>
    <w:rsid w:val="3F9D7F9C"/>
    <w:rsid w:val="3FA0183A"/>
    <w:rsid w:val="3FA96941"/>
    <w:rsid w:val="3FB7255B"/>
    <w:rsid w:val="3FC45529"/>
    <w:rsid w:val="3FCF2120"/>
    <w:rsid w:val="3FE536F1"/>
    <w:rsid w:val="400718BA"/>
    <w:rsid w:val="40271F5C"/>
    <w:rsid w:val="40295CD4"/>
    <w:rsid w:val="402D5DC0"/>
    <w:rsid w:val="4033454D"/>
    <w:rsid w:val="40953369"/>
    <w:rsid w:val="409E1AEE"/>
    <w:rsid w:val="40BF2194"/>
    <w:rsid w:val="40EA0BB5"/>
    <w:rsid w:val="41086370"/>
    <w:rsid w:val="411B0AD9"/>
    <w:rsid w:val="41272213"/>
    <w:rsid w:val="41474664"/>
    <w:rsid w:val="415D7B9F"/>
    <w:rsid w:val="41742F7F"/>
    <w:rsid w:val="41D659E7"/>
    <w:rsid w:val="42054087"/>
    <w:rsid w:val="421309EA"/>
    <w:rsid w:val="422B7AE1"/>
    <w:rsid w:val="424C018D"/>
    <w:rsid w:val="42B2779B"/>
    <w:rsid w:val="42D737C5"/>
    <w:rsid w:val="42DA32B5"/>
    <w:rsid w:val="42E14644"/>
    <w:rsid w:val="430A17B4"/>
    <w:rsid w:val="430D5439"/>
    <w:rsid w:val="433504EC"/>
    <w:rsid w:val="4346094B"/>
    <w:rsid w:val="43575CAD"/>
    <w:rsid w:val="43610C51"/>
    <w:rsid w:val="436808C1"/>
    <w:rsid w:val="43866F99"/>
    <w:rsid w:val="43893B63"/>
    <w:rsid w:val="43921FC5"/>
    <w:rsid w:val="43A318F9"/>
    <w:rsid w:val="43B835F7"/>
    <w:rsid w:val="43BD6E5F"/>
    <w:rsid w:val="43CA50D8"/>
    <w:rsid w:val="43CC52F4"/>
    <w:rsid w:val="43D40C92"/>
    <w:rsid w:val="43DE3B85"/>
    <w:rsid w:val="43E77A38"/>
    <w:rsid w:val="43FD725B"/>
    <w:rsid w:val="44066B1E"/>
    <w:rsid w:val="440D650B"/>
    <w:rsid w:val="442764C7"/>
    <w:rsid w:val="44437501"/>
    <w:rsid w:val="44461C1B"/>
    <w:rsid w:val="44564BBE"/>
    <w:rsid w:val="445B0426"/>
    <w:rsid w:val="44623A35"/>
    <w:rsid w:val="45283316"/>
    <w:rsid w:val="4528655A"/>
    <w:rsid w:val="452B604A"/>
    <w:rsid w:val="454F3AE7"/>
    <w:rsid w:val="45532502"/>
    <w:rsid w:val="45576E3F"/>
    <w:rsid w:val="455E3D2A"/>
    <w:rsid w:val="45603F46"/>
    <w:rsid w:val="4571562C"/>
    <w:rsid w:val="45763769"/>
    <w:rsid w:val="45921465"/>
    <w:rsid w:val="459C6AFE"/>
    <w:rsid w:val="45CD4679"/>
    <w:rsid w:val="45D67359"/>
    <w:rsid w:val="45DC6186"/>
    <w:rsid w:val="45F26AAE"/>
    <w:rsid w:val="45F60406"/>
    <w:rsid w:val="46560EA5"/>
    <w:rsid w:val="466C691A"/>
    <w:rsid w:val="466C6B3F"/>
    <w:rsid w:val="467B3D94"/>
    <w:rsid w:val="46B34549"/>
    <w:rsid w:val="46BF6A4A"/>
    <w:rsid w:val="46D71FE6"/>
    <w:rsid w:val="46F2539B"/>
    <w:rsid w:val="47482EE3"/>
    <w:rsid w:val="4773693A"/>
    <w:rsid w:val="47835CCA"/>
    <w:rsid w:val="47A553E8"/>
    <w:rsid w:val="47B16CDB"/>
    <w:rsid w:val="47B97FF9"/>
    <w:rsid w:val="47D97FDF"/>
    <w:rsid w:val="47DA1545"/>
    <w:rsid w:val="47DC4CA1"/>
    <w:rsid w:val="47EB386F"/>
    <w:rsid w:val="4820176A"/>
    <w:rsid w:val="482202D7"/>
    <w:rsid w:val="4823125B"/>
    <w:rsid w:val="48403BBB"/>
    <w:rsid w:val="48847F4B"/>
    <w:rsid w:val="488A510E"/>
    <w:rsid w:val="48AE6D76"/>
    <w:rsid w:val="48ED5C35"/>
    <w:rsid w:val="48EE7ABB"/>
    <w:rsid w:val="48F36E7F"/>
    <w:rsid w:val="48FA020D"/>
    <w:rsid w:val="490C58FB"/>
    <w:rsid w:val="49294ADE"/>
    <w:rsid w:val="49392E7D"/>
    <w:rsid w:val="495D254A"/>
    <w:rsid w:val="4968786D"/>
    <w:rsid w:val="49715BC5"/>
    <w:rsid w:val="498B70B7"/>
    <w:rsid w:val="498E0956"/>
    <w:rsid w:val="499522CC"/>
    <w:rsid w:val="49995E63"/>
    <w:rsid w:val="49A563CB"/>
    <w:rsid w:val="49B91E77"/>
    <w:rsid w:val="49C5081B"/>
    <w:rsid w:val="49CC7DFC"/>
    <w:rsid w:val="49E8450A"/>
    <w:rsid w:val="49F64E79"/>
    <w:rsid w:val="4A1433DA"/>
    <w:rsid w:val="4A203CA4"/>
    <w:rsid w:val="4A45370A"/>
    <w:rsid w:val="4A4A2ACF"/>
    <w:rsid w:val="4A6F2535"/>
    <w:rsid w:val="4A9F72BE"/>
    <w:rsid w:val="4AA2290B"/>
    <w:rsid w:val="4AC705C3"/>
    <w:rsid w:val="4AD131F0"/>
    <w:rsid w:val="4AD66A58"/>
    <w:rsid w:val="4AF52ED4"/>
    <w:rsid w:val="4B1411AE"/>
    <w:rsid w:val="4B315A3D"/>
    <w:rsid w:val="4B3A1389"/>
    <w:rsid w:val="4B3F63AB"/>
    <w:rsid w:val="4B526D79"/>
    <w:rsid w:val="4B55195F"/>
    <w:rsid w:val="4BA206E8"/>
    <w:rsid w:val="4BB24DCF"/>
    <w:rsid w:val="4BC30D8B"/>
    <w:rsid w:val="4BC66ACD"/>
    <w:rsid w:val="4BD016F9"/>
    <w:rsid w:val="4BDF36EB"/>
    <w:rsid w:val="4C052C36"/>
    <w:rsid w:val="4CA7245A"/>
    <w:rsid w:val="4CB9218D"/>
    <w:rsid w:val="4CD174D7"/>
    <w:rsid w:val="4CE511D4"/>
    <w:rsid w:val="4CE5247E"/>
    <w:rsid w:val="4CEE1E37"/>
    <w:rsid w:val="4CFE5DF2"/>
    <w:rsid w:val="4D043409"/>
    <w:rsid w:val="4D123D77"/>
    <w:rsid w:val="4D1B69A4"/>
    <w:rsid w:val="4D3239D4"/>
    <w:rsid w:val="4D4203D5"/>
    <w:rsid w:val="4D471547"/>
    <w:rsid w:val="4D677E3B"/>
    <w:rsid w:val="4D810EFD"/>
    <w:rsid w:val="4DAE3242"/>
    <w:rsid w:val="4DBF1A26"/>
    <w:rsid w:val="4DC25072"/>
    <w:rsid w:val="4DEA1C1D"/>
    <w:rsid w:val="4E317FF7"/>
    <w:rsid w:val="4E55757B"/>
    <w:rsid w:val="4E5B34FC"/>
    <w:rsid w:val="4E7520E4"/>
    <w:rsid w:val="4E9B7D9D"/>
    <w:rsid w:val="4EB55ABE"/>
    <w:rsid w:val="4ED11A10"/>
    <w:rsid w:val="4EFA3B41"/>
    <w:rsid w:val="4F02606E"/>
    <w:rsid w:val="4F0C2A48"/>
    <w:rsid w:val="4F0E2C85"/>
    <w:rsid w:val="4F103D94"/>
    <w:rsid w:val="4F2F6737"/>
    <w:rsid w:val="4F302BDB"/>
    <w:rsid w:val="4F3376A8"/>
    <w:rsid w:val="4F3D5063"/>
    <w:rsid w:val="4F4026F2"/>
    <w:rsid w:val="4F731F21"/>
    <w:rsid w:val="4FA26F09"/>
    <w:rsid w:val="4FBA6948"/>
    <w:rsid w:val="4FE87012"/>
    <w:rsid w:val="4FEB08B0"/>
    <w:rsid w:val="50074618"/>
    <w:rsid w:val="500876B4"/>
    <w:rsid w:val="50285660"/>
    <w:rsid w:val="502B6EFE"/>
    <w:rsid w:val="50566671"/>
    <w:rsid w:val="50593A6B"/>
    <w:rsid w:val="5086682B"/>
    <w:rsid w:val="50964CC0"/>
    <w:rsid w:val="50BC78F1"/>
    <w:rsid w:val="512A5408"/>
    <w:rsid w:val="512A7C48"/>
    <w:rsid w:val="51360251"/>
    <w:rsid w:val="51385D77"/>
    <w:rsid w:val="51672BF3"/>
    <w:rsid w:val="5175220F"/>
    <w:rsid w:val="51A010D6"/>
    <w:rsid w:val="51A72C5B"/>
    <w:rsid w:val="51B11685"/>
    <w:rsid w:val="5201085F"/>
    <w:rsid w:val="521340EE"/>
    <w:rsid w:val="52240FED"/>
    <w:rsid w:val="524F15CA"/>
    <w:rsid w:val="527934C5"/>
    <w:rsid w:val="527F3531"/>
    <w:rsid w:val="52905D6C"/>
    <w:rsid w:val="52A82A88"/>
    <w:rsid w:val="52B94C95"/>
    <w:rsid w:val="52CB49C9"/>
    <w:rsid w:val="52CB6777"/>
    <w:rsid w:val="52EC6E19"/>
    <w:rsid w:val="52F03646"/>
    <w:rsid w:val="52FC2C8D"/>
    <w:rsid w:val="535C34CA"/>
    <w:rsid w:val="536444B8"/>
    <w:rsid w:val="536966BB"/>
    <w:rsid w:val="536A2433"/>
    <w:rsid w:val="53760DD8"/>
    <w:rsid w:val="538A73DF"/>
    <w:rsid w:val="538D3872"/>
    <w:rsid w:val="539B6326"/>
    <w:rsid w:val="53B37937"/>
    <w:rsid w:val="53C1052D"/>
    <w:rsid w:val="53D967E6"/>
    <w:rsid w:val="53DA4EC3"/>
    <w:rsid w:val="53E90DAD"/>
    <w:rsid w:val="53EA0E7E"/>
    <w:rsid w:val="540B51FB"/>
    <w:rsid w:val="542A77B8"/>
    <w:rsid w:val="543D5452"/>
    <w:rsid w:val="546450D5"/>
    <w:rsid w:val="548B2661"/>
    <w:rsid w:val="548F2152"/>
    <w:rsid w:val="549E4143"/>
    <w:rsid w:val="54C31DFB"/>
    <w:rsid w:val="54C87412"/>
    <w:rsid w:val="54EF499E"/>
    <w:rsid w:val="54F33592"/>
    <w:rsid w:val="55093012"/>
    <w:rsid w:val="552A00CC"/>
    <w:rsid w:val="55386FB1"/>
    <w:rsid w:val="55432F3C"/>
    <w:rsid w:val="55546EF7"/>
    <w:rsid w:val="555B0586"/>
    <w:rsid w:val="555C6BD0"/>
    <w:rsid w:val="558A46C7"/>
    <w:rsid w:val="559E76D2"/>
    <w:rsid w:val="55A81A65"/>
    <w:rsid w:val="55BF23EE"/>
    <w:rsid w:val="55CF409A"/>
    <w:rsid w:val="5621502B"/>
    <w:rsid w:val="5632548A"/>
    <w:rsid w:val="56365414"/>
    <w:rsid w:val="56680EAC"/>
    <w:rsid w:val="56703856"/>
    <w:rsid w:val="567315FF"/>
    <w:rsid w:val="56A66920"/>
    <w:rsid w:val="56BF4844"/>
    <w:rsid w:val="56C500AD"/>
    <w:rsid w:val="56D976B4"/>
    <w:rsid w:val="56F00EA2"/>
    <w:rsid w:val="56F8250A"/>
    <w:rsid w:val="57027519"/>
    <w:rsid w:val="57064A98"/>
    <w:rsid w:val="57266671"/>
    <w:rsid w:val="573963A5"/>
    <w:rsid w:val="574D0D59"/>
    <w:rsid w:val="5762118D"/>
    <w:rsid w:val="57743881"/>
    <w:rsid w:val="5789732C"/>
    <w:rsid w:val="57A8352A"/>
    <w:rsid w:val="57BF2D4E"/>
    <w:rsid w:val="57D96C56"/>
    <w:rsid w:val="57EE3633"/>
    <w:rsid w:val="57FF75EE"/>
    <w:rsid w:val="5842572D"/>
    <w:rsid w:val="58711B6E"/>
    <w:rsid w:val="58783637"/>
    <w:rsid w:val="587C0C3F"/>
    <w:rsid w:val="588E4582"/>
    <w:rsid w:val="5898359F"/>
    <w:rsid w:val="589F0489"/>
    <w:rsid w:val="58A601B5"/>
    <w:rsid w:val="590B5737"/>
    <w:rsid w:val="591250FF"/>
    <w:rsid w:val="591A6D21"/>
    <w:rsid w:val="59253085"/>
    <w:rsid w:val="592B4413"/>
    <w:rsid w:val="59434531"/>
    <w:rsid w:val="594554D5"/>
    <w:rsid w:val="59505C28"/>
    <w:rsid w:val="5958639F"/>
    <w:rsid w:val="596C0CB3"/>
    <w:rsid w:val="598041CB"/>
    <w:rsid w:val="598D3023"/>
    <w:rsid w:val="599A79A6"/>
    <w:rsid w:val="59A10231"/>
    <w:rsid w:val="59AC24F7"/>
    <w:rsid w:val="59AD4E28"/>
    <w:rsid w:val="59DA7910"/>
    <w:rsid w:val="59EC38E1"/>
    <w:rsid w:val="59EF219F"/>
    <w:rsid w:val="5A0A227A"/>
    <w:rsid w:val="5A2E41BB"/>
    <w:rsid w:val="5A5C0D28"/>
    <w:rsid w:val="5A693A4F"/>
    <w:rsid w:val="5AF32D0E"/>
    <w:rsid w:val="5B0B5C18"/>
    <w:rsid w:val="5B184523"/>
    <w:rsid w:val="5B1F49A4"/>
    <w:rsid w:val="5B370E4D"/>
    <w:rsid w:val="5B445318"/>
    <w:rsid w:val="5B477393"/>
    <w:rsid w:val="5B5437AD"/>
    <w:rsid w:val="5B63298B"/>
    <w:rsid w:val="5B85605C"/>
    <w:rsid w:val="5B977B3E"/>
    <w:rsid w:val="5B9C6F02"/>
    <w:rsid w:val="5BA31F6D"/>
    <w:rsid w:val="5BD13050"/>
    <w:rsid w:val="5BD655A2"/>
    <w:rsid w:val="5C2A0E90"/>
    <w:rsid w:val="5C2B7692"/>
    <w:rsid w:val="5C390BF5"/>
    <w:rsid w:val="5C3929A3"/>
    <w:rsid w:val="5C401F83"/>
    <w:rsid w:val="5C40476C"/>
    <w:rsid w:val="5C425CFC"/>
    <w:rsid w:val="5C4952DC"/>
    <w:rsid w:val="5CAE5E6B"/>
    <w:rsid w:val="5CBD5382"/>
    <w:rsid w:val="5CD01FBE"/>
    <w:rsid w:val="5CD1707F"/>
    <w:rsid w:val="5CEB0141"/>
    <w:rsid w:val="5CED3EB9"/>
    <w:rsid w:val="5D0E3E30"/>
    <w:rsid w:val="5D221689"/>
    <w:rsid w:val="5D3560D4"/>
    <w:rsid w:val="5D6A375C"/>
    <w:rsid w:val="5D8202BE"/>
    <w:rsid w:val="5D891708"/>
    <w:rsid w:val="5DD07337"/>
    <w:rsid w:val="5DD56FF0"/>
    <w:rsid w:val="5DD92690"/>
    <w:rsid w:val="5DDD17E1"/>
    <w:rsid w:val="5DF11787"/>
    <w:rsid w:val="5DF9063C"/>
    <w:rsid w:val="5DFC726C"/>
    <w:rsid w:val="5E1D5B3E"/>
    <w:rsid w:val="5E225DE5"/>
    <w:rsid w:val="5E2A6A47"/>
    <w:rsid w:val="5E652ADE"/>
    <w:rsid w:val="5E710FBC"/>
    <w:rsid w:val="5E7F176F"/>
    <w:rsid w:val="5E936558"/>
    <w:rsid w:val="5E9D7480"/>
    <w:rsid w:val="5EAE7678"/>
    <w:rsid w:val="5EC96260"/>
    <w:rsid w:val="5EDD1D0C"/>
    <w:rsid w:val="5EE75B17"/>
    <w:rsid w:val="5EEF6B9A"/>
    <w:rsid w:val="5F27742B"/>
    <w:rsid w:val="5F28567D"/>
    <w:rsid w:val="5F4B3119"/>
    <w:rsid w:val="5F5415CE"/>
    <w:rsid w:val="5F64545E"/>
    <w:rsid w:val="5F993D1B"/>
    <w:rsid w:val="5F9A0069"/>
    <w:rsid w:val="5F9D0CBA"/>
    <w:rsid w:val="5FCF78A6"/>
    <w:rsid w:val="5FD27AAD"/>
    <w:rsid w:val="5FD41360"/>
    <w:rsid w:val="5FD72BFF"/>
    <w:rsid w:val="5FEB66AA"/>
    <w:rsid w:val="60036C0D"/>
    <w:rsid w:val="60622ED8"/>
    <w:rsid w:val="60792793"/>
    <w:rsid w:val="60795A64"/>
    <w:rsid w:val="609D5BF6"/>
    <w:rsid w:val="60A01243"/>
    <w:rsid w:val="60AE6449"/>
    <w:rsid w:val="60CF1B28"/>
    <w:rsid w:val="60D1360B"/>
    <w:rsid w:val="60D4713E"/>
    <w:rsid w:val="60DA29A7"/>
    <w:rsid w:val="60E86BFD"/>
    <w:rsid w:val="60EA20B9"/>
    <w:rsid w:val="610923E5"/>
    <w:rsid w:val="61161505"/>
    <w:rsid w:val="611D0E9C"/>
    <w:rsid w:val="612F7FCE"/>
    <w:rsid w:val="61453B98"/>
    <w:rsid w:val="61734BA9"/>
    <w:rsid w:val="618034E5"/>
    <w:rsid w:val="61826B9A"/>
    <w:rsid w:val="618F19E3"/>
    <w:rsid w:val="619568CD"/>
    <w:rsid w:val="61AD66ED"/>
    <w:rsid w:val="61B050E7"/>
    <w:rsid w:val="61BE4076"/>
    <w:rsid w:val="61C80A51"/>
    <w:rsid w:val="61D70C94"/>
    <w:rsid w:val="61E360BE"/>
    <w:rsid w:val="61FB0E26"/>
    <w:rsid w:val="62055A75"/>
    <w:rsid w:val="621912AD"/>
    <w:rsid w:val="621F43E9"/>
    <w:rsid w:val="622F1669"/>
    <w:rsid w:val="623460E6"/>
    <w:rsid w:val="624D53FA"/>
    <w:rsid w:val="625B7B17"/>
    <w:rsid w:val="625D388F"/>
    <w:rsid w:val="62650996"/>
    <w:rsid w:val="62683FE2"/>
    <w:rsid w:val="626B793D"/>
    <w:rsid w:val="62764FAB"/>
    <w:rsid w:val="627666FF"/>
    <w:rsid w:val="629B008E"/>
    <w:rsid w:val="629D0130"/>
    <w:rsid w:val="62B22401"/>
    <w:rsid w:val="62FA736F"/>
    <w:rsid w:val="63003949"/>
    <w:rsid w:val="63027F93"/>
    <w:rsid w:val="631A1780"/>
    <w:rsid w:val="632443AD"/>
    <w:rsid w:val="63350160"/>
    <w:rsid w:val="633B39FC"/>
    <w:rsid w:val="63506F50"/>
    <w:rsid w:val="63575791"/>
    <w:rsid w:val="63696264"/>
    <w:rsid w:val="63750C42"/>
    <w:rsid w:val="63960D2D"/>
    <w:rsid w:val="63A70B3A"/>
    <w:rsid w:val="63B17E96"/>
    <w:rsid w:val="63C416EC"/>
    <w:rsid w:val="63C74D38"/>
    <w:rsid w:val="63E0176B"/>
    <w:rsid w:val="63E453A9"/>
    <w:rsid w:val="63F7386F"/>
    <w:rsid w:val="64033FC2"/>
    <w:rsid w:val="641A2EBD"/>
    <w:rsid w:val="641C6E32"/>
    <w:rsid w:val="64395E7C"/>
    <w:rsid w:val="64412DBA"/>
    <w:rsid w:val="64476F4B"/>
    <w:rsid w:val="64540CC2"/>
    <w:rsid w:val="64616F3B"/>
    <w:rsid w:val="6477675E"/>
    <w:rsid w:val="64852C29"/>
    <w:rsid w:val="64992B79"/>
    <w:rsid w:val="64B252B4"/>
    <w:rsid w:val="64CE4D88"/>
    <w:rsid w:val="64DE058B"/>
    <w:rsid w:val="64E02CF2"/>
    <w:rsid w:val="65077AE2"/>
    <w:rsid w:val="652A028A"/>
    <w:rsid w:val="6535464F"/>
    <w:rsid w:val="653F6B42"/>
    <w:rsid w:val="65407C11"/>
    <w:rsid w:val="65495368"/>
    <w:rsid w:val="655B3896"/>
    <w:rsid w:val="655E3A77"/>
    <w:rsid w:val="657809E0"/>
    <w:rsid w:val="658B24C1"/>
    <w:rsid w:val="658B4268"/>
    <w:rsid w:val="658C7000"/>
    <w:rsid w:val="65AC068A"/>
    <w:rsid w:val="65E816C2"/>
    <w:rsid w:val="65E9543A"/>
    <w:rsid w:val="66012783"/>
    <w:rsid w:val="66094DB9"/>
    <w:rsid w:val="661078D0"/>
    <w:rsid w:val="661C136B"/>
    <w:rsid w:val="661E3757"/>
    <w:rsid w:val="664D59C9"/>
    <w:rsid w:val="665C474C"/>
    <w:rsid w:val="665F17E4"/>
    <w:rsid w:val="66723681"/>
    <w:rsid w:val="66BE125A"/>
    <w:rsid w:val="66E7147B"/>
    <w:rsid w:val="66EA76BB"/>
    <w:rsid w:val="66F402EA"/>
    <w:rsid w:val="66F9345B"/>
    <w:rsid w:val="67036A86"/>
    <w:rsid w:val="671B5AC7"/>
    <w:rsid w:val="671F6C47"/>
    <w:rsid w:val="672A5D0A"/>
    <w:rsid w:val="67423054"/>
    <w:rsid w:val="67656D42"/>
    <w:rsid w:val="67717495"/>
    <w:rsid w:val="677F7E04"/>
    <w:rsid w:val="6780592A"/>
    <w:rsid w:val="67BA708E"/>
    <w:rsid w:val="67C07E4A"/>
    <w:rsid w:val="67DA7730"/>
    <w:rsid w:val="67FB2A48"/>
    <w:rsid w:val="67FC76A6"/>
    <w:rsid w:val="67FD2B83"/>
    <w:rsid w:val="67FF2F55"/>
    <w:rsid w:val="68203D1B"/>
    <w:rsid w:val="68472B6D"/>
    <w:rsid w:val="685272C6"/>
    <w:rsid w:val="68531CDD"/>
    <w:rsid w:val="68680898"/>
    <w:rsid w:val="68945B31"/>
    <w:rsid w:val="68A67612"/>
    <w:rsid w:val="68E1064A"/>
    <w:rsid w:val="68E37F9C"/>
    <w:rsid w:val="68E51EE8"/>
    <w:rsid w:val="68FA40F3"/>
    <w:rsid w:val="68FE11FC"/>
    <w:rsid w:val="690031C6"/>
    <w:rsid w:val="690C3919"/>
    <w:rsid w:val="69201173"/>
    <w:rsid w:val="69322309"/>
    <w:rsid w:val="694035C3"/>
    <w:rsid w:val="694626F8"/>
    <w:rsid w:val="69594031"/>
    <w:rsid w:val="69696D75"/>
    <w:rsid w:val="699A71FC"/>
    <w:rsid w:val="69A8763A"/>
    <w:rsid w:val="69B67D29"/>
    <w:rsid w:val="69C20DE4"/>
    <w:rsid w:val="69C50ADB"/>
    <w:rsid w:val="69C74CBB"/>
    <w:rsid w:val="6A0D7DED"/>
    <w:rsid w:val="6A462E5B"/>
    <w:rsid w:val="6A7019A4"/>
    <w:rsid w:val="6A786D8C"/>
    <w:rsid w:val="6A8B4D12"/>
    <w:rsid w:val="6ACD70D8"/>
    <w:rsid w:val="6AD119EC"/>
    <w:rsid w:val="6AD9782B"/>
    <w:rsid w:val="6B604762"/>
    <w:rsid w:val="6B6A6C83"/>
    <w:rsid w:val="6B944D8F"/>
    <w:rsid w:val="6BB72D7E"/>
    <w:rsid w:val="6BBD539F"/>
    <w:rsid w:val="6BC9782A"/>
    <w:rsid w:val="6BCE220C"/>
    <w:rsid w:val="6BCF6E80"/>
    <w:rsid w:val="6BD12BF8"/>
    <w:rsid w:val="6BE24E05"/>
    <w:rsid w:val="6BE75F78"/>
    <w:rsid w:val="6BF608B1"/>
    <w:rsid w:val="6C514054"/>
    <w:rsid w:val="6C5D26DE"/>
    <w:rsid w:val="6C5F0204"/>
    <w:rsid w:val="6C755C79"/>
    <w:rsid w:val="6C770BB5"/>
    <w:rsid w:val="6C845EBC"/>
    <w:rsid w:val="6C86741D"/>
    <w:rsid w:val="6C8E6D3B"/>
    <w:rsid w:val="6C9A748E"/>
    <w:rsid w:val="6CA83959"/>
    <w:rsid w:val="6CB70040"/>
    <w:rsid w:val="6CB93DB8"/>
    <w:rsid w:val="6CCB3AEB"/>
    <w:rsid w:val="6CD96208"/>
    <w:rsid w:val="6CFA4F3B"/>
    <w:rsid w:val="6D192AA9"/>
    <w:rsid w:val="6D1D3BF9"/>
    <w:rsid w:val="6D1F744D"/>
    <w:rsid w:val="6D203E37"/>
    <w:rsid w:val="6D25444C"/>
    <w:rsid w:val="6D352F7B"/>
    <w:rsid w:val="6D437B25"/>
    <w:rsid w:val="6D5B09CB"/>
    <w:rsid w:val="6D6D6950"/>
    <w:rsid w:val="6D77157D"/>
    <w:rsid w:val="6D9D14A4"/>
    <w:rsid w:val="6DAD4F9F"/>
    <w:rsid w:val="6DB63E53"/>
    <w:rsid w:val="6DCA5B51"/>
    <w:rsid w:val="6DD15131"/>
    <w:rsid w:val="6E027099"/>
    <w:rsid w:val="6E196913"/>
    <w:rsid w:val="6E2C680B"/>
    <w:rsid w:val="6E3A2CD6"/>
    <w:rsid w:val="6E6E0BD2"/>
    <w:rsid w:val="6E6E3BE9"/>
    <w:rsid w:val="6E76733B"/>
    <w:rsid w:val="6E8612AA"/>
    <w:rsid w:val="6E9248C1"/>
    <w:rsid w:val="6EA91C0A"/>
    <w:rsid w:val="6EAD16FA"/>
    <w:rsid w:val="6EB365E5"/>
    <w:rsid w:val="6ED0368D"/>
    <w:rsid w:val="6EE92007"/>
    <w:rsid w:val="6EEA392C"/>
    <w:rsid w:val="6EF747E7"/>
    <w:rsid w:val="6EFA7E44"/>
    <w:rsid w:val="6F516BAB"/>
    <w:rsid w:val="6F631DB9"/>
    <w:rsid w:val="6F796C19"/>
    <w:rsid w:val="6F96218E"/>
    <w:rsid w:val="6FB26695"/>
    <w:rsid w:val="6FC211D5"/>
    <w:rsid w:val="6FFF812E"/>
    <w:rsid w:val="70096E04"/>
    <w:rsid w:val="70313A42"/>
    <w:rsid w:val="7049481C"/>
    <w:rsid w:val="705B5186"/>
    <w:rsid w:val="70860455"/>
    <w:rsid w:val="70B54896"/>
    <w:rsid w:val="70C26FB3"/>
    <w:rsid w:val="70C41323"/>
    <w:rsid w:val="70DE5BAC"/>
    <w:rsid w:val="70E06818"/>
    <w:rsid w:val="70EE1B56"/>
    <w:rsid w:val="70EE7FD0"/>
    <w:rsid w:val="70F51CC1"/>
    <w:rsid w:val="70F60C6B"/>
    <w:rsid w:val="711772FF"/>
    <w:rsid w:val="712424A9"/>
    <w:rsid w:val="71816E6E"/>
    <w:rsid w:val="71A30B93"/>
    <w:rsid w:val="720750AB"/>
    <w:rsid w:val="72135D18"/>
    <w:rsid w:val="7213773D"/>
    <w:rsid w:val="721970A7"/>
    <w:rsid w:val="721B4B69"/>
    <w:rsid w:val="722523DA"/>
    <w:rsid w:val="724834E8"/>
    <w:rsid w:val="72651D1D"/>
    <w:rsid w:val="72824C4C"/>
    <w:rsid w:val="728F1117"/>
    <w:rsid w:val="729F57FE"/>
    <w:rsid w:val="72BB1F0C"/>
    <w:rsid w:val="72CC4119"/>
    <w:rsid w:val="72D902DB"/>
    <w:rsid w:val="72D922D2"/>
    <w:rsid w:val="72EC0317"/>
    <w:rsid w:val="72F31818"/>
    <w:rsid w:val="72F40506"/>
    <w:rsid w:val="7329331A"/>
    <w:rsid w:val="73352A0F"/>
    <w:rsid w:val="733E7955"/>
    <w:rsid w:val="733F2341"/>
    <w:rsid w:val="7349576A"/>
    <w:rsid w:val="7363318F"/>
    <w:rsid w:val="73784B15"/>
    <w:rsid w:val="73A40BF2"/>
    <w:rsid w:val="73B9644B"/>
    <w:rsid w:val="73D414D7"/>
    <w:rsid w:val="73E27753"/>
    <w:rsid w:val="73F27BAF"/>
    <w:rsid w:val="73FE47A6"/>
    <w:rsid w:val="74681C20"/>
    <w:rsid w:val="747F03E7"/>
    <w:rsid w:val="74C4779E"/>
    <w:rsid w:val="74F3598D"/>
    <w:rsid w:val="74FF4400"/>
    <w:rsid w:val="75181898"/>
    <w:rsid w:val="753A35BC"/>
    <w:rsid w:val="755A1EB0"/>
    <w:rsid w:val="757C62BA"/>
    <w:rsid w:val="75993854"/>
    <w:rsid w:val="75CF63FA"/>
    <w:rsid w:val="75D32B1E"/>
    <w:rsid w:val="76005B8B"/>
    <w:rsid w:val="76063720"/>
    <w:rsid w:val="760944E2"/>
    <w:rsid w:val="76116A13"/>
    <w:rsid w:val="761958C7"/>
    <w:rsid w:val="76370B8C"/>
    <w:rsid w:val="76377AFB"/>
    <w:rsid w:val="763C02F5"/>
    <w:rsid w:val="766B147C"/>
    <w:rsid w:val="76827673"/>
    <w:rsid w:val="768C6099"/>
    <w:rsid w:val="76A41635"/>
    <w:rsid w:val="76B15B00"/>
    <w:rsid w:val="76B55D08"/>
    <w:rsid w:val="76B61368"/>
    <w:rsid w:val="76D23B71"/>
    <w:rsid w:val="76D77B5B"/>
    <w:rsid w:val="76DA4F81"/>
    <w:rsid w:val="76E80E22"/>
    <w:rsid w:val="770025E3"/>
    <w:rsid w:val="770754B2"/>
    <w:rsid w:val="77135F98"/>
    <w:rsid w:val="772E30C3"/>
    <w:rsid w:val="774D3A7A"/>
    <w:rsid w:val="77765AAD"/>
    <w:rsid w:val="77D45F4A"/>
    <w:rsid w:val="77D61F04"/>
    <w:rsid w:val="78396B34"/>
    <w:rsid w:val="783B7D77"/>
    <w:rsid w:val="784A7FBA"/>
    <w:rsid w:val="787119EB"/>
    <w:rsid w:val="78762B5D"/>
    <w:rsid w:val="789353C9"/>
    <w:rsid w:val="78BD078C"/>
    <w:rsid w:val="78BE62B2"/>
    <w:rsid w:val="78D04EAD"/>
    <w:rsid w:val="78E977D3"/>
    <w:rsid w:val="79002D6F"/>
    <w:rsid w:val="79050385"/>
    <w:rsid w:val="790D3456"/>
    <w:rsid w:val="79164340"/>
    <w:rsid w:val="791A7F61"/>
    <w:rsid w:val="792E51E6"/>
    <w:rsid w:val="792F71B0"/>
    <w:rsid w:val="794C38BE"/>
    <w:rsid w:val="7950639F"/>
    <w:rsid w:val="79A862DB"/>
    <w:rsid w:val="79DD09BA"/>
    <w:rsid w:val="7A002417"/>
    <w:rsid w:val="7A114262"/>
    <w:rsid w:val="7A312B48"/>
    <w:rsid w:val="7A320D06"/>
    <w:rsid w:val="7A430B5F"/>
    <w:rsid w:val="7A666C01"/>
    <w:rsid w:val="7A826F8A"/>
    <w:rsid w:val="7A9D480F"/>
    <w:rsid w:val="7AAF042F"/>
    <w:rsid w:val="7AAF29A1"/>
    <w:rsid w:val="7AF366E7"/>
    <w:rsid w:val="7B034450"/>
    <w:rsid w:val="7B1228E5"/>
    <w:rsid w:val="7B171D01"/>
    <w:rsid w:val="7B31720F"/>
    <w:rsid w:val="7B580C40"/>
    <w:rsid w:val="7B5D2507"/>
    <w:rsid w:val="7B9A6617"/>
    <w:rsid w:val="7B9B3F93"/>
    <w:rsid w:val="7BA048B9"/>
    <w:rsid w:val="7BB3231A"/>
    <w:rsid w:val="7BBF6E5D"/>
    <w:rsid w:val="7BCB31C0"/>
    <w:rsid w:val="7BD8636F"/>
    <w:rsid w:val="7BE54825"/>
    <w:rsid w:val="7C286864"/>
    <w:rsid w:val="7C3639F5"/>
    <w:rsid w:val="7C606D6D"/>
    <w:rsid w:val="7C693ED0"/>
    <w:rsid w:val="7C6D3A08"/>
    <w:rsid w:val="7C727ADF"/>
    <w:rsid w:val="7C8D1DBB"/>
    <w:rsid w:val="7C961A20"/>
    <w:rsid w:val="7CAF2AE1"/>
    <w:rsid w:val="7CB400F8"/>
    <w:rsid w:val="7CB81B01"/>
    <w:rsid w:val="7D0F68B1"/>
    <w:rsid w:val="7D1172F8"/>
    <w:rsid w:val="7D3E3F8C"/>
    <w:rsid w:val="7D406FB9"/>
    <w:rsid w:val="7D4A45B8"/>
    <w:rsid w:val="7D507DD4"/>
    <w:rsid w:val="7D894928"/>
    <w:rsid w:val="7DB91369"/>
    <w:rsid w:val="7DC26844"/>
    <w:rsid w:val="7DCE3B5B"/>
    <w:rsid w:val="7DDE1223"/>
    <w:rsid w:val="7DFA7D8C"/>
    <w:rsid w:val="7E0429B9"/>
    <w:rsid w:val="7E165433"/>
    <w:rsid w:val="7E301A00"/>
    <w:rsid w:val="7E3037AE"/>
    <w:rsid w:val="7E991412"/>
    <w:rsid w:val="7EA06B86"/>
    <w:rsid w:val="7EEC0498"/>
    <w:rsid w:val="7EFE38AC"/>
    <w:rsid w:val="7EFF6F9C"/>
    <w:rsid w:val="7F032C71"/>
    <w:rsid w:val="7F054C3B"/>
    <w:rsid w:val="7F0C5FC9"/>
    <w:rsid w:val="7F1B539F"/>
    <w:rsid w:val="7F240ECD"/>
    <w:rsid w:val="7F4A08A0"/>
    <w:rsid w:val="7F54171E"/>
    <w:rsid w:val="7F563747"/>
    <w:rsid w:val="7F840255"/>
    <w:rsid w:val="7F8C1A7C"/>
    <w:rsid w:val="7FCE327F"/>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rFonts w:ascii="Times New Roman"/>
    </w:rPr>
  </w:style>
  <w:style w:type="paragraph" w:styleId="3">
    <w:name w:val="Normal Indent"/>
    <w:basedOn w:val="1"/>
    <w:qFormat/>
    <w:uiPriority w:val="99"/>
    <w:pPr>
      <w:ind w:firstLine="420"/>
    </w:pPr>
    <w:rPr>
      <w:rFonts w:ascii="Calibri" w:hAnsi="Calibri"/>
    </w:rPr>
  </w:style>
  <w:style w:type="paragraph" w:styleId="4">
    <w:name w:val="Balloon Text"/>
    <w:basedOn w:val="1"/>
    <w:link w:val="15"/>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line="360" w:lineRule="auto"/>
      <w:jc w:val="left"/>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FollowedHyperlink"/>
    <w:basedOn w:val="10"/>
    <w:qFormat/>
    <w:uiPriority w:val="0"/>
    <w:rPr>
      <w:color w:val="000000"/>
      <w:u w:val="none"/>
    </w:rPr>
  </w:style>
  <w:style w:type="character" w:styleId="12">
    <w:name w:val="Emphasis"/>
    <w:basedOn w:val="10"/>
    <w:qFormat/>
    <w:uiPriority w:val="0"/>
  </w:style>
  <w:style w:type="character" w:styleId="13">
    <w:name w:val="Hyperlink"/>
    <w:basedOn w:val="10"/>
    <w:qFormat/>
    <w:uiPriority w:val="0"/>
    <w:rPr>
      <w:color w:val="000000"/>
      <w:u w:val="none"/>
    </w:rPr>
  </w:style>
  <w:style w:type="paragraph" w:customStyle="1" w:styleId="14">
    <w:name w:val="p0"/>
    <w:basedOn w:val="1"/>
    <w:qFormat/>
    <w:uiPriority w:val="0"/>
    <w:pPr>
      <w:widowControl/>
    </w:pPr>
    <w:rPr>
      <w:kern w:val="0"/>
      <w:szCs w:val="21"/>
    </w:rPr>
  </w:style>
  <w:style w:type="character" w:customStyle="1" w:styleId="15">
    <w:name w:val="批注框文本 Char"/>
    <w:basedOn w:val="10"/>
    <w:link w:val="4"/>
    <w:qFormat/>
    <w:uiPriority w:val="0"/>
    <w:rPr>
      <w:rFonts w:asciiTheme="minorHAnsi" w:hAnsiTheme="minorHAnsi" w:eastAsiaTheme="minorEastAsia" w:cstheme="minorBidi"/>
      <w:kern w:val="2"/>
      <w:sz w:val="18"/>
      <w:szCs w:val="18"/>
    </w:rPr>
  </w:style>
  <w:style w:type="character" w:customStyle="1" w:styleId="16">
    <w:name w:val="font01"/>
    <w:basedOn w:val="10"/>
    <w:qFormat/>
    <w:uiPriority w:val="0"/>
    <w:rPr>
      <w:rFonts w:ascii="Arial" w:hAnsi="Arial" w:cs="Arial"/>
      <w:color w:val="000000"/>
      <w:sz w:val="20"/>
      <w:szCs w:val="20"/>
      <w:u w:val="none"/>
    </w:rPr>
  </w:style>
  <w:style w:type="character" w:customStyle="1" w:styleId="17">
    <w:name w:val="font11"/>
    <w:basedOn w:val="10"/>
    <w:qFormat/>
    <w:uiPriority w:val="0"/>
    <w:rPr>
      <w:rFonts w:hint="eastAsia" w:ascii="宋体" w:hAnsi="宋体" w:eastAsia="宋体" w:cs="宋体"/>
      <w:color w:val="000000"/>
      <w:sz w:val="20"/>
      <w:szCs w:val="20"/>
      <w:u w:val="none"/>
    </w:rPr>
  </w:style>
  <w:style w:type="character" w:customStyle="1" w:styleId="18">
    <w:name w:val="a_p_2"/>
    <w:basedOn w:val="10"/>
    <w:qFormat/>
    <w:uiPriority w:val="0"/>
  </w:style>
  <w:style w:type="character" w:customStyle="1" w:styleId="19">
    <w:name w:val="a_p_21"/>
    <w:basedOn w:val="10"/>
    <w:qFormat/>
    <w:uiPriority w:val="0"/>
    <w:rPr>
      <w:sz w:val="27"/>
      <w:szCs w:val="27"/>
    </w:rPr>
  </w:style>
  <w:style w:type="character" w:customStyle="1" w:styleId="20">
    <w:name w:val="ul_li_a_1"/>
    <w:basedOn w:val="10"/>
    <w:qFormat/>
    <w:uiPriority w:val="0"/>
    <w:rPr>
      <w:b/>
      <w:bCs/>
      <w:color w:val="FFFFFF"/>
    </w:rPr>
  </w:style>
  <w:style w:type="character" w:customStyle="1" w:styleId="21">
    <w:name w:val="exap"/>
    <w:basedOn w:val="10"/>
    <w:qFormat/>
    <w:uiPriority w:val="0"/>
    <w:rPr>
      <w:sz w:val="27"/>
      <w:szCs w:val="27"/>
    </w:rPr>
  </w:style>
  <w:style w:type="character" w:customStyle="1" w:styleId="22">
    <w:name w:val="a_p_1"/>
    <w:basedOn w:val="10"/>
    <w:qFormat/>
    <w:uiPriority w:val="0"/>
    <w:rPr>
      <w:sz w:val="27"/>
      <w:szCs w:val="27"/>
    </w:rPr>
  </w:style>
  <w:style w:type="character" w:customStyle="1" w:styleId="23">
    <w:name w:val="a_p_3"/>
    <w:basedOn w:val="10"/>
    <w:qFormat/>
    <w:uiPriority w:val="0"/>
    <w:rPr>
      <w:sz w:val="27"/>
      <w:szCs w:val="27"/>
    </w:rPr>
  </w:style>
  <w:style w:type="character" w:customStyle="1" w:styleId="24">
    <w:name w:val="font51"/>
    <w:basedOn w:val="10"/>
    <w:qFormat/>
    <w:uiPriority w:val="0"/>
    <w:rPr>
      <w:rFonts w:ascii="Arial" w:hAnsi="Arial" w:cs="Arial"/>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1368</Words>
  <Characters>1657</Characters>
  <Lines>29</Lines>
  <Paragraphs>8</Paragraphs>
  <TotalTime>205</TotalTime>
  <ScaleCrop>false</ScaleCrop>
  <LinksUpToDate>false</LinksUpToDate>
  <CharactersWithSpaces>1658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2020-05-15T08:43:00Z</dcterms:created>
  <dc:creator>自由快乐雨</dc:creator>
  <cp:lastModifiedBy>淡漠丶隨風</cp:lastModifiedBy>
  <dcterms:modified xsi:type="dcterms:W3CDTF">2026-01-04T02:14:32Z</dcterms:modified>
  <cp:revision>139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92E8ABE4B7DE428E8A44D9AF2F4C2A3E_13</vt:lpwstr>
  </property>
  <property fmtid="{D5CDD505-2E9C-101B-9397-08002B2CF9AE}" pid="4" name="KSOTemplateDocerSaveRecord">
    <vt:lpwstr>eyJoZGlkIjoiZDU2ZDE0NGU2ZTk4ODYxNWU2MTViMTJkODA5OTAzZWMiLCJ1c2VySWQiOiIzMzY1OTQxNTQifQ==</vt:lpwstr>
  </property>
</Properties>
</file>