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F5373">
      <w:pPr>
        <w:spacing w:line="286" w:lineRule="auto"/>
        <w:rPr>
          <w:rFonts w:ascii="Arial"/>
          <w:sz w:val="21"/>
        </w:rPr>
      </w:pPr>
    </w:p>
    <w:p w14:paraId="4EB35205">
      <w:pPr>
        <w:spacing w:line="287" w:lineRule="auto"/>
        <w:rPr>
          <w:rFonts w:ascii="Arial"/>
          <w:sz w:val="21"/>
        </w:rPr>
      </w:pPr>
    </w:p>
    <w:p w14:paraId="0D07683F">
      <w:pPr>
        <w:spacing w:before="101" w:line="230" w:lineRule="auto"/>
        <w:ind w:left="141"/>
        <w:rPr>
          <w:rFonts w:ascii="黑体" w:hAnsi="黑体" w:eastAsia="黑体" w:cs="黑体"/>
          <w:sz w:val="31"/>
          <w:szCs w:val="31"/>
        </w:rPr>
      </w:pPr>
      <w:r>
        <w:rPr>
          <w:rFonts w:ascii="黑体" w:hAnsi="黑体" w:eastAsia="黑体" w:cs="黑体"/>
          <w:spacing w:val="-5"/>
          <w:sz w:val="31"/>
          <w:szCs w:val="31"/>
        </w:rPr>
        <w:t>附件</w:t>
      </w:r>
      <w:r>
        <w:rPr>
          <w:rFonts w:ascii="黑体" w:hAnsi="黑体" w:eastAsia="黑体" w:cs="黑体"/>
          <w:spacing w:val="-71"/>
          <w:sz w:val="31"/>
          <w:szCs w:val="31"/>
        </w:rPr>
        <w:t xml:space="preserve"> </w:t>
      </w:r>
      <w:r>
        <w:rPr>
          <w:rFonts w:ascii="黑体" w:hAnsi="黑体" w:eastAsia="黑体" w:cs="黑体"/>
          <w:spacing w:val="-5"/>
          <w:sz w:val="31"/>
          <w:szCs w:val="31"/>
        </w:rPr>
        <w:t>2</w:t>
      </w:r>
    </w:p>
    <w:p w14:paraId="4E76AF0F">
      <w:pPr>
        <w:spacing w:before="329" w:line="214" w:lineRule="auto"/>
        <w:ind w:left="3144"/>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4"/>
          <w:sz w:val="43"/>
          <w:szCs w:val="43"/>
        </w:rPr>
        <w:t>2025 年度市本级涉企行政检查计划汇总表</w:t>
      </w:r>
    </w:p>
    <w:p w14:paraId="7A1C941E">
      <w:pPr>
        <w:spacing w:before="17"/>
      </w:pPr>
    </w:p>
    <w:tbl>
      <w:tblPr>
        <w:tblStyle w:val="6"/>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961"/>
        <w:gridCol w:w="1807"/>
        <w:gridCol w:w="2211"/>
        <w:gridCol w:w="2710"/>
        <w:gridCol w:w="1749"/>
        <w:gridCol w:w="1596"/>
        <w:gridCol w:w="1337"/>
      </w:tblGrid>
      <w:tr w14:paraId="1F3EF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14:paraId="0417033A">
            <w:pPr>
              <w:spacing w:before="193" w:line="223" w:lineRule="auto"/>
              <w:ind w:left="195"/>
              <w:rPr>
                <w:rFonts w:ascii="黑体" w:hAnsi="黑体" w:eastAsia="黑体" w:cs="黑体"/>
                <w:sz w:val="24"/>
                <w:szCs w:val="24"/>
              </w:rPr>
            </w:pPr>
            <w:r>
              <w:rPr>
                <w:rFonts w:ascii="黑体" w:hAnsi="黑体" w:eastAsia="黑体" w:cs="黑体"/>
                <w:spacing w:val="-5"/>
                <w:sz w:val="24"/>
                <w:szCs w:val="24"/>
              </w:rPr>
              <w:t>序号</w:t>
            </w:r>
          </w:p>
        </w:tc>
        <w:tc>
          <w:tcPr>
            <w:tcW w:w="1961" w:type="dxa"/>
            <w:vAlign w:val="top"/>
          </w:tcPr>
          <w:p w14:paraId="26290556">
            <w:pPr>
              <w:spacing w:before="194" w:line="219" w:lineRule="auto"/>
              <w:ind w:left="276"/>
              <w:rPr>
                <w:rFonts w:ascii="黑体" w:hAnsi="黑体" w:eastAsia="黑体" w:cs="黑体"/>
                <w:sz w:val="24"/>
                <w:szCs w:val="24"/>
              </w:rPr>
            </w:pPr>
            <w:r>
              <w:rPr>
                <w:rFonts w:ascii="黑体" w:hAnsi="黑体" w:eastAsia="黑体" w:cs="黑体"/>
                <w:spacing w:val="-5"/>
                <w:sz w:val="24"/>
                <w:szCs w:val="24"/>
              </w:rPr>
              <w:t>行政执法部门</w:t>
            </w:r>
          </w:p>
        </w:tc>
        <w:tc>
          <w:tcPr>
            <w:tcW w:w="1807" w:type="dxa"/>
            <w:vAlign w:val="top"/>
          </w:tcPr>
          <w:p w14:paraId="6DCF16E4">
            <w:pPr>
              <w:spacing w:before="194" w:line="222" w:lineRule="auto"/>
              <w:ind w:left="434"/>
              <w:rPr>
                <w:rFonts w:ascii="黑体" w:hAnsi="黑体" w:eastAsia="黑体" w:cs="黑体"/>
                <w:sz w:val="24"/>
                <w:szCs w:val="24"/>
              </w:rPr>
            </w:pPr>
            <w:r>
              <w:rPr>
                <w:rFonts w:ascii="黑体" w:hAnsi="黑体" w:eastAsia="黑体" w:cs="黑体"/>
                <w:spacing w:val="-4"/>
                <w:sz w:val="24"/>
                <w:szCs w:val="24"/>
              </w:rPr>
              <w:t>检查对象</w:t>
            </w:r>
          </w:p>
        </w:tc>
        <w:tc>
          <w:tcPr>
            <w:tcW w:w="2211" w:type="dxa"/>
            <w:vAlign w:val="top"/>
          </w:tcPr>
          <w:p w14:paraId="79543023">
            <w:pPr>
              <w:spacing w:before="194" w:line="222" w:lineRule="auto"/>
              <w:ind w:left="636"/>
              <w:rPr>
                <w:rFonts w:ascii="黑体" w:hAnsi="黑体" w:eastAsia="黑体" w:cs="黑体"/>
                <w:sz w:val="24"/>
                <w:szCs w:val="24"/>
              </w:rPr>
            </w:pPr>
            <w:r>
              <w:rPr>
                <w:rFonts w:ascii="黑体" w:hAnsi="黑体" w:eastAsia="黑体" w:cs="黑体"/>
                <w:spacing w:val="-4"/>
                <w:sz w:val="24"/>
                <w:szCs w:val="24"/>
              </w:rPr>
              <w:t>检查内容</w:t>
            </w:r>
          </w:p>
        </w:tc>
        <w:tc>
          <w:tcPr>
            <w:tcW w:w="2710" w:type="dxa"/>
            <w:vAlign w:val="top"/>
          </w:tcPr>
          <w:p w14:paraId="5DDDEFBD">
            <w:pPr>
              <w:spacing w:before="193" w:line="222" w:lineRule="auto"/>
              <w:ind w:left="887"/>
              <w:rPr>
                <w:rFonts w:ascii="黑体" w:hAnsi="黑体" w:eastAsia="黑体" w:cs="黑体"/>
                <w:sz w:val="24"/>
                <w:szCs w:val="24"/>
              </w:rPr>
            </w:pPr>
            <w:r>
              <w:rPr>
                <w:rFonts w:ascii="黑体" w:hAnsi="黑体" w:eastAsia="黑体" w:cs="黑体"/>
                <w:spacing w:val="-4"/>
                <w:sz w:val="24"/>
                <w:szCs w:val="24"/>
              </w:rPr>
              <w:t>检查依据</w:t>
            </w:r>
          </w:p>
        </w:tc>
        <w:tc>
          <w:tcPr>
            <w:tcW w:w="1749" w:type="dxa"/>
            <w:vAlign w:val="top"/>
          </w:tcPr>
          <w:p w14:paraId="59B9AE4D">
            <w:pPr>
              <w:spacing w:before="194" w:line="222" w:lineRule="auto"/>
              <w:ind w:left="407"/>
              <w:rPr>
                <w:rFonts w:ascii="黑体" w:hAnsi="黑体" w:eastAsia="黑体" w:cs="黑体"/>
                <w:sz w:val="24"/>
                <w:szCs w:val="24"/>
              </w:rPr>
            </w:pPr>
            <w:r>
              <w:rPr>
                <w:rFonts w:ascii="黑体" w:hAnsi="黑体" w:eastAsia="黑体" w:cs="黑体"/>
                <w:spacing w:val="-4"/>
                <w:sz w:val="24"/>
                <w:szCs w:val="24"/>
              </w:rPr>
              <w:t>检查频次</w:t>
            </w:r>
          </w:p>
        </w:tc>
        <w:tc>
          <w:tcPr>
            <w:tcW w:w="1596" w:type="dxa"/>
            <w:vAlign w:val="top"/>
          </w:tcPr>
          <w:p w14:paraId="15071E05">
            <w:pPr>
              <w:spacing w:before="193" w:line="223" w:lineRule="auto"/>
              <w:ind w:left="331"/>
              <w:rPr>
                <w:rFonts w:ascii="黑体" w:hAnsi="黑体" w:eastAsia="黑体" w:cs="黑体"/>
                <w:sz w:val="24"/>
                <w:szCs w:val="24"/>
              </w:rPr>
            </w:pPr>
            <w:r>
              <w:rPr>
                <w:rFonts w:ascii="黑体" w:hAnsi="黑体" w:eastAsia="黑体" w:cs="黑体"/>
                <w:spacing w:val="-4"/>
                <w:sz w:val="24"/>
                <w:szCs w:val="24"/>
              </w:rPr>
              <w:t>检查时间</w:t>
            </w:r>
          </w:p>
        </w:tc>
        <w:tc>
          <w:tcPr>
            <w:tcW w:w="1337" w:type="dxa"/>
            <w:vAlign w:val="top"/>
          </w:tcPr>
          <w:p w14:paraId="0CFAFEFE">
            <w:pPr>
              <w:spacing w:before="193" w:line="221" w:lineRule="auto"/>
              <w:ind w:left="201"/>
              <w:rPr>
                <w:rFonts w:ascii="黑体" w:hAnsi="黑体" w:eastAsia="黑体" w:cs="黑体"/>
                <w:sz w:val="24"/>
                <w:szCs w:val="24"/>
              </w:rPr>
            </w:pPr>
            <w:r>
              <w:rPr>
                <w:rFonts w:ascii="黑体" w:hAnsi="黑体" w:eastAsia="黑体" w:cs="黑体"/>
                <w:spacing w:val="-4"/>
                <w:sz w:val="24"/>
                <w:szCs w:val="24"/>
              </w:rPr>
              <w:t>检查方式</w:t>
            </w:r>
          </w:p>
        </w:tc>
      </w:tr>
      <w:tr w14:paraId="61B7B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52" w:type="dxa"/>
            <w:vAlign w:val="top"/>
          </w:tcPr>
          <w:p w14:paraId="6E2F22BD">
            <w:pPr>
              <w:pStyle w:val="7"/>
              <w:jc w:val="center"/>
              <w:rPr>
                <w:rFonts w:hint="eastAsia" w:eastAsia="宋体"/>
                <w:lang w:val="en-US" w:eastAsia="zh-CN"/>
              </w:rPr>
            </w:pPr>
          </w:p>
          <w:p w14:paraId="157C2DA6">
            <w:pPr>
              <w:pStyle w:val="7"/>
              <w:jc w:val="both"/>
              <w:rPr>
                <w:rFonts w:hint="eastAsia" w:eastAsia="宋体"/>
                <w:lang w:val="en-US" w:eastAsia="zh-CN"/>
              </w:rPr>
            </w:pPr>
          </w:p>
          <w:p w14:paraId="6425551C">
            <w:pPr>
              <w:pStyle w:val="7"/>
              <w:jc w:val="center"/>
            </w:pPr>
            <w:r>
              <w:rPr>
                <w:rFonts w:hint="eastAsia" w:eastAsia="宋体"/>
                <w:lang w:val="en-US" w:eastAsia="zh-CN"/>
              </w:rPr>
              <w:t>1</w:t>
            </w:r>
          </w:p>
        </w:tc>
        <w:tc>
          <w:tcPr>
            <w:tcW w:w="1961" w:type="dxa"/>
            <w:vAlign w:val="top"/>
          </w:tcPr>
          <w:p w14:paraId="7339F66B">
            <w:pPr>
              <w:pStyle w:val="7"/>
              <w:jc w:val="center"/>
            </w:pPr>
          </w:p>
          <w:p w14:paraId="3550E856">
            <w:pPr>
              <w:bidi w:val="0"/>
              <w:jc w:val="both"/>
              <w:rPr>
                <w:rFonts w:hint="eastAsia" w:eastAsia="宋体"/>
                <w:lang w:eastAsia="zh-CN"/>
              </w:rPr>
            </w:pPr>
          </w:p>
          <w:p w14:paraId="0CAA8099">
            <w:pPr>
              <w:bidi w:val="0"/>
              <w:jc w:val="center"/>
            </w:pPr>
            <w:r>
              <w:rPr>
                <w:rFonts w:hint="eastAsia" w:eastAsia="宋体"/>
                <w:lang w:eastAsia="zh-CN"/>
              </w:rPr>
              <w:t>焦作市城市管理局</w:t>
            </w:r>
          </w:p>
        </w:tc>
        <w:tc>
          <w:tcPr>
            <w:tcW w:w="1807" w:type="dxa"/>
            <w:vAlign w:val="top"/>
          </w:tcPr>
          <w:p w14:paraId="684E2D16">
            <w:pPr>
              <w:pStyle w:val="7"/>
              <w:jc w:val="center"/>
              <w:rPr>
                <w:rFonts w:hint="eastAsia" w:eastAsia="宋体"/>
                <w:lang w:eastAsia="zh-CN"/>
              </w:rPr>
            </w:pPr>
          </w:p>
          <w:p w14:paraId="181E5664">
            <w:pPr>
              <w:pStyle w:val="7"/>
              <w:jc w:val="both"/>
              <w:rPr>
                <w:rFonts w:hint="eastAsia" w:eastAsia="宋体"/>
                <w:lang w:eastAsia="zh-CN"/>
              </w:rPr>
            </w:pPr>
          </w:p>
          <w:p w14:paraId="0B6D00A4">
            <w:pPr>
              <w:pStyle w:val="7"/>
              <w:jc w:val="both"/>
            </w:pPr>
            <w:r>
              <w:rPr>
                <w:rFonts w:hint="eastAsia" w:eastAsia="宋体"/>
                <w:lang w:eastAsia="zh-CN"/>
              </w:rPr>
              <w:t>办理排水许可证的重点排水户排水户</w:t>
            </w:r>
          </w:p>
        </w:tc>
        <w:tc>
          <w:tcPr>
            <w:tcW w:w="2211" w:type="dxa"/>
            <w:vAlign w:val="top"/>
          </w:tcPr>
          <w:p w14:paraId="71B657D9">
            <w:pPr>
              <w:pStyle w:val="7"/>
              <w:jc w:val="center"/>
              <w:rPr>
                <w:rFonts w:hint="eastAsia"/>
              </w:rPr>
            </w:pPr>
          </w:p>
          <w:p w14:paraId="4FBEAA1F">
            <w:pPr>
              <w:pStyle w:val="7"/>
              <w:jc w:val="center"/>
            </w:pPr>
            <w:r>
              <w:rPr>
                <w:rFonts w:hint="eastAsia"/>
              </w:rPr>
              <w:t>排水许可证办理时间、</w:t>
            </w:r>
            <w:r>
              <w:rPr>
                <w:rFonts w:hint="eastAsia" w:eastAsia="宋体"/>
                <w:lang w:eastAsia="zh-CN"/>
              </w:rPr>
              <w:t>污水水质、</w:t>
            </w:r>
            <w:r>
              <w:rPr>
                <w:rFonts w:hint="eastAsia"/>
              </w:rPr>
              <w:t>污水排放、排水管网设置、沉淀池清淤等情况</w:t>
            </w:r>
          </w:p>
        </w:tc>
        <w:tc>
          <w:tcPr>
            <w:tcW w:w="2710" w:type="dxa"/>
            <w:vAlign w:val="top"/>
          </w:tcPr>
          <w:p w14:paraId="357937FB">
            <w:pPr>
              <w:pStyle w:val="7"/>
              <w:jc w:val="center"/>
              <w:rPr>
                <w:rFonts w:hint="eastAsia" w:eastAsia="宋体"/>
                <w:lang w:eastAsia="zh-CN"/>
              </w:rPr>
            </w:pPr>
          </w:p>
          <w:p w14:paraId="6875515B">
            <w:pPr>
              <w:pStyle w:val="7"/>
              <w:jc w:val="center"/>
            </w:pPr>
            <w:r>
              <w:rPr>
                <w:rFonts w:hint="eastAsia" w:eastAsia="宋体"/>
                <w:lang w:eastAsia="zh-CN"/>
              </w:rPr>
              <w:t>《城镇污水排入排水管网许可管理办法》第十六条、第十七条、第十八条</w:t>
            </w:r>
          </w:p>
        </w:tc>
        <w:tc>
          <w:tcPr>
            <w:tcW w:w="1749" w:type="dxa"/>
            <w:vAlign w:val="top"/>
          </w:tcPr>
          <w:p w14:paraId="7340D599">
            <w:pPr>
              <w:pStyle w:val="7"/>
              <w:jc w:val="center"/>
              <w:rPr>
                <w:rFonts w:hint="eastAsia" w:eastAsia="宋体"/>
                <w:lang w:eastAsia="zh-CN"/>
              </w:rPr>
            </w:pPr>
          </w:p>
          <w:p w14:paraId="420D7045">
            <w:pPr>
              <w:pStyle w:val="7"/>
              <w:jc w:val="center"/>
              <w:rPr>
                <w:rFonts w:hint="eastAsia" w:eastAsia="宋体"/>
                <w:lang w:eastAsia="zh-CN"/>
              </w:rPr>
            </w:pPr>
          </w:p>
          <w:p w14:paraId="6538E5F0">
            <w:pPr>
              <w:pStyle w:val="7"/>
              <w:ind w:firstLine="420" w:firstLineChars="200"/>
              <w:jc w:val="both"/>
            </w:pPr>
            <w:r>
              <w:rPr>
                <w:rFonts w:hint="eastAsia" w:eastAsia="宋体"/>
                <w:lang w:eastAsia="zh-CN"/>
              </w:rPr>
              <w:t>每年一次</w:t>
            </w:r>
          </w:p>
        </w:tc>
        <w:tc>
          <w:tcPr>
            <w:tcW w:w="1596" w:type="dxa"/>
            <w:vAlign w:val="top"/>
          </w:tcPr>
          <w:p w14:paraId="059BE919">
            <w:pPr>
              <w:pStyle w:val="7"/>
              <w:jc w:val="center"/>
              <w:rPr>
                <w:rFonts w:hint="eastAsia" w:eastAsia="宋体"/>
                <w:lang w:eastAsia="zh-CN"/>
              </w:rPr>
            </w:pPr>
          </w:p>
          <w:p w14:paraId="2E73F890">
            <w:pPr>
              <w:pStyle w:val="7"/>
              <w:jc w:val="center"/>
              <w:rPr>
                <w:rFonts w:hint="eastAsia" w:eastAsia="宋体"/>
                <w:lang w:eastAsia="zh-CN"/>
              </w:rPr>
            </w:pPr>
          </w:p>
          <w:p w14:paraId="11D58CA3">
            <w:pPr>
              <w:pStyle w:val="7"/>
              <w:ind w:firstLine="420" w:firstLineChars="200"/>
              <w:jc w:val="both"/>
            </w:pPr>
            <w:r>
              <w:rPr>
                <w:rFonts w:hint="eastAsia" w:eastAsia="宋体"/>
                <w:lang w:eastAsia="zh-CN"/>
              </w:rPr>
              <w:t>不定期</w:t>
            </w:r>
          </w:p>
        </w:tc>
        <w:tc>
          <w:tcPr>
            <w:tcW w:w="1337" w:type="dxa"/>
            <w:vAlign w:val="top"/>
          </w:tcPr>
          <w:p w14:paraId="64C932E3">
            <w:pPr>
              <w:pStyle w:val="7"/>
              <w:jc w:val="center"/>
              <w:rPr>
                <w:rFonts w:hint="eastAsia" w:eastAsia="宋体"/>
                <w:lang w:eastAsia="zh-CN"/>
              </w:rPr>
            </w:pPr>
          </w:p>
          <w:p w14:paraId="2B242301">
            <w:pPr>
              <w:pStyle w:val="7"/>
              <w:jc w:val="center"/>
            </w:pPr>
            <w:r>
              <w:rPr>
                <w:rFonts w:hint="eastAsia" w:eastAsia="宋体"/>
                <w:lang w:eastAsia="zh-CN"/>
              </w:rPr>
              <w:t>行政执法部门、第三方检测机构、排水户现场检查</w:t>
            </w:r>
          </w:p>
        </w:tc>
      </w:tr>
      <w:tr w14:paraId="42206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52" w:type="dxa"/>
            <w:vAlign w:val="top"/>
          </w:tcPr>
          <w:p w14:paraId="310CE00D">
            <w:pPr>
              <w:pStyle w:val="7"/>
            </w:pPr>
          </w:p>
        </w:tc>
        <w:tc>
          <w:tcPr>
            <w:tcW w:w="1961" w:type="dxa"/>
            <w:vAlign w:val="top"/>
          </w:tcPr>
          <w:p w14:paraId="4A2DB98F">
            <w:pPr>
              <w:pStyle w:val="7"/>
            </w:pPr>
          </w:p>
        </w:tc>
        <w:tc>
          <w:tcPr>
            <w:tcW w:w="1807" w:type="dxa"/>
            <w:vAlign w:val="top"/>
          </w:tcPr>
          <w:p w14:paraId="3F1AA77E">
            <w:pPr>
              <w:pStyle w:val="7"/>
              <w:jc w:val="center"/>
            </w:pPr>
          </w:p>
        </w:tc>
        <w:tc>
          <w:tcPr>
            <w:tcW w:w="2211" w:type="dxa"/>
            <w:vAlign w:val="top"/>
          </w:tcPr>
          <w:p w14:paraId="1D141A90">
            <w:pPr>
              <w:pStyle w:val="7"/>
            </w:pPr>
          </w:p>
        </w:tc>
        <w:tc>
          <w:tcPr>
            <w:tcW w:w="2710" w:type="dxa"/>
            <w:vAlign w:val="top"/>
          </w:tcPr>
          <w:p w14:paraId="29057604">
            <w:pPr>
              <w:pStyle w:val="7"/>
            </w:pPr>
          </w:p>
        </w:tc>
        <w:tc>
          <w:tcPr>
            <w:tcW w:w="1749" w:type="dxa"/>
            <w:vAlign w:val="top"/>
          </w:tcPr>
          <w:p w14:paraId="6D0FA528">
            <w:pPr>
              <w:pStyle w:val="7"/>
            </w:pPr>
          </w:p>
        </w:tc>
        <w:tc>
          <w:tcPr>
            <w:tcW w:w="1596" w:type="dxa"/>
            <w:vAlign w:val="top"/>
          </w:tcPr>
          <w:p w14:paraId="0B4AEE1B">
            <w:pPr>
              <w:pStyle w:val="7"/>
            </w:pPr>
          </w:p>
        </w:tc>
        <w:tc>
          <w:tcPr>
            <w:tcW w:w="1337" w:type="dxa"/>
            <w:vAlign w:val="top"/>
          </w:tcPr>
          <w:p w14:paraId="1C6249F0">
            <w:pPr>
              <w:pStyle w:val="7"/>
            </w:pPr>
          </w:p>
        </w:tc>
      </w:tr>
      <w:tr w14:paraId="639C9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52" w:type="dxa"/>
            <w:vAlign w:val="top"/>
          </w:tcPr>
          <w:p w14:paraId="3EC6097D">
            <w:pPr>
              <w:pStyle w:val="7"/>
            </w:pPr>
          </w:p>
        </w:tc>
        <w:tc>
          <w:tcPr>
            <w:tcW w:w="1961" w:type="dxa"/>
            <w:vAlign w:val="top"/>
          </w:tcPr>
          <w:p w14:paraId="7A758E8D">
            <w:pPr>
              <w:pStyle w:val="7"/>
            </w:pPr>
          </w:p>
        </w:tc>
        <w:tc>
          <w:tcPr>
            <w:tcW w:w="1807" w:type="dxa"/>
            <w:vAlign w:val="top"/>
          </w:tcPr>
          <w:p w14:paraId="5D7E2DE1">
            <w:pPr>
              <w:pStyle w:val="7"/>
            </w:pPr>
          </w:p>
        </w:tc>
        <w:tc>
          <w:tcPr>
            <w:tcW w:w="2211" w:type="dxa"/>
            <w:vAlign w:val="top"/>
          </w:tcPr>
          <w:p w14:paraId="3A6EEC19">
            <w:pPr>
              <w:pStyle w:val="7"/>
            </w:pPr>
          </w:p>
        </w:tc>
        <w:tc>
          <w:tcPr>
            <w:tcW w:w="2710" w:type="dxa"/>
            <w:vAlign w:val="top"/>
          </w:tcPr>
          <w:p w14:paraId="58A99F53">
            <w:pPr>
              <w:pStyle w:val="7"/>
            </w:pPr>
          </w:p>
        </w:tc>
        <w:tc>
          <w:tcPr>
            <w:tcW w:w="1749" w:type="dxa"/>
            <w:vAlign w:val="top"/>
          </w:tcPr>
          <w:p w14:paraId="24B93B62">
            <w:pPr>
              <w:pStyle w:val="7"/>
            </w:pPr>
          </w:p>
        </w:tc>
        <w:tc>
          <w:tcPr>
            <w:tcW w:w="1596" w:type="dxa"/>
            <w:vAlign w:val="top"/>
          </w:tcPr>
          <w:p w14:paraId="05F149FB">
            <w:pPr>
              <w:pStyle w:val="7"/>
            </w:pPr>
          </w:p>
        </w:tc>
        <w:tc>
          <w:tcPr>
            <w:tcW w:w="1337" w:type="dxa"/>
            <w:vAlign w:val="top"/>
          </w:tcPr>
          <w:p w14:paraId="4728C6FE">
            <w:pPr>
              <w:pStyle w:val="7"/>
            </w:pPr>
          </w:p>
        </w:tc>
      </w:tr>
      <w:tr w14:paraId="65618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52" w:type="dxa"/>
            <w:vAlign w:val="top"/>
          </w:tcPr>
          <w:p w14:paraId="171DA6BB">
            <w:pPr>
              <w:pStyle w:val="7"/>
            </w:pPr>
          </w:p>
        </w:tc>
        <w:tc>
          <w:tcPr>
            <w:tcW w:w="1961" w:type="dxa"/>
            <w:vAlign w:val="top"/>
          </w:tcPr>
          <w:p w14:paraId="47705760">
            <w:pPr>
              <w:pStyle w:val="7"/>
            </w:pPr>
          </w:p>
        </w:tc>
        <w:tc>
          <w:tcPr>
            <w:tcW w:w="1807" w:type="dxa"/>
            <w:vAlign w:val="top"/>
          </w:tcPr>
          <w:p w14:paraId="795C61A5">
            <w:pPr>
              <w:pStyle w:val="7"/>
            </w:pPr>
          </w:p>
        </w:tc>
        <w:tc>
          <w:tcPr>
            <w:tcW w:w="2211" w:type="dxa"/>
            <w:vAlign w:val="top"/>
          </w:tcPr>
          <w:p w14:paraId="16E033CE">
            <w:pPr>
              <w:pStyle w:val="7"/>
            </w:pPr>
          </w:p>
        </w:tc>
        <w:tc>
          <w:tcPr>
            <w:tcW w:w="2710" w:type="dxa"/>
            <w:vAlign w:val="top"/>
          </w:tcPr>
          <w:p w14:paraId="54BD2356">
            <w:pPr>
              <w:pStyle w:val="7"/>
            </w:pPr>
          </w:p>
        </w:tc>
        <w:tc>
          <w:tcPr>
            <w:tcW w:w="1749" w:type="dxa"/>
            <w:vAlign w:val="top"/>
          </w:tcPr>
          <w:p w14:paraId="5F18FDC2">
            <w:pPr>
              <w:pStyle w:val="7"/>
            </w:pPr>
          </w:p>
        </w:tc>
        <w:tc>
          <w:tcPr>
            <w:tcW w:w="1596" w:type="dxa"/>
            <w:vAlign w:val="top"/>
          </w:tcPr>
          <w:p w14:paraId="162650C1">
            <w:pPr>
              <w:pStyle w:val="7"/>
            </w:pPr>
          </w:p>
        </w:tc>
        <w:tc>
          <w:tcPr>
            <w:tcW w:w="1337" w:type="dxa"/>
            <w:vAlign w:val="top"/>
          </w:tcPr>
          <w:p w14:paraId="2C96E806">
            <w:pPr>
              <w:pStyle w:val="7"/>
            </w:pPr>
          </w:p>
        </w:tc>
      </w:tr>
      <w:tr w14:paraId="75CDE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52" w:type="dxa"/>
            <w:vAlign w:val="top"/>
          </w:tcPr>
          <w:p w14:paraId="3322B681">
            <w:pPr>
              <w:pStyle w:val="7"/>
            </w:pPr>
          </w:p>
        </w:tc>
        <w:tc>
          <w:tcPr>
            <w:tcW w:w="1961" w:type="dxa"/>
            <w:vAlign w:val="top"/>
          </w:tcPr>
          <w:p w14:paraId="3503A92A">
            <w:pPr>
              <w:pStyle w:val="7"/>
            </w:pPr>
          </w:p>
        </w:tc>
        <w:tc>
          <w:tcPr>
            <w:tcW w:w="1807" w:type="dxa"/>
            <w:vAlign w:val="top"/>
          </w:tcPr>
          <w:p w14:paraId="6835B4C0">
            <w:pPr>
              <w:pStyle w:val="7"/>
            </w:pPr>
          </w:p>
        </w:tc>
        <w:tc>
          <w:tcPr>
            <w:tcW w:w="2211" w:type="dxa"/>
            <w:vAlign w:val="top"/>
          </w:tcPr>
          <w:p w14:paraId="4AF21C7C">
            <w:pPr>
              <w:pStyle w:val="7"/>
            </w:pPr>
          </w:p>
        </w:tc>
        <w:tc>
          <w:tcPr>
            <w:tcW w:w="2710" w:type="dxa"/>
            <w:vAlign w:val="top"/>
          </w:tcPr>
          <w:p w14:paraId="253E7FC2">
            <w:pPr>
              <w:pStyle w:val="7"/>
            </w:pPr>
          </w:p>
        </w:tc>
        <w:tc>
          <w:tcPr>
            <w:tcW w:w="1749" w:type="dxa"/>
            <w:vAlign w:val="top"/>
          </w:tcPr>
          <w:p w14:paraId="60BA9C90">
            <w:pPr>
              <w:pStyle w:val="7"/>
            </w:pPr>
          </w:p>
        </w:tc>
        <w:tc>
          <w:tcPr>
            <w:tcW w:w="1596" w:type="dxa"/>
            <w:vAlign w:val="top"/>
          </w:tcPr>
          <w:p w14:paraId="6D46F1DC">
            <w:pPr>
              <w:pStyle w:val="7"/>
            </w:pPr>
          </w:p>
        </w:tc>
        <w:tc>
          <w:tcPr>
            <w:tcW w:w="1337" w:type="dxa"/>
            <w:vAlign w:val="top"/>
          </w:tcPr>
          <w:p w14:paraId="784FA4E4">
            <w:pPr>
              <w:pStyle w:val="7"/>
            </w:pPr>
          </w:p>
        </w:tc>
      </w:tr>
    </w:tbl>
    <w:p w14:paraId="2E3384D9">
      <w:pPr>
        <w:rPr>
          <w:rFonts w:ascii="Arial"/>
          <w:sz w:val="21"/>
        </w:rPr>
      </w:pPr>
    </w:p>
    <w:p w14:paraId="347EACB8">
      <w:pPr>
        <w:rPr>
          <w:rFonts w:ascii="Arial" w:hAnsi="Arial" w:eastAsia="Arial" w:cs="Arial"/>
          <w:sz w:val="21"/>
          <w:szCs w:val="21"/>
        </w:rPr>
        <w:sectPr>
          <w:footerReference r:id="rId5" w:type="default"/>
          <w:pgSz w:w="16839" w:h="11906"/>
          <w:pgMar w:top="1012" w:right="1305" w:bottom="1142" w:left="1304" w:header="0" w:footer="879" w:gutter="0"/>
          <w:cols w:space="720" w:num="1"/>
        </w:sectPr>
      </w:pPr>
    </w:p>
    <w:p w14:paraId="2582B604">
      <w:pPr>
        <w:spacing w:line="274" w:lineRule="auto"/>
        <w:rPr>
          <w:rFonts w:ascii="Arial"/>
          <w:sz w:val="21"/>
        </w:rPr>
      </w:pPr>
    </w:p>
    <w:p w14:paraId="054F9AF2">
      <w:pPr>
        <w:spacing w:line="275" w:lineRule="auto"/>
        <w:rPr>
          <w:rFonts w:ascii="Arial"/>
          <w:sz w:val="21"/>
        </w:rPr>
      </w:pPr>
    </w:p>
    <w:p w14:paraId="20E2993C">
      <w:pPr>
        <w:spacing w:before="101" w:line="230" w:lineRule="auto"/>
        <w:ind w:left="50"/>
        <w:rPr>
          <w:rFonts w:ascii="黑体" w:hAnsi="黑体" w:eastAsia="黑体" w:cs="黑体"/>
          <w:sz w:val="31"/>
          <w:szCs w:val="31"/>
        </w:rPr>
      </w:pPr>
      <w:bookmarkStart w:id="0" w:name="_GoBack"/>
      <w:bookmarkEnd w:id="0"/>
      <w:r>
        <w:rPr>
          <w:rFonts w:ascii="黑体" w:hAnsi="黑体" w:eastAsia="黑体" w:cs="黑体"/>
          <w:spacing w:val="-5"/>
          <w:sz w:val="31"/>
          <w:szCs w:val="31"/>
        </w:rPr>
        <w:t>附件</w:t>
      </w:r>
      <w:r>
        <w:rPr>
          <w:rFonts w:ascii="黑体" w:hAnsi="黑体" w:eastAsia="黑体" w:cs="黑体"/>
          <w:spacing w:val="-68"/>
          <w:sz w:val="31"/>
          <w:szCs w:val="31"/>
        </w:rPr>
        <w:t xml:space="preserve"> </w:t>
      </w:r>
      <w:r>
        <w:rPr>
          <w:rFonts w:ascii="黑体" w:hAnsi="黑体" w:eastAsia="黑体" w:cs="黑体"/>
          <w:spacing w:val="-5"/>
          <w:sz w:val="31"/>
          <w:szCs w:val="31"/>
        </w:rPr>
        <w:t>3</w:t>
      </w:r>
    </w:p>
    <w:p w14:paraId="26E4B999">
      <w:pPr>
        <w:spacing w:before="401" w:line="214" w:lineRule="auto"/>
        <w:ind w:left="446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5"/>
          <w:sz w:val="43"/>
          <w:szCs w:val="43"/>
        </w:rPr>
        <w:t>市本级行政检查事项汇总表</w:t>
      </w:r>
    </w:p>
    <w:p w14:paraId="1E07D25E">
      <w:pPr>
        <w:spacing w:before="18"/>
      </w:pPr>
    </w:p>
    <w:tbl>
      <w:tblPr>
        <w:tblStyle w:val="6"/>
        <w:tblW w:w="141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2634"/>
        <w:gridCol w:w="2960"/>
        <w:gridCol w:w="5152"/>
        <w:gridCol w:w="2396"/>
      </w:tblGrid>
      <w:tr w14:paraId="1F84C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91" w:type="dxa"/>
            <w:vAlign w:val="top"/>
          </w:tcPr>
          <w:p w14:paraId="786213F8">
            <w:pPr>
              <w:spacing w:before="195" w:line="223" w:lineRule="auto"/>
              <w:ind w:left="265"/>
              <w:rPr>
                <w:rFonts w:ascii="黑体" w:hAnsi="黑体" w:eastAsia="黑体" w:cs="黑体"/>
                <w:sz w:val="24"/>
                <w:szCs w:val="24"/>
              </w:rPr>
            </w:pPr>
            <w:r>
              <w:rPr>
                <w:rFonts w:ascii="黑体" w:hAnsi="黑体" w:eastAsia="黑体" w:cs="黑体"/>
                <w:spacing w:val="-5"/>
                <w:sz w:val="24"/>
                <w:szCs w:val="24"/>
              </w:rPr>
              <w:t>序号</w:t>
            </w:r>
          </w:p>
        </w:tc>
        <w:tc>
          <w:tcPr>
            <w:tcW w:w="2634" w:type="dxa"/>
            <w:vAlign w:val="top"/>
          </w:tcPr>
          <w:p w14:paraId="56C6DD04">
            <w:pPr>
              <w:spacing w:before="194" w:line="222" w:lineRule="auto"/>
              <w:ind w:left="378"/>
              <w:rPr>
                <w:rFonts w:ascii="黑体" w:hAnsi="黑体" w:eastAsia="黑体" w:cs="黑体"/>
                <w:sz w:val="24"/>
                <w:szCs w:val="24"/>
              </w:rPr>
            </w:pPr>
            <w:r>
              <w:rPr>
                <w:rFonts w:ascii="黑体" w:hAnsi="黑体" w:eastAsia="黑体" w:cs="黑体"/>
                <w:spacing w:val="-5"/>
                <w:sz w:val="24"/>
                <w:szCs w:val="24"/>
              </w:rPr>
              <w:t>行政检查事项名称</w:t>
            </w:r>
          </w:p>
        </w:tc>
        <w:tc>
          <w:tcPr>
            <w:tcW w:w="2960" w:type="dxa"/>
            <w:vAlign w:val="top"/>
          </w:tcPr>
          <w:p w14:paraId="3C2B51EA">
            <w:pPr>
              <w:spacing w:before="195" w:line="219" w:lineRule="auto"/>
              <w:ind w:left="780"/>
              <w:rPr>
                <w:rFonts w:ascii="黑体" w:hAnsi="黑体" w:eastAsia="黑体" w:cs="黑体"/>
                <w:sz w:val="24"/>
                <w:szCs w:val="24"/>
              </w:rPr>
            </w:pPr>
            <w:r>
              <w:rPr>
                <w:rFonts w:ascii="黑体" w:hAnsi="黑体" w:eastAsia="黑体" w:cs="黑体"/>
                <w:spacing w:val="-5"/>
                <w:sz w:val="24"/>
                <w:szCs w:val="24"/>
              </w:rPr>
              <w:t>行政执法部门</w:t>
            </w:r>
          </w:p>
        </w:tc>
        <w:tc>
          <w:tcPr>
            <w:tcW w:w="5152" w:type="dxa"/>
            <w:vAlign w:val="top"/>
          </w:tcPr>
          <w:p w14:paraId="0E731680">
            <w:pPr>
              <w:spacing w:before="194" w:line="222" w:lineRule="auto"/>
              <w:ind w:left="1759"/>
              <w:rPr>
                <w:rFonts w:ascii="黑体" w:hAnsi="黑体" w:eastAsia="黑体" w:cs="黑体"/>
                <w:sz w:val="24"/>
                <w:szCs w:val="24"/>
              </w:rPr>
            </w:pPr>
            <w:r>
              <w:rPr>
                <w:rFonts w:ascii="黑体" w:hAnsi="黑体" w:eastAsia="黑体" w:cs="黑体"/>
                <w:spacing w:val="-5"/>
                <w:sz w:val="24"/>
                <w:szCs w:val="24"/>
              </w:rPr>
              <w:t>设定和实施依据</w:t>
            </w:r>
          </w:p>
        </w:tc>
        <w:tc>
          <w:tcPr>
            <w:tcW w:w="2396" w:type="dxa"/>
            <w:vAlign w:val="top"/>
          </w:tcPr>
          <w:p w14:paraId="0749550A">
            <w:pPr>
              <w:spacing w:before="194" w:line="221" w:lineRule="auto"/>
              <w:ind w:left="729"/>
              <w:rPr>
                <w:rFonts w:ascii="黑体" w:hAnsi="黑体" w:eastAsia="黑体" w:cs="黑体"/>
                <w:sz w:val="24"/>
                <w:szCs w:val="24"/>
              </w:rPr>
            </w:pPr>
            <w:r>
              <w:rPr>
                <w:rFonts w:ascii="黑体" w:hAnsi="黑体" w:eastAsia="黑体" w:cs="黑体"/>
                <w:spacing w:val="-4"/>
                <w:sz w:val="24"/>
                <w:szCs w:val="24"/>
              </w:rPr>
              <w:t>检查层级</w:t>
            </w:r>
          </w:p>
        </w:tc>
      </w:tr>
      <w:tr w14:paraId="125DE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991" w:type="dxa"/>
            <w:vAlign w:val="center"/>
          </w:tcPr>
          <w:p w14:paraId="5A48990E">
            <w:pPr>
              <w:jc w:val="center"/>
              <w:rPr>
                <w:rFonts w:hint="eastAsia"/>
                <w:lang w:val="en-US" w:eastAsia="zh-CN"/>
              </w:rPr>
            </w:pPr>
            <w:r>
              <w:rPr>
                <w:rFonts w:hint="eastAsia"/>
                <w:lang w:val="en-US" w:eastAsia="zh-CN"/>
              </w:rPr>
              <w:t>1</w:t>
            </w:r>
          </w:p>
        </w:tc>
        <w:tc>
          <w:tcPr>
            <w:tcW w:w="2634" w:type="dxa"/>
            <w:vAlign w:val="center"/>
          </w:tcPr>
          <w:p w14:paraId="4B4E5DB3">
            <w:r>
              <w:rPr>
                <w:rFonts w:hint="eastAsia"/>
              </w:rPr>
              <w:t>对燃气经营、燃气使用的安全状况等进行监督检查</w:t>
            </w:r>
          </w:p>
        </w:tc>
        <w:tc>
          <w:tcPr>
            <w:tcW w:w="2960" w:type="dxa"/>
            <w:vAlign w:val="center"/>
          </w:tcPr>
          <w:p w14:paraId="61643384">
            <w:r>
              <w:rPr>
                <w:rFonts w:hint="eastAsia"/>
                <w:lang w:eastAsia="zh-CN"/>
              </w:rPr>
              <w:t>焦作市城市管理局</w:t>
            </w:r>
          </w:p>
        </w:tc>
        <w:tc>
          <w:tcPr>
            <w:tcW w:w="5152" w:type="dxa"/>
            <w:vAlign w:val="center"/>
          </w:tcPr>
          <w:p w14:paraId="22A2A6FB">
            <w:r>
              <w:rPr>
                <w:rFonts w:hint="eastAsia"/>
              </w:rPr>
              <w:t>《城镇燃气管理条例》第四十一条规定：“燃燃气管理部门以及其他有关部门和单位应当根据各自职责，对燃气经营、燃气使用的安全状况等进行监督检查。”</w:t>
            </w:r>
          </w:p>
        </w:tc>
        <w:tc>
          <w:tcPr>
            <w:tcW w:w="2396" w:type="dxa"/>
            <w:vAlign w:val="center"/>
          </w:tcPr>
          <w:p w14:paraId="5A396D6C">
            <w:pPr>
              <w:rPr>
                <w:rFonts w:hint="eastAsia"/>
              </w:rPr>
            </w:pPr>
            <w:r>
              <w:rPr>
                <w:rFonts w:hint="eastAsia"/>
              </w:rPr>
              <w:t>市本级</w:t>
            </w:r>
          </w:p>
        </w:tc>
      </w:tr>
      <w:tr w14:paraId="03D92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991" w:type="dxa"/>
            <w:vAlign w:val="center"/>
          </w:tcPr>
          <w:p w14:paraId="284D040E">
            <w:pPr>
              <w:jc w:val="center"/>
              <w:rPr>
                <w:rFonts w:hint="eastAsia"/>
                <w:lang w:val="en-US" w:eastAsia="zh-CN"/>
              </w:rPr>
            </w:pPr>
            <w:r>
              <w:rPr>
                <w:rFonts w:hint="eastAsia"/>
                <w:lang w:val="en-US" w:eastAsia="zh-CN"/>
              </w:rPr>
              <w:t>2</w:t>
            </w:r>
          </w:p>
        </w:tc>
        <w:tc>
          <w:tcPr>
            <w:tcW w:w="2634" w:type="dxa"/>
            <w:vAlign w:val="center"/>
          </w:tcPr>
          <w:p w14:paraId="60D9DAC9">
            <w:r>
              <w:rPr>
                <w:rFonts w:hint="eastAsia"/>
                <w:lang w:val="en-US" w:eastAsia="zh-CN"/>
              </w:rPr>
              <w:t>城市绿线控制和实施情况检查</w:t>
            </w:r>
          </w:p>
        </w:tc>
        <w:tc>
          <w:tcPr>
            <w:tcW w:w="2960" w:type="dxa"/>
            <w:vAlign w:val="center"/>
          </w:tcPr>
          <w:p w14:paraId="419E6877">
            <w:r>
              <w:rPr>
                <w:rFonts w:hint="eastAsia"/>
                <w:lang w:eastAsia="zh-CN"/>
              </w:rPr>
              <w:t>焦作市城市管理局</w:t>
            </w:r>
          </w:p>
        </w:tc>
        <w:tc>
          <w:tcPr>
            <w:tcW w:w="5152" w:type="dxa"/>
            <w:vAlign w:val="center"/>
          </w:tcPr>
          <w:p w14:paraId="1C57C0F6">
            <w:r>
              <w:rPr>
                <w:rFonts w:hint="eastAsia"/>
              </w:rPr>
              <w:t>《城市绿线管理办法》第十四条 城市人民政府规划、园林绿化行政主管部门按照职责分工，对城市绿线的控制和实施情况进行检查，并向同级人民政府和上级行政主管部门报告。</w:t>
            </w:r>
          </w:p>
        </w:tc>
        <w:tc>
          <w:tcPr>
            <w:tcW w:w="2396" w:type="dxa"/>
            <w:vAlign w:val="center"/>
          </w:tcPr>
          <w:p w14:paraId="1F6B5381">
            <w:pPr>
              <w:rPr>
                <w:rFonts w:hint="eastAsia"/>
              </w:rPr>
            </w:pPr>
            <w:r>
              <w:rPr>
                <w:rFonts w:hint="eastAsia"/>
              </w:rPr>
              <w:t>市本级</w:t>
            </w:r>
          </w:p>
        </w:tc>
      </w:tr>
      <w:tr w14:paraId="1D81F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991" w:type="dxa"/>
            <w:vAlign w:val="center"/>
          </w:tcPr>
          <w:p w14:paraId="0B2CE8F9">
            <w:pPr>
              <w:jc w:val="center"/>
              <w:rPr>
                <w:rFonts w:hint="default"/>
                <w:lang w:val="en-US" w:eastAsia="zh-CN"/>
              </w:rPr>
            </w:pPr>
            <w:r>
              <w:rPr>
                <w:rFonts w:hint="eastAsia"/>
                <w:lang w:val="en-US" w:eastAsia="zh-CN"/>
              </w:rPr>
              <w:t>3</w:t>
            </w:r>
          </w:p>
        </w:tc>
        <w:tc>
          <w:tcPr>
            <w:tcW w:w="2634" w:type="dxa"/>
            <w:vAlign w:val="center"/>
          </w:tcPr>
          <w:p w14:paraId="75BB5C6A">
            <w:r>
              <w:rPr>
                <w:rFonts w:hint="eastAsia"/>
                <w:lang w:val="en-US" w:eastAsia="zh-CN"/>
              </w:rPr>
              <w:t>城市生活废弃物的收集、运输和处理监督检查</w:t>
            </w:r>
          </w:p>
        </w:tc>
        <w:tc>
          <w:tcPr>
            <w:tcW w:w="2960" w:type="dxa"/>
            <w:vAlign w:val="center"/>
          </w:tcPr>
          <w:p w14:paraId="1DF3409D">
            <w:r>
              <w:rPr>
                <w:rFonts w:hint="eastAsia"/>
                <w:lang w:eastAsia="zh-CN"/>
              </w:rPr>
              <w:t>焦作市城市管理局</w:t>
            </w:r>
          </w:p>
        </w:tc>
        <w:tc>
          <w:tcPr>
            <w:tcW w:w="5152" w:type="dxa"/>
            <w:vAlign w:val="center"/>
          </w:tcPr>
          <w:p w14:paraId="0CE9D791">
            <w:r>
              <w:rPr>
                <w:rFonts w:hint="eastAsia"/>
              </w:rPr>
              <w:t>《城市市容和环境卫生管理条例》第二十八条：“城市人民政府市容环境卫生行政主管部门对城市生活废弃物的收集、运输和处理实施监督管理。 一切单位和个人，都应当依照城市人民政府市容环境卫生行政主管部门规定的时间、地点、方式，倾倒垃圾、粪便。”</w:t>
            </w:r>
          </w:p>
        </w:tc>
        <w:tc>
          <w:tcPr>
            <w:tcW w:w="2396" w:type="dxa"/>
            <w:vAlign w:val="center"/>
          </w:tcPr>
          <w:p w14:paraId="3AA936F2">
            <w:pPr>
              <w:rPr>
                <w:rFonts w:hint="eastAsia"/>
              </w:rPr>
            </w:pPr>
            <w:r>
              <w:rPr>
                <w:rFonts w:hint="eastAsia"/>
              </w:rPr>
              <w:t>市本级</w:t>
            </w:r>
          </w:p>
        </w:tc>
      </w:tr>
      <w:tr w14:paraId="16D6F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991" w:type="dxa"/>
            <w:vAlign w:val="center"/>
          </w:tcPr>
          <w:p w14:paraId="41485A74">
            <w:pPr>
              <w:jc w:val="center"/>
              <w:rPr>
                <w:rFonts w:hint="default"/>
                <w:lang w:val="en-US" w:eastAsia="zh-CN"/>
              </w:rPr>
            </w:pPr>
            <w:r>
              <w:rPr>
                <w:rFonts w:hint="eastAsia"/>
                <w:lang w:val="en-US" w:eastAsia="zh-CN"/>
              </w:rPr>
              <w:t>4</w:t>
            </w:r>
          </w:p>
        </w:tc>
        <w:tc>
          <w:tcPr>
            <w:tcW w:w="2634" w:type="dxa"/>
            <w:vAlign w:val="center"/>
          </w:tcPr>
          <w:p w14:paraId="173859C0">
            <w:r>
              <w:rPr>
                <w:rFonts w:hint="eastAsia"/>
                <w:lang w:val="en-US" w:eastAsia="zh-CN"/>
              </w:rPr>
              <w:t>城市生活垃圾经营性清扫、收集、运输、处置企业监督检查</w:t>
            </w:r>
          </w:p>
        </w:tc>
        <w:tc>
          <w:tcPr>
            <w:tcW w:w="2960" w:type="dxa"/>
            <w:vAlign w:val="center"/>
          </w:tcPr>
          <w:p w14:paraId="1F7F1825">
            <w:r>
              <w:rPr>
                <w:rFonts w:hint="eastAsia"/>
                <w:lang w:eastAsia="zh-CN"/>
              </w:rPr>
              <w:t>焦作市城市管理局</w:t>
            </w:r>
          </w:p>
        </w:tc>
        <w:tc>
          <w:tcPr>
            <w:tcW w:w="5152" w:type="dxa"/>
            <w:vAlign w:val="center"/>
          </w:tcPr>
          <w:p w14:paraId="53E117D8">
            <w:r>
              <w:rPr>
                <w:rFonts w:hint="eastAsia"/>
              </w:rPr>
              <w:t>《城市生活垃圾管理办法》第二十九条：“ 国务院建设主管部门和省、自治区人民政府建设主管部门应当建立健全监督管理制度，对本办法的执行情况进行监督检查。</w:t>
            </w:r>
          </w:p>
        </w:tc>
        <w:tc>
          <w:tcPr>
            <w:tcW w:w="2396" w:type="dxa"/>
            <w:vAlign w:val="center"/>
          </w:tcPr>
          <w:p w14:paraId="6C58239D">
            <w:pPr>
              <w:rPr>
                <w:rFonts w:hint="eastAsia"/>
              </w:rPr>
            </w:pPr>
            <w:r>
              <w:rPr>
                <w:rFonts w:hint="eastAsia"/>
              </w:rPr>
              <w:t>市本级</w:t>
            </w:r>
          </w:p>
        </w:tc>
      </w:tr>
      <w:tr w14:paraId="11207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991" w:type="dxa"/>
            <w:vAlign w:val="center"/>
          </w:tcPr>
          <w:p w14:paraId="6133C591">
            <w:pPr>
              <w:jc w:val="center"/>
              <w:rPr>
                <w:rFonts w:hint="default"/>
                <w:lang w:val="en-US" w:eastAsia="zh-CN"/>
              </w:rPr>
            </w:pPr>
            <w:r>
              <w:rPr>
                <w:rFonts w:hint="eastAsia"/>
                <w:lang w:val="en-US" w:eastAsia="zh-CN"/>
              </w:rPr>
              <w:t>5</w:t>
            </w:r>
          </w:p>
        </w:tc>
        <w:tc>
          <w:tcPr>
            <w:tcW w:w="2634" w:type="dxa"/>
            <w:vAlign w:val="center"/>
          </w:tcPr>
          <w:p w14:paraId="4B3B89E7">
            <w:r>
              <w:rPr>
                <w:rFonts w:hint="eastAsia"/>
                <w:lang w:val="en-US" w:eastAsia="zh-CN"/>
              </w:rPr>
              <w:t>排水户排放污水情况监督检查</w:t>
            </w:r>
          </w:p>
        </w:tc>
        <w:tc>
          <w:tcPr>
            <w:tcW w:w="2960" w:type="dxa"/>
            <w:vAlign w:val="center"/>
          </w:tcPr>
          <w:p w14:paraId="6DEAFE5F"/>
        </w:tc>
        <w:tc>
          <w:tcPr>
            <w:tcW w:w="5152" w:type="dxa"/>
            <w:vAlign w:val="center"/>
          </w:tcPr>
          <w:p w14:paraId="3BBC5159">
            <w:r>
              <w:rPr>
                <w:rFonts w:hint="eastAsia"/>
              </w:rPr>
              <w:t>《城镇排水与污水处理条例》第三十四条：县级以上地方人民政府环境保护主管部门应当依法对城镇污水处理设施的出水水质和水量进行监督检查。城镇排水主管部门应当对城镇污水处理设施运营情况进行监督和考核，并将监督考核情况向社会公布。有关单位和个人应当予以配合。城镇污水处理设施维护运营单位应当为进出水在线监测系统的安全运行提供保障条件。</w:t>
            </w:r>
          </w:p>
        </w:tc>
        <w:tc>
          <w:tcPr>
            <w:tcW w:w="2396" w:type="dxa"/>
            <w:vAlign w:val="center"/>
          </w:tcPr>
          <w:p w14:paraId="269648C4">
            <w:pPr>
              <w:rPr>
                <w:rFonts w:hint="eastAsia"/>
              </w:rPr>
            </w:pPr>
            <w:r>
              <w:rPr>
                <w:rFonts w:hint="eastAsia"/>
              </w:rPr>
              <w:t>市本级</w:t>
            </w:r>
          </w:p>
        </w:tc>
      </w:tr>
    </w:tbl>
    <w:p w14:paraId="40C6D74E">
      <w:pPr>
        <w:rPr>
          <w:rFonts w:ascii="Arial"/>
          <w:sz w:val="21"/>
        </w:rPr>
      </w:pPr>
    </w:p>
    <w:sectPr>
      <w:footerReference r:id="rId6" w:type="default"/>
      <w:pgSz w:w="16839" w:h="11906"/>
      <w:pgMar w:top="1012" w:right="1304" w:bottom="1142" w:left="1395" w:header="0" w:footer="8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0867">
    <w:pPr>
      <w:spacing w:line="188" w:lineRule="auto"/>
      <w:ind w:left="6843"/>
      <w:rPr>
        <w:rFonts w:ascii="Arial" w:hAnsi="Arial" w:eastAsia="Arial" w:cs="Arial"/>
        <w:sz w:val="28"/>
        <w:szCs w:val="28"/>
      </w:rPr>
    </w:pPr>
    <w:r>
      <w:rPr>
        <w:rFonts w:ascii="Arial" w:hAnsi="Arial" w:eastAsia="Arial" w:cs="Arial"/>
        <w:spacing w:val="-8"/>
        <w:sz w:val="28"/>
        <w:szCs w:val="28"/>
      </w:rPr>
      <w:t>—</w:t>
    </w:r>
    <w:r>
      <w:rPr>
        <w:rFonts w:ascii="Arial" w:hAnsi="Arial" w:eastAsia="Arial" w:cs="Arial"/>
        <w:spacing w:val="70"/>
        <w:w w:val="101"/>
        <w:sz w:val="28"/>
        <w:szCs w:val="28"/>
      </w:rPr>
      <w:t xml:space="preserve"> </w:t>
    </w:r>
    <w:r>
      <w:rPr>
        <w:rFonts w:ascii="Arial" w:hAnsi="Arial" w:eastAsia="Arial" w:cs="Arial"/>
        <w:spacing w:val="-8"/>
        <w:sz w:val="28"/>
        <w:szCs w:val="28"/>
      </w:rPr>
      <w:t>9</w:t>
    </w:r>
    <w:r>
      <w:rPr>
        <w:rFonts w:ascii="Arial" w:hAnsi="Arial" w:eastAsia="Arial" w:cs="Arial"/>
        <w:spacing w:val="62"/>
        <w:sz w:val="28"/>
        <w:szCs w:val="28"/>
      </w:rPr>
      <w:t xml:space="preserve"> </w:t>
    </w:r>
    <w:r>
      <w:rPr>
        <w:rFonts w:ascii="Arial" w:hAnsi="Arial" w:eastAsia="Arial" w:cs="Arial"/>
        <w:spacing w:val="-8"/>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80641">
    <w:pPr>
      <w:spacing w:line="188" w:lineRule="auto"/>
      <w:ind w:left="6752"/>
      <w:rPr>
        <w:rFonts w:ascii="Arial" w:hAnsi="Arial" w:eastAsia="Arial" w:cs="Arial"/>
        <w:sz w:val="28"/>
        <w:szCs w:val="28"/>
      </w:rPr>
    </w:pPr>
    <w:r>
      <w:rPr>
        <w:rFonts w:ascii="Arial" w:hAnsi="Arial" w:eastAsia="Arial" w:cs="Arial"/>
        <w:spacing w:val="-13"/>
        <w:sz w:val="28"/>
        <w:szCs w:val="28"/>
      </w:rPr>
      <w:t>—</w:t>
    </w:r>
    <w:r>
      <w:rPr>
        <w:rFonts w:ascii="Arial" w:hAnsi="Arial" w:eastAsia="Arial" w:cs="Arial"/>
        <w:spacing w:val="2"/>
        <w:sz w:val="28"/>
        <w:szCs w:val="28"/>
      </w:rPr>
      <w:t xml:space="preserve">  </w:t>
    </w:r>
    <w:r>
      <w:rPr>
        <w:rFonts w:ascii="Arial" w:hAnsi="Arial" w:eastAsia="Arial" w:cs="Arial"/>
        <w:spacing w:val="-13"/>
        <w:sz w:val="28"/>
        <w:szCs w:val="28"/>
      </w:rPr>
      <w:t>10</w:t>
    </w:r>
    <w:r>
      <w:rPr>
        <w:rFonts w:ascii="Arial" w:hAnsi="Arial" w:eastAsia="Arial" w:cs="Arial"/>
        <w:spacing w:val="63"/>
        <w:sz w:val="28"/>
        <w:szCs w:val="28"/>
      </w:rPr>
      <w:t xml:space="preserve"> </w:t>
    </w:r>
    <w:r>
      <w:rPr>
        <w:rFonts w:ascii="Arial" w:hAnsi="Arial" w:eastAsia="Arial" w:cs="Arial"/>
        <w:spacing w:val="-13"/>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F10975"/>
    <w:rsid w:val="27B70B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860</Words>
  <Characters>863</Characters>
  <TotalTime>2</TotalTime>
  <ScaleCrop>false</ScaleCrop>
  <LinksUpToDate>false</LinksUpToDate>
  <CharactersWithSpaces>869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2025-02-08T09:37:00Z</dcterms:created>
  <dc:creator>微软用户</dc:creator>
  <cp:lastModifiedBy>冯奎</cp:lastModifiedBy>
  <dcterms:modified xsi:type="dcterms:W3CDTF">2025-02-14T13:57:41Z</dcterms:modified>
  <dc:title>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2025-02-11T15:57:23Z</vt:filetime>
  </property>
  <property fmtid="{D5CDD505-2E9C-101B-9397-08002B2CF9AE}" pid="4" name="KSOTemplateDocerSaveRecord">
    <vt:lpwstr>eyJoZGlkIjoiNDBjYTY0YTliMzYxYzIzM2E5MjNmYmQwOTZlYWIyZGEiLCJ1c2VySWQiOiIyMjQ1NjQwMzMifQ==</vt:lpwstr>
  </property>
  <property fmtid="{D5CDD505-2E9C-101B-9397-08002B2CF9AE}" pid="5" name="KSOProductBuildVer">
    <vt:lpwstr>2052-12.1.0.19770</vt:lpwstr>
  </property>
  <property fmtid="{D5CDD505-2E9C-101B-9397-08002B2CF9AE}" pid="6" name="ICV">
    <vt:lpwstr>B678AEB1F2644EB9AA4388B311554757_12</vt:lpwstr>
  </property>
</Properties>
</file>