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rPr>
          <w:rFonts w:hint="eastAsia" w:ascii="Times New Roman" w:hAnsi="Times New Roman" w:eastAsia="方正小标宋简体" w:cs="方正小标宋简体"/>
          <w:b w:val="0"/>
          <w:bC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rPr>
          <w:rFonts w:hint="eastAsia" w:ascii="Times New Roman" w:hAnsi="Times New Roman" w:eastAsia="方正小标宋简体" w:cs="方正小标宋简体"/>
          <w:b w:val="0"/>
          <w:bC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rPr>
          <w:rFonts w:hint="eastAsia" w:ascii="Times New Roman" w:hAnsi="Times New Roman" w:eastAsia="方正小标宋简体" w:cs="方正小标宋简体"/>
          <w:b w:val="0"/>
          <w:bC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rPr>
          <w:rFonts w:hint="eastAsia" w:ascii="Times New Roman" w:hAnsi="Times New Roman" w:eastAsia="方正小标宋简体" w:cs="方正小标宋简体"/>
          <w:b w:val="0"/>
          <w:bC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eastAsia" w:ascii="Times New Roman" w:hAnsi="Times New Roman" w:eastAsia="方正小标宋简体" w:cs="方正小标宋简体"/>
          <w:b w:val="0"/>
          <w:bCs w:val="0"/>
          <w:color w:val="000000" w:themeColor="text1"/>
          <w:sz w:val="44"/>
          <w:szCs w:val="44"/>
          <w:lang w:eastAsia="zh-CN"/>
          <w14:textFill>
            <w14:solidFill>
              <w14:schemeClr w14:val="tx1"/>
            </w14:solidFill>
          </w14:textFill>
        </w:rPr>
      </w:pPr>
      <w:r>
        <w:rPr>
          <w:rFonts w:hint="eastAsia" w:ascii="Times New Roman" w:hAnsi="Times New Roman" w:eastAsia="方正小标宋简体" w:cs="方正小标宋简体"/>
          <w:b w:val="0"/>
          <w:bCs w:val="0"/>
          <w:color w:val="000000" w:themeColor="text1"/>
          <w:sz w:val="44"/>
          <w:szCs w:val="44"/>
          <w:lang w:eastAsia="zh-CN"/>
          <w14:textFill>
            <w14:solidFill>
              <w14:schemeClr w14:val="tx1"/>
            </w14:solidFill>
          </w14:textFill>
        </w:rPr>
        <w:t>焦作市“十四五”现代综合交通运输体系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Times New Roman" w:hAnsi="Times New Roman" w:eastAsia="楷体_GB2312" w:cs="Times New Roman"/>
          <w:b w:val="0"/>
          <w:bCs w:val="0"/>
          <w:color w:val="000000" w:themeColor="text1"/>
          <w:sz w:val="36"/>
          <w:szCs w:val="36"/>
          <w:lang w:eastAsia="zh-CN"/>
          <w14:textFill>
            <w14:solidFill>
              <w14:schemeClr w14:val="tx1"/>
            </w14:solidFill>
          </w14:textFill>
        </w:rPr>
      </w:pPr>
      <w:r>
        <w:rPr>
          <w:rFonts w:hint="eastAsia" w:ascii="Times New Roman" w:hAnsi="Times New Roman" w:eastAsia="方正小标宋简体" w:cs="方正小标宋简体"/>
          <w:b w:val="0"/>
          <w:bCs w:val="0"/>
          <w:color w:val="000000" w:themeColor="text1"/>
          <w:sz w:val="44"/>
          <w:szCs w:val="44"/>
          <w:lang w:eastAsia="zh-CN"/>
          <w14:textFill>
            <w14:solidFill>
              <w14:schemeClr w14:val="tx1"/>
            </w14:solidFill>
          </w14:textFill>
        </w:rPr>
        <w:t>和枢纽经济发展规划</w:t>
      </w:r>
      <w:r>
        <w:rPr>
          <w:rFonts w:hint="eastAsia" w:ascii="Times New Roman" w:hAnsi="Times New Roman" w:eastAsia="楷体_GB2312" w:cs="Times New Roman"/>
          <w:b w:val="0"/>
          <w:bCs w:val="0"/>
          <w:color w:val="000000" w:themeColor="text1"/>
          <w:sz w:val="36"/>
          <w:szCs w:val="36"/>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both"/>
        <w:textAlignment w:val="auto"/>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b w:val="0"/>
          <w:bCs w:val="0"/>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Times New Roman" w:hAnsi="Times New Roman" w:eastAsia="方正小标宋简体" w:cs="Times New Roman"/>
          <w:b w:val="0"/>
          <w:bCs w:val="0"/>
          <w:color w:val="000000" w:themeColor="text1"/>
          <w:sz w:val="44"/>
          <w:szCs w:val="44"/>
          <w:lang w:eastAsia="zh-CN"/>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b w:val="0"/>
          <w:bCs w:val="0"/>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黑体"/>
          <w:b w:val="0"/>
          <w:bCs w:val="0"/>
          <w:color w:val="000000" w:themeColor="text1"/>
          <w:sz w:val="36"/>
          <w:szCs w:val="36"/>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黑体"/>
          <w:b w:val="0"/>
          <w:bCs w:val="0"/>
          <w:color w:val="000000" w:themeColor="text1"/>
          <w:sz w:val="36"/>
          <w:szCs w:val="36"/>
          <w14:textFill>
            <w14:solidFill>
              <w14:schemeClr w14:val="tx1"/>
            </w14:solidFill>
          </w14:textFill>
        </w:rPr>
      </w:pPr>
      <w:r>
        <w:rPr>
          <w:rFonts w:hint="eastAsia" w:ascii="Times New Roman" w:hAnsi="Times New Roman" w:eastAsia="黑体"/>
          <w:b w:val="0"/>
          <w:bCs w:val="0"/>
          <w:color w:val="000000" w:themeColor="text1"/>
          <w:sz w:val="36"/>
          <w:szCs w:val="36"/>
          <w14:textFill>
            <w14:solidFill>
              <w14:schemeClr w14:val="tx1"/>
            </w14:solidFill>
          </w14:textFill>
        </w:rPr>
        <w:t>焦作市交通运输局</w:t>
      </w:r>
    </w:p>
    <w:p>
      <w:pPr>
        <w:keepNext w:val="0"/>
        <w:keepLines w:val="0"/>
        <w:pageBreakBefore w:val="0"/>
        <w:widowControl w:val="0"/>
        <w:kinsoku/>
        <w:wordWrap/>
        <w:overflowPunct/>
        <w:topLinePunct w:val="0"/>
        <w:autoSpaceDE/>
        <w:autoSpaceDN/>
        <w:bidi w:val="0"/>
        <w:adjustRightInd/>
        <w:snapToGrid w:val="0"/>
        <w:spacing w:line="580" w:lineRule="exact"/>
        <w:ind w:firstLine="0" w:firstLineChars="0"/>
        <w:jc w:val="center"/>
        <w:textAlignment w:val="auto"/>
        <w:rPr>
          <w:rFonts w:hint="eastAsia" w:ascii="Times New Roman" w:hAnsi="Times New Roman" w:eastAsia="黑体" w:cs="Times New Roman"/>
          <w:color w:val="000000" w:themeColor="text1"/>
          <w:sz w:val="36"/>
          <w:szCs w:val="36"/>
          <w14:textFill>
            <w14:solidFill>
              <w14:schemeClr w14:val="tx1"/>
            </w14:solidFill>
          </w14:textFill>
        </w:rPr>
      </w:pPr>
      <w:r>
        <w:rPr>
          <w:rFonts w:hint="eastAsia" w:ascii="Times New Roman" w:hAnsi="Times New Roman" w:eastAsia="黑体" w:cs="Times New Roman"/>
          <w:color w:val="000000" w:themeColor="text1"/>
          <w:sz w:val="36"/>
          <w:szCs w:val="36"/>
          <w14:textFill>
            <w14:solidFill>
              <w14:schemeClr w14:val="tx1"/>
            </w14:solidFill>
          </w14:textFill>
        </w:rPr>
        <w:t>二〇二二年</w:t>
      </w:r>
      <w:r>
        <w:rPr>
          <w:rFonts w:hint="eastAsia" w:ascii="Times New Roman" w:hAnsi="Times New Roman" w:eastAsia="黑体" w:cs="Times New Roman"/>
          <w:color w:val="000000" w:themeColor="text1"/>
          <w:sz w:val="36"/>
          <w:szCs w:val="36"/>
          <w:lang w:eastAsia="zh-CN"/>
          <w14:textFill>
            <w14:solidFill>
              <w14:schemeClr w14:val="tx1"/>
            </w14:solidFill>
          </w14:textFill>
        </w:rPr>
        <w:t>四</w:t>
      </w:r>
      <w:r>
        <w:rPr>
          <w:rFonts w:hint="eastAsia" w:ascii="Times New Roman" w:hAnsi="Times New Roman" w:eastAsia="黑体" w:cs="Times New Roman"/>
          <w:color w:val="000000" w:themeColor="text1"/>
          <w:sz w:val="36"/>
          <w:szCs w:val="36"/>
          <w14:textFill>
            <w14:solidFill>
              <w14:schemeClr w14:val="tx1"/>
            </w14:solidFill>
          </w14:textFill>
        </w:rPr>
        <w:t>月</w:t>
      </w:r>
    </w:p>
    <w:p>
      <w:pPr>
        <w:ind w:firstLine="640"/>
        <w:jc w:val="center"/>
        <w:rPr>
          <w:rFonts w:ascii="Times New Roman" w:hAnsi="Times New Roman"/>
        </w:rPr>
      </w:pPr>
    </w:p>
    <w:p>
      <w:pPr>
        <w:ind w:firstLine="640"/>
        <w:jc w:val="center"/>
        <w:rPr>
          <w:rFonts w:ascii="Times New Roman" w:hAnsi="Times New Roman"/>
        </w:rPr>
      </w:pPr>
    </w:p>
    <w:p>
      <w:pPr>
        <w:ind w:firstLine="640"/>
        <w:jc w:val="center"/>
        <w:rPr>
          <w:rFonts w:ascii="Times New Roman" w:hAnsi="Times New Roman"/>
        </w:rPr>
      </w:pPr>
    </w:p>
    <w:p>
      <w:pPr>
        <w:ind w:firstLine="0" w:firstLineChars="0"/>
        <w:jc w:val="center"/>
        <w:rPr>
          <w:rFonts w:ascii="Times New Roman" w:hAnsi="Times New Roman" w:eastAsia="楷体" w:cs="Times New Roman"/>
          <w:b/>
          <w:szCs w:val="32"/>
        </w:rPr>
        <w:sectPr>
          <w:headerReference r:id="rId7" w:type="first"/>
          <w:footerReference r:id="rId10" w:type="first"/>
          <w:headerReference r:id="rId5" w:type="default"/>
          <w:footerReference r:id="rId8" w:type="default"/>
          <w:headerReference r:id="rId6" w:type="even"/>
          <w:footerReference r:id="rId9" w:type="even"/>
          <w:pgSz w:w="11906" w:h="16838"/>
          <w:pgMar w:top="2098" w:right="1531" w:bottom="1757" w:left="1531" w:header="851" w:footer="1191" w:gutter="0"/>
          <w:pgBorders>
            <w:top w:val="none" w:sz="0" w:space="0"/>
            <w:left w:val="none" w:sz="0" w:space="0"/>
            <w:bottom w:val="none" w:sz="0" w:space="0"/>
            <w:right w:val="none" w:sz="0" w:space="0"/>
          </w:pgBorders>
          <w:pgNumType w:fmt="decimal"/>
          <w:cols w:space="0" w:num="1"/>
          <w:rtlGutter w:val="0"/>
          <w:docGrid w:type="lines" w:linePitch="312" w:charSpace="0"/>
        </w:sectPr>
      </w:pPr>
    </w:p>
    <w:p>
      <w:pPr>
        <w:rPr>
          <w:rFonts w:ascii="Times New Roman" w:hAnsi="Times New Roman"/>
        </w:rPr>
      </w:pPr>
      <w:bookmarkStart w:id="0" w:name="_Toc54704847"/>
      <w:bookmarkStart w:id="1" w:name="_Toc37229871"/>
      <w:bookmarkStart w:id="2" w:name="_Toc94015245"/>
      <w:bookmarkStart w:id="3" w:name="_Toc437677291"/>
      <w:bookmarkStart w:id="4" w:name="_Toc56245386"/>
      <w:bookmarkStart w:id="5" w:name="_Toc42075737"/>
      <w:bookmarkStart w:id="6" w:name="_Toc96455121"/>
      <w:bookmarkStart w:id="7" w:name="_Toc42076475"/>
      <w:bookmarkStart w:id="8" w:name="_Toc93305799"/>
      <w:bookmarkStart w:id="9" w:name="_Toc91665484"/>
      <w:bookmarkStart w:id="10" w:name="_Toc94194351"/>
      <w:bookmarkStart w:id="11" w:name="_Toc93306796"/>
      <w:bookmarkStart w:id="12" w:name="_Toc60235070"/>
      <w:bookmarkStart w:id="13" w:name="_Toc94110096"/>
      <w:bookmarkStart w:id="14" w:name="_Toc92295788"/>
      <w:bookmarkStart w:id="15" w:name="_Toc56188738"/>
    </w:p>
    <w:p>
      <w:pPr>
        <w:rPr>
          <w:rFonts w:hint="eastAsia" w:ascii="Times New Roman" w:hAnsi="Times New Roman"/>
          <w:sz w:val="44"/>
        </w:rPr>
      </w:pPr>
      <w:r>
        <w:rPr>
          <w:rFonts w:hint="eastAsia" w:ascii="Times New Roman" w:hAnsi="Times New Roman"/>
          <w:sz w:val="44"/>
        </w:rPr>
        <w:br w:type="page"/>
      </w:r>
    </w:p>
    <w:sdt>
      <w:sdtPr>
        <w:rPr>
          <w:rFonts w:hint="eastAsia" w:ascii="Times New Roman" w:hAnsi="Times New Roman" w:eastAsia="方正小标宋_GBK" w:cs="方正小标宋_GBK"/>
          <w:kern w:val="2"/>
          <w:sz w:val="44"/>
          <w:szCs w:val="44"/>
          <w:lang w:val="en-US" w:eastAsia="zh-CN" w:bidi="ar-SA"/>
        </w:rPr>
        <w:id w:val="147480377"/>
        <w15:color w:val="DBDBDB"/>
        <w:docPartObj>
          <w:docPartGallery w:val="Table of Contents"/>
          <w:docPartUnique/>
        </w:docPartObj>
      </w:sdtPr>
      <w:sdtEndPr>
        <w:rPr>
          <w:rFonts w:hint="eastAsia" w:ascii="Times New Roman" w:hAnsi="Times New Roman" w:eastAsia="方正小标宋_GBK" w:cs="方正小标宋_GBK"/>
          <w:b/>
          <w:kern w:val="2"/>
          <w:sz w:val="44"/>
          <w:szCs w:val="4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after="0" w:line="580" w:lineRule="exact"/>
            <w:ind w:left="0" w:leftChars="0" w:right="0" w:rightChars="0" w:firstLine="0" w:firstLineChars="0"/>
            <w:jc w:val="center"/>
            <w:textAlignment w:val="auto"/>
            <w:rPr>
              <w:rFonts w:hint="eastAsia" w:ascii="Times New Roman" w:hAnsi="Times New Roman" w:eastAsia="方正小标宋_GBK" w:cs="方正小标宋_GBK"/>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before="0" w:after="0" w:line="580" w:lineRule="exact"/>
            <w:ind w:left="0" w:leftChars="0" w:right="0" w:rightChars="0" w:firstLine="0" w:firstLineChars="0"/>
            <w:jc w:val="center"/>
            <w:textAlignment w:val="auto"/>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目</w:t>
          </w:r>
          <w:r>
            <w:rPr>
              <w:rFonts w:hint="eastAsia" w:ascii="Times New Roman" w:hAnsi="Times New Roman" w:eastAsia="方正小标宋_GBK" w:cs="方正小标宋_GBK"/>
              <w:sz w:val="44"/>
              <w:szCs w:val="44"/>
              <w:lang w:val="en-US" w:eastAsia="zh-CN"/>
            </w:rPr>
            <w:t xml:space="preserve">  </w:t>
          </w:r>
          <w:r>
            <w:rPr>
              <w:rFonts w:hint="eastAsia" w:ascii="Times New Roman" w:hAnsi="Times New Roman" w:eastAsia="方正小标宋_GBK" w:cs="方正小标宋_GBK"/>
              <w:sz w:val="44"/>
              <w:szCs w:val="44"/>
            </w:rPr>
            <w:t>录</w:t>
          </w: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Times New Roman" w:hAnsi="Times New Roman"/>
            </w:rPr>
          </w:pPr>
        </w:p>
        <w:p>
          <w:pPr>
            <w:pStyle w:val="1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60" w:lineRule="exact"/>
            <w:ind w:left="0" w:leftChars="0"/>
            <w:textAlignment w:val="auto"/>
          </w:pPr>
          <w:r>
            <w:rPr>
              <w:rFonts w:ascii="Times New Roman" w:hAnsi="Times New Roman"/>
              <w:sz w:val="32"/>
              <w:szCs w:val="32"/>
            </w:rPr>
            <w:fldChar w:fldCharType="begin"/>
          </w:r>
          <w:r>
            <w:rPr>
              <w:rFonts w:ascii="Times New Roman" w:hAnsi="Times New Roman"/>
              <w:sz w:val="32"/>
              <w:szCs w:val="32"/>
            </w:rPr>
            <w:instrText xml:space="preserve">TOC \o "1-2" \h \u </w:instrText>
          </w:r>
          <w:r>
            <w:rPr>
              <w:rFonts w:ascii="Times New Roman" w:hAnsi="Times New Roman"/>
              <w:sz w:val="32"/>
              <w:szCs w:val="32"/>
            </w:rPr>
            <w:fldChar w:fldCharType="separate"/>
          </w:r>
          <w:r>
            <w:rPr>
              <w:rFonts w:ascii="Times New Roman" w:hAnsi="Times New Roman"/>
              <w:szCs w:val="32"/>
            </w:rPr>
            <w:fldChar w:fldCharType="begin"/>
          </w:r>
          <w:r>
            <w:rPr>
              <w:rFonts w:ascii="Times New Roman" w:hAnsi="Times New Roman"/>
              <w:szCs w:val="32"/>
            </w:rPr>
            <w:instrText xml:space="preserve"> HYPERLINK \l _Toc12976 </w:instrText>
          </w:r>
          <w:r>
            <w:rPr>
              <w:rFonts w:ascii="Times New Roman" w:hAnsi="Times New Roman"/>
              <w:szCs w:val="32"/>
            </w:rPr>
            <w:fldChar w:fldCharType="separate"/>
          </w:r>
          <w:r>
            <w:rPr>
              <w:rFonts w:hint="eastAsia" w:ascii="Times New Roman" w:hAnsi="Times New Roman"/>
              <w:bCs w:val="0"/>
              <w:szCs w:val="40"/>
            </w:rPr>
            <w:t>前  言</w:t>
          </w:r>
          <w:r>
            <w:tab/>
          </w:r>
          <w:r>
            <w:fldChar w:fldCharType="begin"/>
          </w:r>
          <w:r>
            <w:instrText xml:space="preserve"> PAGEREF _Toc12976 \h </w:instrText>
          </w:r>
          <w:r>
            <w:fldChar w:fldCharType="separate"/>
          </w:r>
          <w:r>
            <w:t>1</w:t>
          </w:r>
          <w:r>
            <w:fldChar w:fldCharType="end"/>
          </w:r>
          <w:r>
            <w:rPr>
              <w:rFonts w:ascii="Times New Roman" w:hAnsi="Times New Roman"/>
              <w:szCs w:val="32"/>
            </w:rPr>
            <w:fldChar w:fldCharType="end"/>
          </w:r>
        </w:p>
        <w:p>
          <w:pPr>
            <w:pStyle w:val="1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_Toc29105 </w:instrText>
          </w:r>
          <w:r>
            <w:rPr>
              <w:rFonts w:ascii="Times New Roman" w:hAnsi="Times New Roman"/>
              <w:szCs w:val="32"/>
            </w:rPr>
            <w:fldChar w:fldCharType="separate"/>
          </w:r>
          <w:r>
            <w:rPr>
              <w:rFonts w:hint="eastAsia" w:ascii="Times New Roman" w:hAnsi="Times New Roman" w:eastAsia="黑体" w:cs="黑体"/>
              <w:bCs w:val="0"/>
              <w:szCs w:val="32"/>
            </w:rPr>
            <w:t>一、发展基础</w:t>
          </w:r>
          <w:r>
            <w:tab/>
          </w:r>
          <w:r>
            <w:fldChar w:fldCharType="begin"/>
          </w:r>
          <w:r>
            <w:instrText xml:space="preserve"> PAGEREF _Toc29105 \h </w:instrText>
          </w:r>
          <w:r>
            <w:fldChar w:fldCharType="separate"/>
          </w:r>
          <w:r>
            <w:t>3</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_Toc14680 </w:instrText>
          </w:r>
          <w:r>
            <w:rPr>
              <w:rFonts w:ascii="Times New Roman" w:hAnsi="Times New Roman"/>
              <w:szCs w:val="32"/>
            </w:rPr>
            <w:fldChar w:fldCharType="separate"/>
          </w:r>
          <w:r>
            <w:rPr>
              <w:rFonts w:hint="eastAsia" w:ascii="Times New Roman" w:hAnsi="Times New Roman" w:eastAsia="楷体_GB2312" w:cs="楷体_GB2312"/>
              <w:bCs/>
              <w:szCs w:val="32"/>
            </w:rPr>
            <w:t>（一）发展成就</w:t>
          </w:r>
          <w:r>
            <w:tab/>
          </w:r>
          <w:r>
            <w:fldChar w:fldCharType="begin"/>
          </w:r>
          <w:r>
            <w:instrText xml:space="preserve"> PAGEREF _Toc14680 \h </w:instrText>
          </w:r>
          <w:r>
            <w:fldChar w:fldCharType="separate"/>
          </w:r>
          <w:r>
            <w:t>3</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_Toc3091 </w:instrText>
          </w:r>
          <w:r>
            <w:rPr>
              <w:rFonts w:ascii="Times New Roman" w:hAnsi="Times New Roman"/>
              <w:szCs w:val="32"/>
            </w:rPr>
            <w:fldChar w:fldCharType="separate"/>
          </w:r>
          <w:r>
            <w:rPr>
              <w:rFonts w:hint="eastAsia" w:ascii="Times New Roman" w:hAnsi="Times New Roman" w:eastAsia="楷体_GB2312" w:cs="楷体_GB2312"/>
              <w:bCs/>
              <w:szCs w:val="32"/>
            </w:rPr>
            <w:t>（二）存在问题</w:t>
          </w:r>
          <w:r>
            <w:tab/>
          </w:r>
          <w:r>
            <w:fldChar w:fldCharType="begin"/>
          </w:r>
          <w:r>
            <w:instrText xml:space="preserve"> PAGEREF _Toc3091 \h </w:instrText>
          </w:r>
          <w:r>
            <w:fldChar w:fldCharType="separate"/>
          </w:r>
          <w:r>
            <w:t>10</w:t>
          </w:r>
          <w:r>
            <w:fldChar w:fldCharType="end"/>
          </w:r>
          <w:r>
            <w:rPr>
              <w:rFonts w:ascii="Times New Roman" w:hAnsi="Times New Roman"/>
              <w:szCs w:val="32"/>
            </w:rPr>
            <w:fldChar w:fldCharType="end"/>
          </w:r>
        </w:p>
        <w:p>
          <w:pPr>
            <w:pStyle w:val="1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_Toc12221 </w:instrText>
          </w:r>
          <w:r>
            <w:rPr>
              <w:rFonts w:ascii="Times New Roman" w:hAnsi="Times New Roman"/>
              <w:szCs w:val="32"/>
            </w:rPr>
            <w:fldChar w:fldCharType="separate"/>
          </w:r>
          <w:r>
            <w:rPr>
              <w:rFonts w:hint="eastAsia" w:ascii="Times New Roman" w:hAnsi="Times New Roman" w:eastAsia="黑体" w:cs="黑体"/>
              <w:bCs w:val="0"/>
              <w:szCs w:val="32"/>
            </w:rPr>
            <w:t>二、形势要求与阶段特征</w:t>
          </w:r>
          <w:r>
            <w:tab/>
          </w:r>
          <w:r>
            <w:fldChar w:fldCharType="begin"/>
          </w:r>
          <w:r>
            <w:instrText xml:space="preserve"> PAGEREF _Toc12221 \h </w:instrText>
          </w:r>
          <w:r>
            <w:fldChar w:fldCharType="separate"/>
          </w:r>
          <w:r>
            <w:t>11</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_Toc26205 </w:instrText>
          </w:r>
          <w:r>
            <w:rPr>
              <w:rFonts w:ascii="Times New Roman" w:hAnsi="Times New Roman"/>
              <w:szCs w:val="32"/>
            </w:rPr>
            <w:fldChar w:fldCharType="separate"/>
          </w:r>
          <w:r>
            <w:rPr>
              <w:rFonts w:hint="eastAsia" w:ascii="Times New Roman" w:hAnsi="Times New Roman" w:eastAsia="楷体_GB2312" w:cs="楷体_GB2312"/>
              <w:bCs/>
              <w:szCs w:val="32"/>
            </w:rPr>
            <w:t>（一）形势要求</w:t>
          </w:r>
          <w:r>
            <w:tab/>
          </w:r>
          <w:r>
            <w:fldChar w:fldCharType="begin"/>
          </w:r>
          <w:r>
            <w:instrText xml:space="preserve"> PAGEREF _Toc26205 \h </w:instrText>
          </w:r>
          <w:r>
            <w:fldChar w:fldCharType="separate"/>
          </w:r>
          <w:r>
            <w:t>11</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_Toc15892 </w:instrText>
          </w:r>
          <w:r>
            <w:rPr>
              <w:rFonts w:ascii="Times New Roman" w:hAnsi="Times New Roman"/>
              <w:szCs w:val="32"/>
            </w:rPr>
            <w:fldChar w:fldCharType="separate"/>
          </w:r>
          <w:r>
            <w:rPr>
              <w:rFonts w:hint="eastAsia" w:ascii="Times New Roman" w:hAnsi="Times New Roman" w:eastAsia="楷体_GB2312" w:cs="楷体_GB2312"/>
              <w:bCs/>
              <w:szCs w:val="32"/>
            </w:rPr>
            <w:t>（二）阶段特征</w:t>
          </w:r>
          <w:r>
            <w:tab/>
          </w:r>
          <w:r>
            <w:fldChar w:fldCharType="begin"/>
          </w:r>
          <w:r>
            <w:instrText xml:space="preserve"> PAGEREF _Toc15892 \h </w:instrText>
          </w:r>
          <w:r>
            <w:fldChar w:fldCharType="separate"/>
          </w:r>
          <w:r>
            <w:t>14</w:t>
          </w:r>
          <w:r>
            <w:fldChar w:fldCharType="end"/>
          </w:r>
          <w:r>
            <w:rPr>
              <w:rFonts w:ascii="Times New Roman" w:hAnsi="Times New Roman"/>
              <w:szCs w:val="32"/>
            </w:rPr>
            <w:fldChar w:fldCharType="end"/>
          </w:r>
        </w:p>
        <w:p>
          <w:pPr>
            <w:pStyle w:val="1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_Toc25303 </w:instrText>
          </w:r>
          <w:r>
            <w:rPr>
              <w:rFonts w:ascii="Times New Roman" w:hAnsi="Times New Roman"/>
              <w:szCs w:val="32"/>
            </w:rPr>
            <w:fldChar w:fldCharType="separate"/>
          </w:r>
          <w:r>
            <w:rPr>
              <w:rFonts w:hint="eastAsia" w:ascii="Times New Roman" w:hAnsi="Times New Roman" w:eastAsia="黑体" w:cs="黑体"/>
              <w:bCs w:val="0"/>
              <w:szCs w:val="32"/>
            </w:rPr>
            <w:t>三、总体思路</w:t>
          </w:r>
          <w:r>
            <w:tab/>
          </w:r>
          <w:r>
            <w:fldChar w:fldCharType="begin"/>
          </w:r>
          <w:r>
            <w:instrText xml:space="preserve"> PAGEREF _Toc25303 \h </w:instrText>
          </w:r>
          <w:r>
            <w:fldChar w:fldCharType="separate"/>
          </w:r>
          <w:r>
            <w:t>16</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_Toc21701 </w:instrText>
          </w:r>
          <w:r>
            <w:rPr>
              <w:rFonts w:ascii="Times New Roman" w:hAnsi="Times New Roman"/>
              <w:szCs w:val="32"/>
            </w:rPr>
            <w:fldChar w:fldCharType="separate"/>
          </w:r>
          <w:r>
            <w:rPr>
              <w:rFonts w:hint="eastAsia" w:ascii="Times New Roman" w:hAnsi="Times New Roman" w:eastAsia="楷体_GB2312" w:cs="楷体_GB2312"/>
              <w:bCs/>
              <w:szCs w:val="32"/>
            </w:rPr>
            <w:t>（一）指导思想</w:t>
          </w:r>
          <w:r>
            <w:tab/>
          </w:r>
          <w:r>
            <w:fldChar w:fldCharType="begin"/>
          </w:r>
          <w:r>
            <w:instrText xml:space="preserve"> PAGEREF _Toc21701 \h </w:instrText>
          </w:r>
          <w:r>
            <w:fldChar w:fldCharType="separate"/>
          </w:r>
          <w:r>
            <w:t>16</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_Toc29318 </w:instrText>
          </w:r>
          <w:r>
            <w:rPr>
              <w:rFonts w:ascii="Times New Roman" w:hAnsi="Times New Roman"/>
              <w:szCs w:val="32"/>
            </w:rPr>
            <w:fldChar w:fldCharType="separate"/>
          </w:r>
          <w:r>
            <w:rPr>
              <w:rFonts w:hint="eastAsia" w:ascii="Times New Roman" w:hAnsi="Times New Roman" w:eastAsia="楷体_GB2312" w:cs="楷体_GB2312"/>
              <w:bCs/>
              <w:szCs w:val="32"/>
            </w:rPr>
            <w:t>（二）基本原则</w:t>
          </w:r>
          <w:r>
            <w:tab/>
          </w:r>
          <w:r>
            <w:fldChar w:fldCharType="begin"/>
          </w:r>
          <w:r>
            <w:instrText xml:space="preserve"> PAGEREF _Toc29318 \h </w:instrText>
          </w:r>
          <w:r>
            <w:fldChar w:fldCharType="separate"/>
          </w:r>
          <w:r>
            <w:t>16</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_Toc16917 </w:instrText>
          </w:r>
          <w:r>
            <w:rPr>
              <w:rFonts w:ascii="Times New Roman" w:hAnsi="Times New Roman"/>
              <w:szCs w:val="32"/>
            </w:rPr>
            <w:fldChar w:fldCharType="separate"/>
          </w:r>
          <w:r>
            <w:rPr>
              <w:rFonts w:hint="eastAsia" w:ascii="Times New Roman" w:hAnsi="Times New Roman" w:eastAsia="楷体_GB2312" w:cs="楷体_GB2312"/>
              <w:bCs/>
              <w:szCs w:val="32"/>
            </w:rPr>
            <w:t>（三）发展目标</w:t>
          </w:r>
          <w:r>
            <w:tab/>
          </w:r>
          <w:r>
            <w:fldChar w:fldCharType="begin"/>
          </w:r>
          <w:r>
            <w:instrText xml:space="preserve"> PAGEREF _Toc16917 \h </w:instrText>
          </w:r>
          <w:r>
            <w:fldChar w:fldCharType="separate"/>
          </w:r>
          <w:r>
            <w:t>17</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_Toc3746 </w:instrText>
          </w:r>
          <w:r>
            <w:rPr>
              <w:rFonts w:ascii="Times New Roman" w:hAnsi="Times New Roman"/>
              <w:szCs w:val="32"/>
            </w:rPr>
            <w:fldChar w:fldCharType="separate"/>
          </w:r>
          <w:r>
            <w:rPr>
              <w:rFonts w:hint="eastAsia" w:ascii="楷体_GB2312" w:hAnsi="楷体_GB2312" w:eastAsia="楷体_GB2312" w:cs="楷体_GB2312"/>
              <w:bCs/>
            </w:rPr>
            <w:t>（四）投资规模</w:t>
          </w:r>
          <w:r>
            <w:tab/>
          </w:r>
          <w:r>
            <w:fldChar w:fldCharType="begin"/>
          </w:r>
          <w:r>
            <w:instrText xml:space="preserve"> PAGEREF _Toc3746 \h </w:instrText>
          </w:r>
          <w:r>
            <w:fldChar w:fldCharType="separate"/>
          </w:r>
          <w:r>
            <w:t>22</w:t>
          </w:r>
          <w:r>
            <w:fldChar w:fldCharType="end"/>
          </w:r>
          <w:r>
            <w:rPr>
              <w:rFonts w:ascii="Times New Roman" w:hAnsi="Times New Roman"/>
              <w:szCs w:val="32"/>
            </w:rPr>
            <w:fldChar w:fldCharType="end"/>
          </w:r>
        </w:p>
        <w:p>
          <w:pPr>
            <w:pStyle w:val="1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_Toc5690 </w:instrText>
          </w:r>
          <w:r>
            <w:rPr>
              <w:rFonts w:ascii="Times New Roman" w:hAnsi="Times New Roman"/>
              <w:szCs w:val="32"/>
            </w:rPr>
            <w:fldChar w:fldCharType="separate"/>
          </w:r>
          <w:r>
            <w:rPr>
              <w:rFonts w:hint="eastAsia" w:ascii="Times New Roman" w:hAnsi="Times New Roman" w:eastAsia="黑体" w:cs="黑体"/>
              <w:bCs w:val="0"/>
            </w:rPr>
            <w:t>四、建设立体互联的交通基础设施</w:t>
          </w:r>
          <w:r>
            <w:tab/>
          </w:r>
          <w:r>
            <w:fldChar w:fldCharType="begin"/>
          </w:r>
          <w:r>
            <w:instrText xml:space="preserve"> PAGEREF _Toc5690 \h </w:instrText>
          </w:r>
          <w:r>
            <w:fldChar w:fldCharType="separate"/>
          </w:r>
          <w:r>
            <w:t>22</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_Toc6887 </w:instrText>
          </w:r>
          <w:r>
            <w:rPr>
              <w:rFonts w:ascii="Times New Roman" w:hAnsi="Times New Roman"/>
              <w:szCs w:val="32"/>
            </w:rPr>
            <w:fldChar w:fldCharType="separate"/>
          </w:r>
          <w:r>
            <w:rPr>
              <w:rFonts w:hint="eastAsia" w:ascii="Times New Roman" w:hAnsi="Times New Roman" w:eastAsia="楷体_GB2312" w:cs="楷体_GB2312"/>
            </w:rPr>
            <w:t>（一）构建内畅外联的综合交通网络</w:t>
          </w:r>
          <w:r>
            <w:tab/>
          </w:r>
          <w:r>
            <w:fldChar w:fldCharType="begin"/>
          </w:r>
          <w:r>
            <w:instrText xml:space="preserve"> PAGEREF _Toc6887 \h </w:instrText>
          </w:r>
          <w:r>
            <w:fldChar w:fldCharType="separate"/>
          </w:r>
          <w:r>
            <w:t>22</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_Toc20726 </w:instrText>
          </w:r>
          <w:r>
            <w:rPr>
              <w:rFonts w:ascii="Times New Roman" w:hAnsi="Times New Roman"/>
              <w:szCs w:val="32"/>
            </w:rPr>
            <w:fldChar w:fldCharType="separate"/>
          </w:r>
          <w:r>
            <w:rPr>
              <w:rFonts w:hint="eastAsia" w:ascii="Times New Roman" w:hAnsi="Times New Roman" w:eastAsia="楷体_GB2312" w:cs="楷体_GB2312"/>
            </w:rPr>
            <w:t>（二）打造无缝衔接的综合交通枢纽</w:t>
          </w:r>
          <w:r>
            <w:tab/>
          </w:r>
          <w:r>
            <w:fldChar w:fldCharType="begin"/>
          </w:r>
          <w:r>
            <w:instrText xml:space="preserve"> PAGEREF _Toc20726 \h </w:instrText>
          </w:r>
          <w:r>
            <w:fldChar w:fldCharType="separate"/>
          </w:r>
          <w:r>
            <w:t>30</w:t>
          </w:r>
          <w:r>
            <w:fldChar w:fldCharType="end"/>
          </w:r>
          <w:r>
            <w:rPr>
              <w:rFonts w:ascii="Times New Roman" w:hAnsi="Times New Roman"/>
              <w:szCs w:val="32"/>
            </w:rPr>
            <w:fldChar w:fldCharType="end"/>
          </w:r>
        </w:p>
        <w:p>
          <w:pPr>
            <w:pStyle w:val="1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_Toc24370 </w:instrText>
          </w:r>
          <w:r>
            <w:rPr>
              <w:rFonts w:ascii="Times New Roman" w:hAnsi="Times New Roman"/>
              <w:szCs w:val="32"/>
            </w:rPr>
            <w:fldChar w:fldCharType="separate"/>
          </w:r>
          <w:r>
            <w:rPr>
              <w:rFonts w:hint="eastAsia" w:ascii="Times New Roman" w:hAnsi="Times New Roman"/>
              <w:bCs w:val="0"/>
            </w:rPr>
            <w:t>五、提升运输服务品质和组织效率</w:t>
          </w:r>
          <w:r>
            <w:tab/>
          </w:r>
          <w:r>
            <w:fldChar w:fldCharType="begin"/>
          </w:r>
          <w:r>
            <w:instrText xml:space="preserve"> PAGEREF _Toc24370 \h </w:instrText>
          </w:r>
          <w:r>
            <w:fldChar w:fldCharType="separate"/>
          </w:r>
          <w:r>
            <w:t>32</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_Toc27953 </w:instrText>
          </w:r>
          <w:r>
            <w:rPr>
              <w:rFonts w:ascii="Times New Roman" w:hAnsi="Times New Roman"/>
              <w:szCs w:val="32"/>
            </w:rPr>
            <w:fldChar w:fldCharType="separate"/>
          </w:r>
          <w:r>
            <w:rPr>
              <w:rFonts w:hint="eastAsia" w:ascii="Times New Roman" w:hAnsi="Times New Roman" w:eastAsia="楷体_GB2312" w:cs="楷体_GB2312"/>
            </w:rPr>
            <w:t>（一）切实改善客运服务品质</w:t>
          </w:r>
          <w:r>
            <w:tab/>
          </w:r>
          <w:r>
            <w:fldChar w:fldCharType="begin"/>
          </w:r>
          <w:r>
            <w:instrText xml:space="preserve"> PAGEREF _Toc27953 \h </w:instrText>
          </w:r>
          <w:r>
            <w:fldChar w:fldCharType="separate"/>
          </w:r>
          <w:r>
            <w:t>32</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_Toc31565 </w:instrText>
          </w:r>
          <w:r>
            <w:rPr>
              <w:rFonts w:ascii="Times New Roman" w:hAnsi="Times New Roman"/>
              <w:szCs w:val="32"/>
            </w:rPr>
            <w:fldChar w:fldCharType="separate"/>
          </w:r>
          <w:r>
            <w:rPr>
              <w:rFonts w:hint="eastAsia" w:ascii="Times New Roman" w:hAnsi="Times New Roman" w:eastAsia="楷体_GB2312" w:cs="楷体_GB2312"/>
            </w:rPr>
            <w:t>（二）加快促进现代物流发展</w:t>
          </w:r>
          <w:r>
            <w:tab/>
          </w:r>
          <w:r>
            <w:fldChar w:fldCharType="begin"/>
          </w:r>
          <w:r>
            <w:instrText xml:space="preserve"> PAGEREF _Toc31565 \h </w:instrText>
          </w:r>
          <w:r>
            <w:fldChar w:fldCharType="separate"/>
          </w:r>
          <w:r>
            <w:t>33</w:t>
          </w:r>
          <w:r>
            <w:fldChar w:fldCharType="end"/>
          </w:r>
          <w:r>
            <w:rPr>
              <w:rFonts w:ascii="Times New Roman" w:hAnsi="Times New Roman"/>
              <w:szCs w:val="32"/>
            </w:rPr>
            <w:fldChar w:fldCharType="end"/>
          </w:r>
        </w:p>
        <w:p>
          <w:pPr>
            <w:pStyle w:val="1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_Toc16930 </w:instrText>
          </w:r>
          <w:r>
            <w:rPr>
              <w:rFonts w:ascii="Times New Roman" w:hAnsi="Times New Roman"/>
              <w:szCs w:val="32"/>
            </w:rPr>
            <w:fldChar w:fldCharType="separate"/>
          </w:r>
          <w:r>
            <w:rPr>
              <w:rFonts w:hint="eastAsia" w:ascii="Times New Roman" w:hAnsi="Times New Roman"/>
              <w:bCs w:val="0"/>
            </w:rPr>
            <w:t>六、强力推进郑焦交通一体化发展</w:t>
          </w:r>
          <w:r>
            <w:tab/>
          </w:r>
          <w:r>
            <w:fldChar w:fldCharType="begin"/>
          </w:r>
          <w:r>
            <w:instrText xml:space="preserve"> PAGEREF _Toc16930 \h </w:instrText>
          </w:r>
          <w:r>
            <w:fldChar w:fldCharType="separate"/>
          </w:r>
          <w:r>
            <w:t>35</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_Toc3543 </w:instrText>
          </w:r>
          <w:r>
            <w:rPr>
              <w:rFonts w:ascii="Times New Roman" w:hAnsi="Times New Roman"/>
              <w:szCs w:val="32"/>
            </w:rPr>
            <w:fldChar w:fldCharType="separate"/>
          </w:r>
          <w:r>
            <w:rPr>
              <w:rFonts w:hint="eastAsia" w:ascii="Times New Roman" w:hAnsi="Times New Roman" w:eastAsia="楷体_GB2312" w:cs="楷体_GB2312"/>
            </w:rPr>
            <w:t>（一）打造郑焦复合交通走廊</w:t>
          </w:r>
          <w:r>
            <w:tab/>
          </w:r>
          <w:r>
            <w:fldChar w:fldCharType="begin"/>
          </w:r>
          <w:r>
            <w:instrText xml:space="preserve"> PAGEREF _Toc3543 \h </w:instrText>
          </w:r>
          <w:r>
            <w:fldChar w:fldCharType="separate"/>
          </w:r>
          <w:r>
            <w:t>35</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_Toc12043 </w:instrText>
          </w:r>
          <w:r>
            <w:rPr>
              <w:rFonts w:ascii="Times New Roman" w:hAnsi="Times New Roman"/>
              <w:szCs w:val="32"/>
            </w:rPr>
            <w:fldChar w:fldCharType="separate"/>
          </w:r>
          <w:r>
            <w:rPr>
              <w:rFonts w:hint="eastAsia" w:ascii="Times New Roman" w:hAnsi="Times New Roman" w:eastAsia="楷体_GB2312" w:cs="楷体_GB2312"/>
            </w:rPr>
            <w:t>（二）推动郑焦运输服务同城</w:t>
          </w:r>
          <w:r>
            <w:tab/>
          </w:r>
          <w:r>
            <w:fldChar w:fldCharType="begin"/>
          </w:r>
          <w:r>
            <w:instrText xml:space="preserve"> PAGEREF _Toc12043 \h </w:instrText>
          </w:r>
          <w:r>
            <w:fldChar w:fldCharType="separate"/>
          </w:r>
          <w:r>
            <w:t>35</w:t>
          </w:r>
          <w:r>
            <w:fldChar w:fldCharType="end"/>
          </w:r>
          <w:r>
            <w:rPr>
              <w:rFonts w:ascii="Times New Roman" w:hAnsi="Times New Roman"/>
              <w:szCs w:val="32"/>
            </w:rPr>
            <w:fldChar w:fldCharType="end"/>
          </w:r>
        </w:p>
        <w:p>
          <w:pPr>
            <w:pStyle w:val="1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_Toc20392 </w:instrText>
          </w:r>
          <w:r>
            <w:rPr>
              <w:rFonts w:ascii="Times New Roman" w:hAnsi="Times New Roman"/>
              <w:szCs w:val="32"/>
            </w:rPr>
            <w:fldChar w:fldCharType="separate"/>
          </w:r>
          <w:r>
            <w:rPr>
              <w:rFonts w:hint="eastAsia" w:ascii="Times New Roman" w:hAnsi="Times New Roman"/>
              <w:bCs w:val="0"/>
            </w:rPr>
            <w:t>七、推动交通枢纽经济高质量发展</w:t>
          </w:r>
          <w:r>
            <w:tab/>
          </w:r>
          <w:r>
            <w:fldChar w:fldCharType="begin"/>
          </w:r>
          <w:r>
            <w:instrText xml:space="preserve"> PAGEREF _Toc20392 \h </w:instrText>
          </w:r>
          <w:r>
            <w:fldChar w:fldCharType="separate"/>
          </w:r>
          <w:r>
            <w:t>36</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_Toc28054 </w:instrText>
          </w:r>
          <w:r>
            <w:rPr>
              <w:rFonts w:ascii="Times New Roman" w:hAnsi="Times New Roman"/>
              <w:szCs w:val="32"/>
            </w:rPr>
            <w:fldChar w:fldCharType="separate"/>
          </w:r>
          <w:r>
            <w:rPr>
              <w:rFonts w:hint="eastAsia" w:ascii="Times New Roman" w:hAnsi="Times New Roman" w:eastAsia="楷体_GB2312" w:cs="楷体_GB2312"/>
            </w:rPr>
            <w:t>（一）加快建设枢纽经济区</w:t>
          </w:r>
          <w:r>
            <w:tab/>
          </w:r>
          <w:r>
            <w:fldChar w:fldCharType="begin"/>
          </w:r>
          <w:r>
            <w:instrText xml:space="preserve"> PAGEREF _Toc28054 \h </w:instrText>
          </w:r>
          <w:r>
            <w:fldChar w:fldCharType="separate"/>
          </w:r>
          <w:r>
            <w:t>36</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_Toc12071 </w:instrText>
          </w:r>
          <w:r>
            <w:rPr>
              <w:rFonts w:ascii="Times New Roman" w:hAnsi="Times New Roman"/>
              <w:szCs w:val="32"/>
            </w:rPr>
            <w:fldChar w:fldCharType="separate"/>
          </w:r>
          <w:r>
            <w:rPr>
              <w:rFonts w:hint="eastAsia" w:ascii="Times New Roman" w:hAnsi="Times New Roman" w:eastAsia="楷体_GB2312" w:cs="楷体_GB2312"/>
            </w:rPr>
            <w:t>（二）大力发展通道经济带</w:t>
          </w:r>
          <w:r>
            <w:tab/>
          </w:r>
          <w:r>
            <w:fldChar w:fldCharType="begin"/>
          </w:r>
          <w:r>
            <w:instrText xml:space="preserve"> PAGEREF _Toc12071 \h </w:instrText>
          </w:r>
          <w:r>
            <w:fldChar w:fldCharType="separate"/>
          </w:r>
          <w:r>
            <w:t>38</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_Toc2132 </w:instrText>
          </w:r>
          <w:r>
            <w:rPr>
              <w:rFonts w:ascii="Times New Roman" w:hAnsi="Times New Roman"/>
              <w:szCs w:val="32"/>
            </w:rPr>
            <w:fldChar w:fldCharType="separate"/>
          </w:r>
          <w:r>
            <w:rPr>
              <w:rFonts w:hint="eastAsia" w:ascii="Times New Roman" w:hAnsi="Times New Roman" w:eastAsia="楷体_GB2312" w:cs="楷体_GB2312"/>
            </w:rPr>
            <w:t>（三）推动各县市产业集聚</w:t>
          </w:r>
          <w:r>
            <w:tab/>
          </w:r>
          <w:r>
            <w:fldChar w:fldCharType="begin"/>
          </w:r>
          <w:r>
            <w:instrText xml:space="preserve"> PAGEREF _Toc2132 \h </w:instrText>
          </w:r>
          <w:r>
            <w:fldChar w:fldCharType="separate"/>
          </w:r>
          <w:r>
            <w:t>40</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_Toc4962 </w:instrText>
          </w:r>
          <w:r>
            <w:rPr>
              <w:rFonts w:ascii="Times New Roman" w:hAnsi="Times New Roman"/>
              <w:szCs w:val="32"/>
            </w:rPr>
            <w:fldChar w:fldCharType="separate"/>
          </w:r>
          <w:r>
            <w:rPr>
              <w:rFonts w:hint="eastAsia" w:ascii="Times New Roman" w:hAnsi="Times New Roman" w:eastAsia="楷体_GB2312" w:cs="楷体_GB2312"/>
            </w:rPr>
            <w:t>（四）提升枢纽产业竞争力</w:t>
          </w:r>
          <w:r>
            <w:tab/>
          </w:r>
          <w:r>
            <w:fldChar w:fldCharType="begin"/>
          </w:r>
          <w:r>
            <w:instrText xml:space="preserve"> PAGEREF _Toc4962 \h </w:instrText>
          </w:r>
          <w:r>
            <w:fldChar w:fldCharType="separate"/>
          </w:r>
          <w:r>
            <w:t>43</w:t>
          </w:r>
          <w:r>
            <w:fldChar w:fldCharType="end"/>
          </w:r>
          <w:r>
            <w:rPr>
              <w:rFonts w:ascii="Times New Roman" w:hAnsi="Times New Roman"/>
              <w:szCs w:val="32"/>
            </w:rPr>
            <w:fldChar w:fldCharType="end"/>
          </w:r>
        </w:p>
        <w:p>
          <w:pPr>
            <w:pStyle w:val="1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_Toc7657 </w:instrText>
          </w:r>
          <w:r>
            <w:rPr>
              <w:rFonts w:ascii="Times New Roman" w:hAnsi="Times New Roman"/>
              <w:szCs w:val="32"/>
            </w:rPr>
            <w:fldChar w:fldCharType="separate"/>
          </w:r>
          <w:r>
            <w:rPr>
              <w:rFonts w:hint="eastAsia" w:ascii="Times New Roman" w:hAnsi="Times New Roman"/>
              <w:bCs w:val="0"/>
            </w:rPr>
            <w:t>八、推进智慧绿色安全可持续发展</w:t>
          </w:r>
          <w:r>
            <w:tab/>
          </w:r>
          <w:r>
            <w:fldChar w:fldCharType="begin"/>
          </w:r>
          <w:r>
            <w:instrText xml:space="preserve"> PAGEREF _Toc7657 \h </w:instrText>
          </w:r>
          <w:r>
            <w:fldChar w:fldCharType="separate"/>
          </w:r>
          <w:r>
            <w:t>46</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_Toc27890 </w:instrText>
          </w:r>
          <w:r>
            <w:rPr>
              <w:rFonts w:ascii="Times New Roman" w:hAnsi="Times New Roman"/>
              <w:szCs w:val="32"/>
            </w:rPr>
            <w:fldChar w:fldCharType="separate"/>
          </w:r>
          <w:r>
            <w:rPr>
              <w:rFonts w:hint="eastAsia" w:ascii="Times New Roman" w:hAnsi="Times New Roman" w:eastAsia="楷体_GB2312" w:cs="楷体_GB2312"/>
            </w:rPr>
            <w:t>（一）提升信息化智能化水平</w:t>
          </w:r>
          <w:r>
            <w:tab/>
          </w:r>
          <w:r>
            <w:fldChar w:fldCharType="begin"/>
          </w:r>
          <w:r>
            <w:instrText xml:space="preserve"> PAGEREF _Toc27890 \h </w:instrText>
          </w:r>
          <w:r>
            <w:fldChar w:fldCharType="separate"/>
          </w:r>
          <w:r>
            <w:t>46</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_Toc7915 </w:instrText>
          </w:r>
          <w:r>
            <w:rPr>
              <w:rFonts w:ascii="Times New Roman" w:hAnsi="Times New Roman"/>
              <w:szCs w:val="32"/>
            </w:rPr>
            <w:fldChar w:fldCharType="separate"/>
          </w:r>
          <w:r>
            <w:rPr>
              <w:rFonts w:hint="eastAsia" w:ascii="Times New Roman" w:hAnsi="Times New Roman" w:eastAsia="楷体_GB2312" w:cs="楷体_GB2312"/>
            </w:rPr>
            <w:t>（二）推进低碳循环绿色发展</w:t>
          </w:r>
          <w:r>
            <w:tab/>
          </w:r>
          <w:r>
            <w:fldChar w:fldCharType="begin"/>
          </w:r>
          <w:r>
            <w:instrText xml:space="preserve"> PAGEREF _Toc7915 \h </w:instrText>
          </w:r>
          <w:r>
            <w:fldChar w:fldCharType="separate"/>
          </w:r>
          <w:r>
            <w:t>48</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_Toc10991 </w:instrText>
          </w:r>
          <w:r>
            <w:rPr>
              <w:rFonts w:ascii="Times New Roman" w:hAnsi="Times New Roman"/>
              <w:szCs w:val="32"/>
            </w:rPr>
            <w:fldChar w:fldCharType="separate"/>
          </w:r>
          <w:r>
            <w:rPr>
              <w:rFonts w:hint="eastAsia" w:ascii="Times New Roman" w:hAnsi="Times New Roman" w:eastAsia="楷体_GB2312" w:cs="楷体_GB2312"/>
              <w:szCs w:val="32"/>
            </w:rPr>
            <w:t>（三）提高安全应急保障能力</w:t>
          </w:r>
          <w:r>
            <w:tab/>
          </w:r>
          <w:r>
            <w:fldChar w:fldCharType="begin"/>
          </w:r>
          <w:r>
            <w:instrText xml:space="preserve"> PAGEREF _Toc10991 \h </w:instrText>
          </w:r>
          <w:r>
            <w:fldChar w:fldCharType="separate"/>
          </w:r>
          <w:r>
            <w:t>50</w:t>
          </w:r>
          <w:r>
            <w:fldChar w:fldCharType="end"/>
          </w:r>
          <w:r>
            <w:rPr>
              <w:rFonts w:ascii="Times New Roman" w:hAnsi="Times New Roman"/>
              <w:szCs w:val="32"/>
            </w:rPr>
            <w:fldChar w:fldCharType="end"/>
          </w:r>
        </w:p>
        <w:p>
          <w:pPr>
            <w:pStyle w:val="1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_Toc25481 </w:instrText>
          </w:r>
          <w:r>
            <w:rPr>
              <w:rFonts w:ascii="Times New Roman" w:hAnsi="Times New Roman"/>
              <w:szCs w:val="32"/>
            </w:rPr>
            <w:fldChar w:fldCharType="separate"/>
          </w:r>
          <w:r>
            <w:rPr>
              <w:rFonts w:hint="eastAsia" w:ascii="Times New Roman" w:hAnsi="Times New Roman" w:eastAsia="黑体" w:cs="黑体"/>
              <w:bCs w:val="0"/>
              <w:szCs w:val="32"/>
            </w:rPr>
            <w:t>九、加强治理体系和治理能力建设</w:t>
          </w:r>
          <w:r>
            <w:tab/>
          </w:r>
          <w:r>
            <w:fldChar w:fldCharType="begin"/>
          </w:r>
          <w:r>
            <w:instrText xml:space="preserve"> PAGEREF _Toc25481 \h </w:instrText>
          </w:r>
          <w:r>
            <w:fldChar w:fldCharType="separate"/>
          </w:r>
          <w:r>
            <w:t>52</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_Toc7289 </w:instrText>
          </w:r>
          <w:r>
            <w:rPr>
              <w:rFonts w:ascii="Times New Roman" w:hAnsi="Times New Roman"/>
              <w:szCs w:val="32"/>
            </w:rPr>
            <w:fldChar w:fldCharType="separate"/>
          </w:r>
          <w:r>
            <w:rPr>
              <w:rFonts w:hint="eastAsia" w:ascii="Times New Roman" w:hAnsi="Times New Roman" w:eastAsia="楷体_GB2312" w:cs="楷体_GB2312"/>
              <w:szCs w:val="32"/>
            </w:rPr>
            <w:t>（一）完善行业管理体制机制</w:t>
          </w:r>
          <w:r>
            <w:tab/>
          </w:r>
          <w:r>
            <w:fldChar w:fldCharType="begin"/>
          </w:r>
          <w:r>
            <w:instrText xml:space="preserve"> PAGEREF _Toc7289 \h </w:instrText>
          </w:r>
          <w:r>
            <w:fldChar w:fldCharType="separate"/>
          </w:r>
          <w:r>
            <w:t>52</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_Toc8035 </w:instrText>
          </w:r>
          <w:r>
            <w:rPr>
              <w:rFonts w:ascii="Times New Roman" w:hAnsi="Times New Roman"/>
              <w:szCs w:val="32"/>
            </w:rPr>
            <w:fldChar w:fldCharType="separate"/>
          </w:r>
          <w:r>
            <w:rPr>
              <w:rFonts w:hint="eastAsia" w:ascii="Times New Roman" w:hAnsi="Times New Roman" w:eastAsia="楷体_GB2312" w:cs="楷体_GB2312"/>
              <w:szCs w:val="32"/>
            </w:rPr>
            <w:t>（二）提升交通运输法治能力</w:t>
          </w:r>
          <w:r>
            <w:tab/>
          </w:r>
          <w:r>
            <w:fldChar w:fldCharType="begin"/>
          </w:r>
          <w:r>
            <w:instrText xml:space="preserve"> PAGEREF _Toc8035 \h </w:instrText>
          </w:r>
          <w:r>
            <w:fldChar w:fldCharType="separate"/>
          </w:r>
          <w:r>
            <w:t>52</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_Toc19366 </w:instrText>
          </w:r>
          <w:r>
            <w:rPr>
              <w:rFonts w:ascii="Times New Roman" w:hAnsi="Times New Roman"/>
              <w:szCs w:val="32"/>
            </w:rPr>
            <w:fldChar w:fldCharType="separate"/>
          </w:r>
          <w:r>
            <w:rPr>
              <w:rFonts w:hint="eastAsia" w:ascii="Times New Roman" w:hAnsi="Times New Roman" w:eastAsia="楷体_GB2312" w:cs="楷体_GB2312"/>
              <w:szCs w:val="32"/>
            </w:rPr>
            <w:t>（三）构建交通运输信用体系</w:t>
          </w:r>
          <w:r>
            <w:tab/>
          </w:r>
          <w:r>
            <w:fldChar w:fldCharType="begin"/>
          </w:r>
          <w:r>
            <w:instrText xml:space="preserve"> PAGEREF _Toc19366 \h </w:instrText>
          </w:r>
          <w:r>
            <w:fldChar w:fldCharType="separate"/>
          </w:r>
          <w:r>
            <w:t>53</w:t>
          </w:r>
          <w:r>
            <w:fldChar w:fldCharType="end"/>
          </w:r>
          <w:r>
            <w:rPr>
              <w:rFonts w:ascii="Times New Roman" w:hAnsi="Times New Roman"/>
              <w:szCs w:val="32"/>
            </w:rPr>
            <w:fldChar w:fldCharType="end"/>
          </w:r>
        </w:p>
        <w:p>
          <w:pPr>
            <w:pStyle w:val="1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_Toc11591 </w:instrText>
          </w:r>
          <w:r>
            <w:rPr>
              <w:rFonts w:ascii="Times New Roman" w:hAnsi="Times New Roman"/>
              <w:szCs w:val="32"/>
            </w:rPr>
            <w:fldChar w:fldCharType="separate"/>
          </w:r>
          <w:r>
            <w:rPr>
              <w:rFonts w:hint="eastAsia" w:ascii="Times New Roman" w:hAnsi="Times New Roman" w:eastAsia="黑体" w:cs="黑体"/>
              <w:bCs w:val="0"/>
              <w:spacing w:val="6"/>
              <w:szCs w:val="32"/>
            </w:rPr>
            <w:t>十、保障措施</w:t>
          </w:r>
          <w:r>
            <w:tab/>
          </w:r>
          <w:r>
            <w:fldChar w:fldCharType="begin"/>
          </w:r>
          <w:r>
            <w:instrText xml:space="preserve"> PAGEREF _Toc11591 \h </w:instrText>
          </w:r>
          <w:r>
            <w:fldChar w:fldCharType="separate"/>
          </w:r>
          <w:r>
            <w:t>54</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_Toc1242 </w:instrText>
          </w:r>
          <w:r>
            <w:rPr>
              <w:rFonts w:ascii="Times New Roman" w:hAnsi="Times New Roman"/>
              <w:szCs w:val="32"/>
            </w:rPr>
            <w:fldChar w:fldCharType="separate"/>
          </w:r>
          <w:r>
            <w:rPr>
              <w:rFonts w:hint="eastAsia" w:ascii="Times New Roman" w:hAnsi="Times New Roman" w:eastAsia="楷体_GB2312" w:cs="楷体_GB2312"/>
              <w:szCs w:val="32"/>
            </w:rPr>
            <w:t>（一）加强组织领导</w:t>
          </w:r>
          <w:r>
            <w:tab/>
          </w:r>
          <w:r>
            <w:fldChar w:fldCharType="begin"/>
          </w:r>
          <w:r>
            <w:instrText xml:space="preserve"> PAGEREF _Toc1242 \h </w:instrText>
          </w:r>
          <w:r>
            <w:fldChar w:fldCharType="separate"/>
          </w:r>
          <w:r>
            <w:t>54</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_Toc14762 </w:instrText>
          </w:r>
          <w:r>
            <w:rPr>
              <w:rFonts w:ascii="Times New Roman" w:hAnsi="Times New Roman"/>
              <w:szCs w:val="32"/>
            </w:rPr>
            <w:fldChar w:fldCharType="separate"/>
          </w:r>
          <w:r>
            <w:rPr>
              <w:rFonts w:hint="eastAsia" w:ascii="Times New Roman" w:hAnsi="Times New Roman" w:eastAsia="楷体_GB2312" w:cs="楷体_GB2312"/>
              <w:szCs w:val="32"/>
            </w:rPr>
            <w:t>（二）拓宽融资渠道</w:t>
          </w:r>
          <w:r>
            <w:tab/>
          </w:r>
          <w:r>
            <w:fldChar w:fldCharType="begin"/>
          </w:r>
          <w:r>
            <w:instrText xml:space="preserve"> PAGEREF _Toc14762 \h </w:instrText>
          </w:r>
          <w:r>
            <w:fldChar w:fldCharType="separate"/>
          </w:r>
          <w:r>
            <w:t>54</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_Toc5583 </w:instrText>
          </w:r>
          <w:r>
            <w:rPr>
              <w:rFonts w:ascii="Times New Roman" w:hAnsi="Times New Roman"/>
              <w:szCs w:val="32"/>
            </w:rPr>
            <w:fldChar w:fldCharType="separate"/>
          </w:r>
          <w:r>
            <w:rPr>
              <w:rFonts w:hint="eastAsia" w:ascii="Times New Roman" w:hAnsi="Times New Roman" w:eastAsia="楷体_GB2312" w:cs="楷体_GB2312"/>
              <w:szCs w:val="32"/>
            </w:rPr>
            <w:t>（三）强化土地保障</w:t>
          </w:r>
          <w:r>
            <w:tab/>
          </w:r>
          <w:r>
            <w:fldChar w:fldCharType="begin"/>
          </w:r>
          <w:r>
            <w:instrText xml:space="preserve"> PAGEREF _Toc5583 \h </w:instrText>
          </w:r>
          <w:r>
            <w:fldChar w:fldCharType="separate"/>
          </w:r>
          <w:r>
            <w:t>54</w:t>
          </w:r>
          <w:r>
            <w:fldChar w:fldCharType="end"/>
          </w:r>
          <w:r>
            <w:rPr>
              <w:rFonts w:ascii="Times New Roman" w:hAnsi="Times New Roman"/>
              <w:szCs w:val="32"/>
            </w:rPr>
            <w:fldChar w:fldCharType="end"/>
          </w:r>
        </w:p>
        <w:p>
          <w:pPr>
            <w:pStyle w:val="16"/>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_Toc18966 </w:instrText>
          </w:r>
          <w:r>
            <w:rPr>
              <w:rFonts w:ascii="Times New Roman" w:hAnsi="Times New Roman"/>
              <w:szCs w:val="32"/>
            </w:rPr>
            <w:fldChar w:fldCharType="separate"/>
          </w:r>
          <w:r>
            <w:rPr>
              <w:rFonts w:hint="eastAsia" w:ascii="Times New Roman" w:hAnsi="Times New Roman" w:eastAsia="楷体_GB2312" w:cs="楷体_GB2312"/>
              <w:bCs/>
              <w:szCs w:val="32"/>
            </w:rPr>
            <w:t>（四）加强实施评估</w:t>
          </w:r>
          <w:r>
            <w:tab/>
          </w:r>
          <w:r>
            <w:fldChar w:fldCharType="begin"/>
          </w:r>
          <w:r>
            <w:instrText xml:space="preserve"> PAGEREF _Toc18966 \h </w:instrText>
          </w:r>
          <w:r>
            <w:fldChar w:fldCharType="separate"/>
          </w:r>
          <w:r>
            <w:t>55</w:t>
          </w:r>
          <w:r>
            <w:fldChar w:fldCharType="end"/>
          </w:r>
          <w:r>
            <w:rPr>
              <w:rFonts w:ascii="Times New Roman" w:hAnsi="Times New Roman"/>
              <w:szCs w:val="32"/>
            </w:rPr>
            <w:fldChar w:fldCharType="end"/>
          </w:r>
        </w:p>
        <w:p>
          <w:pPr>
            <w:pStyle w:val="14"/>
            <w:keepNext w:val="0"/>
            <w:keepLines w:val="0"/>
            <w:pageBreakBefore w:val="0"/>
            <w:widowControl w:val="0"/>
            <w:tabs>
              <w:tab w:val="right" w:leader="dot" w:pos="8844"/>
              <w:tab w:val="clear" w:pos="8296"/>
            </w:tabs>
            <w:kinsoku/>
            <w:wordWrap/>
            <w:overflowPunct/>
            <w:topLinePunct w:val="0"/>
            <w:autoSpaceDE/>
            <w:autoSpaceDN/>
            <w:bidi w:val="0"/>
            <w:adjustRightInd/>
            <w:snapToGrid/>
            <w:spacing w:line="560" w:lineRule="exact"/>
            <w:ind w:left="0" w:leftChars="0"/>
            <w:textAlignment w:val="auto"/>
          </w:pPr>
          <w:r>
            <w:rPr>
              <w:rFonts w:ascii="Times New Roman" w:hAnsi="Times New Roman"/>
              <w:szCs w:val="32"/>
            </w:rPr>
            <w:fldChar w:fldCharType="begin"/>
          </w:r>
          <w:r>
            <w:rPr>
              <w:rFonts w:ascii="Times New Roman" w:hAnsi="Times New Roman"/>
              <w:szCs w:val="32"/>
            </w:rPr>
            <w:instrText xml:space="preserve"> HYPERLINK \l _Toc27087 </w:instrText>
          </w:r>
          <w:r>
            <w:rPr>
              <w:rFonts w:ascii="Times New Roman" w:hAnsi="Times New Roman"/>
              <w:szCs w:val="32"/>
            </w:rPr>
            <w:fldChar w:fldCharType="separate"/>
          </w:r>
          <w:r>
            <w:rPr>
              <w:rFonts w:hint="eastAsia" w:ascii="Times New Roman" w:hAnsi="Times New Roman"/>
              <w:bCs w:val="0"/>
            </w:rPr>
            <w:t>附表</w:t>
          </w:r>
          <w:r>
            <w:tab/>
          </w:r>
          <w:r>
            <w:fldChar w:fldCharType="begin"/>
          </w:r>
          <w:r>
            <w:instrText xml:space="preserve"> PAGEREF _Toc27087 \h </w:instrText>
          </w:r>
          <w:r>
            <w:fldChar w:fldCharType="separate"/>
          </w:r>
          <w:r>
            <w:t>56</w:t>
          </w:r>
          <w:r>
            <w:fldChar w:fldCharType="end"/>
          </w:r>
          <w:r>
            <w:rPr>
              <w:rFonts w:ascii="Times New Roman" w:hAnsi="Times New Roman"/>
              <w:szCs w:val="32"/>
            </w:rPr>
            <w:fldChar w:fldCharType="end"/>
          </w:r>
        </w:p>
        <w:p>
          <w:pPr>
            <w:keepNext w:val="0"/>
            <w:keepLines w:val="0"/>
            <w:pageBreakBefore w:val="0"/>
            <w:widowControl/>
            <w:kinsoku/>
            <w:wordWrap/>
            <w:overflowPunct/>
            <w:topLinePunct w:val="0"/>
            <w:autoSpaceDE/>
            <w:autoSpaceDN/>
            <w:bidi w:val="0"/>
            <w:adjustRightInd/>
            <w:snapToGrid/>
            <w:spacing w:line="560" w:lineRule="exact"/>
            <w:ind w:leftChars="0"/>
            <w:jc w:val="distribute"/>
            <w:textAlignment w:val="auto"/>
            <w:rPr>
              <w:rFonts w:ascii="Times New Roman" w:hAnsi="Times New Roman"/>
            </w:rPr>
          </w:pPr>
          <w:r>
            <w:rPr>
              <w:rFonts w:ascii="Times New Roman" w:hAnsi="Times New Roman"/>
              <w:szCs w:val="32"/>
            </w:rPr>
            <w:fldChar w:fldCharType="end"/>
          </w:r>
        </w:p>
      </w:sdtContent>
    </w:sdt>
    <w:p>
      <w:pPr>
        <w:rPr>
          <w:rFonts w:hint="eastAsia" w:ascii="Times New Roman" w:hAnsi="Times New Roman"/>
          <w:sz w:val="44"/>
        </w:rPr>
        <w:sectPr>
          <w:footerReference r:id="rId11" w:type="default"/>
          <w:pgSz w:w="11906" w:h="16838"/>
          <w:pgMar w:top="2098" w:right="1531" w:bottom="1757" w:left="1531" w:header="851" w:footer="1191" w:gutter="0"/>
          <w:pgBorders>
            <w:top w:val="none" w:sz="0" w:space="0"/>
            <w:left w:val="none" w:sz="0" w:space="0"/>
            <w:bottom w:val="none" w:sz="0" w:space="0"/>
            <w:right w:val="none" w:sz="0" w:space="0"/>
          </w:pgBorders>
          <w:pgNumType w:fmt="decimal" w:start="1"/>
          <w:cols w:space="0" w:num="1"/>
          <w:rtlGutter w:val="0"/>
          <w:docGrid w:type="lines" w:linePitch="312" w:charSpace="0"/>
        </w:sect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Pr>
        <w:pStyle w:val="5"/>
        <w:pageBreakBefore w:val="0"/>
        <w:widowControl w:val="0"/>
        <w:kinsoku/>
        <w:wordWrap/>
        <w:overflowPunct/>
        <w:topLinePunct w:val="0"/>
        <w:autoSpaceDE/>
        <w:autoSpaceDN/>
        <w:bidi w:val="0"/>
        <w:adjustRightInd/>
        <w:snapToGrid/>
        <w:spacing w:before="0" w:after="0" w:line="560" w:lineRule="exact"/>
        <w:jc w:val="center"/>
        <w:textAlignment w:val="auto"/>
        <w:outlineLvl w:val="9"/>
        <w:rPr>
          <w:rFonts w:hint="eastAsia" w:ascii="Times New Roman" w:hAnsi="Times New Roman"/>
          <w:b w:val="0"/>
          <w:bCs w:val="0"/>
          <w:sz w:val="40"/>
          <w:szCs w:val="40"/>
        </w:rPr>
      </w:pPr>
      <w:bookmarkStart w:id="16" w:name="_Toc429405448"/>
      <w:bookmarkStart w:id="17" w:name="_Toc419469687"/>
      <w:bookmarkStart w:id="18" w:name="_Toc96455122"/>
      <w:bookmarkStart w:id="19" w:name="_Toc419469566"/>
      <w:bookmarkStart w:id="20" w:name="_Toc42075738"/>
      <w:bookmarkStart w:id="21" w:name="_Toc437677292"/>
    </w:p>
    <w:p>
      <w:pPr>
        <w:pStyle w:val="5"/>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Times New Roman" w:hAnsi="Times New Roman"/>
          <w:b w:val="0"/>
          <w:bCs w:val="0"/>
          <w:sz w:val="40"/>
          <w:szCs w:val="40"/>
        </w:rPr>
      </w:pPr>
      <w:bookmarkStart w:id="22" w:name="_Toc12976"/>
      <w:r>
        <w:rPr>
          <w:rFonts w:hint="eastAsia" w:ascii="Times New Roman" w:hAnsi="Times New Roman"/>
          <w:b w:val="0"/>
          <w:bCs w:val="0"/>
          <w:sz w:val="40"/>
          <w:szCs w:val="40"/>
        </w:rPr>
        <w:t>前  言</w:t>
      </w:r>
      <w:bookmarkEnd w:id="16"/>
      <w:bookmarkEnd w:id="17"/>
      <w:bookmarkEnd w:id="18"/>
      <w:bookmarkEnd w:id="19"/>
      <w:bookmarkEnd w:id="20"/>
      <w:bookmarkEnd w:id="21"/>
      <w:bookmarkEnd w:id="22"/>
    </w:p>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rPr>
      </w:pPr>
      <w:r>
        <w:rPr>
          <w:rFonts w:hint="eastAsia" w:ascii="Times New Roman" w:hAnsi="Times New Roman" w:eastAsia="仿宋_GB2312" w:cs="仿宋_GB2312"/>
        </w:rPr>
        <w:t>焦作市位于河南省西北部，北依太行山，南临黄河，是郑州大都市区门户城市、中原城市群和豫晋交界地区的区域性中心城市，</w:t>
      </w:r>
      <w:bookmarkStart w:id="23" w:name="OLE_LINK7"/>
      <w:bookmarkStart w:id="24" w:name="OLE_LINK6"/>
      <w:r>
        <w:rPr>
          <w:rFonts w:hint="eastAsia" w:ascii="Times New Roman" w:hAnsi="Times New Roman" w:eastAsia="仿宋_GB2312" w:cs="仿宋_GB2312"/>
        </w:rPr>
        <w:t>太原-郑州-合肥发展轴上</w:t>
      </w:r>
      <w:bookmarkEnd w:id="23"/>
      <w:bookmarkEnd w:id="24"/>
      <w:r>
        <w:rPr>
          <w:rFonts w:hint="eastAsia" w:ascii="Times New Roman" w:hAnsi="Times New Roman" w:eastAsia="仿宋_GB2312" w:cs="仿宋_GB2312"/>
        </w:rPr>
        <w:t>的重要节点城市，新-焦-济南太行产业轴的重要组成部分。“十三五”期，在市委、市政府的正确领导下，全市交通运输业发展取得了显著成绩，为经济社会高质量发展提供了强有力支撑。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rPr>
      </w:pPr>
      <w:bookmarkStart w:id="25" w:name="_Hlk38008926"/>
      <w:r>
        <w:rPr>
          <w:rFonts w:hint="eastAsia" w:ascii="Times New Roman" w:hAnsi="Times New Roman" w:eastAsia="仿宋_GB2312" w:cs="仿宋_GB2312"/>
        </w:rPr>
        <w:t>“十四五”期是开启全面建设社会主义现代化焦作新征程的首个五年，是加快建设全面体现新发展理念示范城市、打造“精致城市、品质焦作”、开辟高质量发展新境界的关键时期，</w:t>
      </w:r>
      <w:bookmarkStart w:id="26" w:name="_Hlk59088421"/>
      <w:r>
        <w:rPr>
          <w:rFonts w:hint="eastAsia" w:ascii="Times New Roman" w:hAnsi="Times New Roman" w:eastAsia="仿宋_GB2312" w:cs="仿宋_GB2312"/>
        </w:rPr>
        <w:t>也是推进建设交通强市、大力发展枢纽经济的重要时期</w:t>
      </w:r>
      <w:bookmarkEnd w:id="26"/>
      <w:r>
        <w:rPr>
          <w:rFonts w:hint="eastAsia" w:ascii="Times New Roman" w:hAnsi="Times New Roman" w:eastAsia="仿宋_GB2312" w:cs="仿宋_GB2312"/>
        </w:rPr>
        <w:t>。</w:t>
      </w:r>
      <w:bookmarkEnd w:id="25"/>
      <w:bookmarkStart w:id="27" w:name="_Hlk38008958"/>
      <w:r>
        <w:rPr>
          <w:rFonts w:hint="eastAsia" w:ascii="Times New Roman" w:hAnsi="Times New Roman" w:eastAsia="仿宋_GB2312" w:cs="仿宋_GB2312"/>
        </w:rPr>
        <w:t>为科学指导“十四五”期焦作市现代综合交通运输体系和枢纽经济发展，根据《交通强国建设纲要》《国家综合立体交通网规划纲要》和《焦作市国民经济和社会发展第十四个五年规划和二〇三五年远景目标纲要》，并与《河南省“十四五”现代综合交通运输体系和枢纽经济发展规划》相衔接，制定本规划。</w:t>
      </w:r>
      <w:bookmarkEnd w:id="2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仿宋_GB2312"/>
        </w:rPr>
      </w:pPr>
      <w:r>
        <w:rPr>
          <w:rFonts w:hint="eastAsia" w:ascii="Times New Roman" w:hAnsi="Times New Roman" w:eastAsia="仿宋_GB2312" w:cs="仿宋_GB2312"/>
        </w:rPr>
        <w:t>规划范围为焦作市域，包括解放区、山阳区、中站区、马村区4个市辖区，城乡一体化示范区，修武县、武陟县、温县、博爱县4个县，沁阳市、孟州市2个县级市，总面积4071平方公里。规划期限为2021-2025年，远期展望至2035年。</w:t>
      </w:r>
    </w:p>
    <w:p>
      <w:pPr>
        <w:rPr>
          <w:rFonts w:hint="eastAsia" w:ascii="Times New Roman" w:hAnsi="Times New Roman" w:eastAsia="仿宋_GB2312" w:cs="仿宋_GB2312"/>
        </w:rPr>
      </w:pPr>
      <w:r>
        <w:rPr>
          <w:rFonts w:hint="eastAsia" w:ascii="Times New Roman" w:hAnsi="Times New Roman" w:eastAsia="仿宋_GB2312" w:cs="仿宋_GB2312"/>
        </w:rPr>
        <w:br w:type="page"/>
      </w:r>
    </w:p>
    <w:p>
      <w:pPr>
        <w:pStyle w:val="2"/>
        <w:rPr>
          <w:rFonts w:hint="eastAsia" w:ascii="Times New Roman" w:hAnsi="Times New Roma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仿宋_GB2312"/>
        </w:rPr>
        <w:sectPr>
          <w:pgSz w:w="11906" w:h="16838"/>
          <w:pgMar w:top="2098" w:right="1531" w:bottom="1757" w:left="1531" w:header="851" w:footer="1191"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pStyle w:val="5"/>
        <w:keepNext w:val="0"/>
        <w:keepLines w:val="0"/>
        <w:pageBreakBefore w:val="0"/>
        <w:widowControl w:val="0"/>
        <w:kinsoku/>
        <w:wordWrap/>
        <w:overflowPunct/>
        <w:topLinePunct w:val="0"/>
        <w:autoSpaceDE/>
        <w:autoSpaceDN/>
        <w:bidi w:val="0"/>
        <w:adjustRightInd w:val="0"/>
        <w:snapToGrid w:val="0"/>
        <w:spacing w:before="0" w:after="0" w:line="580" w:lineRule="exact"/>
        <w:ind w:left="0" w:firstLine="640" w:firstLineChars="200"/>
        <w:jc w:val="both"/>
        <w:textAlignment w:val="auto"/>
        <w:rPr>
          <w:rFonts w:hint="eastAsia" w:ascii="Times New Roman" w:hAnsi="Times New Roman" w:eastAsia="黑体" w:cs="黑体"/>
          <w:b w:val="0"/>
          <w:bCs w:val="0"/>
          <w:sz w:val="32"/>
          <w:szCs w:val="32"/>
        </w:rPr>
      </w:pPr>
      <w:bookmarkStart w:id="28" w:name="_Toc437677293"/>
      <w:bookmarkStart w:id="29" w:name="_Toc419469567"/>
      <w:bookmarkStart w:id="30" w:name="_Toc419469688"/>
      <w:bookmarkStart w:id="31" w:name="_Toc419468957"/>
      <w:bookmarkStart w:id="32" w:name="_Toc429405449"/>
      <w:bookmarkStart w:id="33" w:name="_Toc96455123"/>
      <w:bookmarkStart w:id="34" w:name="_Toc42075739"/>
      <w:bookmarkStart w:id="35" w:name="_Toc29105"/>
      <w:r>
        <w:rPr>
          <w:rFonts w:hint="eastAsia" w:ascii="Times New Roman" w:hAnsi="Times New Roman" w:eastAsia="黑体" w:cs="黑体"/>
          <w:b w:val="0"/>
          <w:bCs w:val="0"/>
          <w:sz w:val="32"/>
          <w:szCs w:val="32"/>
        </w:rPr>
        <w:t>一、</w:t>
      </w:r>
      <w:bookmarkEnd w:id="28"/>
      <w:bookmarkEnd w:id="29"/>
      <w:bookmarkEnd w:id="30"/>
      <w:bookmarkEnd w:id="31"/>
      <w:bookmarkEnd w:id="32"/>
      <w:r>
        <w:rPr>
          <w:rFonts w:hint="eastAsia" w:ascii="Times New Roman" w:hAnsi="Times New Roman" w:eastAsia="黑体" w:cs="黑体"/>
          <w:b w:val="0"/>
          <w:bCs w:val="0"/>
          <w:sz w:val="32"/>
          <w:szCs w:val="32"/>
        </w:rPr>
        <w:t>发展基础</w:t>
      </w:r>
      <w:bookmarkEnd w:id="33"/>
      <w:bookmarkEnd w:id="34"/>
      <w:bookmarkEnd w:id="35"/>
    </w:p>
    <w:p>
      <w:pPr>
        <w:pStyle w:val="6"/>
        <w:keepNext w:val="0"/>
        <w:keepLines w:val="0"/>
        <w:pageBreakBefore w:val="0"/>
        <w:widowControl w:val="0"/>
        <w:kinsoku/>
        <w:wordWrap/>
        <w:overflowPunct/>
        <w:topLinePunct w:val="0"/>
        <w:autoSpaceDE/>
        <w:autoSpaceDN/>
        <w:bidi w:val="0"/>
        <w:adjustRightInd w:val="0"/>
        <w:snapToGrid w:val="0"/>
        <w:spacing w:line="580" w:lineRule="exact"/>
        <w:ind w:left="0" w:firstLine="643" w:firstLineChars="200"/>
        <w:jc w:val="both"/>
        <w:textAlignment w:val="auto"/>
        <w:rPr>
          <w:rFonts w:hint="eastAsia" w:ascii="Times New Roman" w:hAnsi="Times New Roman" w:eastAsia="楷体_GB2312" w:cs="楷体_GB2312"/>
          <w:b/>
          <w:bCs/>
          <w:sz w:val="32"/>
          <w:szCs w:val="32"/>
        </w:rPr>
      </w:pPr>
      <w:bookmarkStart w:id="36" w:name="_Toc419469568"/>
      <w:bookmarkStart w:id="37" w:name="_Toc429405450"/>
      <w:bookmarkStart w:id="38" w:name="_Toc437677294"/>
      <w:bookmarkStart w:id="39" w:name="_Toc419469689"/>
      <w:bookmarkStart w:id="40" w:name="_Toc419468958"/>
      <w:bookmarkStart w:id="41" w:name="_Toc418608542"/>
      <w:bookmarkStart w:id="42" w:name="_Toc42075740"/>
      <w:bookmarkStart w:id="43" w:name="_Toc96455124"/>
      <w:bookmarkStart w:id="44" w:name="_Toc14680"/>
      <w:r>
        <w:rPr>
          <w:rFonts w:hint="eastAsia" w:ascii="Times New Roman" w:hAnsi="Times New Roman" w:eastAsia="楷体_GB2312" w:cs="楷体_GB2312"/>
          <w:b/>
          <w:bCs/>
          <w:sz w:val="32"/>
          <w:szCs w:val="32"/>
        </w:rPr>
        <w:t>（一）</w:t>
      </w:r>
      <w:bookmarkEnd w:id="36"/>
      <w:bookmarkEnd w:id="37"/>
      <w:bookmarkEnd w:id="38"/>
      <w:bookmarkEnd w:id="39"/>
      <w:bookmarkEnd w:id="40"/>
      <w:bookmarkEnd w:id="41"/>
      <w:r>
        <w:rPr>
          <w:rFonts w:hint="eastAsia" w:ascii="Times New Roman" w:hAnsi="Times New Roman" w:eastAsia="楷体_GB2312" w:cs="楷体_GB2312"/>
          <w:b/>
          <w:bCs/>
          <w:sz w:val="32"/>
          <w:szCs w:val="32"/>
        </w:rPr>
        <w:t>发展成就</w:t>
      </w:r>
      <w:bookmarkEnd w:id="42"/>
      <w:bookmarkEnd w:id="43"/>
      <w:bookmarkEnd w:id="44"/>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十三五”以来，焦作市围绕建设“四个焦作”、早日跻身全省“第一方阵”的奋斗目标，大力推进铁路、公路等交通基础设施建设，综合交通网络不断优化，客货运输服务水平显著提升，邮政快递发展势头迅猛，行业管理水平和服务保障能力持续增强，交通运输事业取得了长足发展。“十三五”期，全市综合交通基础设施建设累计完成投资158亿元，有力保障全面建成小康社会目标实现，为全市经济社会高质量发展提供有力支撑。</w:t>
      </w:r>
    </w:p>
    <w:p>
      <w:pPr>
        <w:pStyle w:val="7"/>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before="0" w:after="0" w:line="580" w:lineRule="exact"/>
        <w:ind w:left="640" w:leftChars="0"/>
        <w:jc w:val="both"/>
        <w:textAlignment w:val="auto"/>
        <w:rPr>
          <w:rFonts w:hint="eastAsia" w:ascii="Times New Roman" w:hAnsi="Times New Roman" w:eastAsia="仿宋_GB2312" w:cs="仿宋_GB2312"/>
          <w:b/>
          <w:bCs/>
          <w:sz w:val="32"/>
          <w:szCs w:val="32"/>
        </w:rPr>
      </w:pPr>
      <w:bookmarkStart w:id="45" w:name="_Toc42075741"/>
      <w:r>
        <w:rPr>
          <w:rFonts w:hint="eastAsia" w:ascii="Times New Roman" w:hAnsi="Times New Roman" w:eastAsia="仿宋_GB2312" w:cs="仿宋_GB2312"/>
          <w:b/>
          <w:bCs/>
          <w:sz w:val="32"/>
          <w:szCs w:val="32"/>
          <w:lang w:val="en-US" w:eastAsia="zh-CN"/>
        </w:rPr>
        <w:t>1.</w:t>
      </w:r>
      <w:r>
        <w:rPr>
          <w:rFonts w:hint="eastAsia" w:ascii="Times New Roman" w:hAnsi="Times New Roman" w:eastAsia="仿宋_GB2312" w:cs="仿宋_GB2312"/>
          <w:b/>
          <w:bCs/>
          <w:sz w:val="32"/>
          <w:szCs w:val="32"/>
        </w:rPr>
        <w:t>交通基础设施日益完善</w:t>
      </w:r>
      <w:bookmarkEnd w:id="45"/>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截至2020年底，全市综合交通线网总里程达到8263公里，基本形成了以铁路、高速公路为骨架、干线公路为支撑、农村公路为脉络，多种交通运输方式相互衔接、便捷高效的综合运输网络体系。</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铁路建设取得新突破。“十三五”期，全市铁路新增里程33.4公里，累计完成投资41.9亿元。太焦高铁建成通车，郑太高铁全线贯通，焦作西站同步建成投运，中原城市群核心区与山西中部盆地城市群联系更加紧密。</w:t>
      </w:r>
      <w:bookmarkStart w:id="46" w:name="_Hlk40536950"/>
      <w:r>
        <w:rPr>
          <w:rFonts w:hint="eastAsia" w:ascii="Times New Roman" w:hAnsi="Times New Roman" w:eastAsia="仿宋_GB2312" w:cs="仿宋_GB2312"/>
          <w:b w:val="0"/>
          <w:bCs w:val="0"/>
          <w:sz w:val="32"/>
          <w:szCs w:val="32"/>
        </w:rPr>
        <w:t>郑焦城际焦作站南站房、南广场投入使用</w:t>
      </w:r>
      <w:bookmarkEnd w:id="46"/>
      <w:r>
        <w:rPr>
          <w:rFonts w:hint="eastAsia" w:ascii="Times New Roman" w:hAnsi="Times New Roman" w:eastAsia="仿宋_GB2312" w:cs="仿宋_GB2312"/>
          <w:b w:val="0"/>
          <w:bCs w:val="0"/>
          <w:sz w:val="32"/>
          <w:szCs w:val="32"/>
        </w:rPr>
        <w:t>，与北站房合二为一、功能联动，为全市人民提供更加安全、便捷、舒适的出行服务。</w:t>
      </w:r>
      <w:bookmarkStart w:id="47" w:name="_Hlk58922949"/>
      <w:r>
        <w:rPr>
          <w:rFonts w:hint="eastAsia" w:ascii="Times New Roman" w:hAnsi="Times New Roman" w:eastAsia="仿宋_GB2312" w:cs="仿宋_GB2312"/>
          <w:b w:val="0"/>
          <w:bCs w:val="0"/>
          <w:sz w:val="32"/>
          <w:szCs w:val="32"/>
        </w:rPr>
        <w:t>呼南高铁豫西通道、新焦城际铁路等项目前期工作持续推进，为项目开工建设奠定基础。</w:t>
      </w:r>
      <w:bookmarkEnd w:id="47"/>
      <w:r>
        <w:rPr>
          <w:rFonts w:hint="eastAsia" w:ascii="Times New Roman" w:hAnsi="Times New Roman" w:eastAsia="仿宋_GB2312" w:cs="仿宋_GB2312"/>
          <w:b w:val="0"/>
          <w:bCs w:val="0"/>
          <w:sz w:val="32"/>
          <w:szCs w:val="32"/>
        </w:rPr>
        <w:t>截至2020年底，全市共有7条铁路，营业里程211.6公里，其中高速铁路（含城际）83.6公里。</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bookmarkStart w:id="48" w:name="_Hlk40537982"/>
      <w:r>
        <w:rPr>
          <w:rFonts w:hint="eastAsia" w:ascii="Times New Roman" w:hAnsi="Times New Roman" w:eastAsia="仿宋_GB2312" w:cs="仿宋_GB2312"/>
          <w:b w:val="0"/>
          <w:bCs w:val="0"/>
          <w:sz w:val="32"/>
          <w:szCs w:val="32"/>
        </w:rPr>
        <w:t>高速公路网络进一步完善。“十三五”期，</w:t>
      </w:r>
      <w:bookmarkEnd w:id="48"/>
      <w:r>
        <w:rPr>
          <w:rFonts w:hint="eastAsia" w:ascii="Times New Roman" w:hAnsi="Times New Roman" w:eastAsia="仿宋_GB2312" w:cs="仿宋_GB2312"/>
          <w:b w:val="0"/>
          <w:bCs w:val="0"/>
          <w:sz w:val="32"/>
          <w:szCs w:val="32"/>
        </w:rPr>
        <w:t>全市高速公路新增通车里程36.9公里，累计完成投资5.2亿元。</w:t>
      </w:r>
      <w:bookmarkStart w:id="49" w:name="_Hlk40537995"/>
      <w:r>
        <w:rPr>
          <w:rFonts w:hint="eastAsia" w:ascii="Times New Roman" w:hAnsi="Times New Roman" w:eastAsia="仿宋_GB2312" w:cs="仿宋_GB2312"/>
          <w:b w:val="0"/>
          <w:bCs w:val="0"/>
          <w:sz w:val="32"/>
          <w:szCs w:val="32"/>
        </w:rPr>
        <w:t>郑云高速武陟至云台山段建成通车，郑云高速全线贯通，形成中原腹地至豫西北地区的一条快速旅游通道。沿太行高速焦作段、焦作至济源段，焦平高速焦作至荥阳段，焦唐高速温县至巩义段等前期工作持续推进。沿黄高速武陟至济源段、长垣至修武高速、郑州至焦作高速、沁阳至伊川高速顺利纳入全省高速公路网规划，区域路网进一步完善。</w:t>
      </w:r>
      <w:bookmarkEnd w:id="49"/>
      <w:bookmarkStart w:id="50" w:name="_Hlk40538004"/>
      <w:r>
        <w:rPr>
          <w:rFonts w:hint="eastAsia" w:ascii="Times New Roman" w:hAnsi="Times New Roman" w:eastAsia="仿宋_GB2312" w:cs="仿宋_GB2312"/>
          <w:b w:val="0"/>
          <w:bCs w:val="0"/>
          <w:sz w:val="32"/>
          <w:szCs w:val="32"/>
        </w:rPr>
        <w:t>截至2020年底，</w:t>
      </w:r>
      <w:bookmarkEnd w:id="50"/>
      <w:r>
        <w:rPr>
          <w:rFonts w:hint="eastAsia" w:ascii="Times New Roman" w:hAnsi="Times New Roman" w:eastAsia="仿宋_GB2312" w:cs="仿宋_GB2312"/>
          <w:b w:val="0"/>
          <w:bCs w:val="0"/>
          <w:sz w:val="32"/>
          <w:szCs w:val="32"/>
        </w:rPr>
        <w:t>全市高速公路通车里程240公里，形成“两横三纵”路网布局，路网密度5.9公里/百平方公里，</w:t>
      </w:r>
      <w:bookmarkStart w:id="51" w:name="_Hlk77068039"/>
      <w:r>
        <w:rPr>
          <w:rFonts w:hint="eastAsia" w:ascii="Times New Roman" w:hAnsi="Times New Roman" w:eastAsia="仿宋_GB2312" w:cs="仿宋_GB2312"/>
          <w:b w:val="0"/>
          <w:bCs w:val="0"/>
          <w:sz w:val="32"/>
          <w:szCs w:val="32"/>
        </w:rPr>
        <w:t>高于全省4.3公里/百平方公里的平均水平</w:t>
      </w:r>
      <w:bookmarkEnd w:id="51"/>
      <w:r>
        <w:rPr>
          <w:rFonts w:hint="eastAsia" w:ascii="Times New Roman" w:hAnsi="Times New Roman" w:eastAsia="仿宋_GB2312" w:cs="仿宋_GB2312"/>
          <w:b w:val="0"/>
          <w:bCs w:val="0"/>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bookmarkStart w:id="52" w:name="_Hlk40538068"/>
      <w:r>
        <w:rPr>
          <w:rFonts w:hint="eastAsia" w:ascii="Times New Roman" w:hAnsi="Times New Roman" w:eastAsia="仿宋_GB2312" w:cs="仿宋_GB2312"/>
          <w:b w:val="0"/>
          <w:bCs w:val="0"/>
          <w:sz w:val="32"/>
          <w:szCs w:val="32"/>
        </w:rPr>
        <w:t>普通干线公路服务能力持续增强。“十三五”期，</w:t>
      </w:r>
      <w:bookmarkEnd w:id="52"/>
      <w:r>
        <w:rPr>
          <w:rFonts w:hint="eastAsia" w:ascii="Times New Roman" w:hAnsi="Times New Roman" w:eastAsia="仿宋_GB2312" w:cs="仿宋_GB2312"/>
          <w:b w:val="0"/>
          <w:bCs w:val="0"/>
          <w:sz w:val="32"/>
          <w:szCs w:val="32"/>
        </w:rPr>
        <w:t>全市普通干线公路新改建里程</w:t>
      </w:r>
      <w:bookmarkStart w:id="53" w:name="_Hlk70086392"/>
      <w:r>
        <w:rPr>
          <w:rFonts w:hint="eastAsia" w:ascii="Times New Roman" w:hAnsi="Times New Roman" w:eastAsia="仿宋_GB2312" w:cs="仿宋_GB2312"/>
          <w:b w:val="0"/>
          <w:bCs w:val="0"/>
          <w:sz w:val="32"/>
          <w:szCs w:val="32"/>
        </w:rPr>
        <w:t>170公里，实施新改建项目6个、养护项目129个</w:t>
      </w:r>
      <w:bookmarkEnd w:id="53"/>
      <w:r>
        <w:rPr>
          <w:rFonts w:hint="eastAsia" w:ascii="Times New Roman" w:hAnsi="Times New Roman" w:eastAsia="仿宋_GB2312" w:cs="仿宋_GB2312"/>
          <w:b w:val="0"/>
          <w:bCs w:val="0"/>
          <w:sz w:val="32"/>
          <w:szCs w:val="32"/>
        </w:rPr>
        <w:t>，累计完成投资77.4亿元。</w:t>
      </w:r>
      <w:bookmarkStart w:id="54" w:name="_Hlk40538079"/>
      <w:r>
        <w:rPr>
          <w:rFonts w:hint="eastAsia" w:ascii="Times New Roman" w:hAnsi="Times New Roman" w:eastAsia="仿宋_GB2312" w:cs="仿宋_GB2312"/>
          <w:b w:val="0"/>
          <w:bCs w:val="0"/>
          <w:sz w:val="32"/>
          <w:szCs w:val="32"/>
        </w:rPr>
        <w:t>国道234焦作至荥阳黄河大桥建成通车，黄河两岸联系更加紧密，郑焦融合发展进一步提速。国道207孟州至偃师黄河大桥、国道207焦作至温县段、省道307月山至济源交界段等项目建设持续推进，路网等级进一步提升。截至2020年底，</w:t>
      </w:r>
      <w:bookmarkEnd w:id="54"/>
      <w:r>
        <w:rPr>
          <w:rFonts w:hint="eastAsia" w:ascii="Times New Roman" w:hAnsi="Times New Roman" w:eastAsia="仿宋_GB2312" w:cs="仿宋_GB2312"/>
          <w:b w:val="0"/>
          <w:bCs w:val="0"/>
          <w:sz w:val="32"/>
          <w:szCs w:val="32"/>
        </w:rPr>
        <w:t>全市普通干线公路通车里程1038.3公里，二级及以上公路占比76.3%，高于全省69.7%的平均水平；路网密度25.5公里/百平方公里，居全省第一位。</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bookmarkStart w:id="55" w:name="_Hlk40538295"/>
      <w:r>
        <w:rPr>
          <w:rFonts w:hint="eastAsia" w:ascii="Times New Roman" w:hAnsi="Times New Roman" w:eastAsia="仿宋_GB2312" w:cs="仿宋_GB2312"/>
          <w:b w:val="0"/>
          <w:bCs w:val="0"/>
          <w:sz w:val="32"/>
          <w:szCs w:val="32"/>
        </w:rPr>
        <w:t>农村公路建设成效显著。“十三五”期，全市农村公路建设</w:t>
      </w:r>
      <w:bookmarkStart w:id="56" w:name="_Hlk77171254"/>
      <w:r>
        <w:rPr>
          <w:rFonts w:hint="eastAsia" w:ascii="Times New Roman" w:hAnsi="Times New Roman" w:eastAsia="仿宋_GB2312" w:cs="仿宋_GB2312"/>
          <w:b w:val="0"/>
          <w:bCs w:val="0"/>
          <w:sz w:val="32"/>
          <w:szCs w:val="32"/>
        </w:rPr>
        <w:t>累计完成投资12.2亿元，新改建里程1517公里，改造桥梁70座3500延米</w:t>
      </w:r>
      <w:bookmarkEnd w:id="56"/>
      <w:r>
        <w:rPr>
          <w:rFonts w:hint="eastAsia" w:ascii="Times New Roman" w:hAnsi="Times New Roman" w:eastAsia="仿宋_GB2312" w:cs="仿宋_GB2312"/>
          <w:b w:val="0"/>
          <w:bCs w:val="0"/>
          <w:sz w:val="32"/>
          <w:szCs w:val="32"/>
        </w:rPr>
        <w:t>。“三年行动计划”乡村通畅工程圆满收官，农村交通环境切实改善。</w:t>
      </w:r>
      <w:bookmarkStart w:id="57" w:name="_Hlk70086588"/>
      <w:r>
        <w:rPr>
          <w:rFonts w:hint="eastAsia" w:ascii="Times New Roman" w:hAnsi="Times New Roman" w:eastAsia="仿宋_GB2312" w:cs="仿宋_GB2312"/>
          <w:b w:val="0"/>
          <w:bCs w:val="0"/>
          <w:sz w:val="32"/>
          <w:szCs w:val="32"/>
        </w:rPr>
        <w:t>深入开展“四好农村路”创建工作，全市农村公路实现创建全覆盖，其中孟州成功创建全国“四好农村路”示范县，沁阳、武陟、温县成功创建省级“四好农村路”示范县</w:t>
      </w:r>
      <w:bookmarkEnd w:id="57"/>
      <w:r>
        <w:rPr>
          <w:rFonts w:hint="eastAsia" w:ascii="Times New Roman" w:hAnsi="Times New Roman" w:eastAsia="仿宋_GB2312" w:cs="仿宋_GB2312"/>
          <w:b w:val="0"/>
          <w:bCs w:val="0"/>
          <w:sz w:val="32"/>
          <w:szCs w:val="32"/>
        </w:rPr>
        <w:t>。</w:t>
      </w:r>
      <w:bookmarkEnd w:id="55"/>
      <w:r>
        <w:rPr>
          <w:rFonts w:hint="eastAsia" w:ascii="Times New Roman" w:hAnsi="Times New Roman" w:eastAsia="仿宋_GB2312" w:cs="仿宋_GB2312"/>
          <w:b w:val="0"/>
          <w:bCs w:val="0"/>
          <w:sz w:val="32"/>
          <w:szCs w:val="32"/>
        </w:rPr>
        <w:t>积极推进“百县通村入组”工程，全市乡镇和建制村通硬化路率均达到100%，并在全省率先实现五户以上自然村通硬化路。截至2020年底，全市农村公路总里程6772.9公里，三级及以上公路占比28.0%，居全省第二位；建制村通双车道公路比例达到40%以上。</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内河水运建设稳步推进。“十三五”期，全市内河水运建设累计完成投资805万元，重点推进大沙河水域港航安全监管基础设施项目实施，建设集码头、运输管理、安全监管和应急救援为一体的港航安全基础设施，实现水上交通运输的集中统一管理，提高大沙河水上运输安全监管水平和应急救助能力。</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运输场站建设有序推进。</w:t>
      </w:r>
      <w:bookmarkStart w:id="58" w:name="_Hlk58869547"/>
      <w:r>
        <w:rPr>
          <w:rFonts w:hint="eastAsia" w:ascii="Times New Roman" w:hAnsi="Times New Roman" w:eastAsia="仿宋_GB2312" w:cs="仿宋_GB2312"/>
          <w:b w:val="0"/>
          <w:bCs w:val="0"/>
          <w:sz w:val="32"/>
          <w:szCs w:val="32"/>
        </w:rPr>
        <w:t>公路客运方面，对焦作市汽车客运总站、旅游汽车站进行形象提升和环境整治。公路货运方面，伊赛牛肉冷链物流配送中心、武陟徽商农产品交易物流园等物流项目投入运营，中国宝武焦作现代综合物流园、万邦（焦作）农产品冷链物流园等大型现代物流园区项目开工建设或签约。</w:t>
      </w:r>
      <w:bookmarkEnd w:id="58"/>
      <w:r>
        <w:rPr>
          <w:rFonts w:hint="eastAsia" w:ascii="Times New Roman" w:hAnsi="Times New Roman" w:eastAsia="仿宋_GB2312" w:cs="仿宋_GB2312"/>
          <w:b w:val="0"/>
          <w:bCs w:val="0"/>
          <w:sz w:val="32"/>
          <w:szCs w:val="32"/>
        </w:rPr>
        <w:t>城市公共交通方面，建成北朱村、缝山公园首末站，完成义门、东学固、大北张三个停保场新建工程及马村、中站停保场升级改造，公交整体面貌得到明显改观。</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80" w:lineRule="exact"/>
        <w:ind w:left="640" w:leftChars="0"/>
        <w:jc w:val="both"/>
        <w:textAlignment w:val="auto"/>
        <w:rPr>
          <w:rFonts w:hint="eastAsia" w:ascii="Times New Roman" w:hAnsi="Times New Roman" w:eastAsia="仿宋_GB2312" w:cs="仿宋_GB2312"/>
          <w:b/>
          <w:bCs/>
          <w:sz w:val="32"/>
          <w:szCs w:val="32"/>
        </w:rPr>
      </w:pPr>
      <w:bookmarkStart w:id="59" w:name="_Toc42075742"/>
      <w:r>
        <w:rPr>
          <w:rFonts w:hint="eastAsia" w:ascii="Times New Roman" w:hAnsi="Times New Roman" w:eastAsia="仿宋_GB2312" w:cs="仿宋_GB2312"/>
          <w:b/>
          <w:bCs/>
          <w:sz w:val="32"/>
          <w:szCs w:val="32"/>
          <w:lang w:val="en-US" w:eastAsia="zh-CN"/>
        </w:rPr>
        <w:t>2.</w:t>
      </w:r>
      <w:r>
        <w:rPr>
          <w:rFonts w:hint="eastAsia" w:ascii="Times New Roman" w:hAnsi="Times New Roman" w:eastAsia="仿宋_GB2312" w:cs="仿宋_GB2312"/>
          <w:b/>
          <w:bCs/>
          <w:sz w:val="32"/>
          <w:szCs w:val="32"/>
        </w:rPr>
        <w:t>运输服务水平稳步提升</w:t>
      </w:r>
      <w:bookmarkEnd w:id="59"/>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客运服务品质不断改善。全面推进城乡道路客运一体化发展，孟州、沁阳成功创建省级城乡道路客运一体化试点县。深入开展“万村通客车提质工程”，</w:t>
      </w:r>
      <w:bookmarkStart w:id="60" w:name="_Hlk40538733"/>
      <w:r>
        <w:rPr>
          <w:rFonts w:hint="eastAsia" w:ascii="Times New Roman" w:hAnsi="Times New Roman" w:eastAsia="仿宋_GB2312" w:cs="仿宋_GB2312"/>
          <w:b w:val="0"/>
          <w:bCs w:val="0"/>
          <w:sz w:val="32"/>
          <w:szCs w:val="32"/>
        </w:rPr>
        <w:t>孟州、沁阳、修武成功创建省级万村通客车提质工程示范县</w:t>
      </w:r>
      <w:bookmarkEnd w:id="60"/>
      <w:r>
        <w:rPr>
          <w:rFonts w:hint="eastAsia" w:ascii="Times New Roman" w:hAnsi="Times New Roman" w:eastAsia="仿宋_GB2312" w:cs="仿宋_GB2312"/>
          <w:b w:val="0"/>
          <w:bCs w:val="0"/>
          <w:sz w:val="32"/>
          <w:szCs w:val="32"/>
        </w:rPr>
        <w:t>，全市所有乡镇和建制村通客车率达到100%。公共交通事业得到跨越式发展，设置公交专用道40公里以上，更新车辆635台，公交信息化建设不断加强和完善，公交服务不断提质升级，荣获省首批“公交优先”示范城市荣誉称号。编制完成《焦作市全域旅游交通规划》报告，推动交通和旅游深度融合发展，加快焦作市全域旅游示范市创建进程。</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货运物流发展势头良好。</w:t>
      </w:r>
      <w:bookmarkStart w:id="61" w:name="_Hlk40538765"/>
      <w:r>
        <w:rPr>
          <w:rFonts w:hint="eastAsia" w:ascii="Times New Roman" w:hAnsi="Times New Roman" w:eastAsia="仿宋_GB2312" w:cs="仿宋_GB2312"/>
          <w:b w:val="0"/>
          <w:bCs w:val="0"/>
          <w:sz w:val="32"/>
          <w:szCs w:val="32"/>
        </w:rPr>
        <w:t>孟州大力推动交邮融合，推广“公交+快递物流”经营模式，利用公交运力空闲资源，为邮政公司向乡村网点捎带快件，实现客货同网、资源共享。探索发展“互联网+”高效物流，2家企业入选无车承运人试点，1家企业获网络货运道路运输经营许可。截至2020年底，全市各类物流企业1721家，其中，国家A级物流企业11家，居全省第三位；营运货车8.4万辆、总吨位约120万吨，分别居全省第三位和第一位。</w:t>
      </w:r>
    </w:p>
    <w:bookmarkEnd w:id="61"/>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邮政快递业提速发展。全市邮政业总体规模不断扩大，快递服务品牌企业不断壮大，邮政服务水平不断提高。“十三五”期，全市邮政业年业务总量由5.3亿元增长到50亿元，快递年业务量由1572万件增长到2.1亿件，排名分别跃居全省第五位和第三位。截至2020年底，全市邮政网点115个，其中农村网点69个；邮路22条，总长1180公里（单程），实现“县县有分拨，乡乡有网点，村村通快递”。</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80" w:lineRule="exact"/>
        <w:ind w:left="640" w:leftChars="0"/>
        <w:jc w:val="both"/>
        <w:textAlignment w:val="auto"/>
        <w:rPr>
          <w:rFonts w:hint="eastAsia" w:ascii="Times New Roman" w:hAnsi="Times New Roman" w:eastAsia="仿宋_GB2312" w:cs="仿宋_GB2312"/>
          <w:b/>
          <w:bCs/>
          <w:sz w:val="32"/>
          <w:szCs w:val="32"/>
        </w:rPr>
      </w:pPr>
      <w:r>
        <w:rPr>
          <w:rFonts w:hint="eastAsia" w:ascii="Times New Roman" w:hAnsi="Times New Roman" w:eastAsia="仿宋_GB2312" w:cs="仿宋_GB2312"/>
          <w:b/>
          <w:bCs/>
          <w:sz w:val="32"/>
          <w:szCs w:val="32"/>
          <w:lang w:val="en-US" w:eastAsia="zh-CN"/>
        </w:rPr>
        <w:t>3.</w:t>
      </w:r>
      <w:r>
        <w:rPr>
          <w:rFonts w:hint="eastAsia" w:ascii="Times New Roman" w:hAnsi="Times New Roman" w:eastAsia="仿宋_GB2312" w:cs="仿宋_GB2312"/>
          <w:b/>
          <w:bCs/>
          <w:sz w:val="32"/>
          <w:szCs w:val="32"/>
        </w:rPr>
        <w:t>交通枢纽经济快速发展</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枢纽经济承载平台加速形成。焦作入选河南省18个区域物流枢纽，对于推进物流业转型升级，提升区域物流竞争力有重要意义。焦作西站片区基础设施不断完善，焦西高铁新城建设持续推进，枢纽资源优势逐步转化为现代化建设发展胜势。全市物流园区发展实现多点开花，以中国宝武焦作现代综合物流园等为代表的工业物流园不断发展壮大，以博爱豫北现代物流园等为代表的商贸物流中心加快形成，以焦作康利达冷链物流园等为代表的冷链物流基地建设稳步推进，以焦作市电商快递物流园等为代表的电商快递物流基地加快建设，有效承接郑州等核心城市资源疏解，助力建设郑州都市圈西北向战略性物流枢纽城市。</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现代流通体系逐步完善。现代物流产业发展壮大，物流业标准化建设不断加快，供应链创新与应用持续深入，先后获评河南省物流标准化示范市、国家供应链创新与应用试点市。依托不断完善的物流通道和交通组织，大力发展多式联运、电商物流、冷链物流、绿色仓储、供应链金融等综合业态，日照港博爱公铁联运无水港等大型多式联运项目落地运营，</w:t>
      </w:r>
      <w:r>
        <w:rPr>
          <w:rFonts w:hint="eastAsia" w:ascii="Times New Roman" w:hAnsi="Times New Roman" w:eastAsia="仿宋_GB2312" w:cs="仿宋_GB2312"/>
          <w:b w:val="0"/>
          <w:bCs w:val="0"/>
          <w:color w:val="000000"/>
          <w:sz w:val="32"/>
          <w:szCs w:val="32"/>
          <w:lang w:val="zh-CN"/>
        </w:rPr>
        <w:t>顺丰速运等企业入驻宝武物流园保障民生</w:t>
      </w:r>
      <w:r>
        <w:rPr>
          <w:rFonts w:hint="eastAsia" w:ascii="Times New Roman" w:hAnsi="Times New Roman" w:eastAsia="仿宋_GB2312" w:cs="仿宋_GB2312"/>
          <w:b w:val="0"/>
          <w:bCs w:val="0"/>
          <w:color w:val="000000"/>
          <w:sz w:val="32"/>
          <w:szCs w:val="32"/>
        </w:rPr>
        <w:t>，德众保税物流等承担国际物流与跨境电商功能，鸿运智能物流园等在绿色仓储、智慧物流等功能实现上不断向前推进，</w:t>
      </w:r>
      <w:r>
        <w:rPr>
          <w:rFonts w:hint="eastAsia" w:ascii="Times New Roman" w:hAnsi="Times New Roman" w:eastAsia="仿宋_GB2312" w:cs="仿宋_GB2312"/>
          <w:b w:val="0"/>
          <w:bCs w:val="0"/>
          <w:sz w:val="32"/>
          <w:szCs w:val="32"/>
        </w:rPr>
        <w:t>推动焦作传统物流向现代物流转变，为焦作市高端装备、绿色食品、生物制造、能源汽车、农副产品等重点产业规模扩张和产品辐射范围扩大创造了良好条件。</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80" w:lineRule="exact"/>
        <w:ind w:left="640" w:leftChars="0"/>
        <w:jc w:val="both"/>
        <w:textAlignment w:val="auto"/>
        <w:rPr>
          <w:rFonts w:hint="eastAsia" w:ascii="Times New Roman" w:hAnsi="Times New Roman" w:eastAsia="仿宋_GB2312" w:cs="仿宋_GB2312"/>
          <w:b/>
          <w:bCs/>
          <w:sz w:val="32"/>
          <w:szCs w:val="32"/>
        </w:rPr>
      </w:pPr>
      <w:r>
        <w:rPr>
          <w:rFonts w:hint="eastAsia" w:ascii="Times New Roman" w:hAnsi="Times New Roman" w:eastAsia="仿宋_GB2312" w:cs="仿宋_GB2312"/>
          <w:b/>
          <w:bCs/>
          <w:sz w:val="32"/>
          <w:szCs w:val="32"/>
          <w:lang w:val="en-US" w:eastAsia="zh-CN"/>
        </w:rPr>
        <w:t>4.</w:t>
      </w:r>
      <w:r>
        <w:rPr>
          <w:rFonts w:hint="eastAsia" w:ascii="Times New Roman" w:hAnsi="Times New Roman" w:eastAsia="仿宋_GB2312" w:cs="仿宋_GB2312"/>
          <w:b/>
          <w:bCs/>
          <w:sz w:val="32"/>
          <w:szCs w:val="32"/>
        </w:rPr>
        <w:t>智慧平安交通全面推进</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bookmarkStart w:id="62" w:name="_Hlk49964811"/>
      <w:r>
        <w:rPr>
          <w:rFonts w:hint="eastAsia" w:ascii="Times New Roman" w:hAnsi="Times New Roman" w:eastAsia="仿宋_GB2312" w:cs="仿宋_GB2312"/>
          <w:b w:val="0"/>
          <w:bCs w:val="0"/>
          <w:sz w:val="32"/>
          <w:szCs w:val="32"/>
        </w:rPr>
        <w:t>科技信息化水平不断提高。取消晋新高速豫晋省界收费站，有效减少车辆通过省界时间。高速公路收费站ETC车道覆盖率达到100%，全面实现不停车快速通行。智慧公路建设积极推进，完成内场建设及国道207山区段隧道、国道327三阳段交通拥堵路段、孟州黄河大桥等重点工程外场控制点位布设。推广科技治超，建成12个货车超限电子自动检查站。实施科技兴安，在全省率先完成1260台客车安装安全语音自动播报系统，为全市1900多台“两客一危”车辆安装智能4G监控系统。智慧公交建设全面加快，公交智能调度平台功能齐全，车辆GPS调度设备和车载视频监控实现全覆盖，推出了公交APP“焦作行”“此行”，人民路、站前路等公交走廊电子公交站牌全覆盖，持续开展交通一卡通“互通提质、便民出行”活动，已实现市辖区与孟州、修武、武陟和沁阳4个县（市）和全国200余个城市互联互通。</w:t>
      </w:r>
    </w:p>
    <w:bookmarkEnd w:id="62"/>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安全稳定工作全面加强。建成焦作交通运输安全教育基地，是全国9个部省共建基地之一，占地规模和体验设备均处于国内同行业领先地位</w:t>
      </w:r>
      <w:bookmarkStart w:id="63" w:name="_Hlk70086833"/>
      <w:r>
        <w:rPr>
          <w:rFonts w:hint="eastAsia" w:ascii="Times New Roman" w:hAnsi="Times New Roman" w:eastAsia="仿宋_GB2312" w:cs="仿宋_GB2312"/>
          <w:b w:val="0"/>
          <w:bCs w:val="0"/>
          <w:sz w:val="32"/>
          <w:szCs w:val="32"/>
        </w:rPr>
        <w:t>，被交通运输部评为“平安交通”创新案例，省科技厅评为“河南省科普传播基地”，已累计超3万余人接受教育培训</w:t>
      </w:r>
      <w:bookmarkEnd w:id="63"/>
      <w:r>
        <w:rPr>
          <w:rFonts w:hint="eastAsia" w:ascii="Times New Roman" w:hAnsi="Times New Roman" w:eastAsia="仿宋_GB2312" w:cs="仿宋_GB2312"/>
          <w:b w:val="0"/>
          <w:bCs w:val="0"/>
          <w:sz w:val="32"/>
          <w:szCs w:val="32"/>
        </w:rPr>
        <w:t>。做好突发事件下交通应急保障，疫情期间坚决做到“一断三不断”，共发放A证2773张、C证1050张，出动交通执法人员5254人、执法车辆1331台、排查车辆96687台。深入推进交通设施隐患排查、双重预防体系建设、文明出行宣传教育等工作，加大暗查暗访、突击检查和联合督导力度，强力推进企业安全生产标准化建设、诚信体系建设，确保行业安全平稳的良好态势。</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80" w:lineRule="exact"/>
        <w:ind w:left="640" w:leftChars="0"/>
        <w:jc w:val="both"/>
        <w:textAlignment w:val="auto"/>
        <w:rPr>
          <w:rFonts w:hint="eastAsia" w:ascii="Times New Roman" w:hAnsi="Times New Roman" w:eastAsia="仿宋_GB2312" w:cs="仿宋_GB2312"/>
          <w:b/>
          <w:bCs/>
          <w:sz w:val="32"/>
          <w:szCs w:val="32"/>
        </w:rPr>
      </w:pPr>
      <w:bookmarkStart w:id="64" w:name="_Toc42075744"/>
      <w:bookmarkStart w:id="65" w:name="_Toc42075747"/>
      <w:r>
        <w:rPr>
          <w:rFonts w:hint="eastAsia" w:ascii="Times New Roman" w:hAnsi="Times New Roman" w:eastAsia="仿宋_GB2312" w:cs="仿宋_GB2312"/>
          <w:b/>
          <w:bCs/>
          <w:sz w:val="32"/>
          <w:szCs w:val="32"/>
          <w:lang w:val="en-US" w:eastAsia="zh-CN"/>
        </w:rPr>
        <w:t>5.</w:t>
      </w:r>
      <w:r>
        <w:rPr>
          <w:rFonts w:hint="eastAsia" w:ascii="Times New Roman" w:hAnsi="Times New Roman" w:eastAsia="仿宋_GB2312" w:cs="仿宋_GB2312"/>
          <w:b/>
          <w:bCs/>
          <w:sz w:val="32"/>
          <w:szCs w:val="32"/>
        </w:rPr>
        <w:t>绿色交通建设成效显著</w:t>
      </w:r>
      <w:bookmarkEnd w:id="64"/>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bookmarkStart w:id="66" w:name="_Hlk40538843"/>
      <w:r>
        <w:rPr>
          <w:rFonts w:hint="eastAsia" w:ascii="Times New Roman" w:hAnsi="Times New Roman" w:eastAsia="仿宋_GB2312" w:cs="仿宋_GB2312"/>
          <w:b w:val="0"/>
          <w:bCs w:val="0"/>
          <w:sz w:val="32"/>
          <w:szCs w:val="32"/>
        </w:rPr>
        <w:t>绿色廊道建设步伐加快。</w:t>
      </w:r>
      <w:bookmarkEnd w:id="66"/>
      <w:bookmarkStart w:id="67" w:name="_Hlk70086752"/>
      <w:bookmarkStart w:id="68" w:name="_Hlk57904837"/>
      <w:r>
        <w:rPr>
          <w:rFonts w:hint="eastAsia" w:ascii="Times New Roman" w:hAnsi="Times New Roman" w:eastAsia="仿宋_GB2312" w:cs="仿宋_GB2312"/>
          <w:b w:val="0"/>
          <w:bCs w:val="0"/>
          <w:sz w:val="32"/>
          <w:szCs w:val="32"/>
        </w:rPr>
        <w:t>在全省率先启动公路绿色廊道建设，实施完成4条高速公路、19条连接中心城区至城市组团和连接周边城市的干线公路及县道，共计627公里绿色廊道，绿化面积3.76万亩，实现全市高速公路、普通干线公路绿色廊道全覆盖。</w:t>
      </w:r>
      <w:bookmarkEnd w:id="67"/>
      <w:r>
        <w:rPr>
          <w:rFonts w:hint="eastAsia" w:ascii="Times New Roman" w:hAnsi="Times New Roman" w:eastAsia="仿宋_GB2312" w:cs="仿宋_GB2312"/>
          <w:b w:val="0"/>
          <w:bCs w:val="0"/>
          <w:sz w:val="32"/>
          <w:szCs w:val="32"/>
        </w:rPr>
        <w:t>创新“廊道+”建设模式，通过绿化、过街路段整治、节点景观提升等一体建设，实施“廊道+党建、+历史文化、+休闲健身、+美丽乡村、+全域旅游、+便民惠民”等系列工程，在全市形成“三季有花、四季常绿”“路在绿中穿、车在景中过、人在画中游”的绿色生态景观长廊，打造焦作市绿色生态靓丽名片。</w:t>
      </w:r>
    </w:p>
    <w:bookmarkEnd w:id="68"/>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行业污染防治加快推进。积极开展路域环境治理大提升“百日攻坚”行动，持续开展货运车辆“抛、洒、滴、漏”专项治理活动，切实加强公路特别是绕城、穿城、重要旅游路、过村路段的清扫保洁。</w:t>
      </w:r>
      <w:bookmarkStart w:id="69" w:name="_Hlk70086791"/>
      <w:r>
        <w:rPr>
          <w:rFonts w:hint="eastAsia" w:ascii="Times New Roman" w:hAnsi="Times New Roman" w:eastAsia="仿宋_GB2312" w:cs="仿宋_GB2312"/>
          <w:b w:val="0"/>
          <w:bCs w:val="0"/>
          <w:sz w:val="32"/>
          <w:szCs w:val="32"/>
        </w:rPr>
        <w:t>扎实开展国三及以下柴油货车淘汰工作，牵头制定《焦作市淘汰国三及以下排放标准营运柴油货车工作实施方案》，实现双注销双百突破。</w:t>
      </w:r>
      <w:bookmarkEnd w:id="69"/>
      <w:r>
        <w:rPr>
          <w:rFonts w:hint="eastAsia" w:ascii="Times New Roman" w:hAnsi="Times New Roman" w:eastAsia="仿宋_GB2312" w:cs="仿宋_GB2312"/>
          <w:b w:val="0"/>
          <w:bCs w:val="0"/>
          <w:sz w:val="32"/>
          <w:szCs w:val="32"/>
        </w:rPr>
        <w:t>稳步推进运输结构调整，提请市政府出台《焦作市推进运输结构调整工作实施方案》，高效完成国家九部委运输结构调整三年行动计划，新增铁路专用线3条，新增里程29.57公里。</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before="0" w:after="0" w:line="580" w:lineRule="exact"/>
        <w:ind w:left="640" w:leftChars="0"/>
        <w:jc w:val="both"/>
        <w:textAlignment w:val="auto"/>
        <w:rPr>
          <w:rFonts w:hint="eastAsia" w:ascii="Times New Roman" w:hAnsi="Times New Roman" w:eastAsia="仿宋_GB2312" w:cs="仿宋_GB2312"/>
          <w:b/>
          <w:bCs/>
          <w:sz w:val="32"/>
          <w:szCs w:val="32"/>
        </w:rPr>
      </w:pPr>
      <w:r>
        <w:rPr>
          <w:rFonts w:hint="eastAsia" w:ascii="Times New Roman" w:hAnsi="Times New Roman" w:eastAsia="仿宋_GB2312" w:cs="仿宋_GB2312"/>
          <w:b/>
          <w:bCs/>
          <w:sz w:val="32"/>
          <w:szCs w:val="32"/>
          <w:lang w:val="en-US" w:eastAsia="zh-CN"/>
        </w:rPr>
        <w:t>6.</w:t>
      </w:r>
      <w:r>
        <w:rPr>
          <w:rFonts w:hint="eastAsia" w:ascii="Times New Roman" w:hAnsi="Times New Roman" w:eastAsia="仿宋_GB2312" w:cs="仿宋_GB2312"/>
          <w:b/>
          <w:bCs/>
          <w:sz w:val="32"/>
          <w:szCs w:val="32"/>
        </w:rPr>
        <w:t>行业治理能力持续提升</w:t>
      </w:r>
      <w:bookmarkEnd w:id="65"/>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交通运输行业改革全面深化。持续深化“放管服”改革，组织修订权责清单，加强事中事后监管；强力推进电子政务，全面推行行政审批标准化建设；启动行政服务“百企千村万户”评议活动，加强与企业等市场主体沟通交流，进一步提升行政审批服务水平。有序推进机构改革，市道路运输服务中心、交通运输综合行政执法支队等五家单位先后挂牌成立。稳妥推进出租车行业改革，推广武陟经验，加快出租车“两权合一”改革步伐。积极推动农村公路管理养护体制改革，焦作市成功入选全国改革试点市。完成全市普通货运车辆安检、综检“两检合一”改革工作。</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法治交通建设进一步加强。加大治超力度，强化交通、公安联合执法运行机制，构建“高速公路入口劝返、出口查处，国省干线公路站点监管、流动稽查、科技布控，农村公路限高限宽”的全方位治超网络。加强运输市场管理，积极实施货运源头管控行动，组织开展“春雷行动”“百日行动”，严厉打击“百吨王”。强力整治驾培市场乱象，严查非法培训点和“黑教练车”，加强货运物流、汽车维修、驾驶员培训、从业资格市场秩序整治，规范市场经营行为。</w:t>
      </w:r>
    </w:p>
    <w:p>
      <w:pPr>
        <w:pStyle w:val="6"/>
        <w:keepNext w:val="0"/>
        <w:keepLines w:val="0"/>
        <w:pageBreakBefore w:val="0"/>
        <w:widowControl w:val="0"/>
        <w:kinsoku/>
        <w:wordWrap/>
        <w:overflowPunct/>
        <w:topLinePunct w:val="0"/>
        <w:autoSpaceDE/>
        <w:autoSpaceDN/>
        <w:bidi w:val="0"/>
        <w:adjustRightInd w:val="0"/>
        <w:snapToGrid w:val="0"/>
        <w:spacing w:line="580" w:lineRule="exact"/>
        <w:ind w:left="0" w:firstLine="643" w:firstLineChars="200"/>
        <w:jc w:val="both"/>
        <w:textAlignment w:val="auto"/>
        <w:rPr>
          <w:rFonts w:hint="eastAsia" w:ascii="Times New Roman" w:hAnsi="Times New Roman" w:eastAsia="楷体_GB2312" w:cs="楷体_GB2312"/>
          <w:b/>
          <w:bCs/>
          <w:sz w:val="32"/>
          <w:szCs w:val="32"/>
        </w:rPr>
      </w:pPr>
      <w:bookmarkStart w:id="70" w:name="_Toc419468964"/>
      <w:bookmarkStart w:id="71" w:name="_Toc419469574"/>
      <w:bookmarkStart w:id="72" w:name="_Toc418608543"/>
      <w:bookmarkStart w:id="73" w:name="_Toc419469695"/>
      <w:bookmarkStart w:id="74" w:name="_Toc437677295"/>
      <w:bookmarkStart w:id="75" w:name="_Toc429405456"/>
      <w:bookmarkStart w:id="76" w:name="_Toc42075748"/>
      <w:bookmarkStart w:id="77" w:name="_Toc96455125"/>
      <w:bookmarkStart w:id="78" w:name="_Toc3091"/>
      <w:r>
        <w:rPr>
          <w:rFonts w:hint="eastAsia" w:ascii="Times New Roman" w:hAnsi="Times New Roman" w:eastAsia="楷体_GB2312" w:cs="楷体_GB2312"/>
          <w:b/>
          <w:bCs/>
          <w:sz w:val="32"/>
          <w:szCs w:val="32"/>
        </w:rPr>
        <w:t>（二）存在</w:t>
      </w:r>
      <w:bookmarkEnd w:id="70"/>
      <w:bookmarkEnd w:id="71"/>
      <w:bookmarkEnd w:id="72"/>
      <w:bookmarkEnd w:id="73"/>
      <w:bookmarkEnd w:id="74"/>
      <w:bookmarkEnd w:id="75"/>
      <w:r>
        <w:rPr>
          <w:rFonts w:hint="eastAsia" w:ascii="Times New Roman" w:hAnsi="Times New Roman" w:eastAsia="楷体_GB2312" w:cs="楷体_GB2312"/>
          <w:b/>
          <w:bCs/>
          <w:sz w:val="32"/>
          <w:szCs w:val="32"/>
        </w:rPr>
        <w:t>问题</w:t>
      </w:r>
      <w:bookmarkEnd w:id="76"/>
      <w:bookmarkEnd w:id="77"/>
      <w:bookmarkEnd w:id="78"/>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“十三五”期，焦作市交通运输体系不断完善，基本适应经济社会发展需要，但是与经济社会高质量发展要求、人民群众日益增长的美好生活需要相比，仍然存在一些瓶颈和短板，主要表现在：</w:t>
      </w:r>
      <w:bookmarkStart w:id="79" w:name="_Toc42075749"/>
      <w:r>
        <w:rPr>
          <w:rFonts w:hint="eastAsia" w:ascii="Times New Roman" w:hAnsi="Times New Roman" w:eastAsia="仿宋_GB2312" w:cs="仿宋_GB2312"/>
          <w:b w:val="0"/>
          <w:bCs w:val="0"/>
          <w:sz w:val="32"/>
          <w:szCs w:val="32"/>
        </w:rPr>
        <w:t>一是对外运输通道有待加强</w:t>
      </w:r>
      <w:bookmarkEnd w:id="79"/>
      <w:r>
        <w:rPr>
          <w:rFonts w:hint="eastAsia" w:ascii="Times New Roman" w:hAnsi="Times New Roman" w:eastAsia="仿宋_GB2312" w:cs="仿宋_GB2312"/>
          <w:b w:val="0"/>
          <w:bCs w:val="0"/>
          <w:sz w:val="32"/>
          <w:szCs w:val="32"/>
        </w:rPr>
        <w:t>。</w:t>
      </w:r>
      <w:bookmarkStart w:id="80" w:name="_Hlk40539199"/>
      <w:r>
        <w:rPr>
          <w:rFonts w:hint="eastAsia" w:ascii="Times New Roman" w:hAnsi="Times New Roman" w:eastAsia="仿宋_GB2312" w:cs="仿宋_GB2312"/>
          <w:b w:val="0"/>
          <w:bCs w:val="0"/>
          <w:sz w:val="32"/>
          <w:szCs w:val="32"/>
        </w:rPr>
        <w:t>与郑州、洛阳方向跨黄河通道少，</w:t>
      </w:r>
      <w:bookmarkStart w:id="81" w:name="_Hlk58926354"/>
      <w:r>
        <w:rPr>
          <w:rFonts w:hint="eastAsia" w:ascii="Times New Roman" w:hAnsi="Times New Roman" w:eastAsia="仿宋_GB2312" w:cs="仿宋_GB2312"/>
          <w:b w:val="0"/>
          <w:bCs w:val="0"/>
          <w:sz w:val="32"/>
          <w:szCs w:val="32"/>
        </w:rPr>
        <w:t>制约了郑焦一体化发展</w:t>
      </w:r>
      <w:bookmarkEnd w:id="81"/>
      <w:r>
        <w:rPr>
          <w:rFonts w:hint="eastAsia" w:ascii="Times New Roman" w:hAnsi="Times New Roman" w:eastAsia="仿宋_GB2312" w:cs="仿宋_GB2312"/>
          <w:b w:val="0"/>
          <w:bCs w:val="0"/>
          <w:sz w:val="32"/>
          <w:szCs w:val="32"/>
        </w:rPr>
        <w:t>；与新乡、济源联系通道能力偏弱，缺乏大能力高快速铁路；与山西方向联系通道少，等级低，优化调整难度较大，支撑参与国内大循环的通道能力不够充分。</w:t>
      </w:r>
      <w:bookmarkEnd w:id="80"/>
      <w:bookmarkStart w:id="82" w:name="_Toc42075750"/>
      <w:r>
        <w:rPr>
          <w:rFonts w:hint="eastAsia" w:ascii="Times New Roman" w:hAnsi="Times New Roman" w:eastAsia="仿宋_GB2312" w:cs="仿宋_GB2312"/>
          <w:b w:val="0"/>
          <w:bCs w:val="0"/>
          <w:sz w:val="32"/>
          <w:szCs w:val="32"/>
        </w:rPr>
        <w:t>二是路网服务水平仍待提高</w:t>
      </w:r>
      <w:bookmarkEnd w:id="82"/>
      <w:r>
        <w:rPr>
          <w:rFonts w:hint="eastAsia" w:ascii="Times New Roman" w:hAnsi="Times New Roman" w:eastAsia="仿宋_GB2312" w:cs="仿宋_GB2312"/>
          <w:b w:val="0"/>
          <w:bCs w:val="0"/>
          <w:sz w:val="32"/>
          <w:szCs w:val="32"/>
        </w:rPr>
        <w:t>。普通公路存在瓶颈路段，路网衔接不够顺畅，部分县（市）尚未形成绕城环线，制约要素便利高效流动。</w:t>
      </w:r>
      <w:bookmarkStart w:id="83" w:name="_Toc42075751"/>
      <w:r>
        <w:rPr>
          <w:rFonts w:hint="eastAsia" w:ascii="Times New Roman" w:hAnsi="Times New Roman" w:eastAsia="仿宋_GB2312" w:cs="仿宋_GB2312"/>
          <w:b w:val="0"/>
          <w:bCs w:val="0"/>
          <w:sz w:val="32"/>
          <w:szCs w:val="32"/>
        </w:rPr>
        <w:t>三是运输服务品质亟需提升</w:t>
      </w:r>
      <w:bookmarkEnd w:id="83"/>
      <w:r>
        <w:rPr>
          <w:rFonts w:hint="eastAsia" w:ascii="Times New Roman" w:hAnsi="Times New Roman" w:eastAsia="仿宋_GB2312" w:cs="仿宋_GB2312"/>
          <w:b w:val="0"/>
          <w:bCs w:val="0"/>
          <w:sz w:val="32"/>
          <w:szCs w:val="32"/>
        </w:rPr>
        <w:t>。</w:t>
      </w:r>
      <w:bookmarkStart w:id="84" w:name="_Hlk53132333"/>
      <w:r>
        <w:rPr>
          <w:rFonts w:hint="eastAsia" w:ascii="Times New Roman" w:hAnsi="Times New Roman" w:eastAsia="仿宋_GB2312" w:cs="仿宋_GB2312"/>
          <w:b w:val="0"/>
          <w:bCs w:val="0"/>
          <w:sz w:val="32"/>
          <w:szCs w:val="32"/>
        </w:rPr>
        <w:t>高品质、多样化运输服务供给不足，旅客联程运输、货物多式联运发展缓慢，缺乏竞争力强的运输链、物流链、供应链主体，影响要素聚集和价值创造。</w:t>
      </w:r>
      <w:bookmarkEnd w:id="84"/>
      <w:bookmarkStart w:id="85" w:name="_Toc42075752"/>
      <w:r>
        <w:rPr>
          <w:rFonts w:hint="eastAsia" w:ascii="Times New Roman" w:hAnsi="Times New Roman" w:eastAsia="仿宋_GB2312" w:cs="仿宋_GB2312"/>
          <w:b w:val="0"/>
          <w:bCs w:val="0"/>
          <w:sz w:val="32"/>
          <w:szCs w:val="32"/>
        </w:rPr>
        <w:t>四是交通运输与枢纽经济融合互促格局尚未形成。交通运输与产业、城镇、贸易、经济等融合联动发展不足，枢纽经济缺乏系统规划，枢纽产业结构单一、规模较小、层次不高。五是智慧绿色安全发展支撑能力不足。交通信息化智能化应用水平不高，绿色发展问题日益突显，运输结构有待优化，交通安全仍有提升空间。六是行业治理现代化水平有待提高。行业管理精细化程度仍不能适应交通网络运行效率和服务水平提升的要求，重点领域改革仍需加快推进，交通投融资能力有待进一步提升。</w:t>
      </w:r>
    </w:p>
    <w:bookmarkEnd w:id="85"/>
    <w:p>
      <w:pPr>
        <w:pStyle w:val="5"/>
        <w:keepNext w:val="0"/>
        <w:keepLines w:val="0"/>
        <w:pageBreakBefore w:val="0"/>
        <w:widowControl w:val="0"/>
        <w:kinsoku/>
        <w:wordWrap/>
        <w:overflowPunct/>
        <w:topLinePunct w:val="0"/>
        <w:autoSpaceDE/>
        <w:autoSpaceDN/>
        <w:bidi w:val="0"/>
        <w:adjustRightInd w:val="0"/>
        <w:snapToGrid w:val="0"/>
        <w:spacing w:before="0" w:after="0" w:line="580" w:lineRule="exact"/>
        <w:ind w:left="0" w:firstLine="640" w:firstLineChars="200"/>
        <w:jc w:val="both"/>
        <w:textAlignment w:val="auto"/>
        <w:rPr>
          <w:rFonts w:hint="eastAsia" w:ascii="Times New Roman" w:hAnsi="Times New Roman" w:eastAsia="黑体" w:cs="黑体"/>
          <w:b w:val="0"/>
          <w:bCs w:val="0"/>
          <w:sz w:val="32"/>
          <w:szCs w:val="32"/>
        </w:rPr>
      </w:pPr>
      <w:bookmarkStart w:id="86" w:name="_Toc437677296"/>
      <w:bookmarkStart w:id="87" w:name="_Toc419469702"/>
      <w:bookmarkStart w:id="88" w:name="_Toc429405462"/>
      <w:bookmarkStart w:id="89" w:name="_Toc419469581"/>
      <w:bookmarkStart w:id="90" w:name="_Toc419468971"/>
      <w:bookmarkStart w:id="91" w:name="_Toc418608544"/>
      <w:bookmarkStart w:id="92" w:name="_Toc42075753"/>
      <w:bookmarkStart w:id="93" w:name="_Toc96455126"/>
      <w:bookmarkStart w:id="94" w:name="_Toc12221"/>
      <w:r>
        <w:rPr>
          <w:rFonts w:hint="eastAsia" w:ascii="Times New Roman" w:hAnsi="Times New Roman" w:eastAsia="黑体" w:cs="黑体"/>
          <w:b w:val="0"/>
          <w:bCs w:val="0"/>
          <w:sz w:val="32"/>
          <w:szCs w:val="32"/>
        </w:rPr>
        <w:t>二、</w:t>
      </w:r>
      <w:bookmarkStart w:id="95" w:name="_Hlk38009142"/>
      <w:r>
        <w:rPr>
          <w:rFonts w:hint="eastAsia" w:ascii="Times New Roman" w:hAnsi="Times New Roman" w:eastAsia="黑体" w:cs="黑体"/>
          <w:b w:val="0"/>
          <w:bCs w:val="0"/>
          <w:sz w:val="32"/>
          <w:szCs w:val="32"/>
        </w:rPr>
        <w:t>形势</w:t>
      </w:r>
      <w:bookmarkEnd w:id="86"/>
      <w:bookmarkEnd w:id="87"/>
      <w:bookmarkEnd w:id="88"/>
      <w:bookmarkEnd w:id="89"/>
      <w:bookmarkEnd w:id="90"/>
      <w:bookmarkEnd w:id="91"/>
      <w:r>
        <w:rPr>
          <w:rFonts w:hint="eastAsia" w:ascii="Times New Roman" w:hAnsi="Times New Roman" w:eastAsia="黑体" w:cs="黑体"/>
          <w:b w:val="0"/>
          <w:bCs w:val="0"/>
          <w:sz w:val="32"/>
          <w:szCs w:val="32"/>
        </w:rPr>
        <w:t>要求</w:t>
      </w:r>
      <w:bookmarkEnd w:id="92"/>
      <w:bookmarkEnd w:id="95"/>
      <w:r>
        <w:rPr>
          <w:rFonts w:hint="eastAsia" w:ascii="Times New Roman" w:hAnsi="Times New Roman" w:eastAsia="黑体" w:cs="黑体"/>
          <w:b w:val="0"/>
          <w:bCs w:val="0"/>
          <w:sz w:val="32"/>
          <w:szCs w:val="32"/>
        </w:rPr>
        <w:t>与阶段特征</w:t>
      </w:r>
      <w:bookmarkEnd w:id="93"/>
      <w:bookmarkEnd w:id="94"/>
    </w:p>
    <w:p>
      <w:pPr>
        <w:pStyle w:val="6"/>
        <w:keepNext w:val="0"/>
        <w:keepLines w:val="0"/>
        <w:pageBreakBefore w:val="0"/>
        <w:widowControl w:val="0"/>
        <w:kinsoku/>
        <w:wordWrap/>
        <w:overflowPunct/>
        <w:topLinePunct w:val="0"/>
        <w:autoSpaceDE/>
        <w:autoSpaceDN/>
        <w:bidi w:val="0"/>
        <w:adjustRightInd w:val="0"/>
        <w:snapToGrid w:val="0"/>
        <w:spacing w:line="580" w:lineRule="exact"/>
        <w:ind w:left="0" w:firstLine="643" w:firstLineChars="200"/>
        <w:jc w:val="both"/>
        <w:textAlignment w:val="auto"/>
        <w:rPr>
          <w:rFonts w:hint="eastAsia" w:ascii="Times New Roman" w:hAnsi="Times New Roman" w:eastAsia="楷体_GB2312" w:cs="楷体_GB2312"/>
          <w:b/>
          <w:bCs/>
          <w:sz w:val="32"/>
          <w:szCs w:val="32"/>
        </w:rPr>
      </w:pPr>
      <w:bookmarkStart w:id="96" w:name="_Toc96455127"/>
      <w:bookmarkStart w:id="97" w:name="_Toc26205"/>
      <w:r>
        <w:rPr>
          <w:rFonts w:hint="eastAsia" w:ascii="Times New Roman" w:hAnsi="Times New Roman" w:eastAsia="楷体_GB2312" w:cs="楷体_GB2312"/>
          <w:b/>
          <w:bCs/>
          <w:sz w:val="32"/>
          <w:szCs w:val="32"/>
        </w:rPr>
        <w:t>（一）形势要求</w:t>
      </w:r>
      <w:bookmarkEnd w:id="96"/>
      <w:bookmarkEnd w:id="97"/>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十四五”期是由全面建成小康社会迈向全面建设社会主义现代化国家新征程的第一个五年，也是开启交通强国建设的第一个五年，新发展格局加快构建，新时代推动中部地区高质量发展、黄河流域生态保护和高质量发展等战略深入落实，中原城市群建设进入关键阶段，郑州都市圈扩容，洛阳中原城市群副中心城市加速建设，焦作的区位优势更加凸显。在新的历史条件下，焦作正处于战略叠加的机遇期、优势再造的关键期、蓄势跃升的突破期，交通运输作为国民经济中基础性、先导性、战略性产业和重要的服务性行业，国省战略部署和全市经济社会发展都对交通运输提出了更高的发展要求。</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从国家战略要求看，在新时代推动中部地区高质量发展、黄河流域生态保护和高质量发展两大战略中，习近平总书记要求河南要在中部地区崛起中奋勇争先，强调要加快内陆开放通道建设，打造内陆高水平开放平台，构建便捷智能绿色安全综合交通网络。焦作市要抓住机遇，借势借力中部地区高质量发展和黄河流域发展动能，在更高起点、更高层次、更高目标上推动高质量发展，充分发挥交通开路先锋作用，持续畅通对外运输通道，强化对外联系功能，进一步融入国家级战略通道及重要战略区域，更好服务构建以国内大循环为主体，国内国际双循环相互促进的新发展格局。</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从区域协同发展看，</w:t>
      </w:r>
      <w:bookmarkStart w:id="98" w:name="_Hlk60239029"/>
      <w:r>
        <w:rPr>
          <w:rFonts w:hint="eastAsia" w:ascii="Times New Roman" w:hAnsi="Times New Roman" w:eastAsia="仿宋_GB2312" w:cs="仿宋_GB2312"/>
          <w:b w:val="0"/>
          <w:bCs w:val="0"/>
          <w:sz w:val="32"/>
          <w:szCs w:val="32"/>
        </w:rPr>
        <w:t>2016年12月，国家发改委印发《中原城市群发展规划》，提出支持郑州建设国家中心城市，推动郑州与开封、新乡、焦作、许昌深度融合；2021年12月，省委将郑州都市圈“1+4”拓展为“1+8”，规模体量大幅提升。2020年3月，省委省政府出台《关于支持洛阳以开放为引领加快建设中原城市群副中心城市的若干意见》，提出建设洛阳中原城市群副中心城市。焦作紧邻郑州、洛阳，既是郑州都市圈核心区城市，也是洛阳副中心辐射城市，要强化与</w:t>
      </w:r>
      <w:bookmarkStart w:id="99" w:name="_Hlk39331503"/>
      <w:r>
        <w:rPr>
          <w:rFonts w:hint="eastAsia" w:ascii="Times New Roman" w:hAnsi="Times New Roman" w:eastAsia="仿宋_GB2312" w:cs="仿宋_GB2312"/>
          <w:b w:val="0"/>
          <w:bCs w:val="0"/>
          <w:sz w:val="32"/>
          <w:szCs w:val="32"/>
        </w:rPr>
        <w:t>郑州、洛阳的融合发展、错位发展、协同发展，构建郑洛焦快捷综合交通体系，</w:t>
      </w:r>
      <w:bookmarkEnd w:id="99"/>
      <w:bookmarkStart w:id="100" w:name="_Hlk39331520"/>
      <w:r>
        <w:rPr>
          <w:rFonts w:hint="eastAsia" w:ascii="Times New Roman" w:hAnsi="Times New Roman" w:eastAsia="仿宋_GB2312" w:cs="仿宋_GB2312"/>
          <w:b w:val="0"/>
          <w:bCs w:val="0"/>
          <w:sz w:val="32"/>
          <w:szCs w:val="32"/>
        </w:rPr>
        <w:t>拉近郑洛焦时空距离，</w:t>
      </w:r>
      <w:bookmarkEnd w:id="100"/>
      <w:r>
        <w:rPr>
          <w:rFonts w:hint="eastAsia" w:ascii="Times New Roman" w:hAnsi="Times New Roman" w:eastAsia="仿宋_GB2312" w:cs="仿宋_GB2312"/>
          <w:b w:val="0"/>
          <w:bCs w:val="0"/>
          <w:sz w:val="32"/>
          <w:szCs w:val="32"/>
        </w:rPr>
        <w:t>建立高效便捷的交通联系通道，形成多点直达、线线畅通的交通网络，形成支撑全省高质量发展的新动力源</w:t>
      </w:r>
      <w:bookmarkEnd w:id="98"/>
      <w:r>
        <w:rPr>
          <w:rFonts w:hint="eastAsia" w:ascii="Times New Roman" w:hAnsi="Times New Roman" w:eastAsia="仿宋_GB2312" w:cs="仿宋_GB2312"/>
          <w:b w:val="0"/>
          <w:bCs w:val="0"/>
          <w:sz w:val="32"/>
          <w:szCs w:val="32"/>
        </w:rPr>
        <w:t>。</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从行业发展实际看，党的十九大提出了建设交通强国的宏伟目标，2019年9月，党中央、国务院印发了《交通强国建设纲要》，吹响了交通强国建设号角。2020年5月，全国两会政府工作报告提出，重点支持“两新一重”建设。随后，交通运输部相继印发《关于推动交通运输领域新型基础设施建设的指导意见》、《交通运输领域新型基础设施建设行动方案(2021—2025年)》，提出推动交通基础设施数字转型、智能升级，打造一批交通新基建重点工程。焦作市要抓住河南入选全国首批交通强国建设试点机遇，汇聚调动更多力量，努力激活发展潜能，推动交通运输质量变革、效率变革和动力变革，促进新技术与交通基础设施深度融合，加速交通行业数字化进程，赢得区域发展主动，争当交通强市。</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bookmarkStart w:id="101" w:name="_Hlk58938704"/>
      <w:r>
        <w:rPr>
          <w:rFonts w:hint="eastAsia" w:ascii="Times New Roman" w:hAnsi="Times New Roman" w:eastAsia="仿宋_GB2312" w:cs="仿宋_GB2312"/>
          <w:b w:val="0"/>
          <w:bCs w:val="0"/>
          <w:sz w:val="32"/>
          <w:szCs w:val="32"/>
        </w:rPr>
        <w:t>从焦作发展阶段看，“</w:t>
      </w:r>
      <w:bookmarkStart w:id="102" w:name="_Hlk70087179"/>
      <w:r>
        <w:rPr>
          <w:rFonts w:hint="eastAsia" w:ascii="Times New Roman" w:hAnsi="Times New Roman" w:eastAsia="仿宋_GB2312" w:cs="仿宋_GB2312"/>
          <w:b w:val="0"/>
          <w:bCs w:val="0"/>
          <w:sz w:val="32"/>
          <w:szCs w:val="32"/>
        </w:rPr>
        <w:t>十四五”期，焦作市将以高质量党建引领高质量发展、高能级文旅、高品质生活、高水平治理，坚持把制造业高质量发展作为主攻方向，把文旅文创深度融合作为新的增长极，把城乡协调发展共同繁荣作为民心工程，在绿色智造中闯新路，在全域旅游中作典范，在共同富裕中走前列，锚定“两个确保”，再造发展优势，奋力谱写全面建设社会主义现代化焦作新篇章。这要求焦作市要努力把区位优势转化为交通优势，加快区域内高质量交通基础设施建设，构筑与之匹配的交通网络与服务能力；把交通优势转化为发展优势，依托焦作高端装备制造、文化旅游、特色农业等产业优势，推进“交通+旅游”“交通+农业”等深度融合，变交通“流量”为经济“留量”，</w:t>
      </w:r>
      <w:bookmarkEnd w:id="101"/>
      <w:bookmarkEnd w:id="102"/>
      <w:r>
        <w:rPr>
          <w:rFonts w:hint="eastAsia" w:ascii="Times New Roman" w:hAnsi="Times New Roman" w:eastAsia="仿宋_GB2312" w:cs="仿宋_GB2312"/>
          <w:b w:val="0"/>
          <w:bCs w:val="0"/>
          <w:sz w:val="32"/>
          <w:szCs w:val="32"/>
        </w:rPr>
        <w:t>在更高水平上发挥交通对经济社会支撑引领作用。</w:t>
      </w:r>
    </w:p>
    <w:p>
      <w:pPr>
        <w:pStyle w:val="6"/>
        <w:keepNext w:val="0"/>
        <w:keepLines w:val="0"/>
        <w:pageBreakBefore w:val="0"/>
        <w:widowControl w:val="0"/>
        <w:kinsoku/>
        <w:wordWrap/>
        <w:overflowPunct/>
        <w:topLinePunct w:val="0"/>
        <w:autoSpaceDE/>
        <w:autoSpaceDN/>
        <w:bidi w:val="0"/>
        <w:adjustRightInd w:val="0"/>
        <w:snapToGrid w:val="0"/>
        <w:spacing w:line="610" w:lineRule="exact"/>
        <w:ind w:left="0" w:firstLine="643" w:firstLineChars="200"/>
        <w:jc w:val="both"/>
        <w:textAlignment w:val="auto"/>
        <w:rPr>
          <w:rFonts w:hint="eastAsia" w:ascii="Times New Roman" w:hAnsi="Times New Roman" w:eastAsia="楷体_GB2312" w:cs="楷体_GB2312"/>
          <w:b/>
          <w:bCs/>
          <w:sz w:val="32"/>
          <w:szCs w:val="32"/>
        </w:rPr>
      </w:pPr>
      <w:bookmarkStart w:id="103" w:name="_Toc96455128"/>
      <w:bookmarkStart w:id="104" w:name="_Toc15892"/>
      <w:r>
        <w:rPr>
          <w:rFonts w:hint="eastAsia" w:ascii="Times New Roman" w:hAnsi="Times New Roman" w:eastAsia="楷体_GB2312" w:cs="楷体_GB2312"/>
          <w:b/>
          <w:bCs/>
          <w:sz w:val="32"/>
          <w:szCs w:val="32"/>
        </w:rPr>
        <w:t>（二）阶段特征</w:t>
      </w:r>
      <w:bookmarkEnd w:id="103"/>
      <w:bookmarkEnd w:id="104"/>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总体判断，“十四五”期是焦作交通基础设施成网的加速期、运输服务提质的升级期、交通优势再造的关键期、高质量发展的转型期、治理能力提升的攻坚期，具体特征为：</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一是基础设施成网的加速期。经过多年的快速发展，焦作市交通运输已经基本适应经济社会发展需要，但发展短板仍然存在，基础设施网络供给能力不足。未来一段时期内仍需保持一定建设规模和发展速度，加快贯通市际快速网、继续完善市域干线网、全面提升城乡基础网，大力提升基础设施的总体供给能力。</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二是运输服务提质的升级期。随着供给侧结构性改革不断深化，人民群众对客货运输服务的品质要求也将不断提高，从“走得了”向“走得安全”“走得便捷”“走得舒适”转变，希望得到更加个性化、多样化、品质化、均等化的交通运输产品和服务。因此，“十四五”期，要更加注重服务品质和效率的提高，全面提升供给能力，更好满足人民群众高品质、多样化的运输需求。</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三是交通优势再造的关键期。为确保高质量建设现代化河南、确保高水平实现现代化河南，河南将全面实施优势再造战略，推动交通区位优势向枢纽经济优势转变。“十四五”期，焦作要培育壮大一批枢纽偏好型产业，加快交通体系、物流枢纽与区域、城市、产业互动融合，扩大枢纽经济规模和质量，实现交通区位优势再造。</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四是高质量发展的转型期。我国经济由高速度增长向高质量发展转型，要求交通建设贯彻新发展理念，着力转变发展方式、优化发展结构、转换增长动力，推进各种运输方式高效衔接，注重新一代信息技术在交通领域的推广应用，加快推广绿色、环保、低碳的建设方式和运输组织方式，牢牢把握高质量发展的历史性“窗口期”，实现行业转型升级。</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五是治理能力提升的攻坚期。近年来，劳动力成本提高、土地环境刚性约束增强等现象进一步凸显，债务风险问题突出，资金、劳动力、资源等传统要素投入的驱动力正逐步减弱。“十四五”期，焦作交通要围绕治理体系和治理能力现代化的要求，将改革创新作为重要驱动力，更多依靠科技创新、制度创新和政策创新，加快推动行业治理体系和治理能力现代化。</w:t>
      </w:r>
    </w:p>
    <w:p>
      <w:pPr>
        <w:pStyle w:val="5"/>
        <w:keepNext w:val="0"/>
        <w:keepLines w:val="0"/>
        <w:pageBreakBefore w:val="0"/>
        <w:widowControl w:val="0"/>
        <w:kinsoku/>
        <w:wordWrap/>
        <w:overflowPunct/>
        <w:topLinePunct w:val="0"/>
        <w:autoSpaceDE/>
        <w:autoSpaceDN/>
        <w:bidi w:val="0"/>
        <w:adjustRightInd w:val="0"/>
        <w:snapToGrid w:val="0"/>
        <w:spacing w:before="0" w:after="0" w:line="610" w:lineRule="exact"/>
        <w:ind w:left="0" w:firstLine="640" w:firstLineChars="200"/>
        <w:jc w:val="both"/>
        <w:textAlignment w:val="auto"/>
        <w:rPr>
          <w:rFonts w:hint="eastAsia" w:ascii="Times New Roman" w:hAnsi="Times New Roman" w:eastAsia="黑体" w:cs="黑体"/>
          <w:b w:val="0"/>
          <w:bCs w:val="0"/>
          <w:sz w:val="32"/>
          <w:szCs w:val="32"/>
        </w:rPr>
      </w:pPr>
      <w:bookmarkStart w:id="105" w:name="_Toc418608548"/>
      <w:bookmarkStart w:id="106" w:name="_Toc437677297"/>
      <w:bookmarkStart w:id="107" w:name="_Toc419469595"/>
      <w:bookmarkStart w:id="108" w:name="_Toc419469716"/>
      <w:bookmarkStart w:id="109" w:name="_Toc429405473"/>
      <w:bookmarkStart w:id="110" w:name="_Toc419468985"/>
      <w:bookmarkStart w:id="111" w:name="_Toc96455129"/>
      <w:bookmarkStart w:id="112" w:name="_Toc42075754"/>
      <w:bookmarkStart w:id="113" w:name="_Toc25303"/>
      <w:r>
        <w:rPr>
          <w:rFonts w:hint="eastAsia" w:ascii="Times New Roman" w:hAnsi="Times New Roman" w:eastAsia="黑体" w:cs="黑体"/>
          <w:b w:val="0"/>
          <w:bCs w:val="0"/>
          <w:sz w:val="32"/>
          <w:szCs w:val="32"/>
        </w:rPr>
        <w:t>三、</w:t>
      </w:r>
      <w:bookmarkEnd w:id="105"/>
      <w:bookmarkEnd w:id="106"/>
      <w:bookmarkEnd w:id="107"/>
      <w:bookmarkEnd w:id="108"/>
      <w:bookmarkEnd w:id="109"/>
      <w:bookmarkEnd w:id="110"/>
      <w:bookmarkStart w:id="114" w:name="_Hlk38009149"/>
      <w:r>
        <w:rPr>
          <w:rFonts w:hint="eastAsia" w:ascii="Times New Roman" w:hAnsi="Times New Roman" w:eastAsia="黑体" w:cs="黑体"/>
          <w:b w:val="0"/>
          <w:bCs w:val="0"/>
          <w:sz w:val="32"/>
          <w:szCs w:val="32"/>
        </w:rPr>
        <w:t>总体思路</w:t>
      </w:r>
      <w:bookmarkEnd w:id="111"/>
      <w:bookmarkEnd w:id="112"/>
      <w:bookmarkEnd w:id="113"/>
      <w:bookmarkEnd w:id="114"/>
    </w:p>
    <w:p>
      <w:pPr>
        <w:pStyle w:val="6"/>
        <w:keepNext w:val="0"/>
        <w:keepLines w:val="0"/>
        <w:pageBreakBefore w:val="0"/>
        <w:widowControl w:val="0"/>
        <w:kinsoku/>
        <w:wordWrap/>
        <w:overflowPunct/>
        <w:topLinePunct w:val="0"/>
        <w:autoSpaceDE/>
        <w:autoSpaceDN/>
        <w:bidi w:val="0"/>
        <w:adjustRightInd w:val="0"/>
        <w:snapToGrid w:val="0"/>
        <w:spacing w:line="610" w:lineRule="exact"/>
        <w:ind w:left="0" w:firstLine="643" w:firstLineChars="200"/>
        <w:jc w:val="both"/>
        <w:textAlignment w:val="auto"/>
        <w:rPr>
          <w:rFonts w:hint="eastAsia" w:ascii="Times New Roman" w:hAnsi="Times New Roman" w:eastAsia="楷体_GB2312" w:cs="楷体_GB2312"/>
          <w:b/>
          <w:bCs/>
          <w:sz w:val="32"/>
          <w:szCs w:val="32"/>
        </w:rPr>
      </w:pPr>
      <w:bookmarkStart w:id="115" w:name="_Toc418608549"/>
      <w:bookmarkStart w:id="116" w:name="_Toc429405474"/>
      <w:bookmarkStart w:id="117" w:name="_Toc96455130"/>
      <w:bookmarkStart w:id="118" w:name="_Toc42075755"/>
      <w:bookmarkStart w:id="119" w:name="_Toc419468986"/>
      <w:bookmarkStart w:id="120" w:name="_Toc419469596"/>
      <w:bookmarkStart w:id="121" w:name="_Toc437677298"/>
      <w:bookmarkStart w:id="122" w:name="_Toc419469717"/>
      <w:bookmarkStart w:id="123" w:name="_Toc21701"/>
      <w:r>
        <w:rPr>
          <w:rFonts w:hint="eastAsia" w:ascii="Times New Roman" w:hAnsi="Times New Roman" w:eastAsia="楷体_GB2312" w:cs="楷体_GB2312"/>
          <w:b/>
          <w:bCs/>
          <w:sz w:val="32"/>
          <w:szCs w:val="32"/>
        </w:rPr>
        <w:t>（一）指导思想</w:t>
      </w:r>
      <w:bookmarkEnd w:id="115"/>
      <w:bookmarkEnd w:id="116"/>
      <w:bookmarkEnd w:id="117"/>
      <w:bookmarkEnd w:id="118"/>
      <w:bookmarkEnd w:id="119"/>
      <w:bookmarkEnd w:id="120"/>
      <w:bookmarkEnd w:id="121"/>
      <w:bookmarkEnd w:id="122"/>
      <w:bookmarkEnd w:id="123"/>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highlight w:val="yellow"/>
        </w:rPr>
      </w:pPr>
      <w:bookmarkStart w:id="124" w:name="_Hlk58938670"/>
      <w:bookmarkStart w:id="125" w:name="_Hlk39311876"/>
      <w:r>
        <w:rPr>
          <w:rFonts w:hint="eastAsia" w:ascii="Times New Roman" w:hAnsi="Times New Roman" w:eastAsia="仿宋_GB2312" w:cs="仿宋_GB2312"/>
          <w:b w:val="0"/>
          <w:bCs w:val="0"/>
          <w:sz w:val="32"/>
          <w:szCs w:val="32"/>
        </w:rPr>
        <w:t>以习近平新时代中国特色社会主义思想为指导，</w:t>
      </w:r>
      <w:bookmarkStart w:id="126" w:name="_Hlk56545955"/>
      <w:r>
        <w:rPr>
          <w:rFonts w:hint="eastAsia" w:ascii="Times New Roman" w:hAnsi="Times New Roman" w:eastAsia="仿宋_GB2312" w:cs="仿宋_GB2312"/>
          <w:b w:val="0"/>
          <w:bCs w:val="0"/>
          <w:sz w:val="32"/>
          <w:szCs w:val="32"/>
        </w:rPr>
        <w:t>深入贯彻党的十九大和十九届历次全会精神，全面落实</w:t>
      </w:r>
      <w:bookmarkEnd w:id="126"/>
      <w:r>
        <w:rPr>
          <w:rFonts w:hint="eastAsia" w:ascii="Times New Roman" w:hAnsi="Times New Roman" w:eastAsia="仿宋_GB2312" w:cs="仿宋_GB2312"/>
          <w:b w:val="0"/>
          <w:bCs w:val="0"/>
          <w:sz w:val="32"/>
          <w:szCs w:val="32"/>
        </w:rPr>
        <w:t>总书记视察河南作出的重要指示，深刻把握新发展阶段，完整准确全面贯彻新发展理念，主动融入新发展格局，锚定“两个确保”，再造发展优势，围绕当好焦作现代化开路先锋，按照交通强国建设要求，以推动交通运输高质量发展为中心，以交通供给侧结构性改革为主线，以改革创新为动力，以建设人民满意交通为目的，适度超前谋划推进一批重大交通基础设施项目，突出补齐跨黄河通道发展短板，着力提升运输服务品质和高质量发展水平，</w:t>
      </w:r>
      <w:bookmarkStart w:id="127" w:name="_Hlk56358712"/>
      <w:r>
        <w:rPr>
          <w:rFonts w:hint="eastAsia" w:ascii="Times New Roman" w:hAnsi="Times New Roman" w:eastAsia="仿宋_GB2312" w:cs="仿宋_GB2312"/>
          <w:b w:val="0"/>
          <w:bCs w:val="0"/>
          <w:sz w:val="32"/>
          <w:szCs w:val="32"/>
        </w:rPr>
        <w:t>建设安全、便捷、高效、绿色、经济的</w:t>
      </w:r>
      <w:bookmarkEnd w:id="127"/>
      <w:r>
        <w:rPr>
          <w:rFonts w:hint="eastAsia" w:ascii="Times New Roman" w:hAnsi="Times New Roman" w:eastAsia="仿宋_GB2312" w:cs="仿宋_GB2312"/>
          <w:b w:val="0"/>
          <w:bCs w:val="0"/>
          <w:sz w:val="32"/>
          <w:szCs w:val="32"/>
        </w:rPr>
        <w:t>现代化综合交通体系，</w:t>
      </w:r>
      <w:bookmarkEnd w:id="124"/>
      <w:r>
        <w:rPr>
          <w:rFonts w:hint="eastAsia" w:ascii="Times New Roman" w:hAnsi="Times New Roman" w:eastAsia="仿宋_GB2312" w:cs="仿宋_GB2312"/>
          <w:b w:val="0"/>
          <w:bCs w:val="0"/>
          <w:sz w:val="32"/>
          <w:szCs w:val="32"/>
        </w:rPr>
        <w:t>构建城市发展大格局，形成交通路网大循环，推动交通区位优势向枢纽经济优势转变，为奋力谱写全面建设社会主义现代化焦作新篇章提供强力支撑。</w:t>
      </w:r>
    </w:p>
    <w:bookmarkEnd w:id="125"/>
    <w:p>
      <w:pPr>
        <w:pStyle w:val="6"/>
        <w:keepNext w:val="0"/>
        <w:keepLines w:val="0"/>
        <w:pageBreakBefore w:val="0"/>
        <w:widowControl w:val="0"/>
        <w:kinsoku/>
        <w:wordWrap/>
        <w:overflowPunct/>
        <w:topLinePunct w:val="0"/>
        <w:autoSpaceDE/>
        <w:autoSpaceDN/>
        <w:bidi w:val="0"/>
        <w:adjustRightInd w:val="0"/>
        <w:snapToGrid w:val="0"/>
        <w:spacing w:line="610" w:lineRule="exact"/>
        <w:ind w:left="0" w:firstLine="643" w:firstLineChars="200"/>
        <w:jc w:val="both"/>
        <w:textAlignment w:val="auto"/>
        <w:rPr>
          <w:rFonts w:hint="eastAsia" w:ascii="Times New Roman" w:hAnsi="Times New Roman" w:eastAsia="楷体_GB2312" w:cs="楷体_GB2312"/>
          <w:b/>
          <w:bCs/>
          <w:sz w:val="32"/>
          <w:szCs w:val="32"/>
        </w:rPr>
      </w:pPr>
      <w:bookmarkStart w:id="128" w:name="_Toc42075756"/>
      <w:bookmarkStart w:id="129" w:name="_Toc419469597"/>
      <w:bookmarkStart w:id="130" w:name="_Toc96455131"/>
      <w:bookmarkStart w:id="131" w:name="_Toc429405475"/>
      <w:bookmarkStart w:id="132" w:name="_Toc419469718"/>
      <w:bookmarkStart w:id="133" w:name="_Toc418608550"/>
      <w:bookmarkStart w:id="134" w:name="_Toc437677299"/>
      <w:bookmarkStart w:id="135" w:name="_Toc419468987"/>
      <w:bookmarkStart w:id="136" w:name="_Toc29318"/>
      <w:r>
        <w:rPr>
          <w:rFonts w:hint="eastAsia" w:ascii="Times New Roman" w:hAnsi="Times New Roman" w:eastAsia="楷体_GB2312" w:cs="楷体_GB2312"/>
          <w:b/>
          <w:bCs/>
          <w:sz w:val="32"/>
          <w:szCs w:val="32"/>
        </w:rPr>
        <w:t>（二）基本原则</w:t>
      </w:r>
      <w:bookmarkEnd w:id="128"/>
      <w:bookmarkEnd w:id="129"/>
      <w:bookmarkEnd w:id="130"/>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bookmarkStart w:id="137" w:name="_Hlk39311891"/>
      <w:r>
        <w:rPr>
          <w:rFonts w:hint="eastAsia" w:ascii="Times New Roman" w:hAnsi="Times New Roman" w:eastAsia="仿宋_GB2312" w:cs="仿宋_GB2312"/>
          <w:b w:val="0"/>
          <w:bCs w:val="0"/>
          <w:sz w:val="32"/>
          <w:szCs w:val="32"/>
        </w:rPr>
        <w:t>服务大局，先行引领。坚持稳中求进、率先发展，牢牢把握新时代推动中部地区高质量发展、黄河流域生态保护和高质量发展、郑州都市圈、郑焦一体化、郑洛焦核心示范区创建等战略发展机遇，进一步加快综合交通运输体系建设，加强枢纽、通道、物流与区位、市场、要素等优势再造、整合重组，充分发挥交通运输对经济社会发展的支撑保障和先行引领作用。</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统筹协调，深度融合。把统筹兼顾作为根本方法，统筹发挥各运输方式比较优势和组合效率，推动各运输方式深度融合。统筹交通运输建、管、养、运，促进交通运输行业全面发展。统筹考虑交通运输与人口布局、产业分布协同发展，创新要素组织方式、业态融合模式、产业集聚方式，创新交通与经济融合发展路径。</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服务为本，提质增效。把建设人民群众满意交通作为出发点和落脚点，满足人民美好生活需要，增强人民群众的幸福感、获得感和安全感。坚持交通公平共享，充分发挥交通运输在基本公共服务均等化中的关键作用，提升交通运输基本公共服务水平。发展先进运输组织方式，培育新兴业态，提供多样化、高品质的运输服务。</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智慧绿色，安全可靠。以科技创新引领交通运输向现代化、智能化发展，推动运输服务方式、交通治理模式创新，提高交通经济转换效率。落实交通运输碳达峰、碳中和要求，把“生态优先、绿色发展”理念融入交通基础设施规划、建设、管理、运营全过程。牢固树立安全第一发展理念，全面提高交通系统韧性，增强供应链、产业链稳定性。</w:t>
      </w:r>
    </w:p>
    <w:bookmarkEnd w:id="137"/>
    <w:p>
      <w:pPr>
        <w:pStyle w:val="6"/>
        <w:keepNext w:val="0"/>
        <w:keepLines w:val="0"/>
        <w:pageBreakBefore w:val="0"/>
        <w:widowControl w:val="0"/>
        <w:kinsoku/>
        <w:wordWrap/>
        <w:overflowPunct/>
        <w:topLinePunct w:val="0"/>
        <w:autoSpaceDE/>
        <w:autoSpaceDN/>
        <w:bidi w:val="0"/>
        <w:adjustRightInd w:val="0"/>
        <w:snapToGrid w:val="0"/>
        <w:spacing w:line="610" w:lineRule="exact"/>
        <w:ind w:left="0" w:firstLine="643" w:firstLineChars="200"/>
        <w:jc w:val="both"/>
        <w:textAlignment w:val="auto"/>
        <w:rPr>
          <w:rFonts w:hint="eastAsia" w:ascii="Times New Roman" w:hAnsi="Times New Roman" w:eastAsia="楷体_GB2312" w:cs="楷体_GB2312"/>
          <w:b/>
          <w:bCs/>
          <w:sz w:val="32"/>
          <w:szCs w:val="32"/>
        </w:rPr>
      </w:pPr>
      <w:bookmarkStart w:id="138" w:name="_Toc429405476"/>
      <w:bookmarkStart w:id="139" w:name="_Toc418608551"/>
      <w:bookmarkStart w:id="140" w:name="_Toc419468988"/>
      <w:bookmarkStart w:id="141" w:name="_Toc419469719"/>
      <w:bookmarkStart w:id="142" w:name="_Toc42075757"/>
      <w:bookmarkStart w:id="143" w:name="_Toc437677300"/>
      <w:bookmarkStart w:id="144" w:name="_Toc419469598"/>
      <w:bookmarkStart w:id="145" w:name="_Toc96455132"/>
      <w:bookmarkStart w:id="146" w:name="_Toc16917"/>
      <w:r>
        <w:rPr>
          <w:rFonts w:hint="eastAsia" w:ascii="Times New Roman" w:hAnsi="Times New Roman" w:eastAsia="楷体_GB2312" w:cs="楷体_GB2312"/>
          <w:b/>
          <w:bCs/>
          <w:sz w:val="32"/>
          <w:szCs w:val="32"/>
        </w:rPr>
        <w:t>（三）发展目标</w:t>
      </w:r>
      <w:bookmarkEnd w:id="138"/>
      <w:bookmarkEnd w:id="139"/>
      <w:bookmarkEnd w:id="140"/>
      <w:bookmarkEnd w:id="141"/>
      <w:bookmarkEnd w:id="142"/>
      <w:bookmarkEnd w:id="143"/>
      <w:bookmarkEnd w:id="144"/>
      <w:bookmarkEnd w:id="145"/>
      <w:bookmarkEnd w:id="146"/>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bookmarkStart w:id="147" w:name="_Hlk59176585"/>
      <w:bookmarkStart w:id="148" w:name="_Hlk40539880"/>
      <w:r>
        <w:rPr>
          <w:rFonts w:hint="eastAsia" w:ascii="Times New Roman" w:hAnsi="Times New Roman" w:eastAsia="仿宋_GB2312" w:cs="仿宋_GB2312"/>
          <w:b w:val="0"/>
          <w:bCs w:val="0"/>
          <w:sz w:val="32"/>
          <w:szCs w:val="32"/>
        </w:rPr>
        <w:t>到2025年，基本建成“一枢两圈三快四网五出彩”的综合交通运输体系，交通区位优势向枢纽经济优势转化成效显著，以枢纽经济为牵引的交通运输与经济社会发展实现深度融合。</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“一枢”即建设豫西北、晋东南区域性综合交通枢纽城市；</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“两圈”即打造连通郑州和洛阳的轨道通勤圈及高速畅行圈；</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“三快”即半小时快速通达域内各县市，1小时快速通达郑、洛、新、晋等相邻城市，2小时快速通达中原城市群；</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“四网”即建设高质量交通基础设施网、高品质出行服务网、高效率物流运输网、高端化智慧交通网；</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“五出彩</w:t>
      </w:r>
      <w:bookmarkStart w:id="149" w:name="_Hlk70087250"/>
      <w:r>
        <w:rPr>
          <w:rFonts w:hint="eastAsia" w:ascii="Times New Roman" w:hAnsi="Times New Roman" w:eastAsia="仿宋_GB2312" w:cs="仿宋_GB2312"/>
          <w:b w:val="0"/>
          <w:bCs w:val="0"/>
          <w:sz w:val="32"/>
          <w:szCs w:val="32"/>
        </w:rPr>
        <w:t>”即在争创全省、全国“四好农村路”示范市上出重彩；在高速公路建设实现大跨越上出重彩；在争做全国农村公路养护体制改革试点区上出重彩；在争当“多式联运”先进市上出重彩；在部省共建推进安全警示教育取得实效上出重彩</w:t>
      </w:r>
      <w:bookmarkEnd w:id="149"/>
      <w:r>
        <w:rPr>
          <w:rFonts w:hint="eastAsia" w:ascii="Times New Roman" w:hAnsi="Times New Roman" w:eastAsia="仿宋_GB2312" w:cs="仿宋_GB2312"/>
          <w:b w:val="0"/>
          <w:bCs w:val="0"/>
          <w:sz w:val="32"/>
          <w:szCs w:val="32"/>
        </w:rPr>
        <w:t>。</w:t>
      </w:r>
    </w:p>
    <w:bookmarkEnd w:id="147"/>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bookmarkStart w:id="150" w:name="_Toc42075758"/>
      <w:r>
        <w:rPr>
          <w:rFonts w:hint="eastAsia" w:ascii="Times New Roman" w:hAnsi="Times New Roman" w:eastAsia="仿宋_GB2312" w:cs="仿宋_GB2312"/>
          <w:b w:val="0"/>
          <w:bCs w:val="0"/>
          <w:sz w:val="32"/>
          <w:szCs w:val="32"/>
        </w:rPr>
        <w:t>——运输网络便捷畅通</w:t>
      </w:r>
      <w:bookmarkEnd w:id="150"/>
      <w:r>
        <w:rPr>
          <w:rFonts w:hint="eastAsia" w:ascii="Times New Roman" w:hAnsi="Times New Roman" w:eastAsia="仿宋_GB2312" w:cs="仿宋_GB2312"/>
          <w:b w:val="0"/>
          <w:bCs w:val="0"/>
          <w:sz w:val="32"/>
          <w:szCs w:val="32"/>
        </w:rPr>
        <w:t>。全市</w:t>
      </w:r>
      <w:bookmarkStart w:id="151" w:name="_Hlk70087276"/>
      <w:r>
        <w:rPr>
          <w:rFonts w:hint="eastAsia" w:ascii="Times New Roman" w:hAnsi="Times New Roman" w:eastAsia="仿宋_GB2312" w:cs="仿宋_GB2312"/>
          <w:b w:val="0"/>
          <w:bCs w:val="0"/>
          <w:sz w:val="32"/>
          <w:szCs w:val="32"/>
        </w:rPr>
        <w:t>综合交通线网总里程达到</w:t>
      </w:r>
      <w:bookmarkStart w:id="152" w:name="_Hlk64913954"/>
      <w:r>
        <w:rPr>
          <w:rFonts w:hint="eastAsia" w:ascii="Times New Roman" w:hAnsi="Times New Roman" w:eastAsia="仿宋_GB2312" w:cs="仿宋_GB2312"/>
          <w:b w:val="0"/>
          <w:bCs w:val="0"/>
          <w:sz w:val="32"/>
          <w:szCs w:val="32"/>
        </w:rPr>
        <w:t>8832公里。黄河大桥数量增加至6座，平均间隔17公里/座。铁路营业里程达到264公里，形成“十”字形高快速铁路大通道。高速公路通车里程达到468公里，路网布局由“两横三纵”增加至“四横五纵”。普通干线公路里程达到1100公里以上，二级及以上占比提升至80%以上，优良路率保持在86%以上。农村公路总里程达7000公里左右，等级公路比例达98%以上，建制村通双车道公路比例达到60%左右。</w:t>
      </w:r>
      <w:bookmarkEnd w:id="151"/>
      <w:bookmarkEnd w:id="152"/>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枢纽地位显著提升。“一主两辅多支点”的综合交通枢纽格局基本形成，枢纽换乘及集疏运设施进一步完善。建成焦作西综合客运枢纽，二级及以上公路客运站由10个增加至14个，一级公路客运站由1个增加至3个。新改建10个物流园区、36个乡镇运输服务站。传统交通枢纽、物流枢纽向现代供应链平台转变加快，枢纽经济承载能力显著增强。</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bookmarkStart w:id="153" w:name="_Toc42075759"/>
      <w:r>
        <w:rPr>
          <w:rFonts w:hint="eastAsia" w:ascii="Times New Roman" w:hAnsi="Times New Roman" w:eastAsia="仿宋_GB2312" w:cs="仿宋_GB2312"/>
          <w:b w:val="0"/>
          <w:bCs w:val="0"/>
          <w:sz w:val="32"/>
          <w:szCs w:val="32"/>
        </w:rPr>
        <w:t>——运输服务经济</w:t>
      </w:r>
      <w:bookmarkEnd w:id="153"/>
      <w:r>
        <w:rPr>
          <w:rFonts w:hint="eastAsia" w:ascii="Times New Roman" w:hAnsi="Times New Roman" w:eastAsia="仿宋_GB2312" w:cs="仿宋_GB2312"/>
          <w:b w:val="0"/>
          <w:bCs w:val="0"/>
          <w:sz w:val="32"/>
          <w:szCs w:val="32"/>
        </w:rPr>
        <w:t>舒适。旅客联程运输水平明显提升，“一站式”出行体验明显改善，城乡间、区域间交通基本公共服务差距显著缩小，定制化、预约响应式、旅游班线等运输形式得到发展，老年人出行更便利。中心城区公共交通占机动化出行分担率达到60%以上，万人公交车拥有量达到13标台，公交站点300米覆盖率达到80%以上，公交专用道设置比例达到20%以上。多式联运、网络货运等先进运输方式得到有效推广，城乡物流配送网络进一步健全。</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枢纽经济发展迅速。“三区辐射、三带牵引、全域协同、融合发展”的综合交通运输体系和枢纽经济发展总体格局基本形成，交通运输与先进制造、文化旅游、现代农业等产业发展有机融合，供应链推动产业链升级能力显著提高，争创国家供应链创新与应用示范城市。</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bookmarkStart w:id="154" w:name="_Toc42075760"/>
      <w:r>
        <w:rPr>
          <w:rFonts w:hint="eastAsia" w:ascii="Times New Roman" w:hAnsi="Times New Roman" w:eastAsia="仿宋_GB2312" w:cs="仿宋_GB2312"/>
          <w:b w:val="0"/>
          <w:bCs w:val="0"/>
          <w:sz w:val="32"/>
          <w:szCs w:val="32"/>
        </w:rPr>
        <w:t>——科技信息先进适用</w:t>
      </w:r>
      <w:bookmarkEnd w:id="154"/>
      <w:r>
        <w:rPr>
          <w:rFonts w:hint="eastAsia" w:ascii="Times New Roman" w:hAnsi="Times New Roman" w:eastAsia="仿宋_GB2312" w:cs="仿宋_GB2312"/>
          <w:b w:val="0"/>
          <w:bCs w:val="0"/>
          <w:sz w:val="32"/>
          <w:szCs w:val="32"/>
        </w:rPr>
        <w:t>。大数据、人工智能、区块链、5G等技术与交通运输深度融合，行业信息化、智慧化发展水平显著提高，公众出行服务智能化明显提升，货运物流和政务信息化水平显著提升。建成焦作市交通运输大数据中心，行业数字化水平显著提升。</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bookmarkStart w:id="155" w:name="_Toc42075762"/>
      <w:bookmarkStart w:id="156" w:name="_Toc42075761"/>
      <w:r>
        <w:rPr>
          <w:rFonts w:hint="eastAsia" w:ascii="Times New Roman" w:hAnsi="Times New Roman" w:eastAsia="仿宋_GB2312" w:cs="仿宋_GB2312"/>
          <w:b w:val="0"/>
          <w:bCs w:val="0"/>
          <w:sz w:val="32"/>
          <w:szCs w:val="32"/>
        </w:rPr>
        <w:t>——资源环境低碳绿色</w:t>
      </w:r>
      <w:bookmarkEnd w:id="155"/>
      <w:r>
        <w:rPr>
          <w:rFonts w:hint="eastAsia" w:ascii="Times New Roman" w:hAnsi="Times New Roman" w:eastAsia="仿宋_GB2312" w:cs="仿宋_GB2312"/>
          <w:b w:val="0"/>
          <w:bCs w:val="0"/>
          <w:sz w:val="32"/>
          <w:szCs w:val="32"/>
        </w:rPr>
        <w:t>。新增公交、出租、建城区配送车辆等营运车辆中，新能源车辆比例达到100%。资源集约节约利用水平明显提升，交通运输二氧化碳排放强度、污染物排放强度持续下降。绿色公路建设得到全面推广，充电桩、加气站等设施布局进一步完善，高速公路服务区充电桩覆盖率达到100%。</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——安全应急充分可靠</w:t>
      </w:r>
      <w:bookmarkEnd w:id="156"/>
      <w:r>
        <w:rPr>
          <w:rFonts w:hint="eastAsia" w:ascii="Times New Roman" w:hAnsi="Times New Roman" w:eastAsia="仿宋_GB2312" w:cs="仿宋_GB2312"/>
          <w:b w:val="0"/>
          <w:bCs w:val="0"/>
          <w:sz w:val="32"/>
          <w:szCs w:val="32"/>
        </w:rPr>
        <w:t>。安全警示教育得到加强，安全防护水平显著提高，安全基础设施明显改善，乡道及以上行政等级公路和通客运班车村道安全隐患路段基本消除，县乡道和重要村道标志标线等设施齐全。一般灾害情况下公路应急救援到达时间不超过2小时，一般灾害情况下公路应急抢通不超过24小时。</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行业治理现代规范。交通运输建设、养护、管理等重要领域和关键环节改革上取得突破性进展。法治政府部门建设成效显著，行业法律法规、标准规范更加完善，综合执法、法治监督体系更加完备。交通运输管理体制机制更加完善，基本形成成熟规范、运行有效的交通运输制度体系，行业治理体系和治理能力明显提升，适应行业可持续发展要求。</w:t>
      </w:r>
    </w:p>
    <w:p>
      <w:pPr>
        <w:keepNext w:val="0"/>
        <w:keepLines w:val="0"/>
        <w:pageBreakBefore w:val="0"/>
        <w:widowControl w:val="0"/>
        <w:kinsoku/>
        <w:wordWrap/>
        <w:overflowPunct/>
        <w:topLinePunct w:val="0"/>
        <w:autoSpaceDE/>
        <w:autoSpaceDN/>
        <w:bidi w:val="0"/>
        <w:adjustRightInd w:val="0"/>
        <w:snapToGrid w:val="0"/>
        <w:spacing w:line="610" w:lineRule="exact"/>
        <w:ind w:left="0" w:firstLine="640" w:firstLineChars="200"/>
        <w:jc w:val="both"/>
        <w:textAlignment w:val="auto"/>
        <w:rPr>
          <w:rFonts w:hint="eastAsia" w:ascii="Times New Roman" w:hAnsi="Times New Roman" w:eastAsia="仿宋_GB2312" w:cs="仿宋_GB2312"/>
          <w:b w:val="0"/>
          <w:bCs w:val="0"/>
          <w:sz w:val="32"/>
          <w:szCs w:val="32"/>
        </w:rPr>
      </w:pPr>
      <w:r>
        <w:rPr>
          <w:rFonts w:hint="eastAsia" w:ascii="Times New Roman" w:hAnsi="Times New Roman" w:eastAsia="仿宋_GB2312" w:cs="仿宋_GB2312"/>
          <w:b w:val="0"/>
          <w:bCs w:val="0"/>
          <w:sz w:val="32"/>
          <w:szCs w:val="32"/>
        </w:rPr>
        <w:t>展望到2035年，基本建成交通强市，交通发展水平达到全省前列，焦作市高速公路、干线公路与铁路无缝衔接，与城市道路、农村公路高效衔接，多层级、多种交通方式协调一体化发展格局基本形成，安全、便捷、高效、绿色、经济的现代化综合交通运输体系基本建成，交通治理体系和治理能力现代化水平显著提升，基本实现交通运输现代化，人民满意度明显提高，支撑经济社会发展能力显著增强。</w:t>
      </w:r>
    </w:p>
    <w:tbl>
      <w:tblPr>
        <w:tblStyle w:val="20"/>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4857"/>
        <w:gridCol w:w="1074"/>
        <w:gridCol w:w="1054"/>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000" w:type="pct"/>
            <w:gridSpan w:val="5"/>
            <w:tcBorders>
              <w:tl2br w:val="nil"/>
              <w:tr2bl w:val="nil"/>
            </w:tcBorders>
            <w:shd w:val="clear" w:color="auto" w:fill="auto"/>
            <w:vAlign w:val="bottom"/>
          </w:tcPr>
          <w:p>
            <w:pPr>
              <w:widowControl/>
              <w:spacing w:line="360" w:lineRule="auto"/>
              <w:ind w:firstLine="0" w:firstLineChars="0"/>
              <w:jc w:val="center"/>
              <w:rPr>
                <w:rFonts w:ascii="Times New Roman" w:hAnsi="Times New Roman" w:eastAsia="黑体" w:cs="Times New Roman"/>
                <w:color w:val="000000"/>
                <w:kern w:val="0"/>
                <w:sz w:val="24"/>
                <w:szCs w:val="24"/>
              </w:rPr>
            </w:pPr>
            <w:r>
              <w:rPr>
                <w:rFonts w:hint="eastAsia" w:ascii="Times New Roman" w:hAnsi="Times New Roman" w:eastAsia="黑体" w:cs="黑体"/>
                <w:color w:val="000000"/>
                <w:kern w:val="0"/>
                <w:sz w:val="24"/>
                <w:szCs w:val="24"/>
              </w:rPr>
              <w:t>专栏1</w:t>
            </w:r>
            <w:r>
              <w:rPr>
                <w:rFonts w:hint="eastAsia" w:ascii="Times New Roman" w:hAnsi="Times New Roman" w:eastAsia="黑体" w:cs="黑体"/>
                <w:color w:val="000000"/>
                <w:kern w:val="0"/>
                <w:sz w:val="24"/>
                <w:szCs w:val="24"/>
                <w:lang w:val="en-US" w:eastAsia="zh-CN"/>
              </w:rPr>
              <w:t xml:space="preserve">  </w:t>
            </w:r>
            <w:r>
              <w:rPr>
                <w:rFonts w:hint="eastAsia" w:ascii="Times New Roman" w:hAnsi="Times New Roman" w:eastAsia="黑体" w:cs="黑体"/>
                <w:color w:val="000000"/>
                <w:kern w:val="0"/>
                <w:sz w:val="24"/>
                <w:szCs w:val="24"/>
              </w:rPr>
              <w:t>“十四五”综合交通运输发展指标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482"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b/>
                <w:bCs/>
                <w:color w:val="000000"/>
                <w:kern w:val="0"/>
                <w:sz w:val="24"/>
                <w:szCs w:val="24"/>
              </w:rPr>
            </w:pPr>
            <w:r>
              <w:rPr>
                <w:rFonts w:hint="eastAsia" w:ascii="Times New Roman" w:hAnsi="Times New Roman" w:cs="宋体"/>
                <w:b/>
                <w:bCs/>
                <w:color w:val="000000"/>
                <w:kern w:val="0"/>
                <w:sz w:val="24"/>
                <w:szCs w:val="24"/>
              </w:rPr>
              <w:t>类别</w:t>
            </w:r>
          </w:p>
        </w:tc>
        <w:tc>
          <w:tcPr>
            <w:tcW w:w="2764"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b/>
                <w:bCs/>
                <w:color w:val="000000"/>
                <w:kern w:val="0"/>
                <w:sz w:val="24"/>
                <w:szCs w:val="24"/>
              </w:rPr>
            </w:pPr>
            <w:r>
              <w:rPr>
                <w:rFonts w:hint="eastAsia" w:ascii="Times New Roman" w:hAnsi="Times New Roman" w:cs="宋体"/>
                <w:b/>
                <w:bCs/>
                <w:color w:val="000000"/>
                <w:kern w:val="0"/>
                <w:sz w:val="24"/>
                <w:szCs w:val="24"/>
              </w:rPr>
              <w:t>指标</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b/>
                <w:bCs/>
                <w:color w:val="000000"/>
                <w:kern w:val="0"/>
                <w:sz w:val="24"/>
                <w:szCs w:val="24"/>
              </w:rPr>
            </w:pPr>
            <w:r>
              <w:rPr>
                <w:rFonts w:hint="eastAsia" w:ascii="Times New Roman" w:hAnsi="Times New Roman" w:cs="宋体"/>
                <w:b/>
                <w:bCs/>
                <w:color w:val="000000"/>
                <w:kern w:val="0"/>
                <w:sz w:val="24"/>
                <w:szCs w:val="24"/>
              </w:rPr>
              <w:t>2020年现状值</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b/>
                <w:bCs/>
                <w:color w:val="000000"/>
                <w:kern w:val="0"/>
                <w:sz w:val="24"/>
                <w:szCs w:val="24"/>
              </w:rPr>
            </w:pPr>
            <w:r>
              <w:rPr>
                <w:rFonts w:hint="eastAsia" w:ascii="Times New Roman" w:hAnsi="Times New Roman" w:cs="宋体"/>
                <w:b/>
                <w:bCs/>
                <w:color w:val="000000"/>
                <w:kern w:val="0"/>
                <w:sz w:val="24"/>
                <w:szCs w:val="24"/>
              </w:rPr>
              <w:t>2025年目标值</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b/>
                <w:bCs/>
                <w:color w:val="000000"/>
                <w:kern w:val="0"/>
                <w:sz w:val="24"/>
                <w:szCs w:val="24"/>
              </w:rPr>
            </w:pPr>
            <w:r>
              <w:rPr>
                <w:rFonts w:hint="eastAsia" w:ascii="Times New Roman" w:hAnsi="Times New Roman" w:cs="宋体"/>
                <w:b/>
                <w:bCs/>
                <w:color w:val="000000"/>
                <w:kern w:val="0"/>
                <w:sz w:val="24"/>
                <w:szCs w:val="24"/>
              </w:rPr>
              <w:t>指标</w:t>
            </w:r>
          </w:p>
          <w:p>
            <w:pPr>
              <w:widowControl/>
              <w:spacing w:line="240" w:lineRule="auto"/>
              <w:ind w:firstLine="0" w:firstLineChars="0"/>
              <w:jc w:val="center"/>
              <w:rPr>
                <w:rFonts w:ascii="Times New Roman" w:hAnsi="Times New Roman" w:cs="宋体"/>
                <w:b/>
                <w:bCs/>
                <w:color w:val="000000"/>
                <w:kern w:val="0"/>
                <w:sz w:val="24"/>
                <w:szCs w:val="24"/>
              </w:rPr>
            </w:pPr>
            <w:r>
              <w:rPr>
                <w:rFonts w:hint="eastAsia" w:ascii="Times New Roman" w:hAnsi="Times New Roman" w:cs="宋体"/>
                <w:b/>
                <w:bCs/>
                <w:color w:val="000000"/>
                <w:kern w:val="0"/>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restar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b/>
                <w:bCs/>
                <w:color w:val="000000"/>
                <w:kern w:val="0"/>
                <w:sz w:val="24"/>
                <w:szCs w:val="24"/>
              </w:rPr>
            </w:pPr>
            <w:r>
              <w:rPr>
                <w:rFonts w:hint="eastAsia" w:ascii="Times New Roman" w:hAnsi="Times New Roman" w:cs="宋体"/>
                <w:b/>
                <w:bCs/>
                <w:color w:val="000000"/>
                <w:kern w:val="0"/>
                <w:sz w:val="24"/>
                <w:szCs w:val="24"/>
              </w:rPr>
              <w:t>运输网络</w:t>
            </w: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综合线网里程（公里）</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8</w:t>
            </w:r>
            <w:r>
              <w:rPr>
                <w:rFonts w:ascii="Times New Roman" w:hAnsi="Times New Roman" w:cs="宋体"/>
                <w:color w:val="000000"/>
                <w:kern w:val="0"/>
                <w:sz w:val="24"/>
                <w:szCs w:val="24"/>
              </w:rPr>
              <w:t>263</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8</w:t>
            </w:r>
            <w:r>
              <w:rPr>
                <w:rFonts w:ascii="Times New Roman" w:hAnsi="Times New Roman" w:cs="宋体"/>
                <w:color w:val="000000"/>
                <w:kern w:val="0"/>
                <w:sz w:val="24"/>
                <w:szCs w:val="24"/>
              </w:rPr>
              <w:t>832</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黄河大桥数量（座）</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ascii="Times New Roman" w:hAnsi="Times New Roman" w:cs="宋体"/>
                <w:color w:val="000000"/>
                <w:kern w:val="0"/>
                <w:sz w:val="24"/>
                <w:szCs w:val="24"/>
              </w:rPr>
              <w:t>3</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ascii="Times New Roman" w:hAnsi="Times New Roman" w:cs="宋体"/>
                <w:color w:val="000000"/>
                <w:kern w:val="0"/>
                <w:sz w:val="24"/>
                <w:szCs w:val="24"/>
              </w:rPr>
              <w:t>6</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黄河大桥间隔（公里/座）</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ascii="Times New Roman" w:hAnsi="Times New Roman" w:cs="宋体"/>
                <w:color w:val="000000"/>
                <w:kern w:val="0"/>
                <w:sz w:val="24"/>
                <w:szCs w:val="24"/>
              </w:rPr>
              <w:t>33</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w:t>
            </w:r>
            <w:r>
              <w:rPr>
                <w:rFonts w:ascii="Times New Roman" w:hAnsi="Times New Roman" w:cs="宋体"/>
                <w:color w:val="000000"/>
                <w:kern w:val="0"/>
                <w:sz w:val="24"/>
                <w:szCs w:val="24"/>
              </w:rPr>
              <w:t>7</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铁路营业里程（公里）</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ascii="Times New Roman" w:hAnsi="Times New Roman" w:cs="宋体"/>
                <w:color w:val="000000"/>
                <w:kern w:val="0"/>
                <w:sz w:val="24"/>
                <w:szCs w:val="24"/>
              </w:rPr>
              <w:t>212</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highlight w:val="yellow"/>
              </w:rPr>
            </w:pPr>
            <w:r>
              <w:rPr>
                <w:rFonts w:hint="eastAsia" w:ascii="Times New Roman" w:hAnsi="Times New Roman" w:cs="宋体"/>
                <w:color w:val="000000"/>
                <w:kern w:val="0"/>
                <w:sz w:val="24"/>
                <w:szCs w:val="24"/>
              </w:rPr>
              <w:t>2</w:t>
            </w:r>
            <w:r>
              <w:rPr>
                <w:rFonts w:ascii="Times New Roman" w:hAnsi="Times New Roman" w:cs="宋体"/>
                <w:color w:val="000000"/>
                <w:kern w:val="0"/>
                <w:sz w:val="24"/>
                <w:szCs w:val="24"/>
              </w:rPr>
              <w:t>64</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right"/>
              <w:rPr>
                <w:rFonts w:ascii="Times New Roman" w:hAnsi="Times New Roman" w:cs="宋体"/>
                <w:color w:val="000000"/>
                <w:kern w:val="0"/>
                <w:sz w:val="24"/>
                <w:szCs w:val="24"/>
              </w:rPr>
            </w:pPr>
            <w:r>
              <w:rPr>
                <w:rFonts w:hint="eastAsia" w:ascii="Times New Roman" w:hAnsi="Times New Roman" w:cs="宋体"/>
                <w:color w:val="000000"/>
                <w:kern w:val="0"/>
                <w:sz w:val="24"/>
                <w:szCs w:val="24"/>
              </w:rPr>
              <w:t>其中：高快速铁路营业里程（公里）</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84 </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highlight w:val="yellow"/>
              </w:rPr>
            </w:pPr>
            <w:r>
              <w:rPr>
                <w:rFonts w:hint="eastAsia" w:ascii="Times New Roman" w:hAnsi="Times New Roman" w:cs="宋体"/>
                <w:color w:val="000000"/>
                <w:kern w:val="0"/>
                <w:sz w:val="24"/>
                <w:szCs w:val="24"/>
              </w:rPr>
              <w:t>1</w:t>
            </w:r>
            <w:r>
              <w:rPr>
                <w:rFonts w:ascii="Times New Roman" w:hAnsi="Times New Roman" w:cs="宋体"/>
                <w:color w:val="000000"/>
                <w:kern w:val="0"/>
                <w:sz w:val="24"/>
                <w:szCs w:val="24"/>
              </w:rPr>
              <w:t>36</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高速公路通车里程（公里）</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240 </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ascii="Times New Roman" w:hAnsi="Times New Roman" w:cs="宋体"/>
                <w:color w:val="000000"/>
                <w:kern w:val="0"/>
                <w:sz w:val="24"/>
                <w:szCs w:val="24"/>
              </w:rPr>
              <w:t>468</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普通干线公路里程（公里）</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10</w:t>
            </w:r>
            <w:r>
              <w:rPr>
                <w:rFonts w:ascii="Times New Roman" w:hAnsi="Times New Roman" w:cs="宋体"/>
                <w:color w:val="000000"/>
                <w:kern w:val="0"/>
                <w:sz w:val="24"/>
                <w:szCs w:val="24"/>
              </w:rPr>
              <w:t>38</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1100 </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普通干线二级及以上公路比例（%）</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7</w:t>
            </w:r>
            <w:r>
              <w:rPr>
                <w:rFonts w:ascii="Times New Roman" w:hAnsi="Times New Roman" w:cs="宋体"/>
                <w:color w:val="000000"/>
                <w:kern w:val="0"/>
                <w:sz w:val="24"/>
                <w:szCs w:val="24"/>
              </w:rPr>
              <w:t>6</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80 </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农村公路里程（公里）</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6</w:t>
            </w:r>
            <w:r>
              <w:rPr>
                <w:rFonts w:ascii="Times New Roman" w:hAnsi="Times New Roman" w:cs="宋体"/>
                <w:color w:val="000000"/>
                <w:kern w:val="0"/>
                <w:sz w:val="24"/>
                <w:szCs w:val="24"/>
              </w:rPr>
              <w:t>773</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7000 </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农村公路等级公路比例（%）</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9</w:t>
            </w:r>
            <w:r>
              <w:rPr>
                <w:rFonts w:ascii="Times New Roman" w:hAnsi="Times New Roman" w:cs="宋体"/>
                <w:color w:val="000000"/>
                <w:kern w:val="0"/>
                <w:sz w:val="24"/>
                <w:szCs w:val="24"/>
              </w:rPr>
              <w:t>7</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9</w:t>
            </w:r>
            <w:r>
              <w:rPr>
                <w:rFonts w:ascii="Times New Roman" w:hAnsi="Times New Roman" w:cs="宋体"/>
                <w:color w:val="000000"/>
                <w:kern w:val="0"/>
                <w:sz w:val="24"/>
                <w:szCs w:val="24"/>
              </w:rPr>
              <w:t>8</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建制村通双车道公路比例（%）</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40 </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60 </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restar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b/>
                <w:bCs/>
                <w:color w:val="000000"/>
                <w:kern w:val="0"/>
                <w:sz w:val="24"/>
                <w:szCs w:val="24"/>
              </w:rPr>
            </w:pPr>
            <w:r>
              <w:rPr>
                <w:rFonts w:hint="eastAsia" w:ascii="Times New Roman" w:hAnsi="Times New Roman" w:cs="宋体"/>
                <w:b/>
                <w:bCs/>
                <w:color w:val="000000"/>
                <w:kern w:val="0"/>
                <w:sz w:val="24"/>
                <w:szCs w:val="24"/>
              </w:rPr>
              <w:t>枢纽场站</w:t>
            </w: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综合客运枢纽数量（个）</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0 </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1 </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二级及以上客运站数量（个）</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ascii="Times New Roman" w:hAnsi="Times New Roman" w:cs="宋体"/>
                <w:color w:val="000000"/>
                <w:kern w:val="0"/>
                <w:sz w:val="24"/>
                <w:szCs w:val="24"/>
              </w:rPr>
              <w:t>10</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w:t>
            </w:r>
            <w:r>
              <w:rPr>
                <w:rFonts w:ascii="Times New Roman" w:hAnsi="Times New Roman" w:cs="宋体"/>
                <w:color w:val="000000"/>
                <w:kern w:val="0"/>
                <w:sz w:val="24"/>
                <w:szCs w:val="24"/>
              </w:rPr>
              <w:t>4</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right"/>
              <w:rPr>
                <w:rFonts w:ascii="Times New Roman" w:hAnsi="Times New Roman" w:cs="宋体"/>
                <w:color w:val="000000"/>
                <w:kern w:val="0"/>
                <w:sz w:val="24"/>
                <w:szCs w:val="24"/>
              </w:rPr>
            </w:pPr>
            <w:r>
              <w:rPr>
                <w:rFonts w:hint="eastAsia" w:ascii="Times New Roman" w:hAnsi="Times New Roman" w:cs="宋体"/>
                <w:color w:val="000000"/>
                <w:kern w:val="0"/>
                <w:sz w:val="24"/>
                <w:szCs w:val="24"/>
              </w:rPr>
              <w:t>其中：一级客运站（个）</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1 </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ascii="Times New Roman" w:hAnsi="Times New Roman" w:cs="宋体"/>
                <w:color w:val="000000"/>
                <w:kern w:val="0"/>
                <w:sz w:val="24"/>
                <w:szCs w:val="24"/>
              </w:rPr>
              <w:t>3</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bottom"/>
          </w:tcPr>
          <w:p>
            <w:pPr>
              <w:widowControl/>
              <w:spacing w:line="240" w:lineRule="auto"/>
              <w:ind w:firstLine="0" w:firstLineChars="0"/>
              <w:jc w:val="right"/>
              <w:rPr>
                <w:rFonts w:ascii="Times New Roman" w:hAnsi="Times New Roman" w:cs="宋体"/>
                <w:color w:val="000000"/>
                <w:kern w:val="0"/>
                <w:sz w:val="24"/>
                <w:szCs w:val="24"/>
              </w:rPr>
            </w:pPr>
            <w:r>
              <w:rPr>
                <w:rFonts w:hint="eastAsia" w:ascii="Times New Roman" w:hAnsi="Times New Roman" w:cs="宋体"/>
                <w:color w:val="000000"/>
                <w:kern w:val="0"/>
                <w:sz w:val="24"/>
                <w:szCs w:val="24"/>
              </w:rPr>
              <w:t>二级客运站（个）</w:t>
            </w:r>
          </w:p>
        </w:tc>
        <w:tc>
          <w:tcPr>
            <w:tcW w:w="611" w:type="pct"/>
            <w:tcBorders>
              <w:tl2br w:val="nil"/>
              <w:tr2bl w:val="nil"/>
            </w:tcBorders>
            <w:shd w:val="clear" w:color="auto" w:fill="auto"/>
            <w:vAlign w:val="bottom"/>
          </w:tcPr>
          <w:p>
            <w:pPr>
              <w:widowControl/>
              <w:spacing w:line="240" w:lineRule="auto"/>
              <w:ind w:firstLine="0" w:firstLineChars="0"/>
              <w:jc w:val="center"/>
              <w:rPr>
                <w:rFonts w:ascii="Times New Roman" w:hAnsi="Times New Roman" w:cs="宋体"/>
                <w:color w:val="000000"/>
                <w:kern w:val="0"/>
                <w:sz w:val="24"/>
                <w:szCs w:val="24"/>
              </w:rPr>
            </w:pPr>
            <w:r>
              <w:rPr>
                <w:rFonts w:ascii="Times New Roman" w:hAnsi="Times New Roman" w:cs="宋体"/>
                <w:color w:val="000000"/>
                <w:kern w:val="0"/>
                <w:sz w:val="24"/>
                <w:szCs w:val="24"/>
              </w:rPr>
              <w:t>9</w:t>
            </w:r>
          </w:p>
        </w:tc>
        <w:tc>
          <w:tcPr>
            <w:tcW w:w="600" w:type="pct"/>
            <w:tcBorders>
              <w:tl2br w:val="nil"/>
              <w:tr2bl w:val="nil"/>
            </w:tcBorders>
            <w:shd w:val="clear" w:color="auto" w:fill="auto"/>
            <w:vAlign w:val="bottom"/>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w:t>
            </w:r>
            <w:r>
              <w:rPr>
                <w:rFonts w:ascii="Times New Roman" w:hAnsi="Times New Roman" w:cs="宋体"/>
                <w:color w:val="000000"/>
                <w:kern w:val="0"/>
                <w:sz w:val="24"/>
                <w:szCs w:val="24"/>
              </w:rPr>
              <w:t>1</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restar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b/>
                <w:bCs/>
                <w:color w:val="000000"/>
                <w:kern w:val="0"/>
                <w:sz w:val="24"/>
                <w:szCs w:val="24"/>
              </w:rPr>
            </w:pPr>
            <w:r>
              <w:rPr>
                <w:rFonts w:hint="eastAsia" w:ascii="Times New Roman" w:hAnsi="Times New Roman" w:cs="宋体"/>
                <w:b/>
                <w:bCs/>
                <w:color w:val="000000"/>
                <w:kern w:val="0"/>
                <w:sz w:val="24"/>
                <w:szCs w:val="24"/>
              </w:rPr>
              <w:t>运输服务</w:t>
            </w: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中心城区公共交通站点300米覆盖率（%）</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63 </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80 </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万人公共交通车辆拥有量（标台）</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10 </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13 </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公共交通占机动化出行比例（%）</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56 </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60 </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公交专用道设置比例（%）</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ascii="Times New Roman" w:hAnsi="Times New Roman" w:cs="宋体"/>
                <w:color w:val="000000"/>
                <w:kern w:val="0"/>
                <w:sz w:val="24"/>
                <w:szCs w:val="24"/>
              </w:rPr>
              <w:t>10</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ascii="Times New Roman" w:hAnsi="Times New Roman" w:cs="宋体"/>
                <w:color w:val="000000"/>
                <w:kern w:val="0"/>
                <w:sz w:val="24"/>
                <w:szCs w:val="24"/>
              </w:rPr>
              <w:t>20</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tcBorders>
              <w:tl2br w:val="nil"/>
              <w:tr2bl w:val="nil"/>
            </w:tcBorders>
            <w:vAlign w:val="center"/>
          </w:tcPr>
          <w:p>
            <w:pPr>
              <w:widowControl/>
              <w:spacing w:line="240" w:lineRule="auto"/>
              <w:ind w:firstLine="0" w:firstLineChars="0"/>
              <w:jc w:val="center"/>
              <w:rPr>
                <w:rFonts w:ascii="Times New Roman" w:hAnsi="Times New Roman" w:cs="宋体"/>
                <w:b/>
                <w:bCs/>
                <w:color w:val="000000"/>
                <w:kern w:val="0"/>
                <w:sz w:val="24"/>
                <w:szCs w:val="24"/>
              </w:rPr>
            </w:pPr>
            <w:r>
              <w:rPr>
                <w:rFonts w:hint="eastAsia" w:ascii="Times New Roman" w:hAnsi="Times New Roman" w:cs="宋体"/>
                <w:b/>
                <w:bCs/>
                <w:color w:val="000000"/>
                <w:kern w:val="0"/>
                <w:sz w:val="24"/>
                <w:szCs w:val="24"/>
              </w:rPr>
              <w:t>枢纽经济</w:t>
            </w: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高铁枢纽经济区（个）</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0</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restar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b/>
                <w:bCs/>
                <w:color w:val="000000"/>
                <w:kern w:val="0"/>
                <w:sz w:val="24"/>
                <w:szCs w:val="24"/>
              </w:rPr>
            </w:pPr>
            <w:r>
              <w:rPr>
                <w:rFonts w:hint="eastAsia" w:ascii="Times New Roman" w:hAnsi="Times New Roman" w:cs="宋体"/>
                <w:b/>
                <w:bCs/>
                <w:color w:val="000000"/>
                <w:kern w:val="0"/>
                <w:sz w:val="24"/>
                <w:szCs w:val="24"/>
              </w:rPr>
              <w:t>智慧交通</w:t>
            </w: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危险品运输电子运单使用率（%）</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kern w:val="0"/>
                <w:sz w:val="24"/>
                <w:szCs w:val="24"/>
              </w:rPr>
              <w:t>—</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9</w:t>
            </w:r>
            <w:r>
              <w:rPr>
                <w:rFonts w:ascii="Times New Roman" w:hAnsi="Times New Roman" w:cs="宋体"/>
                <w:color w:val="000000"/>
                <w:kern w:val="0"/>
                <w:sz w:val="24"/>
                <w:szCs w:val="24"/>
              </w:rPr>
              <w:t>0</w:t>
            </w:r>
          </w:p>
        </w:tc>
        <w:tc>
          <w:tcPr>
            <w:tcW w:w="543" w:type="pct"/>
            <w:tcBorders>
              <w:tl2br w:val="nil"/>
              <w:tr2bl w:val="nil"/>
            </w:tcBorders>
            <w:shd w:val="clear" w:color="auto" w:fill="auto"/>
            <w:noWrap/>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道路客运电子客票二级以上站点覆盖率（</w:t>
            </w:r>
            <w:r>
              <w:rPr>
                <w:rFonts w:ascii="Times New Roman" w:hAnsi="Times New Roman" w:cs="宋体"/>
                <w:color w:val="000000"/>
                <w:kern w:val="0"/>
                <w:sz w:val="24"/>
                <w:szCs w:val="24"/>
              </w:rPr>
              <w:t>%）</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kern w:val="0"/>
                <w:sz w:val="24"/>
                <w:szCs w:val="24"/>
              </w:rPr>
            </w:pPr>
            <w:r>
              <w:rPr>
                <w:rFonts w:hint="eastAsia" w:ascii="Times New Roman" w:hAnsi="Times New Roman" w:cs="宋体"/>
                <w:kern w:val="0"/>
                <w:sz w:val="24"/>
                <w:szCs w:val="24"/>
              </w:rPr>
              <w:t>0</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8</w:t>
            </w:r>
            <w:r>
              <w:rPr>
                <w:rFonts w:ascii="Times New Roman" w:hAnsi="Times New Roman" w:cs="宋体"/>
                <w:color w:val="000000"/>
                <w:kern w:val="0"/>
                <w:sz w:val="24"/>
                <w:szCs w:val="24"/>
              </w:rPr>
              <w:t>0</w:t>
            </w:r>
          </w:p>
        </w:tc>
        <w:tc>
          <w:tcPr>
            <w:tcW w:w="543" w:type="pct"/>
            <w:tcBorders>
              <w:tl2br w:val="nil"/>
              <w:tr2bl w:val="nil"/>
            </w:tcBorders>
            <w:shd w:val="clear" w:color="auto" w:fill="auto"/>
            <w:noWrap/>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出租车智能车载终端安装率（%）</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kern w:val="0"/>
                <w:sz w:val="24"/>
                <w:szCs w:val="24"/>
              </w:rPr>
            </w:pPr>
            <w:r>
              <w:rPr>
                <w:rFonts w:hint="eastAsia" w:ascii="Times New Roman" w:hAnsi="Times New Roman" w:cs="宋体"/>
                <w:kern w:val="0"/>
                <w:sz w:val="24"/>
                <w:szCs w:val="24"/>
              </w:rPr>
              <w:t>0</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w:t>
            </w:r>
            <w:r>
              <w:rPr>
                <w:rFonts w:ascii="Times New Roman" w:hAnsi="Times New Roman" w:cs="宋体"/>
                <w:color w:val="000000"/>
                <w:kern w:val="0"/>
                <w:sz w:val="24"/>
                <w:szCs w:val="24"/>
              </w:rPr>
              <w:t>00</w:t>
            </w:r>
          </w:p>
        </w:tc>
        <w:tc>
          <w:tcPr>
            <w:tcW w:w="543" w:type="pct"/>
            <w:tcBorders>
              <w:tl2br w:val="nil"/>
              <w:tr2bl w:val="nil"/>
            </w:tcBorders>
            <w:shd w:val="clear" w:color="auto" w:fill="auto"/>
            <w:noWrap/>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82" w:type="pct"/>
            <w:vMerge w:val="restar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b/>
                <w:bCs/>
                <w:kern w:val="0"/>
                <w:sz w:val="24"/>
                <w:szCs w:val="24"/>
              </w:rPr>
            </w:pPr>
            <w:r>
              <w:rPr>
                <w:rFonts w:hint="eastAsia" w:ascii="Times New Roman" w:hAnsi="Times New Roman" w:cs="宋体"/>
                <w:b/>
                <w:bCs/>
                <w:kern w:val="0"/>
                <w:sz w:val="24"/>
                <w:szCs w:val="24"/>
              </w:rPr>
              <w:t>绿色交通</w:t>
            </w: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kern w:val="0"/>
                <w:sz w:val="24"/>
                <w:szCs w:val="24"/>
              </w:rPr>
            </w:pPr>
            <w:r>
              <w:rPr>
                <w:rFonts w:hint="eastAsia" w:ascii="Times New Roman" w:hAnsi="Times New Roman" w:cs="宋体"/>
                <w:kern w:val="0"/>
                <w:sz w:val="24"/>
                <w:szCs w:val="24"/>
              </w:rPr>
              <w:t>新增公交、出租、城区配送车辆新能源车辆比例（%）</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kern w:val="0"/>
                <w:sz w:val="24"/>
                <w:szCs w:val="24"/>
              </w:rPr>
            </w:pPr>
            <w:r>
              <w:rPr>
                <w:rFonts w:hint="eastAsia" w:ascii="Times New Roman" w:hAnsi="Times New Roman" w:cs="宋体"/>
                <w:kern w:val="0"/>
                <w:sz w:val="24"/>
                <w:szCs w:val="24"/>
              </w:rPr>
              <w:t xml:space="preserve">75 </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kern w:val="0"/>
                <w:sz w:val="24"/>
                <w:szCs w:val="24"/>
              </w:rPr>
            </w:pPr>
            <w:r>
              <w:rPr>
                <w:rFonts w:hint="eastAsia" w:ascii="Times New Roman" w:hAnsi="Times New Roman" w:cs="宋体"/>
                <w:kern w:val="0"/>
                <w:sz w:val="24"/>
                <w:szCs w:val="24"/>
              </w:rPr>
              <w:t xml:space="preserve">100 </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kern w:val="0"/>
                <w:sz w:val="24"/>
                <w:szCs w:val="24"/>
              </w:rPr>
            </w:pPr>
            <w:r>
              <w:rPr>
                <w:rFonts w:hint="eastAsia" w:ascii="Times New Roman" w:hAnsi="Times New Roman" w:cs="宋体"/>
                <w:kern w:val="0"/>
                <w:sz w:val="24"/>
                <w:szCs w:val="24"/>
              </w:rPr>
              <w:t>交通运输</w:t>
            </w:r>
            <w:r>
              <w:rPr>
                <w:rFonts w:hint="eastAsia" w:ascii="Times New Roman" w:hAnsi="Times New Roman" w:cs="宋体"/>
                <w:color w:val="000000"/>
                <w:kern w:val="0"/>
                <w:sz w:val="24"/>
                <w:szCs w:val="24"/>
              </w:rPr>
              <w:t>二氧化碳排放强度下降率（与十三五末相比）（%）</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kern w:val="0"/>
                <w:sz w:val="24"/>
                <w:szCs w:val="24"/>
              </w:rPr>
            </w:pPr>
            <w:r>
              <w:rPr>
                <w:rFonts w:hint="eastAsia" w:ascii="Times New Roman" w:hAnsi="Times New Roman" w:cs="宋体"/>
                <w:kern w:val="0"/>
                <w:sz w:val="24"/>
                <w:szCs w:val="24"/>
              </w:rPr>
              <w:t>—</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kern w:val="0"/>
                <w:sz w:val="24"/>
                <w:szCs w:val="24"/>
              </w:rPr>
            </w:pPr>
            <w:r>
              <w:rPr>
                <w:rFonts w:ascii="Times New Roman" w:hAnsi="Times New Roman" w:cs="宋体"/>
                <w:kern w:val="0"/>
                <w:sz w:val="24"/>
                <w:szCs w:val="24"/>
              </w:rPr>
              <w:t>5</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82" w:type="pct"/>
            <w:vMerge w:val="restar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b/>
                <w:bCs/>
                <w:color w:val="000000"/>
                <w:kern w:val="0"/>
                <w:sz w:val="24"/>
                <w:szCs w:val="24"/>
              </w:rPr>
            </w:pPr>
            <w:r>
              <w:rPr>
                <w:rFonts w:hint="eastAsia" w:ascii="Times New Roman" w:hAnsi="Times New Roman" w:cs="宋体"/>
                <w:b/>
                <w:bCs/>
                <w:color w:val="000000"/>
                <w:kern w:val="0"/>
                <w:sz w:val="24"/>
                <w:szCs w:val="24"/>
              </w:rPr>
              <w:t>安全应急</w:t>
            </w: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一般灾害情况下公路应急救援到达时间（小时）</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2 </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82" w:type="pct"/>
            <w:vMerge w:val="continue"/>
            <w:tcBorders>
              <w:tl2br w:val="nil"/>
              <w:tr2bl w:val="nil"/>
            </w:tcBorders>
            <w:vAlign w:val="center"/>
          </w:tcPr>
          <w:p>
            <w:pPr>
              <w:widowControl/>
              <w:spacing w:line="240" w:lineRule="auto"/>
              <w:ind w:firstLine="0" w:firstLineChars="0"/>
              <w:jc w:val="left"/>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一般灾害情况下公路应急抢通时间（小时）</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 xml:space="preserve">24 </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≤24</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82" w:type="pct"/>
            <w:vMerge w:val="restar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b/>
                <w:bCs/>
                <w:color w:val="000000"/>
                <w:kern w:val="0"/>
                <w:sz w:val="24"/>
                <w:szCs w:val="24"/>
              </w:rPr>
            </w:pPr>
            <w:r>
              <w:rPr>
                <w:rFonts w:hint="eastAsia" w:ascii="Times New Roman" w:hAnsi="Times New Roman" w:cs="宋体"/>
                <w:b/>
                <w:bCs/>
                <w:color w:val="000000"/>
                <w:kern w:val="0"/>
                <w:sz w:val="24"/>
                <w:szCs w:val="24"/>
              </w:rPr>
              <w:t>治理能力</w:t>
            </w: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公路货运平均超限超载率（%）</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ascii="Times New Roman" w:hAnsi="Times New Roman" w:cs="宋体"/>
                <w:color w:val="000000"/>
                <w:kern w:val="0"/>
                <w:sz w:val="24"/>
                <w:szCs w:val="24"/>
              </w:rPr>
              <w:t>5</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≤4</w:t>
            </w:r>
          </w:p>
        </w:tc>
        <w:tc>
          <w:tcPr>
            <w:tcW w:w="543"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82" w:type="pct"/>
            <w:vMerge w:val="continue"/>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b/>
                <w:bCs/>
                <w:color w:val="000000"/>
                <w:kern w:val="0"/>
                <w:sz w:val="24"/>
                <w:szCs w:val="24"/>
              </w:rPr>
            </w:pPr>
          </w:p>
        </w:tc>
        <w:tc>
          <w:tcPr>
            <w:tcW w:w="2764" w:type="pct"/>
            <w:tcBorders>
              <w:tl2br w:val="nil"/>
              <w:tr2bl w:val="nil"/>
            </w:tcBorders>
            <w:shd w:val="clear" w:color="auto" w:fill="auto"/>
            <w:vAlign w:val="center"/>
          </w:tcPr>
          <w:p>
            <w:pPr>
              <w:widowControl/>
              <w:spacing w:line="240" w:lineRule="auto"/>
              <w:ind w:firstLine="0" w:firstLineChars="0"/>
              <w:jc w:val="left"/>
              <w:rPr>
                <w:rFonts w:ascii="Times New Roman" w:hAnsi="Times New Roman" w:cs="宋体"/>
                <w:color w:val="000000"/>
                <w:kern w:val="0"/>
                <w:sz w:val="24"/>
                <w:szCs w:val="24"/>
              </w:rPr>
            </w:pPr>
            <w:r>
              <w:rPr>
                <w:rFonts w:hint="eastAsia" w:ascii="Times New Roman" w:hAnsi="Times New Roman" w:cs="宋体"/>
                <w:color w:val="000000"/>
                <w:kern w:val="0"/>
                <w:sz w:val="24"/>
                <w:szCs w:val="24"/>
              </w:rPr>
              <w:t>农村公路县级路长制覆盖率（</w:t>
            </w:r>
            <w:r>
              <w:rPr>
                <w:rFonts w:ascii="Times New Roman" w:hAnsi="Times New Roman" w:cs="宋体"/>
                <w:color w:val="000000"/>
                <w:kern w:val="0"/>
                <w:sz w:val="24"/>
                <w:szCs w:val="24"/>
              </w:rPr>
              <w:t>%）</w:t>
            </w:r>
          </w:p>
        </w:tc>
        <w:tc>
          <w:tcPr>
            <w:tcW w:w="611"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kern w:val="0"/>
                <w:sz w:val="24"/>
                <w:szCs w:val="24"/>
              </w:rPr>
              <w:t>—</w:t>
            </w:r>
          </w:p>
        </w:tc>
        <w:tc>
          <w:tcPr>
            <w:tcW w:w="600" w:type="pct"/>
            <w:tcBorders>
              <w:tl2br w:val="nil"/>
              <w:tr2bl w:val="nil"/>
            </w:tcBorders>
            <w:shd w:val="clear" w:color="auto" w:fill="auto"/>
            <w:vAlign w:val="center"/>
          </w:tcPr>
          <w:p>
            <w:pPr>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1</w:t>
            </w:r>
            <w:r>
              <w:rPr>
                <w:rFonts w:ascii="Times New Roman" w:hAnsi="Times New Roman" w:cs="宋体"/>
                <w:color w:val="000000"/>
                <w:kern w:val="0"/>
                <w:sz w:val="24"/>
                <w:szCs w:val="24"/>
              </w:rPr>
              <w:t>00</w:t>
            </w:r>
          </w:p>
        </w:tc>
        <w:tc>
          <w:tcPr>
            <w:tcW w:w="543" w:type="pct"/>
            <w:tcBorders>
              <w:tl2br w:val="nil"/>
              <w:tr2bl w:val="nil"/>
            </w:tcBorders>
            <w:shd w:val="clear" w:color="auto" w:fill="auto"/>
            <w:vAlign w:val="center"/>
          </w:tcPr>
          <w:p>
            <w:pPr>
              <w:keepNext/>
              <w:widowControl/>
              <w:spacing w:line="240" w:lineRule="auto"/>
              <w:ind w:firstLine="0" w:firstLineChars="0"/>
              <w:jc w:val="center"/>
              <w:rPr>
                <w:rFonts w:ascii="Times New Roman" w:hAnsi="Times New Roman" w:cs="宋体"/>
                <w:color w:val="000000"/>
                <w:kern w:val="0"/>
                <w:sz w:val="24"/>
                <w:szCs w:val="24"/>
              </w:rPr>
            </w:pPr>
            <w:r>
              <w:rPr>
                <w:rFonts w:hint="eastAsia" w:ascii="Times New Roman" w:hAnsi="Times New Roman" w:cs="宋体"/>
                <w:color w:val="000000"/>
                <w:kern w:val="0"/>
                <w:sz w:val="24"/>
                <w:szCs w:val="24"/>
              </w:rPr>
              <w:t>预期性</w:t>
            </w:r>
          </w:p>
        </w:tc>
      </w:tr>
    </w:tbl>
    <w:p>
      <w:pPr>
        <w:pStyle w:val="6"/>
        <w:pageBreakBefore w:val="0"/>
        <w:widowControl w:val="0"/>
        <w:kinsoku/>
        <w:wordWrap/>
        <w:overflowPunct/>
        <w:topLinePunct w:val="0"/>
        <w:autoSpaceDE/>
        <w:autoSpaceDN/>
        <w:bidi w:val="0"/>
        <w:adjustRightInd/>
        <w:snapToGrid/>
        <w:spacing w:line="580" w:lineRule="exact"/>
        <w:ind w:left="0" w:firstLine="482"/>
        <w:textAlignment w:val="auto"/>
        <w:rPr>
          <w:rFonts w:hint="eastAsia" w:ascii="楷体_GB2312" w:hAnsi="楷体_GB2312" w:eastAsia="楷体_GB2312" w:cs="楷体_GB2312"/>
          <w:b/>
          <w:bCs/>
        </w:rPr>
      </w:pPr>
      <w:bookmarkStart w:id="157" w:name="_Toc96455133"/>
      <w:bookmarkStart w:id="158" w:name="_Toc3746"/>
      <w:r>
        <w:rPr>
          <w:rFonts w:hint="eastAsia" w:ascii="楷体_GB2312" w:hAnsi="楷体_GB2312" w:eastAsia="楷体_GB2312" w:cs="楷体_GB2312"/>
          <w:b/>
          <w:bCs/>
        </w:rPr>
        <w:t>（四）投资规模</w:t>
      </w:r>
      <w:bookmarkEnd w:id="157"/>
      <w:bookmarkEnd w:id="158"/>
    </w:p>
    <w:p>
      <w:pPr>
        <w:pageBreakBefore w:val="0"/>
        <w:widowControl w:val="0"/>
        <w:kinsoku/>
        <w:wordWrap/>
        <w:overflowPunct/>
        <w:topLinePunct w:val="0"/>
        <w:autoSpaceDE/>
        <w:autoSpaceDN/>
        <w:bidi w:val="0"/>
        <w:adjustRightInd/>
        <w:snapToGrid/>
        <w:spacing w:line="580" w:lineRule="exact"/>
        <w:ind w:left="0" w:firstLine="640"/>
        <w:textAlignment w:val="auto"/>
        <w:rPr>
          <w:rFonts w:hint="eastAsia" w:ascii="Times New Roman" w:hAnsi="Times New Roman" w:eastAsia="仿宋_GB2312" w:cs="仿宋_GB2312"/>
        </w:rPr>
      </w:pPr>
      <w:r>
        <w:rPr>
          <w:rFonts w:hint="eastAsia" w:ascii="Times New Roman" w:hAnsi="Times New Roman" w:eastAsia="仿宋_GB2312" w:cs="仿宋_GB2312"/>
        </w:rPr>
        <w:t>初步估算，“十四五”期间全市重大交通基础设施建设投资799亿元。其中铁路82亿元，高速公路497亿元，普通干线公路95亿元，农村公路10亿元，水运0.9亿元，枢纽场站114亿元，智慧交通0.3亿元。</w:t>
      </w:r>
    </w:p>
    <w:bookmarkEnd w:id="148"/>
    <w:p>
      <w:pPr>
        <w:pStyle w:val="5"/>
        <w:keepNext/>
        <w:keepLines/>
        <w:pageBreakBefore w:val="0"/>
        <w:widowControl w:val="0"/>
        <w:kinsoku/>
        <w:wordWrap/>
        <w:overflowPunct/>
        <w:topLinePunct w:val="0"/>
        <w:autoSpaceDE/>
        <w:autoSpaceDN/>
        <w:bidi w:val="0"/>
        <w:adjustRightInd/>
        <w:snapToGrid/>
        <w:spacing w:before="0" w:after="0" w:line="580" w:lineRule="exact"/>
        <w:ind w:left="0" w:firstLine="720" w:firstLineChars="200"/>
        <w:textAlignment w:val="auto"/>
        <w:rPr>
          <w:rFonts w:hint="eastAsia" w:ascii="Times New Roman" w:hAnsi="Times New Roman" w:eastAsia="黑体" w:cs="黑体"/>
          <w:b w:val="0"/>
          <w:bCs w:val="0"/>
        </w:rPr>
      </w:pPr>
      <w:bookmarkStart w:id="159" w:name="_Toc96455134"/>
      <w:bookmarkStart w:id="160" w:name="_Toc5690"/>
      <w:r>
        <w:rPr>
          <w:rFonts w:hint="eastAsia" w:ascii="Times New Roman" w:hAnsi="Times New Roman" w:eastAsia="黑体" w:cs="黑体"/>
          <w:b w:val="0"/>
          <w:bCs w:val="0"/>
        </w:rPr>
        <w:t>四、建设立体互联的交通基础设施</w:t>
      </w:r>
      <w:bookmarkEnd w:id="159"/>
      <w:bookmarkEnd w:id="160"/>
    </w:p>
    <w:p>
      <w:pPr>
        <w:pStyle w:val="6"/>
        <w:pageBreakBefore w:val="0"/>
        <w:widowControl w:val="0"/>
        <w:kinsoku/>
        <w:wordWrap/>
        <w:overflowPunct/>
        <w:topLinePunct w:val="0"/>
        <w:autoSpaceDE/>
        <w:autoSpaceDN/>
        <w:bidi w:val="0"/>
        <w:adjustRightInd/>
        <w:snapToGrid/>
        <w:spacing w:line="580" w:lineRule="exact"/>
        <w:ind w:left="0" w:firstLine="482"/>
        <w:textAlignment w:val="auto"/>
        <w:rPr>
          <w:rFonts w:hint="eastAsia" w:ascii="Times New Roman" w:hAnsi="Times New Roman" w:eastAsia="楷体_GB2312" w:cs="楷体_GB2312"/>
        </w:rPr>
      </w:pPr>
      <w:bookmarkStart w:id="161" w:name="_Toc96455135"/>
      <w:bookmarkStart w:id="162" w:name="_Toc6887"/>
      <w:bookmarkStart w:id="163" w:name="_Hlk45027230"/>
      <w:bookmarkStart w:id="164" w:name="_Toc42075766"/>
      <w:bookmarkStart w:id="165" w:name="_Hlk40539930"/>
      <w:bookmarkStart w:id="166" w:name="_Toc42075768"/>
      <w:bookmarkStart w:id="167" w:name="_Hlk40540025"/>
      <w:r>
        <w:rPr>
          <w:rFonts w:hint="eastAsia" w:ascii="Times New Roman" w:hAnsi="Times New Roman" w:eastAsia="楷体_GB2312" w:cs="楷体_GB2312"/>
        </w:rPr>
        <w:t>（一）构建内畅外联的综合交通网络</w:t>
      </w:r>
      <w:bookmarkEnd w:id="161"/>
      <w:bookmarkEnd w:id="162"/>
    </w:p>
    <w:p>
      <w:pPr>
        <w:pageBreakBefore w:val="0"/>
        <w:widowControl w:val="0"/>
        <w:kinsoku/>
        <w:wordWrap/>
        <w:overflowPunct/>
        <w:topLinePunct w:val="0"/>
        <w:autoSpaceDE/>
        <w:autoSpaceDN/>
        <w:bidi w:val="0"/>
        <w:adjustRightInd/>
        <w:snapToGrid/>
        <w:spacing w:line="580" w:lineRule="exact"/>
        <w:ind w:left="0" w:firstLine="640"/>
        <w:textAlignment w:val="auto"/>
        <w:rPr>
          <w:rFonts w:hint="eastAsia" w:ascii="Times New Roman" w:hAnsi="Times New Roman" w:eastAsia="仿宋_GB2312" w:cs="仿宋_GB2312"/>
        </w:rPr>
      </w:pPr>
      <w:r>
        <w:rPr>
          <w:rFonts w:hint="eastAsia" w:ascii="Times New Roman" w:hAnsi="Times New Roman" w:eastAsia="仿宋_GB2312" w:cs="仿宋_GB2312"/>
        </w:rPr>
        <w:t>在河南省综合运输通道布局基础上，完善焦作市通道布局，加强各种运输方式的立体互联。在具体网络方面，《交通强国建设纲要》提出建设三张网，发达的快速网、完善的干线网、广泛的基础网，为做好与上位规划的衔接，本规划从快速网、干线网、基础网三个层次来梳理综合交通网络建设任务。</w:t>
      </w:r>
    </w:p>
    <w:bookmarkEnd w:id="163"/>
    <w:p>
      <w:pPr>
        <w:pStyle w:val="36"/>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3" w:firstLineChars="200"/>
        <w:textAlignment w:val="auto"/>
        <w:outlineLvl w:val="2"/>
        <w:rPr>
          <w:rFonts w:hint="eastAsia" w:ascii="Times New Roman" w:hAnsi="Times New Roman" w:eastAsia="仿宋_GB2312" w:cs="仿宋_GB2312"/>
          <w:b/>
          <w:bCs/>
        </w:rPr>
      </w:pPr>
      <w:bookmarkStart w:id="168" w:name="_Toc42075765"/>
      <w:bookmarkStart w:id="169" w:name="_Hlk45037420"/>
      <w:r>
        <w:rPr>
          <w:rFonts w:hint="eastAsia" w:ascii="Times New Roman" w:hAnsi="Times New Roman" w:eastAsia="仿宋_GB2312" w:cs="仿宋_GB2312"/>
          <w:b/>
          <w:bCs/>
          <w:lang w:val="en-US" w:eastAsia="zh-CN"/>
        </w:rPr>
        <w:t>1.</w:t>
      </w:r>
      <w:r>
        <w:rPr>
          <w:rFonts w:hint="eastAsia" w:ascii="Times New Roman" w:hAnsi="Times New Roman" w:eastAsia="仿宋_GB2312" w:cs="仿宋_GB2312"/>
          <w:b/>
          <w:bCs/>
        </w:rPr>
        <w:t>完善综合运输通道</w:t>
      </w:r>
      <w:bookmarkEnd w:id="168"/>
    </w:p>
    <w:p>
      <w:pPr>
        <w:pageBreakBefore w:val="0"/>
        <w:widowControl w:val="0"/>
        <w:kinsoku/>
        <w:wordWrap/>
        <w:overflowPunct/>
        <w:topLinePunct w:val="0"/>
        <w:autoSpaceDE/>
        <w:autoSpaceDN/>
        <w:bidi w:val="0"/>
        <w:adjustRightInd/>
        <w:snapToGrid/>
        <w:spacing w:line="580" w:lineRule="exact"/>
        <w:ind w:left="0" w:firstLine="640"/>
        <w:textAlignment w:val="auto"/>
        <w:rPr>
          <w:rFonts w:hint="eastAsia" w:ascii="Times New Roman" w:hAnsi="Times New Roman" w:eastAsia="仿宋_GB2312" w:cs="仿宋_GB2312"/>
        </w:rPr>
      </w:pPr>
      <w:r>
        <w:rPr>
          <w:rFonts w:hint="eastAsia" w:ascii="Times New Roman" w:hAnsi="Times New Roman" w:eastAsia="仿宋_GB2312" w:cs="仿宋_GB2312"/>
        </w:rPr>
        <w:t>以高速铁路、高速公路、普通干线公路等建设为重点，打通对外通道，完善优化通道功能，构建市域</w:t>
      </w:r>
      <w:r>
        <w:rPr>
          <w:rFonts w:hint="eastAsia" w:ascii="Times New Roman" w:hAnsi="Times New Roman" w:eastAsia="仿宋_GB2312" w:cs="仿宋_GB2312"/>
          <w:b/>
          <w:bCs/>
        </w:rPr>
        <w:t>“两纵两横两环”</w:t>
      </w:r>
      <w:r>
        <w:rPr>
          <w:rFonts w:hint="eastAsia" w:ascii="Times New Roman" w:hAnsi="Times New Roman" w:eastAsia="仿宋_GB2312" w:cs="仿宋_GB2312"/>
        </w:rPr>
        <w:t>综合运输通道格局，积极融入郑州都市圈建设，助力黄河流域生态保护和高质量发展。</w:t>
      </w:r>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仿宋_GB2312" w:cs="仿宋_GB2312"/>
                <w:sz w:val="24"/>
                <w:szCs w:val="24"/>
              </w:rPr>
            </w:pPr>
            <w:r>
              <w:rPr>
                <w:rFonts w:hint="eastAsia" w:ascii="Times New Roman" w:hAnsi="Times New Roman" w:eastAsia="黑体" w:cs="黑体"/>
                <w:color w:val="000000"/>
                <w:kern w:val="0"/>
                <w:sz w:val="28"/>
                <w:szCs w:val="28"/>
              </w:rPr>
              <w:t>专栏2  “两纵两横两环”综合运输通道布局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sz w:val="24"/>
                <w:szCs w:val="24"/>
              </w:rPr>
              <w:t>纵一——太郑合通道。</w:t>
            </w:r>
            <w:r>
              <w:rPr>
                <w:rFonts w:hint="eastAsia" w:ascii="Times New Roman" w:hAnsi="Times New Roman" w:eastAsia="仿宋_GB2312" w:cs="仿宋_GB2312"/>
                <w:sz w:val="24"/>
                <w:szCs w:val="24"/>
              </w:rPr>
              <w:t>以郑太高铁、晋新高速、郑云高速、郑焦高速、焦平高速、焦唐高速、国道207、省道235等区域交通线路为骨架，构建连接郑州、焦作、晋城的南北向运输通道，该通道是郑州都市圈太原至合肥运输通道的一部分，也是晋煤外运的大通道之一，向北连接山西中部城市群，向南连接长三角城市群，服务焦作市先进装备制造、现代物流和高端商务为主的产业经济带发展。</w:t>
            </w:r>
          </w:p>
          <w:p>
            <w:pPr>
              <w:keepNext w:val="0"/>
              <w:keepLines w:val="0"/>
              <w:pageBreakBefore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sz w:val="24"/>
                <w:szCs w:val="24"/>
              </w:rPr>
              <w:t>纵二——二广通道。</w:t>
            </w:r>
            <w:r>
              <w:rPr>
                <w:rFonts w:hint="eastAsia" w:ascii="Times New Roman" w:hAnsi="Times New Roman" w:eastAsia="仿宋_GB2312" w:cs="仿宋_GB2312"/>
                <w:sz w:val="24"/>
                <w:szCs w:val="24"/>
              </w:rPr>
              <w:t>以呼南高铁豫西通道、焦柳铁路、二广高速、沁阳至伊川高速、国道208等区域交通线路为骨架，构建连接洛阳、济源、焦作、晋城的南北向运输通道，向北连接山西中部城市群，向南连接洛阳副中心城市，推动与长江中游城市群的联动发展。</w:t>
            </w:r>
          </w:p>
          <w:p>
            <w:pPr>
              <w:keepNext w:val="0"/>
              <w:keepLines w:val="0"/>
              <w:pageBreakBefore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sz w:val="24"/>
                <w:szCs w:val="24"/>
              </w:rPr>
              <w:t>横一——沿黄通道。</w:t>
            </w:r>
            <w:r>
              <w:rPr>
                <w:rFonts w:hint="eastAsia" w:ascii="Times New Roman" w:hAnsi="Times New Roman" w:eastAsia="仿宋_GB2312" w:cs="仿宋_GB2312"/>
                <w:sz w:val="24"/>
                <w:szCs w:val="24"/>
              </w:rPr>
              <w:t>依托沿黄高速、菏宝高速、国道327、省道309、省道310等区域交通线路，以黄河为纽带，连接济源、焦作、新乡等沿黄城市发展，打造集生态休闲、文化娱乐、养生修学、民俗体验为一体的黄河文化先导示范区和综合旅游带。</w:t>
            </w:r>
          </w:p>
          <w:p>
            <w:pPr>
              <w:keepNext w:val="0"/>
              <w:keepLines w:val="0"/>
              <w:pageBreakBefore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sz w:val="24"/>
                <w:szCs w:val="24"/>
              </w:rPr>
              <w:t>横二——沿太行通道。</w:t>
            </w:r>
            <w:r>
              <w:rPr>
                <w:rFonts w:hint="eastAsia" w:ascii="Times New Roman" w:hAnsi="Times New Roman" w:eastAsia="仿宋_GB2312" w:cs="仿宋_GB2312"/>
                <w:sz w:val="24"/>
                <w:szCs w:val="24"/>
              </w:rPr>
              <w:t>依托沿太行高速、新焦城际、新月铁路、省道230等区域交通线路，连接济源、焦作、新乡、安阳等沿太行城市发展，连通焦作云台山、青天河、神农山以及周边自然资源，打造南太行生态观光、休闲度假、国际旅游目的地。</w:t>
            </w:r>
          </w:p>
          <w:p>
            <w:pPr>
              <w:keepNext w:val="0"/>
              <w:keepLines w:val="0"/>
              <w:pageBreakBefore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bCs/>
                <w:sz w:val="24"/>
                <w:szCs w:val="24"/>
              </w:rPr>
              <w:t>环一——城区外环通道。</w:t>
            </w:r>
            <w:r>
              <w:rPr>
                <w:rFonts w:hint="eastAsia" w:ascii="Times New Roman" w:hAnsi="Times New Roman" w:eastAsia="仿宋_GB2312" w:cs="仿宋_GB2312"/>
                <w:sz w:val="24"/>
                <w:szCs w:val="24"/>
              </w:rPr>
              <w:t>由焦作城区绕城高速和绕城快速组成，绕城高速由沿太行高速、菏宝高速、晋新高速、郑州至焦作高速组成，绕城快速由省道230、省道233、东海大道、国道327、国道207、省道234组成。依托城区外环通道，合理分流过境交通，改善城市生活和生态环境，拓展城市发展空间。</w:t>
            </w:r>
          </w:p>
          <w:p>
            <w:pPr>
              <w:keepNext w:val="0"/>
              <w:keepLines w:val="0"/>
              <w:pageBreakBefore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bCs/>
                <w:sz w:val="24"/>
                <w:szCs w:val="24"/>
              </w:rPr>
              <w:t>环二——市域外环通道。</w:t>
            </w:r>
            <w:r>
              <w:rPr>
                <w:rFonts w:hint="eastAsia" w:ascii="Times New Roman" w:hAnsi="Times New Roman" w:eastAsia="仿宋_GB2312" w:cs="仿宋_GB2312"/>
                <w:sz w:val="24"/>
                <w:szCs w:val="24"/>
              </w:rPr>
              <w:t>由焦作市域绕城高速和绕城快速组成，绕城高速由沿太行高速、郑云高速、沿黄高速、沁阳至伊川高速组成，绕城快速由省道230、省道232、国道234、省道309、省道237组成。依托市域外环通道，串联焦作城区及周边各县（市），不断强化焦作市区核心带动能力，推动焦作市域发展壮大。</w:t>
            </w:r>
          </w:p>
        </w:tc>
      </w:tr>
    </w:tbl>
    <w:p>
      <w:pPr>
        <w:pStyle w:val="36"/>
        <w:numPr>
          <w:ilvl w:val="0"/>
          <w:numId w:val="0"/>
        </w:numPr>
        <w:ind w:left="643" w:leftChars="0"/>
        <w:outlineLvl w:val="2"/>
        <w:rPr>
          <w:rFonts w:hint="eastAsia" w:ascii="Times New Roman" w:hAnsi="Times New Roman" w:eastAsia="仿宋_GB2312" w:cs="仿宋_GB2312"/>
          <w:b/>
          <w:bCs/>
        </w:rPr>
      </w:pPr>
      <w:r>
        <w:rPr>
          <w:rFonts w:hint="eastAsia" w:ascii="Times New Roman" w:hAnsi="Times New Roman" w:eastAsia="仿宋_GB2312" w:cs="仿宋_GB2312"/>
          <w:b/>
          <w:bCs/>
          <w:lang w:val="en-US" w:eastAsia="zh-CN"/>
        </w:rPr>
        <w:t>2.</w:t>
      </w:r>
      <w:r>
        <w:rPr>
          <w:rFonts w:hint="eastAsia" w:ascii="Times New Roman" w:hAnsi="Times New Roman" w:eastAsia="仿宋_GB2312" w:cs="仿宋_GB2312"/>
          <w:b/>
          <w:bCs/>
        </w:rPr>
        <w:t>构建发达的快速网</w:t>
      </w:r>
    </w:p>
    <w:bookmarkEnd w:id="169"/>
    <w:p>
      <w:pPr>
        <w:ind w:firstLine="643"/>
        <w:rPr>
          <w:rFonts w:hint="eastAsia" w:ascii="Times New Roman" w:hAnsi="Times New Roman" w:eastAsia="仿宋_GB2312" w:cs="仿宋_GB2312"/>
        </w:rPr>
      </w:pPr>
      <w:bookmarkStart w:id="170" w:name="_Hlk56068281"/>
      <w:r>
        <w:rPr>
          <w:rFonts w:hint="eastAsia" w:ascii="Times New Roman" w:hAnsi="Times New Roman" w:eastAsia="仿宋_GB2312" w:cs="仿宋_GB2312"/>
          <w:b/>
          <w:bCs/>
        </w:rPr>
        <w:t>打造高快速铁路主骨架。</w:t>
      </w:r>
      <w:r>
        <w:rPr>
          <w:rFonts w:hint="eastAsia" w:ascii="Times New Roman" w:hAnsi="Times New Roman" w:eastAsia="仿宋_GB2312" w:cs="仿宋_GB2312"/>
        </w:rPr>
        <w:t>加快实施呼南高铁豫西通道，强化与洛阳等西部、西南部城市的沟通交流。开工建设新焦城际铁路，打通焦作市向东对接郑济高铁、连接京九高铁的快速通道。加快启动郑州都市圈轨道交通S3线焦作段线站位研究，进一步促进郑焦融合发展。研究谋划郑州都市圈轨道交通S4线焦作段、新焦城际修武南至太焦铁路焦作西站联络线、郑焦城际铁路云台山支线等铁路项目，适时开展前期工作。到2025年，规划形成“十”字形高快速铁路大通道，新增里程53公里，营业里程达到136公里，投资约53亿元。</w:t>
      </w:r>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ascii="Times New Roman" w:hAnsi="Times New Roman" w:eastAsia="黑体" w:cs="Arial"/>
                <w:sz w:val="24"/>
                <w:szCs w:val="24"/>
              </w:rPr>
            </w:pPr>
            <w:r>
              <w:rPr>
                <w:rFonts w:hint="eastAsia" w:ascii="Times New Roman" w:hAnsi="Times New Roman" w:eastAsia="黑体" w:cs="黑体"/>
                <w:color w:val="000000"/>
                <w:kern w:val="0"/>
                <w:sz w:val="28"/>
                <w:szCs w:val="28"/>
              </w:rPr>
              <w:t>专栏3  “十四五”高快速铁路建设重点工程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kinsoku/>
              <w:wordWrap/>
              <w:overflowPunct/>
              <w:topLinePunct w:val="0"/>
              <w:autoSpaceDE/>
              <w:autoSpaceDN/>
              <w:bidi w:val="0"/>
              <w:adjustRightInd/>
              <w:snapToGrid/>
              <w:spacing w:line="400" w:lineRule="exact"/>
              <w:ind w:firstLine="562"/>
              <w:textAlignment w:val="auto"/>
              <w:rPr>
                <w:rFonts w:ascii="Times New Roman" w:hAnsi="Times New Roman" w:cs="Arial"/>
                <w:sz w:val="24"/>
                <w:szCs w:val="24"/>
              </w:rPr>
            </w:pPr>
            <w:r>
              <w:rPr>
                <w:rFonts w:hint="eastAsia" w:ascii="Times New Roman" w:hAnsi="Times New Roman" w:cs="Arial"/>
                <w:b/>
                <w:sz w:val="24"/>
                <w:szCs w:val="24"/>
              </w:rPr>
              <w:t>建成项目。</w:t>
            </w:r>
            <w:r>
              <w:rPr>
                <w:rFonts w:hint="eastAsia" w:ascii="Times New Roman" w:hAnsi="Times New Roman" w:cs="Arial"/>
                <w:sz w:val="24"/>
                <w:szCs w:val="24"/>
              </w:rPr>
              <w:t>呼南高铁豫西通道。</w:t>
            </w:r>
          </w:p>
          <w:p>
            <w:pPr>
              <w:keepNext w:val="0"/>
              <w:keepLines w:val="0"/>
              <w:pageBreakBefore w:val="0"/>
              <w:kinsoku/>
              <w:wordWrap/>
              <w:overflowPunct/>
              <w:topLinePunct w:val="0"/>
              <w:autoSpaceDE/>
              <w:autoSpaceDN/>
              <w:bidi w:val="0"/>
              <w:adjustRightInd/>
              <w:snapToGrid/>
              <w:spacing w:line="400" w:lineRule="exact"/>
              <w:ind w:firstLine="562"/>
              <w:textAlignment w:val="auto"/>
              <w:rPr>
                <w:rFonts w:ascii="Times New Roman" w:hAnsi="Times New Roman" w:cs="Arial"/>
                <w:sz w:val="24"/>
                <w:szCs w:val="24"/>
              </w:rPr>
            </w:pPr>
            <w:r>
              <w:rPr>
                <w:rFonts w:hint="eastAsia" w:ascii="Times New Roman" w:hAnsi="Times New Roman" w:cs="Arial"/>
                <w:b/>
                <w:bCs/>
                <w:sz w:val="24"/>
                <w:szCs w:val="24"/>
              </w:rPr>
              <w:t>开工项目。</w:t>
            </w:r>
            <w:r>
              <w:rPr>
                <w:rFonts w:hint="eastAsia" w:ascii="Times New Roman" w:hAnsi="Times New Roman" w:cs="Arial"/>
                <w:sz w:val="24"/>
                <w:szCs w:val="24"/>
              </w:rPr>
              <w:t>新焦城际铁路、郑州都市圈轨道交通</w:t>
            </w:r>
            <w:r>
              <w:rPr>
                <w:rFonts w:ascii="Times New Roman" w:hAnsi="Times New Roman" w:cs="Arial"/>
                <w:sz w:val="24"/>
                <w:szCs w:val="24"/>
              </w:rPr>
              <w:t>S3线焦作段。</w:t>
            </w:r>
          </w:p>
          <w:p>
            <w:pPr>
              <w:keepNext w:val="0"/>
              <w:keepLines w:val="0"/>
              <w:pageBreakBefore w:val="0"/>
              <w:kinsoku/>
              <w:wordWrap/>
              <w:overflowPunct/>
              <w:topLinePunct w:val="0"/>
              <w:autoSpaceDE/>
              <w:autoSpaceDN/>
              <w:bidi w:val="0"/>
              <w:adjustRightInd/>
              <w:snapToGrid/>
              <w:spacing w:line="400" w:lineRule="exact"/>
              <w:ind w:firstLine="562"/>
              <w:textAlignment w:val="auto"/>
              <w:rPr>
                <w:rFonts w:ascii="Times New Roman" w:hAnsi="Times New Roman" w:cs="Arial"/>
                <w:sz w:val="24"/>
                <w:szCs w:val="24"/>
              </w:rPr>
            </w:pPr>
            <w:r>
              <w:rPr>
                <w:rFonts w:hint="eastAsia" w:ascii="Times New Roman" w:hAnsi="Times New Roman" w:cs="Arial"/>
                <w:b/>
                <w:bCs/>
                <w:sz w:val="24"/>
                <w:szCs w:val="24"/>
              </w:rPr>
              <w:t>谋划项目。</w:t>
            </w:r>
            <w:r>
              <w:rPr>
                <w:rFonts w:hint="eastAsia" w:ascii="Times New Roman" w:hAnsi="Times New Roman" w:cs="Arial"/>
                <w:sz w:val="24"/>
                <w:szCs w:val="24"/>
              </w:rPr>
              <w:t>郑州都市圈轨道交通</w:t>
            </w:r>
            <w:r>
              <w:rPr>
                <w:rFonts w:ascii="Times New Roman" w:hAnsi="Times New Roman" w:cs="Arial"/>
                <w:sz w:val="24"/>
                <w:szCs w:val="24"/>
              </w:rPr>
              <w:t>S</w:t>
            </w:r>
            <w:r>
              <w:rPr>
                <w:rFonts w:hint="eastAsia" w:ascii="Times New Roman" w:hAnsi="Times New Roman" w:cs="Arial"/>
                <w:sz w:val="24"/>
                <w:szCs w:val="24"/>
              </w:rPr>
              <w:t>4</w:t>
            </w:r>
            <w:r>
              <w:rPr>
                <w:rFonts w:ascii="Times New Roman" w:hAnsi="Times New Roman" w:cs="Arial"/>
                <w:sz w:val="24"/>
                <w:szCs w:val="24"/>
              </w:rPr>
              <w:t>线焦作段</w:t>
            </w:r>
            <w:r>
              <w:rPr>
                <w:rFonts w:hint="eastAsia" w:ascii="Times New Roman" w:hAnsi="Times New Roman" w:cs="Arial"/>
                <w:sz w:val="24"/>
                <w:szCs w:val="24"/>
              </w:rPr>
              <w:t>、郑焦城际铁路云台山支线、新焦城际修武南至太焦铁路焦作西站联络线。</w:t>
            </w:r>
          </w:p>
        </w:tc>
      </w:tr>
      <w:bookmarkEnd w:id="170"/>
    </w:tbl>
    <w:p>
      <w:pPr>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eastAsia" w:ascii="Times New Roman" w:hAnsi="Times New Roman" w:eastAsia="仿宋_GB2312" w:cs="仿宋_GB2312"/>
        </w:rPr>
      </w:pPr>
      <w:r>
        <w:rPr>
          <w:rFonts w:hint="eastAsia" w:ascii="Times New Roman" w:hAnsi="Times New Roman" w:eastAsia="仿宋_GB2312" w:cs="仿宋_GB2312"/>
          <w:b/>
          <w:bCs/>
        </w:rPr>
        <w:t>完善高速公路网络功能。</w:t>
      </w:r>
      <w:bookmarkStart w:id="171" w:name="_Hlk59872172"/>
      <w:r>
        <w:rPr>
          <w:rFonts w:hint="eastAsia" w:ascii="Times New Roman" w:hAnsi="Times New Roman" w:eastAsia="仿宋_GB2312" w:cs="仿宋_GB2312"/>
        </w:rPr>
        <w:t>推进沿太行高速焦作段、沿太行高速焦作至济源段、沿黄高速武陟至济源段、长垣至修武等高速公路建设，构建南北呼应的沿山、沿黄高速快速通道，增强焦作市与新乡、济源等周边城市的高速连接。推进郑州至焦作、焦平高速焦作至荥阳段、焦唐高速温县至巩义段、沁阳至伊川、郑州至辉县等高速公路建设，加强与郑州、洛阳的联系，完善省际高速</w:t>
      </w:r>
      <w:r>
        <w:rPr>
          <w:rFonts w:hint="eastAsia" w:ascii="Times New Roman" w:hAnsi="Times New Roman" w:eastAsia="仿宋_GB2312" w:cs="仿宋_GB2312"/>
          <w:spacing w:val="-6"/>
          <w:sz w:val="32"/>
        </w:rPr>
        <w:t>公路通道布局。</w:t>
      </w:r>
      <w:bookmarkStart w:id="172" w:name="_Hlk59872353"/>
      <w:r>
        <w:rPr>
          <w:rFonts w:hint="eastAsia" w:ascii="Times New Roman" w:hAnsi="Times New Roman" w:eastAsia="仿宋_GB2312" w:cs="仿宋_GB2312"/>
          <w:spacing w:val="-6"/>
          <w:sz w:val="32"/>
        </w:rPr>
        <w:t>开展晋新高速、菏宝高速改扩建前期工作，提高国家高速公路主通道通行能力。推进晋新高速焦作西站改扩建，开展菏宝高速沁阳东</w:t>
      </w:r>
      <w:bookmarkEnd w:id="172"/>
      <w:r>
        <w:rPr>
          <w:rFonts w:hint="eastAsia" w:ascii="Times New Roman" w:hAnsi="Times New Roman" w:eastAsia="仿宋_GB2312" w:cs="仿宋_GB2312"/>
          <w:spacing w:val="-6"/>
          <w:sz w:val="32"/>
        </w:rPr>
        <w:t>等高速出入口新建项目前期工作，提升高速公路覆盖广度和深度。</w:t>
      </w:r>
      <w:bookmarkStart w:id="173" w:name="_Hlk64913513"/>
      <w:r>
        <w:rPr>
          <w:rFonts w:hint="eastAsia" w:ascii="Times New Roman" w:hAnsi="Times New Roman" w:eastAsia="仿宋_GB2312" w:cs="仿宋_GB2312"/>
          <w:spacing w:val="-6"/>
          <w:sz w:val="32"/>
        </w:rPr>
        <w:t>到2025年，规划形成“四横五纵”的高速公路网络布局，所有县（市）有两条及以上高速公路通过，高速公路新增里程227公里，通车总里程468公里，投资约497亿元</w:t>
      </w:r>
      <w:bookmarkEnd w:id="171"/>
      <w:bookmarkEnd w:id="173"/>
      <w:r>
        <w:rPr>
          <w:rFonts w:hint="eastAsia" w:ascii="Times New Roman" w:hAnsi="Times New Roman" w:eastAsia="仿宋_GB2312" w:cs="仿宋_GB2312"/>
          <w:spacing w:val="-6"/>
          <w:sz w:val="32"/>
        </w:rPr>
        <w:t>。</w:t>
      </w:r>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仿宋_GB2312" w:cs="仿宋_GB2312"/>
                <w:sz w:val="24"/>
                <w:szCs w:val="24"/>
              </w:rPr>
            </w:pPr>
            <w:r>
              <w:rPr>
                <w:rFonts w:hint="eastAsia" w:ascii="Times New Roman" w:hAnsi="Times New Roman" w:eastAsia="黑体" w:cs="黑体"/>
                <w:color w:val="000000"/>
                <w:kern w:val="0"/>
                <w:sz w:val="28"/>
                <w:szCs w:val="28"/>
              </w:rPr>
              <w:t>专栏4  “十四五”高速公路建设重点工程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sz w:val="24"/>
                <w:szCs w:val="24"/>
              </w:rPr>
              <w:t>建成项目。</w:t>
            </w:r>
            <w:r>
              <w:rPr>
                <w:rFonts w:hint="eastAsia" w:ascii="Times New Roman" w:hAnsi="Times New Roman" w:eastAsia="仿宋_GB2312" w:cs="仿宋_GB2312"/>
                <w:sz w:val="24"/>
                <w:szCs w:val="24"/>
              </w:rPr>
              <w:t>沿太行高速焦作至济源段、沿黄高速武陟至济源段、焦平高速焦作至荥阳段、沁阳至伊川高速公路、长垣至修武高速公路、沿太行高速焦作段新建项目。晋新高速焦作西站改扩建项目。</w:t>
            </w:r>
          </w:p>
          <w:p>
            <w:pPr>
              <w:keepNext w:val="0"/>
              <w:keepLines w:val="0"/>
              <w:pageBreakBefore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bCs/>
                <w:sz w:val="24"/>
                <w:szCs w:val="24"/>
              </w:rPr>
              <w:t>开工项目。</w:t>
            </w:r>
            <w:r>
              <w:rPr>
                <w:rFonts w:hint="eastAsia" w:ascii="Times New Roman" w:hAnsi="Times New Roman" w:eastAsia="仿宋_GB2312" w:cs="仿宋_GB2312"/>
                <w:sz w:val="24"/>
                <w:szCs w:val="24"/>
              </w:rPr>
              <w:t>焦唐高速温县至巩义段、郑州至焦作高速公路、郑州至辉县高速公路新建项目。</w:t>
            </w:r>
          </w:p>
          <w:p>
            <w:pPr>
              <w:keepNext w:val="0"/>
              <w:keepLines w:val="0"/>
              <w:pageBreakBefore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bCs/>
                <w:sz w:val="24"/>
                <w:szCs w:val="24"/>
              </w:rPr>
              <w:t>谋划项目。</w:t>
            </w:r>
            <w:r>
              <w:rPr>
                <w:rFonts w:hint="eastAsia" w:ascii="Times New Roman" w:hAnsi="Times New Roman" w:eastAsia="仿宋_GB2312" w:cs="仿宋_GB2312"/>
                <w:sz w:val="24"/>
                <w:szCs w:val="24"/>
              </w:rPr>
              <w:t>沁阳至伊川高速菏宝高速至沿太行高速段新建项目。菏宝高速、晋新高速改扩建项目。菏宝高速沁阳东、山阳出入口，晋新高速博爱、武陟出入口，焦唐高速山阳出入口新建项目。</w:t>
            </w:r>
          </w:p>
        </w:tc>
      </w:tr>
    </w:tbl>
    <w:p>
      <w:pPr>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eastAsia" w:ascii="Times New Roman" w:hAnsi="Times New Roman" w:eastAsia="仿宋_GB2312" w:cs="仿宋_GB2312"/>
        </w:rPr>
      </w:pPr>
      <w:r>
        <w:rPr>
          <w:rFonts w:hint="eastAsia" w:ascii="Times New Roman" w:hAnsi="Times New Roman" w:eastAsia="仿宋_GB2312" w:cs="仿宋_GB2312"/>
          <w:b/>
          <w:bCs/>
        </w:rPr>
        <w:t>加密跨黄通道。</w:t>
      </w:r>
      <w:r>
        <w:rPr>
          <w:rFonts w:hint="eastAsia" w:ascii="Times New Roman" w:hAnsi="Times New Roman" w:eastAsia="仿宋_GB2312" w:cs="仿宋_GB2312"/>
        </w:rPr>
        <w:t>从东向西统筹推进：</w:t>
      </w:r>
      <w:bookmarkStart w:id="174" w:name="_Hlk60222495"/>
      <w:bookmarkStart w:id="175" w:name="_Hlk58921490"/>
      <w:bookmarkStart w:id="176" w:name="_Hlk58677715"/>
      <w:r>
        <w:rPr>
          <w:rFonts w:hint="eastAsia" w:ascii="Times New Roman" w:hAnsi="Times New Roman" w:eastAsia="仿宋_GB2312" w:cs="仿宋_GB2312"/>
        </w:rPr>
        <w:t>郑州至焦作高速（东海大道南延）黄河大桥、詹店黄河大桥项目，主要服务于焦作市东南部区域对接郑州核心城区，以及规划的焦作南部产业新城、武陟华夏幸福产业新城的快速崛起；焦平高速焦作至荥阳段、省道236（焦温快速通道南延）、焦唐高速温县至巩义段黄河大桥项目，形成服务于“两山两拳”布局的主要通道，成为郑州都市圈北跨黄河集聚、辐射发展的大通道；沁阳至伊川高速黄河大桥、国道207孟州至偃师黄河大桥、孟州大定路南延黄河大桥项目，主要服务焦作市西南部区域积极融入洛阳中原城市群副中心城市建设</w:t>
      </w:r>
      <w:bookmarkEnd w:id="174"/>
      <w:r>
        <w:rPr>
          <w:rFonts w:hint="eastAsia" w:ascii="Times New Roman" w:hAnsi="Times New Roman" w:eastAsia="仿宋_GB2312" w:cs="仿宋_GB2312"/>
        </w:rPr>
        <w:t>。同时本着节约集约利用土地和充分利用桥位资源原则，研究推进铁路、公路、城市轨道等复合式跨黄河大桥及穿黄公（公路）铁（轨道交通）隧道复合通道，形成地上、地下双向跨黄河复合通道，将黄河真正打造成郑焦的“内河”。</w:t>
      </w:r>
      <w:bookmarkEnd w:id="175"/>
      <w:r>
        <w:rPr>
          <w:rFonts w:hint="eastAsia" w:ascii="Times New Roman" w:hAnsi="Times New Roman" w:eastAsia="仿宋_GB2312" w:cs="仿宋_GB2312"/>
        </w:rPr>
        <w:t>到2025年，黄河大桥数量达到6座，平均间隔17公里/座。</w:t>
      </w:r>
      <w:bookmarkEnd w:id="176"/>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widowControl/>
              <w:spacing w:line="360" w:lineRule="auto"/>
              <w:ind w:firstLine="0" w:firstLineChars="0"/>
              <w:jc w:val="center"/>
              <w:rPr>
                <w:rFonts w:ascii="Times New Roman" w:hAnsi="Times New Roman" w:eastAsia="黑体" w:cs="Arial"/>
                <w:sz w:val="28"/>
                <w:szCs w:val="32"/>
              </w:rPr>
            </w:pPr>
            <w:r>
              <w:rPr>
                <w:rFonts w:hint="eastAsia" w:ascii="Times New Roman" w:hAnsi="Times New Roman" w:eastAsia="黑体" w:cs="黑体"/>
                <w:color w:val="000000"/>
                <w:kern w:val="0"/>
                <w:sz w:val="28"/>
                <w:szCs w:val="28"/>
              </w:rPr>
              <w:t xml:space="preserve">专栏5  </w:t>
            </w:r>
            <w:bookmarkStart w:id="177" w:name="_Hlk56349113"/>
            <w:r>
              <w:rPr>
                <w:rFonts w:hint="eastAsia" w:ascii="Times New Roman" w:hAnsi="Times New Roman" w:eastAsia="黑体" w:cs="黑体"/>
                <w:color w:val="000000"/>
                <w:kern w:val="0"/>
                <w:sz w:val="28"/>
                <w:szCs w:val="28"/>
              </w:rPr>
              <w:t>黄河大桥建设及谋划情况</w:t>
            </w:r>
            <w:bookmarkEnd w:id="1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sz w:val="24"/>
                <w:szCs w:val="24"/>
              </w:rPr>
              <w:t>已建黄河大桥。</w:t>
            </w:r>
            <w:r>
              <w:rPr>
                <w:rFonts w:hint="eastAsia" w:ascii="Times New Roman" w:hAnsi="Times New Roman" w:eastAsia="仿宋_GB2312" w:cs="仿宋_GB2312"/>
                <w:sz w:val="24"/>
                <w:szCs w:val="24"/>
              </w:rPr>
              <w:t>郑云高速桃花峪黄河大桥、国道234焦作至荥阳黄河大桥、省道235南河渡黄河大桥。</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bCs/>
                <w:sz w:val="24"/>
                <w:szCs w:val="24"/>
              </w:rPr>
              <w:t>在建黄河大桥。</w:t>
            </w:r>
            <w:r>
              <w:rPr>
                <w:rFonts w:hint="eastAsia" w:ascii="Times New Roman" w:hAnsi="Times New Roman" w:eastAsia="仿宋_GB2312" w:cs="仿宋_GB2312"/>
                <w:sz w:val="24"/>
                <w:szCs w:val="24"/>
              </w:rPr>
              <w:t>国道207孟州至偃师黄河大桥。</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bCs/>
                <w:sz w:val="24"/>
                <w:szCs w:val="24"/>
              </w:rPr>
              <w:t>规划黄河大桥。</w:t>
            </w:r>
            <w:r>
              <w:rPr>
                <w:rFonts w:hint="eastAsia" w:ascii="Times New Roman" w:hAnsi="Times New Roman" w:eastAsia="仿宋_GB2312" w:cs="仿宋_GB2312"/>
                <w:sz w:val="24"/>
                <w:szCs w:val="24"/>
              </w:rPr>
              <w:t>焦平高速黄河大桥、沁阳至伊川高速黄河大桥、郑州至焦作高速（东海大道南延）黄河大桥、焦唐高速黄河大桥。</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ascii="Times New Roman" w:hAnsi="Times New Roman" w:cs="Arial"/>
                <w:sz w:val="24"/>
                <w:szCs w:val="24"/>
              </w:rPr>
            </w:pPr>
            <w:r>
              <w:rPr>
                <w:rFonts w:hint="eastAsia" w:ascii="Times New Roman" w:hAnsi="Times New Roman" w:eastAsia="仿宋_GB2312" w:cs="仿宋_GB2312"/>
                <w:b/>
                <w:bCs/>
                <w:sz w:val="24"/>
                <w:szCs w:val="24"/>
              </w:rPr>
              <w:t>谋划黄河大桥。</w:t>
            </w:r>
            <w:r>
              <w:rPr>
                <w:rFonts w:hint="eastAsia" w:ascii="Times New Roman" w:hAnsi="Times New Roman" w:eastAsia="仿宋_GB2312" w:cs="仿宋_GB2312"/>
                <w:sz w:val="24"/>
                <w:szCs w:val="24"/>
              </w:rPr>
              <w:t>省道236（焦温快速通道南延）黄河大桥、孟州大定路南延黄河大桥、詹店黄河大桥。</w:t>
            </w:r>
          </w:p>
        </w:tc>
      </w:tr>
    </w:tbl>
    <w:p>
      <w:pPr>
        <w:ind w:firstLine="643"/>
        <w:rPr>
          <w:rFonts w:hint="eastAsia" w:ascii="Times New Roman" w:hAnsi="Times New Roman" w:eastAsia="仿宋_GB2312" w:cs="仿宋_GB2312"/>
        </w:rPr>
      </w:pPr>
      <w:r>
        <w:rPr>
          <w:rFonts w:hint="eastAsia" w:ascii="Times New Roman" w:hAnsi="Times New Roman" w:eastAsia="仿宋_GB2312" w:cs="仿宋_GB2312"/>
          <w:b/>
          <w:bCs/>
        </w:rPr>
        <w:t>推进民航机场建设。</w:t>
      </w:r>
      <w:r>
        <w:rPr>
          <w:rFonts w:hint="eastAsia" w:ascii="Times New Roman" w:hAnsi="Times New Roman" w:eastAsia="仿宋_GB2312" w:cs="仿宋_GB2312"/>
        </w:rPr>
        <w:t>创造条件发展焦作民航支线机场，</w:t>
      </w:r>
      <w:bookmarkStart w:id="178" w:name="_Hlk58148605"/>
      <w:r>
        <w:rPr>
          <w:rFonts w:hint="eastAsia" w:ascii="Times New Roman" w:hAnsi="Times New Roman" w:eastAsia="仿宋_GB2312" w:cs="仿宋_GB2312"/>
        </w:rPr>
        <w:t>开展需求分析、选址等前期研究工作，</w:t>
      </w:r>
      <w:bookmarkEnd w:id="178"/>
      <w:r>
        <w:rPr>
          <w:rFonts w:hint="eastAsia" w:ascii="Times New Roman" w:hAnsi="Times New Roman" w:eastAsia="仿宋_GB2312" w:cs="仿宋_GB2312"/>
        </w:rPr>
        <w:t>推动郑州第二机场落地焦作，扩大与郑州新郑机场的联系，拓展航空运输业务。</w:t>
      </w:r>
    </w:p>
    <w:p>
      <w:pPr>
        <w:pStyle w:val="36"/>
        <w:numPr>
          <w:ilvl w:val="0"/>
          <w:numId w:val="0"/>
        </w:numPr>
        <w:ind w:left="643" w:leftChars="0"/>
        <w:outlineLvl w:val="2"/>
        <w:rPr>
          <w:rFonts w:hint="eastAsia" w:ascii="Times New Roman" w:hAnsi="Times New Roman" w:eastAsia="仿宋_GB2312" w:cs="仿宋_GB2312"/>
          <w:b/>
          <w:bCs/>
        </w:rPr>
      </w:pPr>
      <w:r>
        <w:rPr>
          <w:rFonts w:hint="eastAsia" w:ascii="Times New Roman" w:hAnsi="Times New Roman" w:eastAsia="仿宋_GB2312" w:cs="仿宋_GB2312"/>
          <w:b/>
          <w:bCs/>
          <w:lang w:val="en-US" w:eastAsia="zh-CN"/>
        </w:rPr>
        <w:t>3.</w:t>
      </w:r>
      <w:r>
        <w:rPr>
          <w:rFonts w:hint="eastAsia" w:ascii="Times New Roman" w:hAnsi="Times New Roman" w:eastAsia="仿宋_GB2312" w:cs="仿宋_GB2312"/>
          <w:b/>
          <w:bCs/>
        </w:rPr>
        <w:t>优化完善的干线网</w:t>
      </w:r>
    </w:p>
    <w:p>
      <w:pPr>
        <w:ind w:firstLine="643"/>
        <w:rPr>
          <w:rFonts w:hint="eastAsia" w:ascii="Times New Roman" w:hAnsi="Times New Roman" w:eastAsia="仿宋_GB2312" w:cs="仿宋_GB2312"/>
        </w:rPr>
      </w:pPr>
      <w:bookmarkStart w:id="179" w:name="_Hlk56068287"/>
      <w:r>
        <w:rPr>
          <w:rFonts w:hint="eastAsia" w:ascii="Times New Roman" w:hAnsi="Times New Roman" w:eastAsia="仿宋_GB2312" w:cs="仿宋_GB2312"/>
          <w:b/>
          <w:bCs/>
        </w:rPr>
        <w:t>提升普速铁路运输能力。</w:t>
      </w:r>
      <w:r>
        <w:rPr>
          <w:rFonts w:hint="eastAsia" w:ascii="Times New Roman" w:hAnsi="Times New Roman" w:eastAsia="仿宋_GB2312" w:cs="仿宋_GB2312"/>
        </w:rPr>
        <w:t>谋划云台山至神农山旅游观光线，打造南太行旅游观光与休闲度假轨道交通示范工程，促进沿太行生态旅游及经济带建设。谋划焦作市域铁路，构建环绕各县的环线网络，便捷市民到各县市的出行。谋划月山至随州铁路，缓解焦柳铁路货运压力。</w:t>
      </w:r>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widowControl/>
              <w:spacing w:line="360" w:lineRule="auto"/>
              <w:ind w:firstLine="0" w:firstLineChars="0"/>
              <w:jc w:val="center"/>
              <w:rPr>
                <w:rFonts w:hint="eastAsia" w:ascii="Times New Roman" w:hAnsi="Times New Roman" w:eastAsia="黑体" w:cs="黑体"/>
                <w:sz w:val="28"/>
                <w:szCs w:val="32"/>
              </w:rPr>
            </w:pPr>
            <w:r>
              <w:rPr>
                <w:rFonts w:hint="eastAsia" w:ascii="Times New Roman" w:hAnsi="Times New Roman" w:eastAsia="黑体" w:cs="黑体"/>
                <w:color w:val="000000"/>
                <w:kern w:val="0"/>
                <w:sz w:val="28"/>
                <w:szCs w:val="28"/>
              </w:rPr>
              <w:t>专栏6  “十四五”普速铁路建设重点工程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spacing w:line="460" w:lineRule="exact"/>
              <w:ind w:firstLine="562"/>
              <w:rPr>
                <w:rFonts w:ascii="Times New Roman" w:hAnsi="Times New Roman" w:cs="Arial"/>
                <w:sz w:val="24"/>
                <w:szCs w:val="24"/>
              </w:rPr>
            </w:pPr>
            <w:r>
              <w:rPr>
                <w:rFonts w:hint="eastAsia" w:ascii="Times New Roman" w:hAnsi="Times New Roman" w:eastAsia="仿宋_GB2312" w:cs="仿宋_GB2312"/>
                <w:b/>
                <w:bCs/>
                <w:sz w:val="24"/>
                <w:szCs w:val="24"/>
              </w:rPr>
              <w:t>谋划项目。</w:t>
            </w:r>
            <w:r>
              <w:rPr>
                <w:rFonts w:hint="eastAsia" w:ascii="Times New Roman" w:hAnsi="Times New Roman" w:eastAsia="仿宋_GB2312" w:cs="仿宋_GB2312"/>
                <w:sz w:val="24"/>
                <w:szCs w:val="24"/>
              </w:rPr>
              <w:t>云台山至神农山旅游观光线、焦作市域铁路环线、月山至随州铁路。</w:t>
            </w:r>
          </w:p>
        </w:tc>
      </w:tr>
      <w:bookmarkEnd w:id="179"/>
    </w:tbl>
    <w:p>
      <w:pPr>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eastAsia" w:ascii="Times New Roman" w:hAnsi="Times New Roman" w:eastAsia="仿宋_GB2312" w:cs="仿宋_GB2312"/>
        </w:rPr>
      </w:pPr>
      <w:r>
        <w:rPr>
          <w:rFonts w:hint="eastAsia" w:ascii="Times New Roman" w:hAnsi="Times New Roman" w:eastAsia="仿宋_GB2312" w:cs="仿宋_GB2312"/>
          <w:b/>
          <w:bCs/>
        </w:rPr>
        <w:t>优化普通国省干线公路网。</w:t>
      </w:r>
      <w:r>
        <w:rPr>
          <w:rFonts w:hint="eastAsia" w:ascii="Times New Roman" w:hAnsi="Times New Roman" w:eastAsia="仿宋_GB2312" w:cs="仿宋_GB2312"/>
        </w:rPr>
        <w:t>以提高普通干线公路技术等级、运输能力、运输效益和服务经济社会效益为目标，以加快灾毁恢复重建，消除瓶颈路、断头路，优化普通干线公路衔接，完善路网空间布局等为重点，推进一批干线公路项目建设。持续推进国道207孟州黄河大桥项目建设，加快郑焦洛协同发展。对省道230沿南太行线修武方庄至博爱寨豁段等路段进行绕城改造，提升普通干线公路在城市周边快速通过能力。对省道237沁阳捏掌东至孟州里村段等路段进行升级改造，突出对景区、产业集聚区等区域重要节点的服务保障。对省道230博爱至济源段等路段进行提质升级，消除瓶颈制约，改善路容路貌，提升整体路线技术等级和路网通行能力。加快国道207山区段等灾毁路段恢复重建，提升路段运输保障能力。推进国道207温县后岗至猪龙河桥等一批养护修复工程，全面提升路况服务水平。到2025年，二级及以上公路占比达到80%以上，中心城区至各县均有一级公路连通，各县间均有二级及以上公路连通，新改建普通干线公路434公里，养护里程108公里，总里程达到1100公里以上，投资约95亿元。</w:t>
      </w:r>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仿宋_GB2312" w:cs="仿宋_GB2312"/>
                <w:sz w:val="24"/>
                <w:szCs w:val="24"/>
              </w:rPr>
            </w:pPr>
            <w:r>
              <w:rPr>
                <w:rFonts w:hint="eastAsia" w:ascii="Times New Roman" w:hAnsi="Times New Roman" w:eastAsia="黑体" w:cs="黑体"/>
                <w:color w:val="000000"/>
                <w:kern w:val="0"/>
                <w:sz w:val="28"/>
                <w:szCs w:val="28"/>
              </w:rPr>
              <w:t>专栏7  “十四五”普通干线公路建设重点工程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
                <w:sz w:val="24"/>
                <w:szCs w:val="24"/>
              </w:rPr>
            </w:pPr>
            <w:r>
              <w:rPr>
                <w:rFonts w:hint="eastAsia" w:ascii="Times New Roman" w:hAnsi="Times New Roman" w:eastAsia="仿宋_GB2312" w:cs="仿宋_GB2312"/>
                <w:b/>
                <w:sz w:val="24"/>
                <w:szCs w:val="24"/>
              </w:rPr>
              <w:t>跨河贯通项目。</w:t>
            </w:r>
            <w:r>
              <w:rPr>
                <w:rFonts w:hint="eastAsia" w:ascii="Times New Roman" w:hAnsi="Times New Roman" w:eastAsia="仿宋_GB2312" w:cs="仿宋_GB2312"/>
                <w:bCs/>
                <w:sz w:val="24"/>
                <w:szCs w:val="24"/>
              </w:rPr>
              <w:t>国道207孟州黄河大桥及连接线工程，共1个18公里。</w:t>
            </w:r>
          </w:p>
          <w:p>
            <w:pPr>
              <w:keepNext w:val="0"/>
              <w:keepLines w:val="0"/>
              <w:pageBreakBefore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sz w:val="24"/>
                <w:szCs w:val="24"/>
              </w:rPr>
              <w:t>绕城改造项目。</w:t>
            </w:r>
            <w:r>
              <w:rPr>
                <w:rFonts w:hint="eastAsia" w:ascii="Times New Roman" w:hAnsi="Times New Roman" w:eastAsia="仿宋_GB2312" w:cs="仿宋_GB2312"/>
                <w:sz w:val="24"/>
                <w:szCs w:val="24"/>
              </w:rPr>
              <w:t>省道230沿南太行线修武方庄至博爱寨豁段改建工程、国道327郑焦晋高速立交至长济高速立交段改建工程、省道230与国道207联络线改建工程、省道309温县段改建工程、省道309孟州至济源交界段改建工程、省道104武陟高村至丹河桥段改建工程，共6个155公里。</w:t>
            </w:r>
          </w:p>
          <w:p>
            <w:pPr>
              <w:keepNext w:val="0"/>
              <w:keepLines w:val="0"/>
              <w:pageBreakBefore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bCs/>
                <w:sz w:val="24"/>
                <w:szCs w:val="24"/>
              </w:rPr>
              <w:t>节点衔接项目。</w:t>
            </w:r>
            <w:r>
              <w:rPr>
                <w:rFonts w:hint="eastAsia" w:ascii="Times New Roman" w:hAnsi="Times New Roman" w:eastAsia="仿宋_GB2312" w:cs="仿宋_GB2312"/>
                <w:sz w:val="24"/>
                <w:szCs w:val="24"/>
              </w:rPr>
              <w:t>省道237沁阳捏掌东至孟州里村段改建工程、省道306云台山至修武段改建工程、省道310孟州境改建工程，共3个73公里。</w:t>
            </w:r>
          </w:p>
          <w:p>
            <w:pPr>
              <w:keepNext w:val="0"/>
              <w:keepLines w:val="0"/>
              <w:pageBreakBefore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bCs/>
                <w:sz w:val="24"/>
                <w:szCs w:val="24"/>
              </w:rPr>
              <w:t>提质升级项目。</w:t>
            </w:r>
            <w:r>
              <w:rPr>
                <w:rFonts w:hint="eastAsia" w:ascii="Times New Roman" w:hAnsi="Times New Roman" w:eastAsia="仿宋_GB2312" w:cs="仿宋_GB2312"/>
                <w:sz w:val="24"/>
                <w:szCs w:val="24"/>
              </w:rPr>
              <w:t>省道230博爱至济源段改建工程、国道327沁阳至济源交界段改建工程、国道207省界至省道230段改建工程、省道234山区段路面改造工程、省道236沁阳常平至沁阳城区段路面改造工程、省道238温县段路面改造工程、省道308沁阳至济源段改建工程，共7个115公里。</w:t>
            </w:r>
          </w:p>
          <w:p>
            <w:pPr>
              <w:keepNext w:val="0"/>
              <w:keepLines w:val="0"/>
              <w:pageBreakBefore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bCs/>
                <w:sz w:val="24"/>
                <w:szCs w:val="24"/>
              </w:rPr>
              <w:t>灾毁重建项目。</w:t>
            </w:r>
            <w:r>
              <w:rPr>
                <w:rFonts w:hint="eastAsia" w:ascii="Times New Roman" w:hAnsi="Times New Roman" w:eastAsia="仿宋_GB2312" w:cs="仿宋_GB2312"/>
                <w:sz w:val="24"/>
                <w:szCs w:val="24"/>
              </w:rPr>
              <w:t>国道207山区段灾毁恢复重建工程、国道207（省道235）博爱秦庄南至温县后岗村灾毁重建工程、省道232小营三叉路口至武陟段灾毁恢复重建工程、省道235博许线山区段灾毁恢复重建工程、省道236温沁交界至温县后岗灾毁恢复重建工程、省道104丹河桥灾毁恢复重建工程、省道230纸坊河大桥灾毁恢复重建工程，共7个72公里。</w:t>
            </w:r>
          </w:p>
          <w:p>
            <w:pPr>
              <w:keepNext w:val="0"/>
              <w:keepLines w:val="0"/>
              <w:pageBreakBefore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bCs/>
                <w:sz w:val="24"/>
                <w:szCs w:val="24"/>
              </w:rPr>
              <w:t>养护修复项目。</w:t>
            </w:r>
            <w:r>
              <w:rPr>
                <w:rFonts w:hint="eastAsia" w:ascii="Times New Roman" w:hAnsi="Times New Roman" w:eastAsia="仿宋_GB2312" w:cs="仿宋_GB2312"/>
                <w:sz w:val="24"/>
                <w:szCs w:val="24"/>
              </w:rPr>
              <w:t>国道207温县后岗至猪龙河桥修复养护工程、国道234武陟县赵马蓬至北益庄段大修项目、省道230中站区赵庄至许河桥段大修项目、省道310孟州廉桥至洛阳界段修复养护工程、国道207乌海线方庄转盘至安阳城段中修工程、省道236沁阳境沁上线豫晋交界至常平段大修工程、省道310沁阳境长邵线王庄至沁河桥段大修工程、省道309长济线武陟县北益庄至温县界大修工程、国道207中站区境焦晋高速入口至博爱界中修工程、国道207乌海线博爱焦温高速路口至秦庄段大修工程、国道327连固线武陟城区段预防养护工程、国道208孟州境上汤沟至吉利界大修工程、原省道309现国道207温县猪龙河桥至孟州田寺及现省道309田寺至钱唐段预防性养护工程、省道232修武县方庄环岛至北环路口中修工程，共14个108公里。</w:t>
            </w:r>
          </w:p>
        </w:tc>
      </w:tr>
    </w:tbl>
    <w:p>
      <w:pPr>
        <w:pStyle w:val="36"/>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3" w:firstLineChars="200"/>
        <w:textAlignment w:val="auto"/>
        <w:outlineLvl w:val="2"/>
        <w:rPr>
          <w:rFonts w:hint="eastAsia" w:ascii="Times New Roman" w:hAnsi="Times New Roman" w:eastAsia="仿宋_GB2312" w:cs="仿宋_GB2312"/>
          <w:b/>
          <w:bCs/>
        </w:rPr>
      </w:pPr>
      <w:bookmarkStart w:id="180" w:name="_Hlk45037512"/>
      <w:r>
        <w:rPr>
          <w:rFonts w:hint="eastAsia" w:ascii="Times New Roman" w:hAnsi="Times New Roman" w:eastAsia="仿宋_GB2312" w:cs="仿宋_GB2312"/>
          <w:b/>
          <w:bCs/>
          <w:lang w:val="en-US" w:eastAsia="zh-CN"/>
        </w:rPr>
        <w:t>4.</w:t>
      </w:r>
      <w:r>
        <w:rPr>
          <w:rFonts w:hint="eastAsia" w:ascii="Times New Roman" w:hAnsi="Times New Roman" w:eastAsia="仿宋_GB2312" w:cs="仿宋_GB2312"/>
          <w:b/>
          <w:bCs/>
        </w:rPr>
        <w:t>建设广泛的基础网</w:t>
      </w:r>
    </w:p>
    <w:bookmarkEnd w:id="180"/>
    <w:p>
      <w:pPr>
        <w:keepNext w:val="0"/>
        <w:keepLines w:val="0"/>
        <w:pageBreakBefore w:val="0"/>
        <w:widowControl w:val="0"/>
        <w:kinsoku/>
        <w:wordWrap/>
        <w:overflowPunct/>
        <w:topLinePunct w:val="0"/>
        <w:autoSpaceDE/>
        <w:autoSpaceDN/>
        <w:bidi w:val="0"/>
        <w:adjustRightInd/>
        <w:snapToGrid/>
        <w:spacing w:line="580" w:lineRule="exact"/>
        <w:ind w:left="0" w:firstLine="643"/>
        <w:textAlignment w:val="auto"/>
        <w:rPr>
          <w:rFonts w:hint="eastAsia" w:ascii="Times New Roman" w:hAnsi="Times New Roman" w:eastAsia="仿宋_GB2312" w:cs="仿宋_GB2312"/>
        </w:rPr>
      </w:pPr>
      <w:bookmarkStart w:id="181" w:name="_Hlk56068292"/>
      <w:r>
        <w:rPr>
          <w:rFonts w:hint="eastAsia" w:ascii="Times New Roman" w:hAnsi="Times New Roman" w:eastAsia="仿宋_GB2312" w:cs="仿宋_GB2312"/>
          <w:b/>
          <w:bCs/>
        </w:rPr>
        <w:t>推进铁路专用线建设。</w:t>
      </w:r>
      <w:r>
        <w:rPr>
          <w:rFonts w:hint="eastAsia" w:ascii="Times New Roman" w:hAnsi="Times New Roman" w:eastAsia="仿宋_GB2312" w:cs="仿宋_GB2312"/>
        </w:rPr>
        <w:t>为优化调整运输结构、打赢蓝天保卫战，更好发挥铁路在综合交通运输体系中的骨干作用和绿色低碳优势，促进焦作市公铁多式联运发展，解决铁路运输最后一公里问题，提高运输效率，降低物流成本，推进武陟公铁物流港铁路专用线、豫北中运物流园铁路专用线建设。到2025年，铁路专用线建设里程12公里，投资约8.4亿元。</w:t>
      </w:r>
    </w:p>
    <w:bookmarkEnd w:id="181"/>
    <w:p>
      <w:pPr>
        <w:keepNext w:val="0"/>
        <w:keepLines w:val="0"/>
        <w:pageBreakBefore w:val="0"/>
        <w:widowControl w:val="0"/>
        <w:kinsoku/>
        <w:wordWrap/>
        <w:overflowPunct/>
        <w:topLinePunct w:val="0"/>
        <w:autoSpaceDE/>
        <w:autoSpaceDN/>
        <w:bidi w:val="0"/>
        <w:adjustRightInd/>
        <w:snapToGrid/>
        <w:spacing w:line="580" w:lineRule="exact"/>
        <w:ind w:left="0" w:firstLine="643"/>
        <w:textAlignment w:val="auto"/>
        <w:rPr>
          <w:rFonts w:hint="eastAsia" w:ascii="Times New Roman" w:hAnsi="Times New Roman" w:eastAsia="仿宋_GB2312" w:cs="仿宋_GB2312"/>
        </w:rPr>
      </w:pPr>
      <w:r>
        <w:rPr>
          <w:rFonts w:hint="eastAsia" w:ascii="Times New Roman" w:hAnsi="Times New Roman" w:eastAsia="仿宋_GB2312" w:cs="仿宋_GB2312"/>
          <w:b/>
          <w:bCs/>
        </w:rPr>
        <w:t>提升农村公路服务能力。</w:t>
      </w:r>
      <w:r>
        <w:rPr>
          <w:rFonts w:hint="eastAsia" w:ascii="Times New Roman" w:hAnsi="Times New Roman" w:eastAsia="仿宋_GB2312" w:cs="仿宋_GB2312"/>
        </w:rPr>
        <w:t>大力支持乡村振兴战略实施，继续推进“四好农村路”建设。围绕农村通客车线路，对3.5米以下的农村公路实施拓宽改造；推进乡村旅游路、资源路、产业路建设，有效推动乡村产业兴旺；推进农村公路提档升级改造，进一步优化路网结构；完善农村联网公路建设，提高农村公路通达通畅率；根据区域特色，建设一批美丽农村路，提升道路绿化美化水平；继续实施农村公路生命防护工程，基本完成县乡村公路安全隐患治理；加大危桥改造力度，完善安保、排水等附属设施，提高农村公路的安全水平和抗灾能力；切实加强农村公路养护，完善养护机制，加强基层养护队伍建设，实现县有路政执法员、乡有监管员、村有护路员。到2025年，基本实现自然村通硬化路，建制村通双车道公路比例达到60%左右，</w:t>
      </w:r>
      <w:r>
        <w:rPr>
          <w:rFonts w:hint="eastAsia" w:ascii="Times New Roman" w:hAnsi="Times New Roman" w:eastAsia="仿宋_GB2312" w:cs="仿宋_GB2312"/>
          <w:szCs w:val="32"/>
        </w:rPr>
        <w:t>争创全省、全国“四好农村路”示范市，</w:t>
      </w:r>
      <w:r>
        <w:rPr>
          <w:rFonts w:hint="eastAsia" w:ascii="Times New Roman" w:hAnsi="Times New Roman" w:eastAsia="仿宋_GB2312" w:cs="仿宋_GB2312"/>
        </w:rPr>
        <w:t>农村公路提档升级里程1200公里，危桥改造30座/750延米，投资约10亿元。</w:t>
      </w:r>
    </w:p>
    <w:p>
      <w:pPr>
        <w:keepNext w:val="0"/>
        <w:keepLines w:val="0"/>
        <w:pageBreakBefore w:val="0"/>
        <w:widowControl w:val="0"/>
        <w:kinsoku/>
        <w:wordWrap/>
        <w:overflowPunct/>
        <w:topLinePunct w:val="0"/>
        <w:autoSpaceDE/>
        <w:autoSpaceDN/>
        <w:bidi w:val="0"/>
        <w:adjustRightInd/>
        <w:snapToGrid/>
        <w:spacing w:line="580" w:lineRule="exact"/>
        <w:ind w:left="0" w:firstLine="643"/>
        <w:textAlignment w:val="auto"/>
        <w:rPr>
          <w:rFonts w:hint="eastAsia" w:ascii="Times New Roman" w:hAnsi="Times New Roman" w:eastAsia="仿宋_GB2312" w:cs="仿宋_GB2312"/>
        </w:rPr>
      </w:pPr>
      <w:r>
        <w:rPr>
          <w:rFonts w:hint="eastAsia" w:ascii="Times New Roman" w:hAnsi="Times New Roman" w:eastAsia="仿宋_GB2312" w:cs="仿宋_GB2312"/>
          <w:b/>
          <w:bCs/>
        </w:rPr>
        <w:t>加快通用航空发展。</w:t>
      </w:r>
      <w:bookmarkStart w:id="182" w:name="_Hlk58941347"/>
      <w:r>
        <w:rPr>
          <w:rFonts w:hint="eastAsia" w:ascii="Times New Roman" w:hAnsi="Times New Roman" w:eastAsia="仿宋_GB2312" w:cs="仿宋_GB2312"/>
        </w:rPr>
        <w:t>以通航旅游为重点，加快推动孟州通用机场前期工作，开发以“两山两拳”等为节点的低空旅游线路，加强与上街、巩义等周边通用机场联系，形成通用航空一体化网络体系。研究谋划孟州、修武、山阳、解放等通用机场项目，适时开展前期工作。</w:t>
      </w:r>
    </w:p>
    <w:bookmarkEnd w:id="182"/>
    <w:p>
      <w:pPr>
        <w:keepNext w:val="0"/>
        <w:keepLines w:val="0"/>
        <w:pageBreakBefore w:val="0"/>
        <w:widowControl w:val="0"/>
        <w:kinsoku/>
        <w:wordWrap/>
        <w:overflowPunct/>
        <w:topLinePunct w:val="0"/>
        <w:autoSpaceDE/>
        <w:autoSpaceDN/>
        <w:bidi w:val="0"/>
        <w:adjustRightInd/>
        <w:snapToGrid/>
        <w:spacing w:line="580" w:lineRule="exact"/>
        <w:ind w:left="0" w:firstLine="643"/>
        <w:textAlignment w:val="auto"/>
        <w:rPr>
          <w:rFonts w:hint="eastAsia" w:ascii="Times New Roman" w:hAnsi="Times New Roman" w:eastAsia="仿宋_GB2312" w:cs="仿宋_GB2312"/>
        </w:rPr>
      </w:pPr>
      <w:r>
        <w:rPr>
          <w:rFonts w:hint="eastAsia" w:ascii="Times New Roman" w:hAnsi="Times New Roman" w:eastAsia="仿宋_GB2312" w:cs="仿宋_GB2312"/>
          <w:b/>
          <w:bCs/>
        </w:rPr>
        <w:t>扎实推进内河水运建设。</w:t>
      </w:r>
      <w:r>
        <w:rPr>
          <w:rFonts w:hint="eastAsia" w:ascii="Times New Roman" w:hAnsi="Times New Roman" w:eastAsia="仿宋_GB2312" w:cs="仿宋_GB2312"/>
        </w:rPr>
        <w:t>加大内河水运投入，</w:t>
      </w:r>
      <w:bookmarkStart w:id="183" w:name="_Hlk56353042"/>
      <w:r>
        <w:rPr>
          <w:rFonts w:hint="eastAsia" w:ascii="Times New Roman" w:hAnsi="Times New Roman" w:eastAsia="仿宋_GB2312" w:cs="仿宋_GB2312"/>
        </w:rPr>
        <w:t>推进</w:t>
      </w:r>
      <w:bookmarkStart w:id="184" w:name="_Hlk58663430"/>
      <w:r>
        <w:rPr>
          <w:rFonts w:hint="eastAsia" w:ascii="Times New Roman" w:hAnsi="Times New Roman" w:eastAsia="仿宋_GB2312" w:cs="仿宋_GB2312"/>
        </w:rPr>
        <w:t>博爱县青天河水库、修武县</w:t>
      </w:r>
      <w:r>
        <w:rPr>
          <w:rFonts w:hint="eastAsia" w:ascii="Times New Roman" w:hAnsi="Times New Roman" w:eastAsia="仿宋_GB2312" w:cs="仿宋_GB2312"/>
          <w:szCs w:val="32"/>
        </w:rPr>
        <w:t>群英</w:t>
      </w:r>
      <w:r>
        <w:rPr>
          <w:rFonts w:hint="eastAsia" w:ascii="Times New Roman" w:hAnsi="Times New Roman" w:eastAsia="仿宋_GB2312" w:cs="仿宋_GB2312"/>
        </w:rPr>
        <w:t>水库和马鞍石水库</w:t>
      </w:r>
      <w:bookmarkEnd w:id="184"/>
      <w:r>
        <w:rPr>
          <w:rFonts w:hint="eastAsia" w:ascii="Times New Roman" w:hAnsi="Times New Roman" w:eastAsia="仿宋_GB2312" w:cs="仿宋_GB2312"/>
        </w:rPr>
        <w:t>、沁阳市九渡水库安全监管基础设施建设，实施库区港航服务中心、应急救援中心以及游客服务中心建设，完善库区水上运输服务功能，提升水上运输安全监管和应急救助能力。开展黄河航道、大沙河航道开发利用前期研究工作，按照Ⅳ级航道、通航500吨级船舶标准，研究黄河孟州段航道、武陟胜利渠首至郑州邙山段航道、温县环城水系与黄河通航项目；按照Ⅵ级航道、通航100吨级船舶标准，研究大沙河焦作市至修武段航道。谋划建设焦作港，重点发展旅游客运。到2025年，内河水运建设投资约9000万元。</w:t>
      </w:r>
      <w:bookmarkEnd w:id="183"/>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ascii="Times New Roman" w:hAnsi="Times New Roman" w:eastAsia="黑体" w:cs="Arial"/>
                <w:sz w:val="24"/>
                <w:szCs w:val="24"/>
              </w:rPr>
            </w:pPr>
            <w:r>
              <w:rPr>
                <w:rFonts w:hint="eastAsia" w:ascii="Times New Roman" w:hAnsi="Times New Roman" w:eastAsia="黑体" w:cs="黑体"/>
                <w:color w:val="000000"/>
                <w:kern w:val="0"/>
                <w:sz w:val="28"/>
                <w:szCs w:val="28"/>
              </w:rPr>
              <w:t>专栏8  “十四五”内河水运建设重点工程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1" w:hRule="atLeast"/>
          <w:jc w:val="center"/>
        </w:trPr>
        <w:tc>
          <w:tcPr>
            <w:tcW w:w="8296" w:type="dxa"/>
            <w:shd w:val="clear" w:color="auto" w:fill="auto"/>
            <w:vAlign w:val="top"/>
          </w:tcPr>
          <w:p>
            <w:pPr>
              <w:keepNext w:val="0"/>
              <w:keepLines w:val="0"/>
              <w:pageBreakBefore w:val="0"/>
              <w:kinsoku/>
              <w:wordWrap/>
              <w:overflowPunct/>
              <w:topLinePunct w:val="0"/>
              <w:autoSpaceDE/>
              <w:autoSpaceDN/>
              <w:bidi w:val="0"/>
              <w:adjustRightInd/>
              <w:snapToGrid/>
              <w:spacing w:line="400" w:lineRule="exact"/>
              <w:ind w:firstLine="562"/>
              <w:textAlignment w:val="auto"/>
              <w:rPr>
                <w:rFonts w:ascii="Times New Roman" w:hAnsi="Times New Roman" w:cs="Arial"/>
                <w:b/>
                <w:sz w:val="24"/>
                <w:szCs w:val="24"/>
              </w:rPr>
            </w:pPr>
            <w:r>
              <w:rPr>
                <w:rFonts w:hint="eastAsia" w:ascii="Times New Roman" w:hAnsi="Times New Roman" w:cs="Arial"/>
                <w:b/>
                <w:sz w:val="24"/>
                <w:szCs w:val="24"/>
              </w:rPr>
              <w:t>建成项目。</w:t>
            </w:r>
            <w:r>
              <w:rPr>
                <w:rFonts w:hint="eastAsia" w:ascii="Times New Roman" w:hAnsi="Times New Roman" w:cs="Arial"/>
                <w:bCs/>
                <w:sz w:val="24"/>
                <w:szCs w:val="24"/>
              </w:rPr>
              <w:t>博爱县青天河水库、修武县群英水库和马鞍石水库安全监管基础设施建设项目。</w:t>
            </w:r>
          </w:p>
          <w:p>
            <w:pPr>
              <w:keepNext w:val="0"/>
              <w:keepLines w:val="0"/>
              <w:pageBreakBefore w:val="0"/>
              <w:kinsoku/>
              <w:wordWrap/>
              <w:overflowPunct/>
              <w:topLinePunct w:val="0"/>
              <w:autoSpaceDE/>
              <w:autoSpaceDN/>
              <w:bidi w:val="0"/>
              <w:adjustRightInd/>
              <w:snapToGrid/>
              <w:spacing w:line="400" w:lineRule="exact"/>
              <w:ind w:firstLine="562"/>
              <w:textAlignment w:val="auto"/>
              <w:rPr>
                <w:rFonts w:ascii="Times New Roman" w:hAnsi="Times New Roman" w:cs="Arial"/>
                <w:sz w:val="24"/>
                <w:szCs w:val="24"/>
              </w:rPr>
            </w:pPr>
            <w:r>
              <w:rPr>
                <w:rFonts w:hint="eastAsia" w:ascii="Times New Roman" w:hAnsi="Times New Roman" w:cs="Arial"/>
                <w:b/>
                <w:bCs/>
                <w:sz w:val="24"/>
                <w:szCs w:val="24"/>
              </w:rPr>
              <w:t>谋划项目。</w:t>
            </w:r>
            <w:r>
              <w:rPr>
                <w:rFonts w:hint="eastAsia" w:ascii="Times New Roman" w:hAnsi="Times New Roman" w:cs="Arial"/>
                <w:sz w:val="24"/>
                <w:szCs w:val="24"/>
              </w:rPr>
              <w:t>沁阳市九渡水库安全监管基础设施</w:t>
            </w:r>
            <w:r>
              <w:rPr>
                <w:rFonts w:hint="eastAsia" w:ascii="Times New Roman" w:hAnsi="Times New Roman" w:cs="Arial"/>
                <w:bCs/>
                <w:sz w:val="24"/>
                <w:szCs w:val="24"/>
              </w:rPr>
              <w:t>建设项目</w:t>
            </w:r>
            <w:r>
              <w:rPr>
                <w:rFonts w:hint="eastAsia" w:ascii="Times New Roman" w:hAnsi="Times New Roman" w:cs="Arial"/>
                <w:sz w:val="24"/>
                <w:szCs w:val="24"/>
              </w:rPr>
              <w:t>。黄河孟州段航道、武陟胜利渠首至郑州邙山段航道、温县环城水系与黄河通航项目，大沙河焦作市至修武段航道通航项目，焦作港建设项目。</w:t>
            </w:r>
          </w:p>
        </w:tc>
      </w:tr>
      <w:bookmarkEnd w:id="164"/>
    </w:tbl>
    <w:p>
      <w:pPr>
        <w:pStyle w:val="6"/>
        <w:ind w:firstLine="482"/>
        <w:rPr>
          <w:rFonts w:hint="eastAsia" w:ascii="Times New Roman" w:hAnsi="Times New Roman" w:eastAsia="楷体_GB2312" w:cs="楷体_GB2312"/>
        </w:rPr>
      </w:pPr>
      <w:bookmarkStart w:id="185" w:name="_Toc96455136"/>
      <w:bookmarkStart w:id="186" w:name="_Toc20726"/>
      <w:r>
        <w:rPr>
          <w:rFonts w:hint="eastAsia" w:ascii="Times New Roman" w:hAnsi="Times New Roman" w:eastAsia="楷体_GB2312" w:cs="楷体_GB2312"/>
        </w:rPr>
        <w:t>（二）打造无缝衔接的综合交通枢纽</w:t>
      </w:r>
      <w:bookmarkEnd w:id="185"/>
      <w:bookmarkEnd w:id="186"/>
    </w:p>
    <w:p>
      <w:pPr>
        <w:ind w:firstLine="640"/>
        <w:rPr>
          <w:rFonts w:hint="eastAsia" w:ascii="Times New Roman" w:hAnsi="Times New Roman" w:eastAsia="仿宋_GB2312" w:cs="仿宋_GB2312"/>
        </w:rPr>
      </w:pPr>
      <w:r>
        <w:rPr>
          <w:rFonts w:hint="eastAsia" w:ascii="Times New Roman" w:hAnsi="Times New Roman" w:eastAsia="仿宋_GB2312" w:cs="仿宋_GB2312"/>
        </w:rPr>
        <w:t>在焦作市域范围内，规划形成</w:t>
      </w:r>
      <w:r>
        <w:rPr>
          <w:rFonts w:hint="eastAsia" w:ascii="Times New Roman" w:hAnsi="Times New Roman" w:eastAsia="仿宋_GB2312" w:cs="仿宋_GB2312"/>
          <w:b/>
          <w:bCs/>
        </w:rPr>
        <w:t>“一主两辅多支点”</w:t>
      </w:r>
      <w:r>
        <w:rPr>
          <w:rFonts w:hint="eastAsia" w:ascii="Times New Roman" w:hAnsi="Times New Roman" w:eastAsia="仿宋_GB2312" w:cs="仿宋_GB2312"/>
        </w:rPr>
        <w:t>的综合交通枢纽格局，即以焦作市中心城区为主枢纽，武陟、孟州为辅枢纽，修武、沁阳、温县、博爱为支点，持续提升市域枢纽能级。</w:t>
      </w:r>
    </w:p>
    <w:bookmarkEnd w:id="165"/>
    <w:p>
      <w:pPr>
        <w:pStyle w:val="36"/>
        <w:numPr>
          <w:ilvl w:val="0"/>
          <w:numId w:val="1"/>
        </w:numPr>
        <w:ind w:firstLineChars="0"/>
        <w:outlineLvl w:val="2"/>
        <w:rPr>
          <w:rFonts w:hint="eastAsia" w:ascii="Times New Roman" w:hAnsi="Times New Roman" w:eastAsia="仿宋_GB2312" w:cs="仿宋_GB2312"/>
          <w:b/>
          <w:bCs/>
        </w:rPr>
      </w:pPr>
      <w:r>
        <w:rPr>
          <w:rFonts w:hint="eastAsia" w:ascii="Times New Roman" w:hAnsi="Times New Roman" w:eastAsia="仿宋_GB2312" w:cs="仿宋_GB2312"/>
          <w:b/>
          <w:bCs/>
        </w:rPr>
        <w:t>推进</w:t>
      </w:r>
      <w:bookmarkStart w:id="187" w:name="_Hlk45028158"/>
      <w:r>
        <w:rPr>
          <w:rFonts w:hint="eastAsia" w:ascii="Times New Roman" w:hAnsi="Times New Roman" w:eastAsia="仿宋_GB2312" w:cs="仿宋_GB2312"/>
          <w:b/>
          <w:bCs/>
        </w:rPr>
        <w:t>客运枢纽</w:t>
      </w:r>
      <w:bookmarkEnd w:id="187"/>
      <w:r>
        <w:rPr>
          <w:rFonts w:hint="eastAsia" w:ascii="Times New Roman" w:hAnsi="Times New Roman" w:eastAsia="仿宋_GB2312" w:cs="仿宋_GB2312"/>
          <w:b/>
          <w:bCs/>
        </w:rPr>
        <w:t>场站建设</w:t>
      </w:r>
    </w:p>
    <w:p>
      <w:pPr>
        <w:ind w:firstLine="640"/>
        <w:rPr>
          <w:rFonts w:hint="eastAsia" w:ascii="Times New Roman" w:hAnsi="Times New Roman" w:eastAsia="仿宋_GB2312" w:cs="仿宋_GB2312"/>
        </w:rPr>
      </w:pPr>
      <w:r>
        <w:rPr>
          <w:rFonts w:hint="eastAsia" w:ascii="Times New Roman" w:hAnsi="Times New Roman" w:eastAsia="仿宋_GB2312" w:cs="仿宋_GB2312"/>
        </w:rPr>
        <w:t>依托太焦高铁焦作西站，建设集铁路、公路包括长途客运、城市公交、出租车等多种运输方式为一体的综合客运枢纽，谋划焦作南站综合客运枢纽，实现铁路与公路运输方式的“零换乘”。有序推进焦作旅游汽车站、以及7个县级客运站建设，形成布局合理、联网高效、功能完善的客运站体系。延伸温县客运站高铁无轨站功能，探索铁路、公路旅客联程运输。</w:t>
      </w:r>
      <w:bookmarkStart w:id="188" w:name="_Hlk58859914"/>
      <w:r>
        <w:rPr>
          <w:rFonts w:hint="eastAsia" w:ascii="Times New Roman" w:hAnsi="Times New Roman" w:eastAsia="仿宋_GB2312" w:cs="仿宋_GB2312"/>
        </w:rPr>
        <w:t>强化城市公共交通基础设施建设用地保障，加快推进换乘枢纽、首末站等城市公共交通场站建设，完善高铁站、城际铁路站、公路客运站的公交服务功能，方便乘客换乘。</w:t>
      </w:r>
      <w:bookmarkEnd w:id="188"/>
      <w:bookmarkStart w:id="189" w:name="_Hlk58148893"/>
      <w:r>
        <w:rPr>
          <w:rFonts w:hint="eastAsia" w:ascii="Times New Roman" w:hAnsi="Times New Roman" w:eastAsia="仿宋_GB2312" w:cs="仿宋_GB2312"/>
        </w:rPr>
        <w:t>到2025年，客运枢纽场站建设投资约5.5亿元。</w:t>
      </w:r>
      <w:bookmarkEnd w:id="189"/>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widowControl/>
              <w:spacing w:line="360" w:lineRule="auto"/>
              <w:ind w:firstLine="0" w:firstLineChars="0"/>
              <w:jc w:val="center"/>
              <w:rPr>
                <w:rFonts w:ascii="Times New Roman" w:hAnsi="Times New Roman" w:eastAsia="黑体" w:cs="Arial"/>
                <w:sz w:val="28"/>
                <w:szCs w:val="32"/>
              </w:rPr>
            </w:pPr>
            <w:r>
              <w:rPr>
                <w:rFonts w:ascii="Times New Roman" w:hAnsi="Times New Roman" w:eastAsia="黑体" w:cs="宋体"/>
                <w:color w:val="000000"/>
                <w:kern w:val="0"/>
                <w:sz w:val="28"/>
                <w:szCs w:val="28"/>
              </w:rPr>
              <w:t>专栏</w:t>
            </w:r>
            <w:r>
              <w:rPr>
                <w:rFonts w:ascii="Times New Roman" w:hAnsi="Times New Roman" w:eastAsia="黑体" w:cs="Times New Roman"/>
                <w:color w:val="000000"/>
                <w:kern w:val="0"/>
                <w:sz w:val="28"/>
                <w:szCs w:val="28"/>
              </w:rPr>
              <w:t>9</w:t>
            </w:r>
            <w:r>
              <w:rPr>
                <w:rFonts w:ascii="Times New Roman" w:hAnsi="Times New Roman" w:eastAsia="黑体" w:cs="宋体"/>
                <w:color w:val="000000"/>
                <w:kern w:val="0"/>
                <w:sz w:val="28"/>
                <w:szCs w:val="28"/>
              </w:rPr>
              <w:t xml:space="preserve">  </w:t>
            </w:r>
            <w:r>
              <w:rPr>
                <w:rFonts w:hint="eastAsia" w:ascii="Times New Roman" w:hAnsi="Times New Roman" w:eastAsia="黑体" w:cs="宋体"/>
                <w:color w:val="000000"/>
                <w:kern w:val="0"/>
                <w:sz w:val="28"/>
                <w:szCs w:val="28"/>
              </w:rPr>
              <w:t>“十四五”客运枢纽场站建设重点工程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
                <w:sz w:val="24"/>
                <w:szCs w:val="24"/>
              </w:rPr>
            </w:pPr>
            <w:r>
              <w:rPr>
                <w:rFonts w:hint="eastAsia" w:ascii="Times New Roman" w:hAnsi="Times New Roman" w:eastAsia="仿宋_GB2312" w:cs="仿宋_GB2312"/>
                <w:b/>
                <w:sz w:val="24"/>
                <w:szCs w:val="24"/>
              </w:rPr>
              <w:t>建成项目。</w:t>
            </w:r>
            <w:r>
              <w:rPr>
                <w:rFonts w:hint="eastAsia" w:ascii="Times New Roman" w:hAnsi="Times New Roman" w:eastAsia="仿宋_GB2312" w:cs="仿宋_GB2312"/>
                <w:bCs/>
                <w:sz w:val="24"/>
                <w:szCs w:val="24"/>
              </w:rPr>
              <w:t>包括：</w:t>
            </w:r>
          </w:p>
          <w:p>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Cs/>
                <w:sz w:val="24"/>
                <w:szCs w:val="24"/>
              </w:rPr>
              <w:t>客运枢纽，焦作西站综合客运枢纽。</w:t>
            </w:r>
          </w:p>
          <w:p>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Cs/>
                <w:sz w:val="24"/>
                <w:szCs w:val="24"/>
              </w:rPr>
              <w:t>市级客运站，焦作旅游汽车站。</w:t>
            </w:r>
          </w:p>
          <w:p>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Cs/>
                <w:sz w:val="24"/>
                <w:szCs w:val="24"/>
              </w:rPr>
              <w:t>县级客运站，共7个，分别为孟州市客运站、沁阳呼南高铁西站口客运站、神农山旅游客运站、温县城市公交汽车站、温县客运中心站（搬迁）、修武县台创园客运站、修武县青龙峡旅游客运站。</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ascii="Times New Roman" w:hAnsi="Times New Roman" w:cs="Arial"/>
                <w:sz w:val="24"/>
                <w:szCs w:val="24"/>
              </w:rPr>
            </w:pPr>
            <w:r>
              <w:rPr>
                <w:rFonts w:hint="eastAsia" w:ascii="Times New Roman" w:hAnsi="Times New Roman" w:eastAsia="仿宋_GB2312" w:cs="仿宋_GB2312"/>
                <w:b/>
                <w:bCs/>
                <w:sz w:val="24"/>
                <w:szCs w:val="24"/>
              </w:rPr>
              <w:t>谋划项目。</w:t>
            </w:r>
            <w:r>
              <w:rPr>
                <w:rFonts w:hint="eastAsia" w:ascii="Times New Roman" w:hAnsi="Times New Roman" w:eastAsia="仿宋_GB2312" w:cs="仿宋_GB2312"/>
                <w:sz w:val="24"/>
                <w:szCs w:val="24"/>
              </w:rPr>
              <w:t>焦作南站综合客运枢纽。</w:t>
            </w:r>
          </w:p>
        </w:tc>
      </w:tr>
    </w:tbl>
    <w:p>
      <w:pPr>
        <w:pStyle w:val="36"/>
        <w:numPr>
          <w:ilvl w:val="0"/>
          <w:numId w:val="1"/>
        </w:numPr>
        <w:ind w:firstLineChars="0"/>
        <w:outlineLvl w:val="2"/>
        <w:rPr>
          <w:rFonts w:hint="eastAsia" w:ascii="仿宋_GB2312" w:hAnsi="仿宋_GB2312" w:eastAsia="仿宋_GB2312" w:cs="仿宋_GB2312"/>
          <w:b/>
          <w:bCs/>
        </w:rPr>
      </w:pPr>
      <w:r>
        <w:rPr>
          <w:rFonts w:hint="eastAsia" w:ascii="仿宋_GB2312" w:hAnsi="仿宋_GB2312" w:eastAsia="仿宋_GB2312" w:cs="仿宋_GB2312"/>
          <w:b/>
          <w:bCs/>
        </w:rPr>
        <w:t>推进货运枢纽场站建设</w:t>
      </w:r>
    </w:p>
    <w:p>
      <w:pPr>
        <w:ind w:firstLine="640"/>
        <w:rPr>
          <w:rFonts w:hint="eastAsia" w:ascii="仿宋_GB2312" w:hAnsi="仿宋_GB2312" w:eastAsia="仿宋_GB2312" w:cs="仿宋_GB2312"/>
        </w:rPr>
      </w:pPr>
      <w:r>
        <w:rPr>
          <w:rFonts w:hint="eastAsia" w:ascii="仿宋_GB2312" w:hAnsi="仿宋_GB2312" w:eastAsia="仿宋_GB2312" w:cs="仿宋_GB2312"/>
        </w:rPr>
        <w:t>结合焦作市产业布局、城市规划和物流需求，建设9个货运枢纽（物流园区），实现与产业集聚区、商贸集散地、快递集散交换中心等有效对接。推动集客、货、邮（快递）等服务功能于一体的乡镇运输服务站发展，新改建36个乡镇运输服务站。谋划月山车站东货场升级改造，建设成为晋东南豫西北区域最大的现代化集装箱办理站，全面提升铁路货物运输转型发展水平。</w:t>
      </w:r>
      <w:bookmarkStart w:id="190" w:name="_Hlk58860096"/>
      <w:r>
        <w:rPr>
          <w:rFonts w:hint="eastAsia" w:ascii="仿宋_GB2312" w:hAnsi="仿宋_GB2312" w:eastAsia="仿宋_GB2312" w:cs="仿宋_GB2312"/>
        </w:rPr>
        <w:t>到2025年，货运枢纽场站建设投资约108亿元。</w:t>
      </w:r>
      <w:bookmarkEnd w:id="190"/>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widowControl/>
              <w:spacing w:line="360" w:lineRule="auto"/>
              <w:ind w:firstLine="0" w:firstLineChars="0"/>
              <w:jc w:val="center"/>
              <w:rPr>
                <w:rFonts w:ascii="Times New Roman" w:hAnsi="Times New Roman" w:eastAsia="黑体" w:cs="Arial"/>
                <w:sz w:val="28"/>
                <w:szCs w:val="32"/>
              </w:rPr>
            </w:pPr>
            <w:r>
              <w:rPr>
                <w:rFonts w:ascii="Times New Roman" w:hAnsi="Times New Roman" w:eastAsia="黑体" w:cs="宋体"/>
                <w:color w:val="000000"/>
                <w:kern w:val="0"/>
                <w:sz w:val="28"/>
                <w:szCs w:val="28"/>
              </w:rPr>
              <w:t>专栏</w:t>
            </w:r>
            <w:r>
              <w:rPr>
                <w:rFonts w:ascii="Times New Roman" w:hAnsi="Times New Roman" w:eastAsia="黑体" w:cs="Times New Roman"/>
                <w:color w:val="000000"/>
                <w:kern w:val="0"/>
                <w:sz w:val="28"/>
                <w:szCs w:val="28"/>
              </w:rPr>
              <w:t>10</w:t>
            </w:r>
            <w:r>
              <w:rPr>
                <w:rFonts w:ascii="Times New Roman" w:hAnsi="Times New Roman" w:eastAsia="黑体" w:cs="宋体"/>
                <w:color w:val="000000"/>
                <w:kern w:val="0"/>
                <w:sz w:val="28"/>
                <w:szCs w:val="28"/>
              </w:rPr>
              <w:t xml:space="preserve">  </w:t>
            </w:r>
            <w:r>
              <w:rPr>
                <w:rFonts w:hint="eastAsia" w:ascii="Times New Roman" w:hAnsi="Times New Roman" w:eastAsia="黑体" w:cs="宋体"/>
                <w:color w:val="000000"/>
                <w:kern w:val="0"/>
                <w:sz w:val="28"/>
                <w:szCs w:val="28"/>
              </w:rPr>
              <w:t>“十四五”货运枢纽场站建设重点工程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
                <w:sz w:val="24"/>
                <w:szCs w:val="24"/>
              </w:rPr>
            </w:pPr>
            <w:r>
              <w:rPr>
                <w:rFonts w:hint="eastAsia" w:ascii="Times New Roman" w:hAnsi="Times New Roman" w:eastAsia="仿宋_GB2312" w:cs="仿宋_GB2312"/>
                <w:b/>
                <w:sz w:val="24"/>
                <w:szCs w:val="24"/>
              </w:rPr>
              <w:t>建成项目。</w:t>
            </w:r>
            <w:r>
              <w:rPr>
                <w:rFonts w:hint="eastAsia" w:ascii="Times New Roman" w:hAnsi="Times New Roman" w:eastAsia="仿宋_GB2312" w:cs="仿宋_GB2312"/>
                <w:bCs/>
                <w:sz w:val="24"/>
                <w:szCs w:val="24"/>
              </w:rPr>
              <w:t>包括：</w:t>
            </w:r>
          </w:p>
          <w:p>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Cs/>
                <w:sz w:val="24"/>
                <w:szCs w:val="24"/>
              </w:rPr>
              <w:t>物流园区</w:t>
            </w:r>
            <w:bookmarkStart w:id="191" w:name="_Hlk57302173"/>
            <w:r>
              <w:rPr>
                <w:rFonts w:hint="eastAsia" w:ascii="Times New Roman" w:hAnsi="Times New Roman" w:eastAsia="仿宋_GB2312" w:cs="仿宋_GB2312"/>
                <w:bCs/>
                <w:sz w:val="24"/>
                <w:szCs w:val="24"/>
              </w:rPr>
              <w:t>，共9个，中国宝武焦作现代综合物流园、万邦农产品冷链物流园、焦煤集团综合物流园、焦作市快递物流电商直播产业园、河南德众保税物流园、豫北现代物流园、豫北中运物流园、温县公路港、武陟公铁联运物流港</w:t>
            </w:r>
            <w:bookmarkEnd w:id="191"/>
            <w:r>
              <w:rPr>
                <w:rFonts w:hint="eastAsia" w:ascii="Times New Roman" w:hAnsi="Times New Roman" w:eastAsia="仿宋_GB2312" w:cs="仿宋_GB2312"/>
                <w:bCs/>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Cs/>
                <w:sz w:val="24"/>
                <w:szCs w:val="24"/>
              </w:rPr>
              <w:t>乡镇运输服务站，共36个，其中，沁阳9个、孟州7个、温县2个、博爱2个、武陟11个、修武5个。</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ascii="Times New Roman" w:hAnsi="Times New Roman" w:cs="Arial"/>
                <w:sz w:val="24"/>
                <w:szCs w:val="24"/>
              </w:rPr>
            </w:pPr>
            <w:r>
              <w:rPr>
                <w:rFonts w:hint="eastAsia" w:ascii="Times New Roman" w:hAnsi="Times New Roman" w:eastAsia="仿宋_GB2312" w:cs="仿宋_GB2312"/>
                <w:b/>
                <w:bCs/>
                <w:sz w:val="24"/>
                <w:szCs w:val="24"/>
              </w:rPr>
              <w:t>谋划项目。</w:t>
            </w:r>
            <w:r>
              <w:rPr>
                <w:rFonts w:hint="eastAsia" w:ascii="Times New Roman" w:hAnsi="Times New Roman" w:eastAsia="仿宋_GB2312" w:cs="仿宋_GB2312"/>
                <w:sz w:val="24"/>
                <w:szCs w:val="24"/>
              </w:rPr>
              <w:t>月山车站东货场升级改造。</w:t>
            </w:r>
          </w:p>
        </w:tc>
      </w:tr>
      <w:bookmarkEnd w:id="166"/>
    </w:tbl>
    <w:p>
      <w:pPr>
        <w:pStyle w:val="5"/>
        <w:pageBreakBefore w:val="0"/>
        <w:widowControl w:val="0"/>
        <w:kinsoku/>
        <w:wordWrap/>
        <w:overflowPunct/>
        <w:topLinePunct w:val="0"/>
        <w:autoSpaceDE/>
        <w:autoSpaceDN/>
        <w:bidi w:val="0"/>
        <w:adjustRightInd/>
        <w:snapToGrid/>
        <w:spacing w:before="0" w:after="0" w:line="580" w:lineRule="exact"/>
        <w:ind w:firstLine="720" w:firstLineChars="200"/>
        <w:jc w:val="both"/>
        <w:textAlignment w:val="auto"/>
        <w:rPr>
          <w:rFonts w:ascii="Times New Roman" w:hAnsi="Times New Roman"/>
          <w:b w:val="0"/>
          <w:bCs w:val="0"/>
        </w:rPr>
      </w:pPr>
      <w:bookmarkStart w:id="192" w:name="_Toc96455137"/>
      <w:bookmarkStart w:id="193" w:name="_Toc24370"/>
      <w:bookmarkStart w:id="194" w:name="_Hlk45037605"/>
      <w:r>
        <w:rPr>
          <w:rFonts w:hint="eastAsia" w:ascii="Times New Roman" w:hAnsi="Times New Roman"/>
          <w:b w:val="0"/>
          <w:bCs w:val="0"/>
        </w:rPr>
        <w:t>五、提升运输服务品质和组织效率</w:t>
      </w:r>
      <w:bookmarkEnd w:id="192"/>
      <w:bookmarkEnd w:id="193"/>
    </w:p>
    <w:bookmarkEnd w:id="194"/>
    <w:p>
      <w:pPr>
        <w:pStyle w:val="6"/>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楷体_GB2312" w:cs="楷体_GB2312"/>
        </w:rPr>
      </w:pPr>
      <w:bookmarkStart w:id="195" w:name="_Toc96455138"/>
      <w:bookmarkStart w:id="196" w:name="_Toc42075776"/>
      <w:bookmarkStart w:id="197" w:name="_Toc27953"/>
      <w:bookmarkStart w:id="198" w:name="_Hlk45029646"/>
      <w:r>
        <w:rPr>
          <w:rFonts w:hint="eastAsia" w:ascii="Times New Roman" w:hAnsi="Times New Roman" w:eastAsia="楷体_GB2312" w:cs="楷体_GB2312"/>
        </w:rPr>
        <w:t>（一）切实改善客运服务品质</w:t>
      </w:r>
      <w:bookmarkEnd w:id="195"/>
      <w:bookmarkEnd w:id="196"/>
      <w:bookmarkEnd w:id="197"/>
    </w:p>
    <w:bookmarkEnd w:id="198"/>
    <w:p>
      <w:pPr>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b/>
          <w:bCs/>
        </w:rPr>
        <w:t>优化城际客运组织方式。</w:t>
      </w:r>
      <w:r>
        <w:rPr>
          <w:rFonts w:hint="eastAsia" w:ascii="仿宋_GB2312" w:hAnsi="仿宋_GB2312" w:eastAsia="仿宋_GB2312" w:cs="仿宋_GB2312"/>
        </w:rPr>
        <w:t>依托焦作西站、修武西站等高铁站、城际铁路站，推进“公铁联运”，支持公路与铁路运输企业合作，开展客运“一票制”联程服务，加强在班线、时刻、运力等方面的衔接。积极推行跨运输方式异地候机候车、行李托运等服务，推进跨方式出行信息互联互通、及时发布、实时更新和便捷查询，提升公众出行效率。应对高铁发展，优化公路客运线网布局，调整运力结构，</w:t>
      </w:r>
      <w:bookmarkStart w:id="199" w:name="_Hlk58865727"/>
      <w:r>
        <w:rPr>
          <w:rFonts w:hint="eastAsia" w:ascii="仿宋_GB2312" w:hAnsi="仿宋_GB2312" w:eastAsia="仿宋_GB2312" w:cs="仿宋_GB2312"/>
        </w:rPr>
        <w:t>继续推行焦作至各县的城际公交，开通焦作至洛阳等周边地区的城际公交</w:t>
      </w:r>
      <w:bookmarkEnd w:id="199"/>
      <w:r>
        <w:rPr>
          <w:rFonts w:hint="eastAsia" w:ascii="仿宋_GB2312" w:hAnsi="仿宋_GB2312" w:eastAsia="仿宋_GB2312" w:cs="仿宋_GB2312"/>
        </w:rPr>
        <w:t>，支持温县等不通高铁的县发展市县、县县客运班线，完善区域直达客运网络。</w:t>
      </w:r>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widowControl/>
              <w:spacing w:line="360" w:lineRule="auto"/>
              <w:ind w:firstLine="0" w:firstLineChars="0"/>
              <w:jc w:val="center"/>
              <w:rPr>
                <w:rFonts w:ascii="Times New Roman" w:hAnsi="Times New Roman" w:eastAsia="黑体" w:cs="Arial"/>
                <w:sz w:val="28"/>
                <w:szCs w:val="32"/>
              </w:rPr>
            </w:pPr>
            <w:r>
              <w:rPr>
                <w:rFonts w:ascii="Times New Roman" w:hAnsi="Times New Roman" w:eastAsia="黑体" w:cs="宋体"/>
                <w:color w:val="000000"/>
                <w:kern w:val="0"/>
                <w:sz w:val="28"/>
                <w:szCs w:val="28"/>
              </w:rPr>
              <w:t>专栏</w:t>
            </w:r>
            <w:r>
              <w:rPr>
                <w:rFonts w:ascii="Times New Roman" w:hAnsi="Times New Roman" w:eastAsia="黑体" w:cs="Times New Roman"/>
                <w:color w:val="000000"/>
                <w:kern w:val="0"/>
                <w:sz w:val="28"/>
                <w:szCs w:val="28"/>
              </w:rPr>
              <w:t>11</w:t>
            </w:r>
            <w:r>
              <w:rPr>
                <w:rFonts w:ascii="Times New Roman" w:hAnsi="Times New Roman" w:eastAsia="黑体" w:cs="宋体"/>
                <w:color w:val="000000"/>
                <w:kern w:val="0"/>
                <w:sz w:val="28"/>
                <w:szCs w:val="28"/>
              </w:rPr>
              <w:t xml:space="preserve">  </w:t>
            </w:r>
            <w:r>
              <w:rPr>
                <w:rFonts w:hint="eastAsia" w:ascii="Times New Roman" w:hAnsi="Times New Roman" w:eastAsia="黑体" w:cs="宋体"/>
                <w:color w:val="000000"/>
                <w:kern w:val="0"/>
                <w:sz w:val="28"/>
                <w:szCs w:val="28"/>
              </w:rPr>
              <w:t>旅客联程运输专项工程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ascii="Times New Roman" w:hAnsi="Times New Roman" w:cs="Arial"/>
                <w:sz w:val="28"/>
                <w:szCs w:val="24"/>
              </w:rPr>
            </w:pPr>
            <w:r>
              <w:rPr>
                <w:rFonts w:hint="eastAsia" w:ascii="Times New Roman" w:hAnsi="Times New Roman" w:eastAsia="仿宋_GB2312" w:cs="仿宋_GB2312"/>
                <w:bCs/>
                <w:sz w:val="24"/>
                <w:szCs w:val="24"/>
              </w:rPr>
              <w:t>依托焦作西站综合客运枢纽开展旅客联程运输业务，推动铁路、公路等各种运输方式共建共享售票、取票、乘降、行李推车、驻车换乘（P+R）等联运设施设备，推进电子客票应用，加快实施旅客联程运输一站式票务服务，开展安检互认和行李直挂服务。</w:t>
            </w:r>
          </w:p>
        </w:tc>
      </w:tr>
    </w:tbl>
    <w:p>
      <w:pPr>
        <w:ind w:firstLine="643"/>
        <w:rPr>
          <w:rFonts w:hint="eastAsia" w:ascii="Times New Roman" w:hAnsi="Times New Roman" w:eastAsia="仿宋_GB2312" w:cs="仿宋_GB2312"/>
        </w:rPr>
      </w:pPr>
      <w:r>
        <w:rPr>
          <w:rFonts w:hint="eastAsia" w:ascii="Times New Roman" w:hAnsi="Times New Roman" w:eastAsia="仿宋_GB2312" w:cs="仿宋_GB2312"/>
          <w:b/>
          <w:bCs/>
        </w:rPr>
        <w:t>大力发展城市公共客运。</w:t>
      </w:r>
      <w:r>
        <w:rPr>
          <w:rFonts w:hint="eastAsia" w:ascii="Times New Roman" w:hAnsi="Times New Roman" w:eastAsia="仿宋_GB2312" w:cs="仿宋_GB2312"/>
        </w:rPr>
        <w:t>着力优化城市公交线网布局，提高公交专用道设置比例，完善公交场站等配套设施建设，推进公交车辆能源结构转型。引导城市公交企业发展快速公交、定制公交、旅游公交、社区公交等多品种、多层次的特色公共交通服务，鼓励市区学校、企事业单位采用公交通勤车的方式出行。</w:t>
      </w:r>
      <w:bookmarkStart w:id="200" w:name="_Hlk56980157"/>
      <w:r>
        <w:rPr>
          <w:rFonts w:hint="eastAsia" w:ascii="Times New Roman" w:hAnsi="Times New Roman" w:eastAsia="仿宋_GB2312" w:cs="仿宋_GB2312"/>
        </w:rPr>
        <w:t>开通95128出租车电召和“我的出租”网约平台，促进网约车、巡游车新老业态融合发展，方便老年人打车出行。</w:t>
      </w:r>
      <w:bookmarkEnd w:id="200"/>
      <w:r>
        <w:rPr>
          <w:rFonts w:hint="eastAsia" w:ascii="Times New Roman" w:hAnsi="Times New Roman" w:eastAsia="仿宋_GB2312" w:cs="仿宋_GB2312"/>
        </w:rPr>
        <w:t>鼓励引导小微型客车分时租赁，优化交通出行体系。</w:t>
      </w:r>
    </w:p>
    <w:p>
      <w:pPr>
        <w:ind w:firstLine="643"/>
        <w:rPr>
          <w:rFonts w:hint="eastAsia" w:ascii="Times New Roman" w:hAnsi="Times New Roman" w:eastAsia="仿宋_GB2312" w:cs="仿宋_GB2312"/>
        </w:rPr>
      </w:pPr>
      <w:r>
        <w:rPr>
          <w:rFonts w:hint="eastAsia" w:ascii="Times New Roman" w:hAnsi="Times New Roman" w:eastAsia="仿宋_GB2312" w:cs="仿宋_GB2312"/>
          <w:b/>
          <w:bCs/>
        </w:rPr>
        <w:t>推进城乡客运一体化发展。</w:t>
      </w:r>
      <w:r>
        <w:rPr>
          <w:rFonts w:hint="eastAsia" w:ascii="Times New Roman" w:hAnsi="Times New Roman" w:eastAsia="仿宋_GB2312" w:cs="仿宋_GB2312"/>
        </w:rPr>
        <w:t>鼓励城市公交线路向郊区延伸，扩大公共交通覆盖面。积极推广孟州“全域公交化”通客车经验，推进其他县市实施农村客运班线</w:t>
      </w:r>
      <w:bookmarkStart w:id="201" w:name="_Hlk45029703"/>
      <w:r>
        <w:rPr>
          <w:rFonts w:hint="eastAsia" w:ascii="Times New Roman" w:hAnsi="Times New Roman" w:eastAsia="仿宋_GB2312" w:cs="仿宋_GB2312"/>
        </w:rPr>
        <w:t>公交化改造</w:t>
      </w:r>
      <w:bookmarkEnd w:id="201"/>
      <w:r>
        <w:rPr>
          <w:rFonts w:hint="eastAsia" w:ascii="Times New Roman" w:hAnsi="Times New Roman" w:eastAsia="仿宋_GB2312" w:cs="仿宋_GB2312"/>
        </w:rPr>
        <w:t>，打造村村通客车“升级版”。积极推进农村客运车型中小型化，鼓励道路客运企业开展预约式、定制式、个性化客运服务，采用智能调度、预约响应等灵活方式运营，为旅客提供“门到门”“点对点”的运输服务。</w:t>
      </w:r>
    </w:p>
    <w:p>
      <w:pPr>
        <w:pStyle w:val="6"/>
        <w:ind w:firstLine="482"/>
        <w:rPr>
          <w:rFonts w:hint="eastAsia" w:ascii="Times New Roman" w:hAnsi="Times New Roman" w:eastAsia="楷体_GB2312" w:cs="楷体_GB2312"/>
        </w:rPr>
      </w:pPr>
      <w:bookmarkStart w:id="202" w:name="_Toc42075777"/>
      <w:bookmarkStart w:id="203" w:name="_Toc96455139"/>
      <w:bookmarkStart w:id="204" w:name="_Toc31565"/>
      <w:bookmarkStart w:id="205" w:name="_Hlk45030006"/>
      <w:r>
        <w:rPr>
          <w:rFonts w:hint="eastAsia" w:ascii="Times New Roman" w:hAnsi="Times New Roman" w:eastAsia="楷体_GB2312" w:cs="楷体_GB2312"/>
        </w:rPr>
        <w:t>（二）加快促进现代物流发展</w:t>
      </w:r>
      <w:bookmarkEnd w:id="202"/>
      <w:bookmarkEnd w:id="203"/>
      <w:bookmarkEnd w:id="204"/>
    </w:p>
    <w:bookmarkEnd w:id="205"/>
    <w:p>
      <w:pPr>
        <w:ind w:firstLine="643"/>
        <w:rPr>
          <w:rFonts w:hint="eastAsia" w:ascii="Times New Roman" w:hAnsi="Times New Roman" w:eastAsia="仿宋_GB2312" w:cs="仿宋_GB2312"/>
        </w:rPr>
      </w:pPr>
      <w:r>
        <w:rPr>
          <w:rFonts w:hint="eastAsia" w:ascii="Times New Roman" w:hAnsi="Times New Roman" w:eastAsia="仿宋_GB2312" w:cs="仿宋_GB2312"/>
          <w:b/>
          <w:bCs/>
        </w:rPr>
        <w:t>优化货运组织方式。</w:t>
      </w:r>
      <w:r>
        <w:rPr>
          <w:rFonts w:hint="eastAsia" w:ascii="Times New Roman" w:hAnsi="Times New Roman" w:eastAsia="仿宋_GB2312" w:cs="仿宋_GB2312"/>
        </w:rPr>
        <w:t>依托全市综合交通枢纽和产业基础，科学布局多式联运基础设施，以集装箱场站和多式联运中转站建设改造为重点，加快推</w:t>
      </w:r>
      <w:bookmarkStart w:id="206" w:name="_Hlk45030155"/>
      <w:r>
        <w:rPr>
          <w:rFonts w:hint="eastAsia" w:ascii="Times New Roman" w:hAnsi="Times New Roman" w:eastAsia="仿宋_GB2312" w:cs="仿宋_GB2312"/>
        </w:rPr>
        <w:t>进武陟公铁联运物流港、沁阳市公铁联运物流产业园等</w:t>
      </w:r>
      <w:bookmarkEnd w:id="206"/>
      <w:r>
        <w:rPr>
          <w:rFonts w:hint="eastAsia" w:ascii="Times New Roman" w:hAnsi="Times New Roman" w:eastAsia="仿宋_GB2312" w:cs="仿宋_GB2312"/>
        </w:rPr>
        <w:t>多式联运项目，不断拓展“公—铁—海—空”多式联运的通道和方式；鼓励开展多式联运业务，推广全程“一单制”服务；探索“多式联运+”网络货运、高效配送、产业集群，提供多式联运“焦作方案”。积极发展网络平台道路货物运输，培育现代物流市场新业态，加快推进道路货运行业转型升级高质量发展。</w:t>
      </w:r>
      <w:bookmarkStart w:id="207" w:name="_Hlk59025533"/>
      <w:r>
        <w:rPr>
          <w:rFonts w:hint="eastAsia" w:ascii="Times New Roman" w:hAnsi="Times New Roman" w:eastAsia="仿宋_GB2312" w:cs="仿宋_GB2312"/>
        </w:rPr>
        <w:t>积极发展冷链物流，完善冷链物流设施，健全冷链物流相关标准规范，创新冷链物流服务模式。</w:t>
      </w:r>
      <w:bookmarkEnd w:id="207"/>
    </w:p>
    <w:p>
      <w:pPr>
        <w:ind w:firstLine="643"/>
        <w:rPr>
          <w:rFonts w:hint="eastAsia" w:ascii="Times New Roman" w:hAnsi="Times New Roman" w:eastAsia="仿宋_GB2312" w:cs="仿宋_GB2312"/>
        </w:rPr>
      </w:pPr>
      <w:bookmarkStart w:id="208" w:name="_Hlk45030062"/>
      <w:r>
        <w:rPr>
          <w:rFonts w:hint="eastAsia" w:ascii="Times New Roman" w:hAnsi="Times New Roman" w:eastAsia="仿宋_GB2312" w:cs="仿宋_GB2312"/>
          <w:b/>
          <w:bCs/>
        </w:rPr>
        <w:t>完善物流集疏运体系</w:t>
      </w:r>
      <w:bookmarkEnd w:id="208"/>
      <w:r>
        <w:rPr>
          <w:rFonts w:hint="eastAsia" w:ascii="Times New Roman" w:hAnsi="Times New Roman" w:eastAsia="仿宋_GB2312" w:cs="仿宋_GB2312"/>
          <w:b/>
          <w:bCs/>
        </w:rPr>
        <w:t>。</w:t>
      </w:r>
      <w:r>
        <w:rPr>
          <w:rFonts w:hint="eastAsia" w:ascii="Times New Roman" w:hAnsi="Times New Roman" w:eastAsia="仿宋_GB2312" w:cs="仿宋_GB2312"/>
        </w:rPr>
        <w:t>以推进大宗货物运输方式转变为方向，鼓励既有铁路专用线企业积极与大型工矿、物流园区企业沟通对接，盘活闲置铁路专用线，</w:t>
      </w:r>
      <w:bookmarkStart w:id="209" w:name="_Hlk43838302"/>
      <w:r>
        <w:rPr>
          <w:rFonts w:hint="eastAsia" w:ascii="Times New Roman" w:hAnsi="Times New Roman" w:eastAsia="仿宋_GB2312" w:cs="仿宋_GB2312"/>
        </w:rPr>
        <w:t>推进</w:t>
      </w:r>
      <w:bookmarkEnd w:id="209"/>
      <w:r>
        <w:rPr>
          <w:rFonts w:hint="eastAsia" w:ascii="Times New Roman" w:hAnsi="Times New Roman" w:eastAsia="仿宋_GB2312" w:cs="仿宋_GB2312"/>
        </w:rPr>
        <w:t>武陟公铁物流港铁路专用线、豫北中运物流园铁路专用线等项目建设，</w:t>
      </w:r>
      <w:bookmarkStart w:id="210" w:name="_Hlk43838186"/>
      <w:r>
        <w:rPr>
          <w:rFonts w:hint="eastAsia" w:ascii="Times New Roman" w:hAnsi="Times New Roman" w:eastAsia="仿宋_GB2312" w:cs="仿宋_GB2312"/>
        </w:rPr>
        <w:t>推进大宗货物运输“公转铁”，不断提升铁路运输比例，增强运输经济性，切实降低实体经济物流成本。</w:t>
      </w:r>
    </w:p>
    <w:bookmarkEnd w:id="210"/>
    <w:p>
      <w:pPr>
        <w:ind w:firstLine="643"/>
        <w:rPr>
          <w:rFonts w:hint="eastAsia" w:ascii="Times New Roman" w:hAnsi="Times New Roman" w:eastAsia="仿宋_GB2312" w:cs="仿宋_GB2312"/>
        </w:rPr>
      </w:pPr>
      <w:bookmarkStart w:id="211" w:name="_Hlk43838441"/>
      <w:r>
        <w:rPr>
          <w:rFonts w:hint="eastAsia" w:ascii="Times New Roman" w:hAnsi="Times New Roman" w:eastAsia="仿宋_GB2312" w:cs="仿宋_GB2312"/>
          <w:b/>
          <w:bCs/>
        </w:rPr>
        <w:t>推动城乡物流发展。</w:t>
      </w:r>
      <w:bookmarkEnd w:id="211"/>
      <w:r>
        <w:rPr>
          <w:rFonts w:hint="eastAsia" w:ascii="Times New Roman" w:hAnsi="Times New Roman" w:eastAsia="仿宋_GB2312" w:cs="仿宋_GB2312"/>
        </w:rPr>
        <w:t>积极引导物流园区、配送中心及末端配送网点三级配送节点建设，探索实施城市绿色货运配送，积极推动城乡物流运输车辆清洁化。促进城市物流配送与现代物流配送体系向农村地区纵深发展，加快完善县级物流中心、乡镇农村配送站、农村货运网点三级农村物流服务体系，拓展完善既有农村客运站场的物流服务功能，统筹交通、邮政、商务、供销等农村物流资源，</w:t>
      </w:r>
      <w:bookmarkStart w:id="212" w:name="_Hlk43838940"/>
      <w:r>
        <w:rPr>
          <w:rFonts w:hint="eastAsia" w:ascii="Times New Roman" w:hAnsi="Times New Roman" w:eastAsia="仿宋_GB2312" w:cs="仿宋_GB2312"/>
        </w:rPr>
        <w:t>积极推广“多站合一”的农村物流服务模式</w:t>
      </w:r>
      <w:bookmarkEnd w:id="212"/>
      <w:r>
        <w:rPr>
          <w:rFonts w:hint="eastAsia" w:ascii="Times New Roman" w:hAnsi="Times New Roman" w:eastAsia="仿宋_GB2312" w:cs="仿宋_GB2312"/>
        </w:rPr>
        <w:t>。支持交通、邮政、快递企业创新合作，推动各县（市、区）因地制宜探索开展“交邮融合”运营模式。</w:t>
      </w:r>
    </w:p>
    <w:p>
      <w:pPr>
        <w:ind w:firstLine="643"/>
        <w:rPr>
          <w:rFonts w:hint="eastAsia" w:ascii="Times New Roman" w:hAnsi="Times New Roman" w:eastAsia="仿宋_GB2312" w:cs="仿宋_GB2312"/>
        </w:rPr>
      </w:pPr>
      <w:r>
        <w:rPr>
          <w:rFonts w:hint="eastAsia" w:ascii="Times New Roman" w:hAnsi="Times New Roman" w:eastAsia="仿宋_GB2312" w:cs="仿宋_GB2312"/>
          <w:b/>
          <w:bCs/>
        </w:rPr>
        <w:t>提升邮政快递发展水平。</w:t>
      </w:r>
      <w:r>
        <w:rPr>
          <w:rFonts w:hint="eastAsia" w:ascii="Times New Roman" w:hAnsi="Times New Roman" w:eastAsia="仿宋_GB2312" w:cs="仿宋_GB2312"/>
        </w:rPr>
        <w:t>优化城市配送服务网络，推进邮政快递末端综合服务站、智能信包箱、智能快件箱等公共服务设施建设。支持寄递企业拓展供应链管理、冷链快递、逆向快递、仓配一体化、即时直递服务功能，适应消费新模式新业态发展。发挥行业线下网络优势，加强与空铁货运、环保包装、金融保险等关联服务联动发展，提升行业盈利水平。扎实推进“快递进村”工程，持续培育快递服务现代农业金银铜牌项目，积极推广孟州“公交+邮政+快递”运营模式，协同“四好农村路”建设、经济信息体系建设、农村电子商务建设，因地制宜开展专线服务、冷链服务等特色服务模式。深入推动“快递进厂”工程，加强寄递服务专业化、智能化、高效化水平，利用消费端数据驱动产业链上游生产制造，为焦作特色工业制造企业提供“移动仓库”、入厂物流、供应链金融、管理咨询等一体化服务。</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720" w:firstLineChars="200"/>
        <w:jc w:val="both"/>
        <w:textAlignment w:val="auto"/>
        <w:rPr>
          <w:rFonts w:ascii="Times New Roman" w:hAnsi="Times New Roman"/>
          <w:b w:val="0"/>
          <w:bCs w:val="0"/>
        </w:rPr>
      </w:pPr>
      <w:bookmarkStart w:id="213" w:name="_Toc96455140"/>
      <w:bookmarkStart w:id="214" w:name="_Toc16930"/>
      <w:r>
        <w:rPr>
          <w:rFonts w:hint="eastAsia" w:ascii="Times New Roman" w:hAnsi="Times New Roman"/>
          <w:b w:val="0"/>
          <w:bCs w:val="0"/>
        </w:rPr>
        <w:t>六、强力推进郑焦交通一体化发展</w:t>
      </w:r>
      <w:bookmarkEnd w:id="213"/>
      <w:bookmarkEnd w:id="214"/>
    </w:p>
    <w:p>
      <w:pPr>
        <w:pStyle w:val="6"/>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楷体_GB2312" w:cs="楷体_GB2312"/>
        </w:rPr>
      </w:pPr>
      <w:bookmarkStart w:id="215" w:name="_Toc96455141"/>
      <w:bookmarkStart w:id="216" w:name="_Toc3543"/>
      <w:r>
        <w:rPr>
          <w:rFonts w:hint="eastAsia" w:ascii="Times New Roman" w:hAnsi="Times New Roman" w:eastAsia="楷体_GB2312" w:cs="楷体_GB2312"/>
        </w:rPr>
        <w:t>（一）打造郑焦复合交通走廊</w:t>
      </w:r>
      <w:bookmarkEnd w:id="215"/>
      <w:bookmarkEnd w:id="21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rPr>
      </w:pPr>
      <w:r>
        <w:rPr>
          <w:rFonts w:hint="eastAsia" w:ascii="Times New Roman" w:hAnsi="Times New Roman" w:eastAsia="仿宋_GB2312" w:cs="仿宋_GB2312"/>
        </w:rPr>
        <w:t>围绕推进郑焦一体化发展，完善轨道交通网、畅通公路网，构建郑焦间“4铁路4高速3干线”的多层次、多方式复合交通走廊，提升轨道交通、高快速路网组合效率，服务郑焦间多元化出行需求。积极开展郑州都市圈轨道交通S3线、S4线前期工作，强化轨道交通对郑焦一体化发展的支撑作用。统筹推进高速公路建设，尽快建成焦平高速焦作至荥阳段、焦唐高速温县至巩义段、郑州至焦作高速，提高郑焦跨黄河通道能力。加快建设国道207孟州至偃师黄河大桥，提升复合型交通走廊通行能力。</w:t>
      </w:r>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widowControl/>
              <w:spacing w:line="360" w:lineRule="auto"/>
              <w:ind w:firstLine="0" w:firstLineChars="0"/>
              <w:jc w:val="center"/>
              <w:rPr>
                <w:rFonts w:ascii="Times New Roman" w:hAnsi="Times New Roman" w:eastAsia="黑体" w:cs="Arial"/>
                <w:sz w:val="28"/>
                <w:szCs w:val="32"/>
              </w:rPr>
            </w:pPr>
            <w:r>
              <w:rPr>
                <w:rFonts w:ascii="Times New Roman" w:hAnsi="Times New Roman" w:eastAsia="黑体" w:cs="宋体"/>
                <w:color w:val="000000"/>
                <w:kern w:val="0"/>
                <w:sz w:val="28"/>
                <w:szCs w:val="28"/>
              </w:rPr>
              <w:t>专栏</w:t>
            </w:r>
            <w:r>
              <w:rPr>
                <w:rFonts w:ascii="Times New Roman" w:hAnsi="Times New Roman" w:eastAsia="黑体" w:cs="Times New Roman"/>
                <w:color w:val="000000"/>
                <w:kern w:val="0"/>
                <w:sz w:val="28"/>
                <w:szCs w:val="28"/>
              </w:rPr>
              <w:t>12</w:t>
            </w:r>
            <w:r>
              <w:rPr>
                <w:rFonts w:ascii="Times New Roman" w:hAnsi="Times New Roman" w:eastAsia="黑体" w:cs="宋体"/>
                <w:color w:val="000000"/>
                <w:kern w:val="0"/>
                <w:sz w:val="28"/>
                <w:szCs w:val="28"/>
              </w:rPr>
              <w:t xml:space="preserve">  </w:t>
            </w:r>
            <w:r>
              <w:rPr>
                <w:rFonts w:hint="eastAsia" w:ascii="Times New Roman" w:hAnsi="Times New Roman" w:eastAsia="黑体" w:cs="宋体"/>
                <w:color w:val="000000"/>
                <w:kern w:val="0"/>
                <w:sz w:val="28"/>
                <w:szCs w:val="28"/>
              </w:rPr>
              <w:t>郑焦复合交通走廊构成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轨道交通4条：</w:t>
            </w:r>
            <w:r>
              <w:rPr>
                <w:rFonts w:hint="eastAsia" w:ascii="Times New Roman" w:hAnsi="Times New Roman" w:eastAsia="仿宋_GB2312" w:cs="仿宋_GB2312"/>
                <w:bCs/>
                <w:sz w:val="24"/>
                <w:szCs w:val="24"/>
              </w:rPr>
              <w:t>既有京广铁路、郑焦城际铁路，规划郑州都市圈轨道交通S3线、S4线。</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bCs/>
                <w:sz w:val="24"/>
                <w:szCs w:val="24"/>
              </w:rPr>
              <w:t>高速公路4条：</w:t>
            </w:r>
            <w:r>
              <w:rPr>
                <w:rFonts w:hint="eastAsia" w:ascii="Times New Roman" w:hAnsi="Times New Roman" w:eastAsia="仿宋_GB2312" w:cs="仿宋_GB2312"/>
                <w:sz w:val="24"/>
                <w:szCs w:val="24"/>
              </w:rPr>
              <w:t>既有郑云高速，规划焦平高速、焦唐高速、郑州至焦作高速。</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ascii="Times New Roman" w:hAnsi="Times New Roman" w:cs="Arial"/>
                <w:sz w:val="28"/>
                <w:szCs w:val="24"/>
              </w:rPr>
            </w:pPr>
            <w:r>
              <w:rPr>
                <w:rFonts w:hint="eastAsia" w:ascii="Times New Roman" w:hAnsi="Times New Roman" w:eastAsia="仿宋_GB2312" w:cs="仿宋_GB2312"/>
                <w:b/>
                <w:bCs/>
                <w:sz w:val="24"/>
                <w:szCs w:val="24"/>
              </w:rPr>
              <w:t>普通干线3条：</w:t>
            </w:r>
            <w:r>
              <w:rPr>
                <w:rFonts w:hint="eastAsia" w:ascii="Times New Roman" w:hAnsi="Times New Roman" w:eastAsia="仿宋_GB2312" w:cs="仿宋_GB2312"/>
                <w:sz w:val="24"/>
                <w:szCs w:val="24"/>
              </w:rPr>
              <w:t>既有国道234、省道235，在建国道207。</w:t>
            </w:r>
          </w:p>
        </w:tc>
      </w:tr>
    </w:tbl>
    <w:p>
      <w:pPr>
        <w:pStyle w:val="6"/>
        <w:pageBreakBefore w:val="0"/>
        <w:widowControl w:val="0"/>
        <w:kinsoku/>
        <w:wordWrap/>
        <w:overflowPunct/>
        <w:topLinePunct w:val="0"/>
        <w:autoSpaceDE/>
        <w:autoSpaceDN/>
        <w:bidi w:val="0"/>
        <w:adjustRightInd/>
        <w:snapToGrid/>
        <w:spacing w:line="580" w:lineRule="exact"/>
        <w:ind w:firstLine="482"/>
        <w:textAlignment w:val="auto"/>
        <w:rPr>
          <w:rFonts w:hint="eastAsia" w:ascii="Times New Roman" w:hAnsi="Times New Roman" w:eastAsia="楷体_GB2312" w:cs="楷体_GB2312"/>
        </w:rPr>
      </w:pPr>
      <w:bookmarkStart w:id="217" w:name="_Toc96455142"/>
      <w:bookmarkStart w:id="218" w:name="_Toc12043"/>
      <w:r>
        <w:rPr>
          <w:rFonts w:hint="eastAsia" w:ascii="Times New Roman" w:hAnsi="Times New Roman" w:eastAsia="楷体_GB2312" w:cs="楷体_GB2312"/>
        </w:rPr>
        <w:t>（二）推动郑焦运输服务同城</w:t>
      </w:r>
      <w:bookmarkEnd w:id="217"/>
      <w:bookmarkEnd w:id="218"/>
    </w:p>
    <w:p>
      <w:pPr>
        <w:pageBreakBefore w:val="0"/>
        <w:widowControl w:val="0"/>
        <w:kinsoku/>
        <w:wordWrap/>
        <w:overflowPunct/>
        <w:topLinePunct w:val="0"/>
        <w:autoSpaceDE/>
        <w:autoSpaceDN/>
        <w:bidi w:val="0"/>
        <w:adjustRightInd/>
        <w:snapToGrid/>
        <w:spacing w:line="580" w:lineRule="exact"/>
        <w:ind w:firstLine="643"/>
        <w:textAlignment w:val="auto"/>
        <w:rPr>
          <w:rFonts w:hint="eastAsia" w:ascii="Times New Roman" w:hAnsi="Times New Roman" w:eastAsia="仿宋_GB2312" w:cs="仿宋_GB2312"/>
        </w:rPr>
      </w:pPr>
      <w:r>
        <w:rPr>
          <w:rFonts w:hint="eastAsia" w:ascii="Times New Roman" w:hAnsi="Times New Roman" w:eastAsia="仿宋_GB2312" w:cs="仿宋_GB2312"/>
          <w:b/>
          <w:bCs/>
        </w:rPr>
        <w:t>推动郑焦客运一体发展。</w:t>
      </w:r>
      <w:r>
        <w:rPr>
          <w:rFonts w:hint="eastAsia" w:ascii="Times New Roman" w:hAnsi="Times New Roman" w:eastAsia="仿宋_GB2312" w:cs="仿宋_GB2312"/>
        </w:rPr>
        <w:t>推进郑焦城际铁路公交化开行，实现旅客随到随走，满足都市圈内轨道交通通勤需求。加密郑焦城际客运运营班次，缩短发车间隔，持续提升公交化运营质量，提升城际客运与城市公交、轨道交通换乘效率，更好服务跨市通勤需求。研究开通焦作至郑州定制客运班线，实行“点对点”运输，更好满足旅客多元化、个性化出行需求。</w:t>
      </w:r>
    </w:p>
    <w:p>
      <w:pPr>
        <w:pageBreakBefore w:val="0"/>
        <w:widowControl w:val="0"/>
        <w:kinsoku/>
        <w:wordWrap/>
        <w:overflowPunct/>
        <w:topLinePunct w:val="0"/>
        <w:autoSpaceDE/>
        <w:autoSpaceDN/>
        <w:bidi w:val="0"/>
        <w:adjustRightInd/>
        <w:snapToGrid/>
        <w:spacing w:line="580" w:lineRule="exact"/>
        <w:ind w:firstLine="643"/>
        <w:textAlignment w:val="auto"/>
        <w:rPr>
          <w:rFonts w:hint="eastAsia" w:ascii="Times New Roman" w:hAnsi="Times New Roman" w:eastAsia="仿宋_GB2312" w:cs="仿宋_GB2312"/>
        </w:rPr>
      </w:pPr>
      <w:r>
        <w:rPr>
          <w:rFonts w:hint="eastAsia" w:ascii="Times New Roman" w:hAnsi="Times New Roman" w:eastAsia="仿宋_GB2312" w:cs="仿宋_GB2312"/>
          <w:b/>
          <w:bCs/>
        </w:rPr>
        <w:t>推动郑焦物流融合发展。</w:t>
      </w:r>
      <w:r>
        <w:rPr>
          <w:rFonts w:hint="eastAsia" w:ascii="Times New Roman" w:hAnsi="Times New Roman" w:eastAsia="仿宋_GB2312" w:cs="仿宋_GB2312"/>
        </w:rPr>
        <w:t>着力培育郑焦联动互补的物流网络枢纽体系，依托装备制造、化工、新能源等产业，在孟州、沁阳、武陟发展补链郑州智能制造业的装备与配件物流走廊；依托煤炭、矿产资源等大宗物资，在沁阳、武陟发展服务郑州煤铝加工业的大宗物资物流走廊；依托怀药、怀姜、肉类等特色农产品，在博爱、沁阳、温县发展新鲜直供郑州居民消费的农产品食品物流走廊。</w:t>
      </w:r>
    </w:p>
    <w:p>
      <w:pPr>
        <w:pStyle w:val="5"/>
        <w:keepNext/>
        <w:keepLines w:val="0"/>
        <w:pageBreakBefore w:val="0"/>
        <w:widowControl w:val="0"/>
        <w:kinsoku/>
        <w:wordWrap/>
        <w:overflowPunct/>
        <w:topLinePunct w:val="0"/>
        <w:autoSpaceDE/>
        <w:autoSpaceDN/>
        <w:bidi w:val="0"/>
        <w:adjustRightInd/>
        <w:snapToGrid/>
        <w:spacing w:before="0" w:after="0" w:line="580" w:lineRule="exact"/>
        <w:ind w:firstLine="720" w:firstLineChars="200"/>
        <w:jc w:val="both"/>
        <w:textAlignment w:val="auto"/>
        <w:rPr>
          <w:rFonts w:ascii="Times New Roman" w:hAnsi="Times New Roman"/>
          <w:b w:val="0"/>
          <w:bCs w:val="0"/>
        </w:rPr>
      </w:pPr>
      <w:bookmarkStart w:id="219" w:name="_Toc96455143"/>
      <w:bookmarkStart w:id="220" w:name="_Toc20392"/>
      <w:r>
        <w:rPr>
          <w:rFonts w:hint="eastAsia" w:ascii="Times New Roman" w:hAnsi="Times New Roman"/>
          <w:b w:val="0"/>
          <w:bCs w:val="0"/>
        </w:rPr>
        <w:t>七、推动交通枢纽经济高质量发展</w:t>
      </w:r>
      <w:bookmarkEnd w:id="219"/>
      <w:bookmarkEnd w:id="220"/>
    </w:p>
    <w:p>
      <w:pPr>
        <w:keepNext/>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rPr>
      </w:pPr>
      <w:r>
        <w:rPr>
          <w:rFonts w:hint="eastAsia" w:ascii="Times New Roman" w:hAnsi="Times New Roman" w:eastAsia="仿宋_GB2312" w:cs="仿宋_GB2312"/>
        </w:rPr>
        <w:t>以交通枢纽为支点，以“两纵两横两环”综合运输通道为主骨架，以“通道+枢纽+网络”运行系统为支撑，加快交通体系、物流枢纽与区域、城市、产业的互动融合，构建</w:t>
      </w:r>
      <w:r>
        <w:rPr>
          <w:rFonts w:hint="eastAsia" w:ascii="Times New Roman" w:hAnsi="Times New Roman" w:eastAsia="仿宋_GB2312" w:cs="仿宋_GB2312"/>
          <w:b/>
          <w:bCs/>
        </w:rPr>
        <w:t>“三区辐射、三带牵引、全域协同、融合发展”</w:t>
      </w:r>
      <w:r>
        <w:rPr>
          <w:rFonts w:hint="eastAsia" w:ascii="Times New Roman" w:hAnsi="Times New Roman" w:eastAsia="仿宋_GB2312" w:cs="仿宋_GB2312"/>
        </w:rPr>
        <w:t>的综合交通运输体系和枢纽经济发展总体格局。</w:t>
      </w:r>
    </w:p>
    <w:p>
      <w:pPr>
        <w:pStyle w:val="6"/>
        <w:keepNext/>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楷体_GB2312" w:cs="楷体_GB2312"/>
        </w:rPr>
      </w:pPr>
      <w:bookmarkStart w:id="221" w:name="_Toc96455144"/>
      <w:bookmarkStart w:id="222" w:name="_Toc28054"/>
      <w:r>
        <w:rPr>
          <w:rFonts w:hint="eastAsia" w:ascii="Times New Roman" w:hAnsi="Times New Roman" w:eastAsia="楷体_GB2312" w:cs="楷体_GB2312"/>
        </w:rPr>
        <w:t>（一）加快建设枢纽经济区</w:t>
      </w:r>
      <w:bookmarkEnd w:id="221"/>
      <w:bookmarkEnd w:id="222"/>
    </w:p>
    <w:p>
      <w:pPr>
        <w:keepNext/>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仿宋_GB2312" w:cs="仿宋_GB2312"/>
        </w:rPr>
      </w:pPr>
      <w:r>
        <w:rPr>
          <w:rFonts w:hint="eastAsia" w:ascii="Times New Roman" w:hAnsi="Times New Roman" w:eastAsia="仿宋_GB2312" w:cs="仿宋_GB2312"/>
          <w:b/>
          <w:bCs/>
        </w:rPr>
        <w:t>建设高铁枢纽经济区。</w:t>
      </w:r>
      <w:r>
        <w:rPr>
          <w:rFonts w:hint="eastAsia" w:ascii="Times New Roman" w:hAnsi="Times New Roman" w:eastAsia="仿宋_GB2312" w:cs="仿宋_GB2312"/>
        </w:rPr>
        <w:t>依托焦作西站等高铁站，以便捷的交通条件、规模化运量为支撑，大力发展高铁经济。按照“站产城”一体化发展思路，统筹交通和产业、城镇发展，推进焦作西站综合枢纽与周边区域一体开发建设，合理布局商贸服务、休闲娱乐、文化旅游等关联产业，助推焦西高铁新城建设，培育城市新商圈和活力增长点，打造晋豫新枢纽、康养智慧城、太行小江南。</w:t>
      </w:r>
    </w:p>
    <w:p>
      <w:pPr>
        <w:keepNext/>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仿宋_GB2312" w:cs="仿宋_GB2312"/>
        </w:rPr>
      </w:pPr>
      <w:r>
        <w:rPr>
          <w:rFonts w:hint="eastAsia" w:ascii="Times New Roman" w:hAnsi="Times New Roman" w:eastAsia="仿宋_GB2312" w:cs="仿宋_GB2312"/>
          <w:b/>
          <w:bCs/>
        </w:rPr>
        <w:t>探索航空枢纽经济区。</w:t>
      </w:r>
      <w:r>
        <w:rPr>
          <w:rFonts w:hint="eastAsia" w:ascii="Times New Roman" w:hAnsi="Times New Roman" w:eastAsia="仿宋_GB2312" w:cs="仿宋_GB2312"/>
        </w:rPr>
        <w:t>依托规划通用机场，聚焦航空经济产业链价值链创新链，增强要素集聚和辐射带动能力，打造特色航空产业集聚，大力发展航空经济。支持孟州等加快通用机场建设，提前对临空产业谋划布局。积极与文旅、体育等优势产业融合，谋划培育航空旅游、航空培训等产业新业态，引入拓展通用航空运营、油料、维修、航材等航空保障产业发展，建设集通航产业园、商务园、住宅区、博览园等为一体的航空产业园区。</w:t>
      </w:r>
    </w:p>
    <w:p>
      <w:pPr>
        <w:keepNext/>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仿宋_GB2312" w:cs="仿宋_GB2312"/>
        </w:rPr>
      </w:pPr>
      <w:r>
        <w:rPr>
          <w:rFonts w:hint="eastAsia" w:ascii="Times New Roman" w:hAnsi="Times New Roman" w:eastAsia="仿宋_GB2312" w:cs="仿宋_GB2312"/>
          <w:b/>
          <w:bCs/>
        </w:rPr>
        <w:t>发展物流枢纽经济区。</w:t>
      </w:r>
      <w:r>
        <w:rPr>
          <w:rFonts w:hint="eastAsia" w:ascii="Times New Roman" w:hAnsi="Times New Roman" w:eastAsia="仿宋_GB2312" w:cs="仿宋_GB2312"/>
        </w:rPr>
        <w:t>依托现有或规划物流园区，统筹考虑不同园区的功能定位，合理布局生产、生活、生态空间，进一步推进公铁联运区、保税物流区、专业物流中心等重点基础设施建设，吸引电商、区域分销商、零担物流、城市配送、快递等企业入驻，通过培育科技研发、信息咨询、人才培训、国际贸易等，增强物流园区产业承载力和集聚力，延长物流产业链，培育具有区域竞争力的物流枢纽经济区。</w:t>
      </w:r>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widowControl/>
              <w:spacing w:line="360" w:lineRule="auto"/>
              <w:ind w:firstLine="0" w:firstLineChars="0"/>
              <w:jc w:val="center"/>
              <w:rPr>
                <w:rFonts w:ascii="Times New Roman" w:hAnsi="Times New Roman" w:eastAsia="黑体" w:cs="Arial"/>
                <w:sz w:val="28"/>
                <w:szCs w:val="32"/>
              </w:rPr>
            </w:pPr>
            <w:r>
              <w:rPr>
                <w:rFonts w:ascii="Times New Roman" w:hAnsi="Times New Roman" w:eastAsia="黑体" w:cs="宋体"/>
                <w:color w:val="000000"/>
                <w:kern w:val="0"/>
                <w:sz w:val="28"/>
                <w:szCs w:val="28"/>
              </w:rPr>
              <w:t>专栏</w:t>
            </w:r>
            <w:r>
              <w:rPr>
                <w:rFonts w:ascii="Times New Roman" w:hAnsi="Times New Roman" w:eastAsia="黑体" w:cs="Times New Roman"/>
                <w:color w:val="000000"/>
                <w:kern w:val="0"/>
                <w:sz w:val="28"/>
                <w:szCs w:val="28"/>
              </w:rPr>
              <w:t>13</w:t>
            </w:r>
            <w:r>
              <w:rPr>
                <w:rFonts w:ascii="Times New Roman" w:hAnsi="Times New Roman" w:eastAsia="黑体" w:cs="宋体"/>
                <w:color w:val="000000"/>
                <w:kern w:val="0"/>
                <w:sz w:val="28"/>
                <w:szCs w:val="28"/>
              </w:rPr>
              <w:t xml:space="preserve">  </w:t>
            </w:r>
            <w:r>
              <w:rPr>
                <w:rFonts w:hint="eastAsia" w:ascii="Times New Roman" w:hAnsi="Times New Roman" w:eastAsia="黑体" w:cs="宋体"/>
                <w:color w:val="000000"/>
                <w:kern w:val="0"/>
                <w:sz w:val="28"/>
                <w:szCs w:val="28"/>
              </w:rPr>
              <w:t>物流枢纽经济重点工程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sz w:val="24"/>
                <w:szCs w:val="24"/>
              </w:rPr>
              <w:t>生产服务型枢纽经济区。</w:t>
            </w:r>
            <w:r>
              <w:rPr>
                <w:rFonts w:hint="eastAsia" w:ascii="Times New Roman" w:hAnsi="Times New Roman" w:eastAsia="仿宋_GB2312" w:cs="仿宋_GB2312"/>
                <w:bCs/>
                <w:sz w:val="24"/>
                <w:szCs w:val="24"/>
              </w:rPr>
              <w:t>依托焦作武陟公铁联运物流港等物流枢纽，推进交通物流与制造业、农业等产业链上下游相互渗透、紧密衔接，推动产业转型升级和产业链延伸。依托特色农产品原产地种植加工，打造农商互联、冷链物流、电子商务一体化供应链流通体系；依托能源化工、铝精深加工、汽车配件等制造资源，构建工业互联网、大宗商品供应链金融、精益物流为一体的供应链运作体系；积极推进焦作产业外向型发展，利用枢纽完善的功能和网络，提供精确的需求匹配和供给、高效的组织运作、顺畅的供应链上下游衔接、合理的全国资源要素配置、培育全链条的综合服务能力和价值创造能力，助力焦作成为全国领先的特色产业供应链组织中心。</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商贸服务型枢纽经济区。</w:t>
            </w:r>
            <w:r>
              <w:rPr>
                <w:rFonts w:hint="eastAsia" w:ascii="Times New Roman" w:hAnsi="Times New Roman" w:eastAsia="仿宋_GB2312" w:cs="仿宋_GB2312"/>
                <w:bCs/>
                <w:sz w:val="24"/>
                <w:szCs w:val="24"/>
              </w:rPr>
              <w:t>依托中国宝武焦作现代综合物流园等物流枢纽，强化交通物流支撑，围绕煤炭、建材、粮食、农产品、食品、生活用品等市场，大力发展商贸经济。重点加强与日照港等港口的合作，发展以海铁联运为特色的大宗物资干线业务；充分发挥铁路、公路资源优势，发展以公铁联运为特色的区域分拨业务；依托密布的高速、国省道、县乡道以及城市物流通道，发展以保障民生为主的城市配送业务，改造传统商贸流通、交通物流运行方式，同时拓展交易、结算、金融等功能，推动向价值链中高端迈进。</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ascii="Times New Roman" w:hAnsi="Times New Roman" w:cs="Arial"/>
                <w:sz w:val="28"/>
                <w:szCs w:val="24"/>
              </w:rPr>
            </w:pPr>
            <w:r>
              <w:rPr>
                <w:rFonts w:hint="eastAsia" w:ascii="Times New Roman" w:hAnsi="Times New Roman" w:eastAsia="仿宋_GB2312" w:cs="仿宋_GB2312"/>
                <w:b/>
                <w:sz w:val="24"/>
                <w:szCs w:val="24"/>
              </w:rPr>
              <w:t>内陆口岸型枢纽经济区。</w:t>
            </w:r>
            <w:r>
              <w:rPr>
                <w:rFonts w:hint="eastAsia" w:ascii="Times New Roman" w:hAnsi="Times New Roman" w:eastAsia="仿宋_GB2312" w:cs="仿宋_GB2312"/>
                <w:bCs/>
                <w:sz w:val="24"/>
                <w:szCs w:val="24"/>
              </w:rPr>
              <w:t>依托孟州市河南德众保税物流园等口岸枢纽，大力发展口岸经济，加强与郑州、洛阳航空口岸，郑州车站、铁路货运口岸等业务对接、联动发展，完善供应链组织。围绕跨境电子商务等新兴业态和食品、消费品、装备制造等重点领域，实现口岸信息集中申报、关检合一共同查验、多式联运分拨配送、区港联动直通放行、O2O保税直购体验，拓展开设保税物流、保税加工、分拨转运、展览展示等相关业务和现代服务业态，为焦作开放型经济发展提供重要支撑。</w:t>
            </w:r>
          </w:p>
        </w:tc>
      </w:tr>
    </w:tbl>
    <w:p>
      <w:pPr>
        <w:pStyle w:val="6"/>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楷体_GB2312" w:cs="楷体_GB2312"/>
        </w:rPr>
      </w:pPr>
      <w:bookmarkStart w:id="223" w:name="_Toc96455145"/>
      <w:bookmarkStart w:id="224" w:name="_Toc12071"/>
      <w:r>
        <w:rPr>
          <w:rFonts w:hint="eastAsia" w:ascii="Times New Roman" w:hAnsi="Times New Roman" w:eastAsia="楷体_GB2312" w:cs="楷体_GB2312"/>
        </w:rPr>
        <w:t>（二）大力发展通道经济带</w:t>
      </w:r>
      <w:bookmarkEnd w:id="223"/>
      <w:bookmarkEnd w:id="224"/>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仿宋_GB2312" w:cs="仿宋_GB2312"/>
        </w:rPr>
      </w:pPr>
      <w:r>
        <w:rPr>
          <w:rFonts w:hint="eastAsia" w:ascii="Times New Roman" w:hAnsi="Times New Roman" w:eastAsia="仿宋_GB2312" w:cs="仿宋_GB2312"/>
          <w:b/>
          <w:bCs/>
        </w:rPr>
        <w:t>协同建设郑焦晋通道经济带。</w:t>
      </w:r>
      <w:r>
        <w:rPr>
          <w:rFonts w:hint="eastAsia" w:ascii="Times New Roman" w:hAnsi="Times New Roman" w:eastAsia="仿宋_GB2312" w:cs="仿宋_GB2312"/>
        </w:rPr>
        <w:t>依托郑太高铁、侯月铁路、郑云高速、郑焦高速、焦平高速、焦唐高速、国道234、省道235等线路，强化南北双向集聚辐射能力，加快建设科创走廊、智造走廊、文旅走廊、物流走廊，推动产业链、创新链、价值链一体化布局，深化国家自创区、高新区、自贸区三区联动发展。向南加强与郑州在智能制造、信息服务、创新研发等领域的合作，向北对接山西国家资源型经济转型综合配套改革试验区，打造晋豫交界地区现代服务中心和先进制造基地，巩固和扩大传统腹地。</w:t>
      </w:r>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widowControl/>
              <w:spacing w:line="360" w:lineRule="auto"/>
              <w:ind w:firstLine="0" w:firstLineChars="0"/>
              <w:jc w:val="center"/>
              <w:rPr>
                <w:rFonts w:ascii="Times New Roman" w:hAnsi="Times New Roman" w:eastAsia="黑体" w:cs="Arial"/>
                <w:sz w:val="28"/>
                <w:szCs w:val="32"/>
              </w:rPr>
            </w:pPr>
            <w:r>
              <w:rPr>
                <w:rFonts w:ascii="Times New Roman" w:hAnsi="Times New Roman" w:eastAsia="黑体" w:cs="宋体"/>
                <w:color w:val="000000"/>
                <w:kern w:val="0"/>
                <w:sz w:val="28"/>
                <w:szCs w:val="28"/>
              </w:rPr>
              <w:t>专栏</w:t>
            </w:r>
            <w:r>
              <w:rPr>
                <w:rFonts w:ascii="Times New Roman" w:hAnsi="Times New Roman" w:eastAsia="黑体" w:cs="Times New Roman"/>
                <w:color w:val="000000"/>
                <w:kern w:val="0"/>
                <w:sz w:val="28"/>
                <w:szCs w:val="28"/>
              </w:rPr>
              <w:t>14</w:t>
            </w:r>
            <w:r>
              <w:rPr>
                <w:rFonts w:ascii="Times New Roman" w:hAnsi="Times New Roman" w:eastAsia="黑体" w:cs="宋体"/>
                <w:color w:val="000000"/>
                <w:kern w:val="0"/>
                <w:sz w:val="28"/>
                <w:szCs w:val="28"/>
              </w:rPr>
              <w:t xml:space="preserve">  </w:t>
            </w:r>
            <w:r>
              <w:rPr>
                <w:rFonts w:hint="eastAsia" w:ascii="Times New Roman" w:hAnsi="Times New Roman" w:eastAsia="黑体" w:cs="宋体"/>
                <w:color w:val="000000"/>
                <w:kern w:val="0"/>
                <w:sz w:val="28"/>
                <w:szCs w:val="28"/>
              </w:rPr>
              <w:t>郑焦晋通道经济带细分产业走廊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
                <w:sz w:val="24"/>
                <w:szCs w:val="24"/>
              </w:rPr>
            </w:pPr>
            <w:r>
              <w:rPr>
                <w:rFonts w:hint="eastAsia" w:ascii="Times New Roman" w:hAnsi="Times New Roman" w:eastAsia="仿宋_GB2312" w:cs="仿宋_GB2312"/>
                <w:b/>
                <w:sz w:val="24"/>
                <w:szCs w:val="24"/>
              </w:rPr>
              <w:t>科创走廊。</w:t>
            </w:r>
            <w:r>
              <w:rPr>
                <w:rFonts w:hint="eastAsia" w:ascii="Times New Roman" w:hAnsi="Times New Roman" w:eastAsia="仿宋_GB2312" w:cs="仿宋_GB2312"/>
                <w:bCs/>
                <w:sz w:val="24"/>
                <w:szCs w:val="24"/>
              </w:rPr>
              <w:t>依托国道234等，串联焦作高新技术组团、郑洛新国家自主创新示范区郑州核心区等区域，积极培育科技服务、信息服务、文化创意等创新创意产业，沿线重点布局文创园区、科技服务平台、科创小镇等一批“科创飞地”。</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智造走廊。</w:t>
            </w:r>
            <w:r>
              <w:rPr>
                <w:rFonts w:hint="eastAsia" w:ascii="Times New Roman" w:hAnsi="Times New Roman" w:eastAsia="仿宋_GB2312" w:cs="仿宋_GB2312"/>
                <w:bCs/>
                <w:sz w:val="24"/>
                <w:szCs w:val="24"/>
              </w:rPr>
              <w:t>依托郑州都市圈轨道交通S4线、郑州至焦作高速等，串联焦作中心城区、黄沁河金三角组团、郑洛新国家自主创新示范区郑州核心区等区域，高水平推动智能传感器、高端装备制造、新能源汽车、节能环保等产业发展。</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
                <w:sz w:val="24"/>
                <w:szCs w:val="24"/>
              </w:rPr>
            </w:pPr>
            <w:r>
              <w:rPr>
                <w:rFonts w:hint="eastAsia" w:ascii="Times New Roman" w:hAnsi="Times New Roman" w:eastAsia="仿宋_GB2312" w:cs="仿宋_GB2312"/>
                <w:b/>
                <w:sz w:val="24"/>
                <w:szCs w:val="24"/>
              </w:rPr>
              <w:t>文旅走廊。</w:t>
            </w:r>
            <w:r>
              <w:rPr>
                <w:rFonts w:hint="eastAsia" w:ascii="Times New Roman" w:hAnsi="Times New Roman" w:eastAsia="仿宋_GB2312" w:cs="仿宋_GB2312"/>
                <w:bCs/>
                <w:sz w:val="24"/>
                <w:szCs w:val="24"/>
              </w:rPr>
              <w:t>依托焦平高速、焦唐高速、国道207、省道235等，串联沿线生态、文化、旅游、农业、工业等资源，积极培育文旅康养、智能制造、现代农业产业集群，促进一二三产联动发展，服务“两山两拳”区域生态文化旅游融合示范带建设。</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ascii="Times New Roman" w:hAnsi="Times New Roman" w:cs="Arial"/>
                <w:sz w:val="28"/>
                <w:szCs w:val="24"/>
              </w:rPr>
            </w:pPr>
            <w:r>
              <w:rPr>
                <w:rFonts w:hint="eastAsia" w:ascii="Times New Roman" w:hAnsi="Times New Roman" w:eastAsia="仿宋_GB2312" w:cs="仿宋_GB2312"/>
                <w:b/>
                <w:sz w:val="24"/>
                <w:szCs w:val="24"/>
              </w:rPr>
              <w:t>物流走廊。</w:t>
            </w:r>
            <w:r>
              <w:rPr>
                <w:rFonts w:hint="eastAsia" w:ascii="Times New Roman" w:hAnsi="Times New Roman" w:eastAsia="仿宋_GB2312" w:cs="仿宋_GB2312"/>
                <w:bCs/>
                <w:sz w:val="24"/>
                <w:szCs w:val="24"/>
              </w:rPr>
              <w:t>依托京广铁路、侯月铁路、郑太高铁、郑云高速等，串联焦作跨境电商生态圈、武陟公铁物流港、河南自贸试验区、河南保税物流中心、郑州航空港经济综合试验区，对接山西国家资源型经济转型综合配套改革试验区，大力发展多式联运、冷链物流、电商物流、保税物流、物流金融等新业态。</w:t>
            </w:r>
          </w:p>
        </w:tc>
      </w:tr>
    </w:tbl>
    <w:p>
      <w:pPr>
        <w:ind w:firstLine="643"/>
        <w:rPr>
          <w:rFonts w:hint="eastAsia" w:ascii="Times New Roman" w:hAnsi="Times New Roman" w:eastAsia="仿宋_GB2312" w:cs="仿宋_GB2312"/>
        </w:rPr>
      </w:pPr>
      <w:r>
        <w:rPr>
          <w:rFonts w:hint="eastAsia" w:ascii="Times New Roman" w:hAnsi="Times New Roman" w:eastAsia="仿宋_GB2312" w:cs="仿宋_GB2312"/>
          <w:b/>
          <w:bCs/>
        </w:rPr>
        <w:t>联动建设新焦济洛通道经济带。</w:t>
      </w:r>
      <w:r>
        <w:rPr>
          <w:rFonts w:hint="eastAsia" w:ascii="Times New Roman" w:hAnsi="Times New Roman" w:eastAsia="仿宋_GB2312" w:cs="仿宋_GB2312"/>
        </w:rPr>
        <w:t>依托呼南高铁豫西通道、新焦城际、焦柳铁路、沁阳至伊川高速、沿太行高速、省道230等线路，加快建设南太行生态旅游走廊、洛焦智造走廊，加强交通与生态、旅游深度融合发展，推进与洛阳、济源在装备制造、现代化工等先进制造领域展开沿价值链合作。</w:t>
      </w:r>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widowControl/>
              <w:spacing w:line="360" w:lineRule="auto"/>
              <w:ind w:firstLine="0" w:firstLineChars="0"/>
              <w:jc w:val="center"/>
              <w:rPr>
                <w:rFonts w:ascii="Times New Roman" w:hAnsi="Times New Roman" w:eastAsia="黑体" w:cs="Arial"/>
                <w:sz w:val="28"/>
                <w:szCs w:val="32"/>
              </w:rPr>
            </w:pPr>
            <w:r>
              <w:rPr>
                <w:rFonts w:ascii="Times New Roman" w:hAnsi="Times New Roman" w:eastAsia="黑体" w:cs="宋体"/>
                <w:color w:val="000000"/>
                <w:kern w:val="0"/>
                <w:sz w:val="28"/>
                <w:szCs w:val="28"/>
              </w:rPr>
              <w:t>专栏</w:t>
            </w:r>
            <w:r>
              <w:rPr>
                <w:rFonts w:ascii="Times New Roman" w:hAnsi="Times New Roman" w:eastAsia="黑体" w:cs="Times New Roman"/>
                <w:color w:val="000000"/>
                <w:kern w:val="0"/>
                <w:sz w:val="28"/>
                <w:szCs w:val="28"/>
              </w:rPr>
              <w:t>15</w:t>
            </w:r>
            <w:r>
              <w:rPr>
                <w:rFonts w:ascii="Times New Roman" w:hAnsi="Times New Roman" w:eastAsia="黑体" w:cs="宋体"/>
                <w:color w:val="000000"/>
                <w:kern w:val="0"/>
                <w:sz w:val="28"/>
                <w:szCs w:val="28"/>
              </w:rPr>
              <w:t xml:space="preserve">  </w:t>
            </w:r>
            <w:r>
              <w:rPr>
                <w:rFonts w:hint="eastAsia" w:ascii="Times New Roman" w:hAnsi="Times New Roman" w:eastAsia="黑体" w:cs="宋体"/>
                <w:color w:val="000000"/>
                <w:kern w:val="0"/>
                <w:sz w:val="28"/>
                <w:szCs w:val="28"/>
              </w:rPr>
              <w:t>新焦济洛通道经济带细分产业走廊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380" w:lineRule="exact"/>
              <w:ind w:firstLine="562"/>
              <w:textAlignment w:val="auto"/>
              <w:rPr>
                <w:rFonts w:hint="eastAsia" w:ascii="Times New Roman" w:hAnsi="Times New Roman" w:eastAsia="仿宋_GB2312" w:cs="仿宋_GB2312"/>
                <w:b/>
                <w:sz w:val="24"/>
                <w:szCs w:val="24"/>
              </w:rPr>
            </w:pPr>
            <w:r>
              <w:rPr>
                <w:rFonts w:hint="eastAsia" w:ascii="Times New Roman" w:hAnsi="Times New Roman" w:eastAsia="仿宋_GB2312" w:cs="仿宋_GB2312"/>
                <w:b/>
                <w:sz w:val="24"/>
                <w:szCs w:val="24"/>
              </w:rPr>
              <w:t>南太行生态旅游走廊。</w:t>
            </w:r>
            <w:r>
              <w:rPr>
                <w:rFonts w:hint="eastAsia" w:ascii="Times New Roman" w:hAnsi="Times New Roman" w:eastAsia="仿宋_GB2312" w:cs="仿宋_GB2312"/>
                <w:bCs/>
                <w:sz w:val="24"/>
                <w:szCs w:val="24"/>
              </w:rPr>
              <w:t>依托沿太行高速、省道230等线路，串联南太行山地和生态资源，培育康养产业集群，着力构建智慧旅游业态体系，以康养产业集群为主导、以智慧旅游为方向，加快打造技术领先、业态丰富、功能复合的南太行生态旅游走廊。</w:t>
            </w:r>
          </w:p>
          <w:p>
            <w:pPr>
              <w:keepNext w:val="0"/>
              <w:keepLines w:val="0"/>
              <w:pageBreakBefore w:val="0"/>
              <w:widowControl w:val="0"/>
              <w:kinsoku/>
              <w:wordWrap/>
              <w:overflowPunct/>
              <w:topLinePunct w:val="0"/>
              <w:autoSpaceDE/>
              <w:autoSpaceDN/>
              <w:bidi w:val="0"/>
              <w:adjustRightInd/>
              <w:snapToGrid/>
              <w:spacing w:line="380" w:lineRule="exact"/>
              <w:ind w:firstLine="562"/>
              <w:textAlignment w:val="auto"/>
              <w:rPr>
                <w:rFonts w:ascii="Times New Roman" w:hAnsi="Times New Roman" w:cs="Arial"/>
                <w:sz w:val="28"/>
                <w:szCs w:val="24"/>
              </w:rPr>
            </w:pPr>
            <w:r>
              <w:rPr>
                <w:rFonts w:hint="eastAsia" w:ascii="Times New Roman" w:hAnsi="Times New Roman" w:eastAsia="仿宋_GB2312" w:cs="仿宋_GB2312"/>
                <w:b/>
                <w:sz w:val="24"/>
                <w:szCs w:val="24"/>
              </w:rPr>
              <w:t>洛焦智造走廊。</w:t>
            </w:r>
            <w:r>
              <w:rPr>
                <w:rFonts w:hint="eastAsia" w:ascii="Times New Roman" w:hAnsi="Times New Roman" w:eastAsia="仿宋_GB2312" w:cs="仿宋_GB2312"/>
                <w:bCs/>
                <w:sz w:val="24"/>
                <w:szCs w:val="24"/>
              </w:rPr>
              <w:t>依托呼南高铁豫西通道、焦柳铁路、沁阳至伊川高速等线路，串联郑洛新国家自主创新示范区洛阳核心区、焦作中心城区，立足洛阳、焦作制造业发展特色优势，利用人工智能、虚拟现实、区块链等先进技术，推动制造业数字化、网络化、智能化，培育新型先进制造产业体系。</w:t>
            </w:r>
          </w:p>
        </w:tc>
      </w:tr>
    </w:tbl>
    <w:p>
      <w:pPr>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eastAsia" w:ascii="Times New Roman" w:hAnsi="Times New Roman" w:eastAsia="仿宋_GB2312" w:cs="仿宋_GB2312"/>
        </w:rPr>
      </w:pPr>
      <w:r>
        <w:rPr>
          <w:rFonts w:hint="eastAsia" w:ascii="Times New Roman" w:hAnsi="Times New Roman" w:eastAsia="仿宋_GB2312" w:cs="仿宋_GB2312"/>
          <w:b/>
          <w:bCs/>
        </w:rPr>
        <w:t>培育建设沿黄通道经济带。</w:t>
      </w:r>
      <w:r>
        <w:rPr>
          <w:rFonts w:hint="eastAsia" w:ascii="Times New Roman" w:hAnsi="Times New Roman" w:eastAsia="仿宋_GB2312" w:cs="仿宋_GB2312"/>
        </w:rPr>
        <w:t>依托菏宝高速、沿黄高速、国道327、省道309、王园线等线路，加快建设黄河生态文化走廊、产业创新走廊，强化创新驱动、开放带动、区域联动、合作拉动，共同抓好大保护、协同推进大治理，传承弘扬黄河文化，探索建立园区共建和行业合作等体制机制，拓展发展空间。</w:t>
      </w:r>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widowControl/>
              <w:spacing w:line="360" w:lineRule="auto"/>
              <w:ind w:firstLine="0" w:firstLineChars="0"/>
              <w:jc w:val="center"/>
              <w:rPr>
                <w:rFonts w:ascii="Times New Roman" w:hAnsi="Times New Roman" w:eastAsia="黑体" w:cs="Arial"/>
                <w:sz w:val="28"/>
                <w:szCs w:val="32"/>
              </w:rPr>
            </w:pPr>
            <w:r>
              <w:rPr>
                <w:rFonts w:ascii="Times New Roman" w:hAnsi="Times New Roman" w:eastAsia="黑体" w:cs="宋体"/>
                <w:color w:val="000000"/>
                <w:kern w:val="0"/>
                <w:sz w:val="28"/>
                <w:szCs w:val="28"/>
              </w:rPr>
              <w:t>专栏</w:t>
            </w:r>
            <w:r>
              <w:rPr>
                <w:rFonts w:ascii="Times New Roman" w:hAnsi="Times New Roman" w:eastAsia="黑体" w:cs="Times New Roman"/>
                <w:color w:val="000000"/>
                <w:kern w:val="0"/>
                <w:sz w:val="28"/>
                <w:szCs w:val="28"/>
              </w:rPr>
              <w:t>16</w:t>
            </w:r>
            <w:r>
              <w:rPr>
                <w:rFonts w:ascii="Times New Roman" w:hAnsi="Times New Roman" w:eastAsia="黑体" w:cs="宋体"/>
                <w:color w:val="000000"/>
                <w:kern w:val="0"/>
                <w:sz w:val="28"/>
                <w:szCs w:val="28"/>
              </w:rPr>
              <w:t xml:space="preserve">  </w:t>
            </w:r>
            <w:r>
              <w:rPr>
                <w:rFonts w:hint="eastAsia" w:ascii="Times New Roman" w:hAnsi="Times New Roman" w:eastAsia="黑体" w:cs="宋体"/>
                <w:color w:val="000000"/>
                <w:kern w:val="0"/>
                <w:sz w:val="28"/>
                <w:szCs w:val="28"/>
              </w:rPr>
              <w:t>沿黄通道经济带细分产业走廊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黄河生态文化走廊。</w:t>
            </w:r>
            <w:r>
              <w:rPr>
                <w:rFonts w:hint="eastAsia" w:ascii="Times New Roman" w:hAnsi="Times New Roman" w:eastAsia="仿宋_GB2312" w:cs="仿宋_GB2312"/>
                <w:bCs/>
                <w:sz w:val="24"/>
                <w:szCs w:val="24"/>
              </w:rPr>
              <w:t>依托省道309、省道310、王园线等线路，发挥武陟、温县、孟州等沿黄文化、生态优势，串联韩愈文化园、四大怀药文化产业园、中国太极博物馆、中国治黄文化博物馆等，融合黄河生态农业、休闲度假和康复养生基地，加快构建百里黄河文化生态长廊。</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ascii="Times New Roman" w:hAnsi="Times New Roman" w:cs="Arial"/>
                <w:sz w:val="28"/>
                <w:szCs w:val="24"/>
              </w:rPr>
            </w:pPr>
            <w:r>
              <w:rPr>
                <w:rFonts w:hint="eastAsia" w:ascii="Times New Roman" w:hAnsi="Times New Roman" w:eastAsia="仿宋_GB2312" w:cs="仿宋_GB2312"/>
                <w:b/>
                <w:sz w:val="24"/>
                <w:szCs w:val="24"/>
              </w:rPr>
              <w:t>产业创新走廊。</w:t>
            </w:r>
            <w:r>
              <w:rPr>
                <w:rFonts w:hint="eastAsia" w:ascii="Times New Roman" w:hAnsi="Times New Roman" w:eastAsia="仿宋_GB2312" w:cs="仿宋_GB2312"/>
                <w:bCs/>
                <w:sz w:val="24"/>
                <w:szCs w:val="24"/>
              </w:rPr>
              <w:t>依托菏宝高速、沿黄高速、国道327等线路，深度对接融入郑洛西高质量发展合作带，以“中原智造”“中原智能”为引领，以新一代信息技术与制造业深度融合为主攻方向，聚焦全球科技变革最前沿和产业发展新趋势，大力推进产业、企业和创新要素集聚融合。</w:t>
            </w:r>
          </w:p>
        </w:tc>
      </w:tr>
    </w:tbl>
    <w:p>
      <w:pPr>
        <w:pStyle w:val="6"/>
        <w:pageBreakBefore w:val="0"/>
        <w:widowControl w:val="0"/>
        <w:kinsoku/>
        <w:wordWrap/>
        <w:overflowPunct/>
        <w:topLinePunct w:val="0"/>
        <w:autoSpaceDE/>
        <w:autoSpaceDN/>
        <w:bidi w:val="0"/>
        <w:adjustRightInd/>
        <w:snapToGrid/>
        <w:spacing w:line="580" w:lineRule="exact"/>
        <w:ind w:firstLine="482"/>
        <w:textAlignment w:val="auto"/>
        <w:rPr>
          <w:rFonts w:hint="eastAsia" w:ascii="Times New Roman" w:hAnsi="Times New Roman" w:eastAsia="楷体_GB2312" w:cs="楷体_GB2312"/>
        </w:rPr>
      </w:pPr>
      <w:bookmarkStart w:id="225" w:name="_Toc96455146"/>
      <w:bookmarkStart w:id="226" w:name="_Toc2132"/>
      <w:r>
        <w:rPr>
          <w:rFonts w:hint="eastAsia" w:ascii="Times New Roman" w:hAnsi="Times New Roman" w:eastAsia="楷体_GB2312" w:cs="楷体_GB2312"/>
        </w:rPr>
        <w:t>（三）推动各县市产业集聚</w:t>
      </w:r>
      <w:bookmarkEnd w:id="225"/>
      <w:bookmarkEnd w:id="226"/>
    </w:p>
    <w:p>
      <w:pPr>
        <w:pageBreakBefore w:val="0"/>
        <w:widowControl w:val="0"/>
        <w:kinsoku/>
        <w:wordWrap/>
        <w:overflowPunct/>
        <w:topLinePunct w:val="0"/>
        <w:autoSpaceDE/>
        <w:autoSpaceDN/>
        <w:bidi w:val="0"/>
        <w:adjustRightInd/>
        <w:snapToGrid/>
        <w:spacing w:line="580" w:lineRule="exact"/>
        <w:ind w:firstLine="640"/>
        <w:textAlignment w:val="auto"/>
        <w:rPr>
          <w:rFonts w:hint="eastAsia" w:ascii="Times New Roman" w:hAnsi="Times New Roman" w:eastAsia="仿宋_GB2312" w:cs="仿宋_GB2312"/>
        </w:rPr>
      </w:pPr>
      <w:r>
        <w:rPr>
          <w:rFonts w:hint="eastAsia" w:ascii="Times New Roman" w:hAnsi="Times New Roman" w:eastAsia="仿宋_GB2312" w:cs="仿宋_GB2312"/>
        </w:rPr>
        <w:t>结合各县（市、区）交通条件，在现有各产业开发区产业发展基础上，持续培育发展动能、增强产业能级、提升承载能力和区域带动力，推动枢纽产业差异化布局、集群化培育、特色化发展，提升产业发展质量，扩大枢纽综合竞争优势和规模经济效应。</w:t>
      </w:r>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widowControl/>
              <w:spacing w:line="360" w:lineRule="auto"/>
              <w:ind w:firstLine="0" w:firstLineChars="0"/>
              <w:jc w:val="center"/>
              <w:rPr>
                <w:rFonts w:ascii="Times New Roman" w:hAnsi="Times New Roman" w:eastAsia="黑体" w:cs="Arial"/>
                <w:sz w:val="28"/>
                <w:szCs w:val="32"/>
              </w:rPr>
            </w:pPr>
            <w:r>
              <w:rPr>
                <w:rFonts w:ascii="Times New Roman" w:hAnsi="Times New Roman" w:eastAsia="黑体" w:cs="宋体"/>
                <w:color w:val="000000"/>
                <w:kern w:val="0"/>
                <w:sz w:val="28"/>
                <w:szCs w:val="28"/>
              </w:rPr>
              <w:t>专栏</w:t>
            </w:r>
            <w:r>
              <w:rPr>
                <w:rFonts w:ascii="Times New Roman" w:hAnsi="Times New Roman" w:eastAsia="黑体" w:cs="Times New Roman"/>
                <w:color w:val="000000"/>
                <w:kern w:val="0"/>
                <w:sz w:val="28"/>
                <w:szCs w:val="28"/>
              </w:rPr>
              <w:t>17</w:t>
            </w:r>
            <w:r>
              <w:rPr>
                <w:rFonts w:ascii="Times New Roman" w:hAnsi="Times New Roman" w:eastAsia="黑体" w:cs="宋体"/>
                <w:color w:val="000000"/>
                <w:kern w:val="0"/>
                <w:sz w:val="28"/>
                <w:szCs w:val="28"/>
              </w:rPr>
              <w:t xml:space="preserve">  </w:t>
            </w:r>
            <w:r>
              <w:rPr>
                <w:rFonts w:hint="eastAsia" w:ascii="Times New Roman" w:hAnsi="Times New Roman" w:eastAsia="黑体" w:cs="宋体"/>
                <w:color w:val="000000"/>
                <w:kern w:val="0"/>
                <w:sz w:val="28"/>
                <w:szCs w:val="28"/>
              </w:rPr>
              <w:t>各产业开发区枢纽产业发展重点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
                <w:sz w:val="24"/>
                <w:szCs w:val="24"/>
              </w:rPr>
            </w:pPr>
            <w:r>
              <w:rPr>
                <w:rFonts w:hint="eastAsia" w:ascii="Times New Roman" w:hAnsi="Times New Roman" w:eastAsia="仿宋_GB2312" w:cs="仿宋_GB2312"/>
                <w:b/>
                <w:sz w:val="24"/>
                <w:szCs w:val="24"/>
              </w:rPr>
              <w:t>1.焦作高新技术产业开发区</w:t>
            </w:r>
          </w:p>
          <w:p>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Cs/>
                <w:sz w:val="24"/>
                <w:szCs w:val="24"/>
              </w:rPr>
              <w:t>依托菏宝高速、省道310、省道233等交通干线，打造装备制造、食品加工、新材料产业集群。</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装备制造：</w:t>
            </w:r>
            <w:r>
              <w:rPr>
                <w:rFonts w:hint="eastAsia" w:ascii="Times New Roman" w:hAnsi="Times New Roman" w:eastAsia="仿宋_GB2312" w:cs="仿宋_GB2312"/>
                <w:bCs/>
                <w:sz w:val="24"/>
                <w:szCs w:val="24"/>
              </w:rPr>
              <w:t>重点发展工程机械、矿山机械等成套装备制造业和配套机械配件制造业；发动机凸轮轴、汽车锻件等汽车零部件产业。</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食品加工：</w:t>
            </w:r>
            <w:r>
              <w:rPr>
                <w:rFonts w:hint="eastAsia" w:ascii="Times New Roman" w:hAnsi="Times New Roman" w:eastAsia="仿宋_GB2312" w:cs="仿宋_GB2312"/>
                <w:bCs/>
                <w:sz w:val="24"/>
                <w:szCs w:val="24"/>
              </w:rPr>
              <w:t>重点发展液体奶、冰淇淋、低温酸奶等乳制品产业，打造蒙牛百亿产业集群；苏打水、果味饮料等中高端饮品产业，打造明仁五十亿产业集群。</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功能性新材料：</w:t>
            </w:r>
            <w:r>
              <w:rPr>
                <w:rFonts w:hint="eastAsia" w:ascii="Times New Roman" w:hAnsi="Times New Roman" w:eastAsia="仿宋_GB2312" w:cs="仿宋_GB2312"/>
                <w:bCs/>
                <w:sz w:val="24"/>
                <w:szCs w:val="24"/>
              </w:rPr>
              <w:t>重点发展热转印膜、光学薄膜、电学薄膜等膜材料和金刚石超硬材料等新材料产业。</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
                <w:sz w:val="24"/>
                <w:szCs w:val="24"/>
              </w:rPr>
            </w:pPr>
            <w:r>
              <w:rPr>
                <w:rFonts w:hint="eastAsia" w:ascii="Times New Roman" w:hAnsi="Times New Roman" w:eastAsia="仿宋_GB2312" w:cs="仿宋_GB2312"/>
                <w:b/>
                <w:sz w:val="24"/>
                <w:szCs w:val="24"/>
              </w:rPr>
              <w:t>2.焦作经济技术开发区</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
                <w:sz w:val="24"/>
                <w:szCs w:val="24"/>
              </w:rPr>
            </w:pPr>
            <w:r>
              <w:rPr>
                <w:rFonts w:hint="eastAsia" w:ascii="Times New Roman" w:hAnsi="Times New Roman" w:eastAsia="仿宋_GB2312" w:cs="仿宋_GB2312"/>
                <w:b/>
                <w:sz w:val="24"/>
                <w:szCs w:val="24"/>
              </w:rPr>
              <w:t>（1）焦作经济技术开发区西部园区</w:t>
            </w:r>
          </w:p>
          <w:p>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Cs/>
                <w:sz w:val="24"/>
                <w:szCs w:val="24"/>
              </w:rPr>
              <w:t>依托新月铁路、晋新高速、沿太行高速、国道207、省道307等交通干线，打造现代化工、装备制造产业集群。</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装备制造：</w:t>
            </w:r>
            <w:r>
              <w:rPr>
                <w:rFonts w:hint="eastAsia" w:ascii="Times New Roman" w:hAnsi="Times New Roman" w:eastAsia="仿宋_GB2312" w:cs="仿宋_GB2312"/>
                <w:bCs/>
                <w:sz w:val="24"/>
                <w:szCs w:val="24"/>
              </w:rPr>
              <w:t>重点培育以高端轮胎为核心的汽车零部件领域。加快建设高端轮胎产业集群，完善常规化生产和个性化定制生产产业模式，研发生产高品质性能轮胎产品以及特种轮胎产品，延伸汽车轻量化系列产品，完善“炭黑—轮胎—汽车零部件”产业链。</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现代化工及化工新材料：</w:t>
            </w:r>
            <w:r>
              <w:rPr>
                <w:rFonts w:hint="eastAsia" w:ascii="Times New Roman" w:hAnsi="Times New Roman" w:eastAsia="仿宋_GB2312" w:cs="仿宋_GB2312"/>
                <w:bCs/>
                <w:sz w:val="24"/>
                <w:szCs w:val="24"/>
              </w:rPr>
              <w:t>重点培育以钛锆材料为核心的精细化工领域和以氟锂材料为核心的新能源领域。以钛锆材料为核心的精细化工领域，深度完善“精钛矿—富钛料—钛白粉”“钛白粉+树脂—绿色高档涂料”“富钛料—四氯化钛—海绵钛—钛合金”“锆粉—氧化锆—纳米陶瓷、功能陶瓷—金属锆”产业链；以氟锂材料为核心的新能源领域，深度完善“氟+硅+电子信息产品”产业链条。</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
                <w:sz w:val="24"/>
                <w:szCs w:val="24"/>
              </w:rPr>
            </w:pPr>
            <w:r>
              <w:rPr>
                <w:rFonts w:hint="eastAsia" w:ascii="Times New Roman" w:hAnsi="Times New Roman" w:eastAsia="仿宋_GB2312" w:cs="仿宋_GB2312"/>
                <w:b/>
                <w:sz w:val="24"/>
                <w:szCs w:val="24"/>
              </w:rPr>
              <w:t>（2）焦作经济技术开发区东部园区</w:t>
            </w:r>
          </w:p>
          <w:p>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Cs/>
                <w:sz w:val="24"/>
                <w:szCs w:val="24"/>
              </w:rPr>
              <w:t>依托新月铁路、郑焦高速、省道233等交通干线及待王站等交通枢纽，打造铝及铝精深加工、医药制造产业集群。</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医药制造：</w:t>
            </w:r>
            <w:r>
              <w:rPr>
                <w:rFonts w:hint="eastAsia" w:ascii="Times New Roman" w:hAnsi="Times New Roman" w:eastAsia="仿宋_GB2312" w:cs="仿宋_GB2312"/>
                <w:bCs/>
                <w:sz w:val="24"/>
                <w:szCs w:val="24"/>
              </w:rPr>
              <w:t>重点发展头孢氨基烷酸衍生物制品，开发头孢类系列新产品，逐步形成研发—中试—医药中间体—原料药—成品药全产业链。</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铝及铝精深加工：</w:t>
            </w:r>
            <w:r>
              <w:rPr>
                <w:rFonts w:hint="eastAsia" w:ascii="Times New Roman" w:hAnsi="Times New Roman" w:eastAsia="仿宋_GB2312" w:cs="仿宋_GB2312"/>
                <w:bCs/>
                <w:sz w:val="24"/>
                <w:szCs w:val="24"/>
              </w:rPr>
              <w:t>重点构建板带胚料—铝板带箔、铝合金—压铸件、铝合金—高档型材三大铝精深加工链，大力延伸以铝型材加工、汽车轮毂、发动机外壳等产品为主的下游产业，形成铝及铝深加工链式一体化发展格局。</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
                <w:sz w:val="24"/>
                <w:szCs w:val="24"/>
              </w:rPr>
            </w:pPr>
            <w:r>
              <w:rPr>
                <w:rFonts w:hint="eastAsia" w:ascii="Times New Roman" w:hAnsi="Times New Roman" w:eastAsia="仿宋_GB2312" w:cs="仿宋_GB2312"/>
                <w:b/>
                <w:sz w:val="24"/>
                <w:szCs w:val="24"/>
              </w:rPr>
              <w:t>3.孟州高新技术产业开发区</w:t>
            </w:r>
          </w:p>
          <w:p>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Cs/>
                <w:sz w:val="24"/>
                <w:szCs w:val="24"/>
              </w:rPr>
              <w:t>依托二广高速、国道208、省道310等交通干线，打造装备制造、生物化工、皮革及制品业产业集群。</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装备制造：</w:t>
            </w:r>
            <w:r>
              <w:rPr>
                <w:rFonts w:hint="eastAsia" w:ascii="Times New Roman" w:hAnsi="Times New Roman" w:eastAsia="仿宋_GB2312" w:cs="仿宋_GB2312"/>
                <w:bCs/>
                <w:sz w:val="24"/>
                <w:szCs w:val="24"/>
              </w:rPr>
              <w:t>以传统内燃机和新能源动力系统生产为核心，向汽车电子、智能驾驶、智能装备等领域延伸，逐步形成“研发设计—核心零部件—整车制”的汽车整车制造全产业链条。</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皮革、皮毛及制品制造：</w:t>
            </w:r>
            <w:r>
              <w:rPr>
                <w:rFonts w:hint="eastAsia" w:ascii="Times New Roman" w:hAnsi="Times New Roman" w:eastAsia="仿宋_GB2312" w:cs="仿宋_GB2312"/>
                <w:bCs/>
                <w:sz w:val="24"/>
                <w:szCs w:val="24"/>
              </w:rPr>
              <w:t>以皮革初加工为基础，大力发展皮衣、皮鞋、箱包、家具等皮革成品制造产业，打造“皮革研发、服装设计—原皮加工—皮革成品制造—成品展示与销售”的完整产业链条。</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生物及化工制造：</w:t>
            </w:r>
            <w:r>
              <w:rPr>
                <w:rFonts w:hint="eastAsia" w:ascii="Times New Roman" w:hAnsi="Times New Roman" w:eastAsia="仿宋_GB2312" w:cs="仿宋_GB2312"/>
                <w:bCs/>
                <w:sz w:val="24"/>
                <w:szCs w:val="24"/>
              </w:rPr>
              <w:t>以生物化肥、生物添加剂、生物医药、生物基新型材料、生物质能源生产为核心，重点发展核黄素、蛋白饲料、醋酸乙酯、玉米精炼油以及β-环状糊精、色氨酸、苯丙氨酸、阿斯巴甜及生物医药、生物化肥、生物添加剂等高质量、高性能化工产品。</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
                <w:sz w:val="24"/>
                <w:szCs w:val="24"/>
              </w:rPr>
            </w:pPr>
            <w:r>
              <w:rPr>
                <w:rFonts w:hint="eastAsia" w:ascii="Times New Roman" w:hAnsi="Times New Roman" w:eastAsia="仿宋_GB2312" w:cs="仿宋_GB2312"/>
                <w:b/>
                <w:sz w:val="24"/>
                <w:szCs w:val="24"/>
              </w:rPr>
              <w:t>4.沁阳经济技术开发区</w:t>
            </w:r>
          </w:p>
          <w:p>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Cs/>
                <w:sz w:val="24"/>
                <w:szCs w:val="24"/>
              </w:rPr>
              <w:t>依托焦柳铁路、沿太行高速、菏宝高速、沁阳至伊川高速、国道327、省道307、省道236等交通干线，打造有色金属加工、光电信息、能源化工产业集群。</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能源化工：</w:t>
            </w:r>
            <w:r>
              <w:rPr>
                <w:rFonts w:hint="eastAsia" w:ascii="Times New Roman" w:hAnsi="Times New Roman" w:eastAsia="仿宋_GB2312" w:cs="仿宋_GB2312"/>
                <w:bCs/>
                <w:sz w:val="24"/>
                <w:szCs w:val="24"/>
              </w:rPr>
              <w:t>重点发展煤化工、盐化工和精细化工产业，以及以玻璃钢复合材料为主的化工新材料产业。</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先进金属材料：</w:t>
            </w:r>
            <w:r>
              <w:rPr>
                <w:rFonts w:hint="eastAsia" w:ascii="Times New Roman" w:hAnsi="Times New Roman" w:eastAsia="仿宋_GB2312" w:cs="仿宋_GB2312"/>
                <w:bCs/>
                <w:sz w:val="24"/>
                <w:szCs w:val="24"/>
              </w:rPr>
              <w:t>重点发展高档铝型材、铝合金型材等铝精深加工产业。</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光电信息：</w:t>
            </w:r>
            <w:r>
              <w:rPr>
                <w:rFonts w:hint="eastAsia" w:ascii="Times New Roman" w:hAnsi="Times New Roman" w:eastAsia="仿宋_GB2312" w:cs="仿宋_GB2312"/>
                <w:bCs/>
                <w:sz w:val="24"/>
                <w:szCs w:val="24"/>
              </w:rPr>
              <w:t>重点发展动力储能电子信息制造产业。</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
                <w:sz w:val="24"/>
                <w:szCs w:val="24"/>
              </w:rPr>
            </w:pPr>
            <w:r>
              <w:rPr>
                <w:rFonts w:hint="eastAsia" w:ascii="Times New Roman" w:hAnsi="Times New Roman" w:eastAsia="仿宋_GB2312" w:cs="仿宋_GB2312"/>
                <w:b/>
                <w:sz w:val="24"/>
                <w:szCs w:val="24"/>
              </w:rPr>
              <w:t>5.武陟经济技术开发区</w:t>
            </w:r>
          </w:p>
          <w:p>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Cs/>
                <w:sz w:val="24"/>
                <w:szCs w:val="24"/>
              </w:rPr>
              <w:t>依托郑焦城际、京广铁路、晋新高速、郑云高速、沿黄高速、国道327、国道234、省道308等交通干线及焦作东站等交通枢纽，打造装备制造、现代纸品及印刷包装、生物产业集群。</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装备制造：</w:t>
            </w:r>
            <w:r>
              <w:rPr>
                <w:rFonts w:hint="eastAsia" w:ascii="Times New Roman" w:hAnsi="Times New Roman" w:eastAsia="仿宋_GB2312" w:cs="仿宋_GB2312"/>
                <w:bCs/>
                <w:sz w:val="24"/>
                <w:szCs w:val="24"/>
              </w:rPr>
              <w:t>重点发展造纸成套设备、激光加工装备、电力装备、新能源设备、粮油机械、智能装备、环保装备等细分领域，形成产业集群发展优势。</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现代纸品及印刷包装：</w:t>
            </w:r>
            <w:r>
              <w:rPr>
                <w:rFonts w:hint="eastAsia" w:ascii="Times New Roman" w:hAnsi="Times New Roman" w:eastAsia="仿宋_GB2312" w:cs="仿宋_GB2312"/>
                <w:bCs/>
                <w:sz w:val="24"/>
                <w:szCs w:val="24"/>
              </w:rPr>
              <w:t>重点发展高档文化用纸、特种纸、包装印刷业细分领域，推动现代纸品及印刷包装行业向产业链下游延伸。</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生物医药：</w:t>
            </w:r>
            <w:r>
              <w:rPr>
                <w:rFonts w:hint="eastAsia" w:ascii="Times New Roman" w:hAnsi="Times New Roman" w:eastAsia="仿宋_GB2312" w:cs="仿宋_GB2312"/>
                <w:bCs/>
                <w:sz w:val="24"/>
                <w:szCs w:val="24"/>
              </w:rPr>
              <w:t>重点发展原料药、成品药、现代中药、医疗器械、医用耗材、健康食品等细分领域，推动生物产业向产业链上下游延伸。</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
                <w:bCs/>
                <w:sz w:val="24"/>
                <w:szCs w:val="24"/>
              </w:rPr>
            </w:pPr>
            <w:r>
              <w:rPr>
                <w:rFonts w:hint="eastAsia" w:ascii="Times New Roman" w:hAnsi="Times New Roman" w:eastAsia="仿宋_GB2312" w:cs="仿宋_GB2312"/>
                <w:b/>
                <w:bCs/>
                <w:sz w:val="24"/>
                <w:szCs w:val="24"/>
              </w:rPr>
              <w:t>6.温县</w:t>
            </w:r>
            <w:r>
              <w:rPr>
                <w:rFonts w:hint="eastAsia" w:ascii="Times New Roman" w:hAnsi="Times New Roman" w:eastAsia="仿宋_GB2312" w:cs="仿宋_GB2312"/>
                <w:b/>
                <w:sz w:val="24"/>
                <w:szCs w:val="24"/>
              </w:rPr>
              <w:t>经济技术开发区</w:t>
            </w:r>
          </w:p>
          <w:p>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sz w:val="24"/>
                <w:szCs w:val="24"/>
              </w:rPr>
              <w:t>依托焦唐高速、省道235、省道309等交通干线，打造装备制造、食品</w:t>
            </w:r>
            <w:r>
              <w:rPr>
                <w:rFonts w:hint="eastAsia" w:ascii="Times New Roman" w:hAnsi="Times New Roman" w:eastAsia="仿宋_GB2312" w:cs="仿宋_GB2312"/>
                <w:bCs/>
                <w:sz w:val="24"/>
                <w:szCs w:val="24"/>
              </w:rPr>
              <w:t>产业集群</w:t>
            </w:r>
            <w:r>
              <w:rPr>
                <w:rFonts w:hint="eastAsia" w:ascii="Times New Roman" w:hAnsi="Times New Roman" w:eastAsia="仿宋_GB2312" w:cs="仿宋_GB2312"/>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bCs/>
                <w:sz w:val="24"/>
                <w:szCs w:val="24"/>
              </w:rPr>
              <w:t>食品加工：</w:t>
            </w:r>
            <w:r>
              <w:rPr>
                <w:rFonts w:hint="eastAsia" w:ascii="Times New Roman" w:hAnsi="Times New Roman" w:eastAsia="仿宋_GB2312" w:cs="仿宋_GB2312"/>
                <w:sz w:val="24"/>
                <w:szCs w:val="24"/>
              </w:rPr>
              <w:t>重点培育营养食品、茶饮爆品、休闲食品、调味料等细分领域，打造集“原材料采购</w:t>
            </w:r>
            <w:r>
              <w:rPr>
                <w:rFonts w:hint="eastAsia" w:ascii="Times New Roman" w:hAnsi="Times New Roman" w:eastAsia="仿宋_GB2312" w:cs="仿宋_GB2312"/>
                <w:bCs/>
                <w:sz w:val="24"/>
                <w:szCs w:val="24"/>
              </w:rPr>
              <w:t>—</w:t>
            </w:r>
            <w:r>
              <w:rPr>
                <w:rFonts w:hint="eastAsia" w:ascii="Times New Roman" w:hAnsi="Times New Roman" w:eastAsia="仿宋_GB2312" w:cs="仿宋_GB2312"/>
                <w:sz w:val="24"/>
                <w:szCs w:val="24"/>
              </w:rPr>
              <w:t>研发制</w:t>
            </w:r>
            <w:r>
              <w:rPr>
                <w:rFonts w:hint="eastAsia" w:ascii="Times New Roman" w:hAnsi="Times New Roman" w:eastAsia="仿宋_GB2312" w:cs="仿宋_GB2312"/>
                <w:bCs/>
                <w:sz w:val="24"/>
                <w:szCs w:val="24"/>
              </w:rPr>
              <w:t>—</w:t>
            </w:r>
            <w:r>
              <w:rPr>
                <w:rFonts w:hint="eastAsia" w:ascii="Times New Roman" w:hAnsi="Times New Roman" w:eastAsia="仿宋_GB2312" w:cs="仿宋_GB2312"/>
                <w:sz w:val="24"/>
                <w:szCs w:val="24"/>
              </w:rPr>
              <w:t>安全检测</w:t>
            </w:r>
            <w:r>
              <w:rPr>
                <w:rFonts w:hint="eastAsia" w:ascii="Times New Roman" w:hAnsi="Times New Roman" w:eastAsia="仿宋_GB2312" w:cs="仿宋_GB2312"/>
                <w:bCs/>
                <w:sz w:val="24"/>
                <w:szCs w:val="24"/>
              </w:rPr>
              <w:t>—</w:t>
            </w:r>
            <w:r>
              <w:rPr>
                <w:rFonts w:hint="eastAsia" w:ascii="Times New Roman" w:hAnsi="Times New Roman" w:eastAsia="仿宋_GB2312" w:cs="仿宋_GB2312"/>
                <w:sz w:val="24"/>
                <w:szCs w:val="24"/>
              </w:rPr>
              <w:t>深度加工</w:t>
            </w:r>
            <w:r>
              <w:rPr>
                <w:rFonts w:hint="eastAsia" w:ascii="Times New Roman" w:hAnsi="Times New Roman" w:eastAsia="仿宋_GB2312" w:cs="仿宋_GB2312"/>
                <w:bCs/>
                <w:sz w:val="24"/>
                <w:szCs w:val="24"/>
              </w:rPr>
              <w:t>—</w:t>
            </w:r>
            <w:r>
              <w:rPr>
                <w:rFonts w:hint="eastAsia" w:ascii="Times New Roman" w:hAnsi="Times New Roman" w:eastAsia="仿宋_GB2312" w:cs="仿宋_GB2312"/>
                <w:sz w:val="24"/>
                <w:szCs w:val="24"/>
              </w:rPr>
              <w:t>冷链物流</w:t>
            </w:r>
            <w:r>
              <w:rPr>
                <w:rFonts w:hint="eastAsia" w:ascii="Times New Roman" w:hAnsi="Times New Roman" w:eastAsia="仿宋_GB2312" w:cs="仿宋_GB2312"/>
                <w:bCs/>
                <w:sz w:val="24"/>
                <w:szCs w:val="24"/>
              </w:rPr>
              <w:t>—</w:t>
            </w:r>
            <w:r>
              <w:rPr>
                <w:rFonts w:hint="eastAsia" w:ascii="Times New Roman" w:hAnsi="Times New Roman" w:eastAsia="仿宋_GB2312" w:cs="仿宋_GB2312"/>
                <w:sz w:val="24"/>
                <w:szCs w:val="24"/>
              </w:rPr>
              <w:t>门店销售</w:t>
            </w:r>
            <w:r>
              <w:rPr>
                <w:rFonts w:hint="eastAsia" w:ascii="Times New Roman" w:hAnsi="Times New Roman" w:eastAsia="仿宋_GB2312" w:cs="仿宋_GB2312"/>
                <w:bCs/>
                <w:sz w:val="24"/>
                <w:szCs w:val="24"/>
              </w:rPr>
              <w:t>—</w:t>
            </w:r>
            <w:r>
              <w:rPr>
                <w:rFonts w:hint="eastAsia" w:ascii="Times New Roman" w:hAnsi="Times New Roman" w:eastAsia="仿宋_GB2312" w:cs="仿宋_GB2312"/>
                <w:sz w:val="24"/>
                <w:szCs w:val="24"/>
              </w:rPr>
              <w:t>观光旅游”为一体的现代化绿色食品产业集群。</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bCs/>
                <w:sz w:val="24"/>
                <w:szCs w:val="24"/>
              </w:rPr>
              <w:t>装备制造：</w:t>
            </w:r>
            <w:r>
              <w:rPr>
                <w:rFonts w:hint="eastAsia" w:ascii="Times New Roman" w:hAnsi="Times New Roman" w:eastAsia="仿宋_GB2312" w:cs="仿宋_GB2312"/>
                <w:sz w:val="24"/>
                <w:szCs w:val="24"/>
              </w:rPr>
              <w:t>重点培育电力机械、煤矿机械、包装机械、农业机械、汽车零部件等细分域，实现“龙头和配套共生、总装和零部件集聚”。</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
                <w:sz w:val="24"/>
                <w:szCs w:val="24"/>
              </w:rPr>
            </w:pPr>
            <w:r>
              <w:rPr>
                <w:rFonts w:hint="eastAsia" w:ascii="Times New Roman" w:hAnsi="Times New Roman" w:eastAsia="仿宋_GB2312" w:cs="仿宋_GB2312"/>
                <w:b/>
                <w:sz w:val="24"/>
                <w:szCs w:val="24"/>
              </w:rPr>
              <w:t>7.博爱经济技术开发区</w:t>
            </w:r>
          </w:p>
          <w:p>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Cs/>
                <w:sz w:val="24"/>
                <w:szCs w:val="24"/>
              </w:rPr>
              <w:t>依托新月铁路、焦唐高速、国道207、国道327、省道310、省道235等交通干线，打造装备制造、食品加工、新材料产业集群。</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装备制造：</w:t>
            </w:r>
            <w:r>
              <w:rPr>
                <w:rFonts w:hint="eastAsia" w:ascii="Times New Roman" w:hAnsi="Times New Roman" w:eastAsia="仿宋_GB2312" w:cs="仿宋_GB2312"/>
                <w:bCs/>
                <w:sz w:val="24"/>
                <w:szCs w:val="24"/>
              </w:rPr>
              <w:t>以发展汽车关键零部件为突破口，加强关键核心技术和零部件研发制造。精心培育凸轮轴、制动器等特色零部件集群，壮大轮胎、气缸套、轴承、车轮、动力电池等零部件制造规模；提升新能源汽车、中高级乘用车、中重卡车生产的配套能力，加快新能源汽车配件（电机）等关联产业培育。</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食品加工：</w:t>
            </w:r>
            <w:r>
              <w:rPr>
                <w:rFonts w:hint="eastAsia" w:ascii="Times New Roman" w:hAnsi="Times New Roman" w:eastAsia="仿宋_GB2312" w:cs="仿宋_GB2312"/>
                <w:bCs/>
                <w:sz w:val="24"/>
                <w:szCs w:val="24"/>
              </w:rPr>
              <w:t>重点发展功能食品、保健食品，加快主食产业化生产和商品化供应，形成休闲食品产业集群；打造屠宰、加工为特色的清真食品加工、配送基地，以方便面生产为特色的速食产品基地。重点发展牛羊肉屠宰分割、加工制造、连锁专卖和供应链服务于一体的牛羊肉食品加工产业链；重点发展绿色果蔬汁等研发、生产、销售于一体的低温饮品产业链；重点建立发展优质奶源基地，推广特色发展模式，实现优质生鲜乳就地加工、就地消费，提高奶源自给率。</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先进无机非金属及前沿新材料：</w:t>
            </w:r>
            <w:r>
              <w:rPr>
                <w:rFonts w:hint="eastAsia" w:ascii="Times New Roman" w:hAnsi="Times New Roman" w:eastAsia="仿宋_GB2312" w:cs="仿宋_GB2312"/>
                <w:bCs/>
                <w:sz w:val="24"/>
                <w:szCs w:val="24"/>
              </w:rPr>
              <w:t>重点发展先进无机非金属材料、高性能纤维及制品和复合材料，加快培育新型绿色建材、新型耐火材料、石墨烯环保材料、高强轻质合金、生物医药材料等细分领域，拉长延伸产业链条，扩大产业基础优势。</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
                <w:bCs/>
                <w:sz w:val="24"/>
                <w:szCs w:val="24"/>
              </w:rPr>
            </w:pPr>
            <w:r>
              <w:rPr>
                <w:rFonts w:hint="eastAsia" w:ascii="Times New Roman" w:hAnsi="Times New Roman" w:eastAsia="仿宋_GB2312" w:cs="仿宋_GB2312"/>
                <w:b/>
                <w:bCs/>
                <w:sz w:val="24"/>
                <w:szCs w:val="24"/>
              </w:rPr>
              <w:t>8.修武经济技术开发区</w:t>
            </w:r>
          </w:p>
          <w:p>
            <w:pPr>
              <w:keepNext w:val="0"/>
              <w:keepLines w:val="0"/>
              <w:pageBreakBefore w:val="0"/>
              <w:widowControl w:val="0"/>
              <w:kinsoku/>
              <w:wordWrap/>
              <w:overflowPunct/>
              <w:topLinePunct w:val="0"/>
              <w:autoSpaceDE/>
              <w:autoSpaceDN/>
              <w:bidi w:val="0"/>
              <w:adjustRightInd/>
              <w:snapToGrid/>
              <w:spacing w:line="400" w:lineRule="exact"/>
              <w:ind w:firstLine="560"/>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sz w:val="24"/>
                <w:szCs w:val="24"/>
              </w:rPr>
              <w:t>依托郑焦城际、新焦城际、菏宝高速、国道234、省道306等交通干线，打造装备制造、食品加工、电子信息</w:t>
            </w:r>
            <w:r>
              <w:rPr>
                <w:rFonts w:hint="eastAsia" w:ascii="Times New Roman" w:hAnsi="Times New Roman" w:eastAsia="仿宋_GB2312" w:cs="仿宋_GB2312"/>
                <w:bCs/>
                <w:sz w:val="24"/>
                <w:szCs w:val="24"/>
              </w:rPr>
              <w:t>产业集群</w:t>
            </w:r>
            <w:r>
              <w:rPr>
                <w:rFonts w:hint="eastAsia" w:ascii="Times New Roman" w:hAnsi="Times New Roman" w:eastAsia="仿宋_GB2312" w:cs="仿宋_GB2312"/>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bCs/>
                <w:sz w:val="24"/>
                <w:szCs w:val="24"/>
              </w:rPr>
              <w:t>装备制造：</w:t>
            </w:r>
            <w:r>
              <w:rPr>
                <w:rFonts w:hint="eastAsia" w:ascii="Times New Roman" w:hAnsi="Times New Roman" w:eastAsia="仿宋_GB2312" w:cs="仿宋_GB2312"/>
                <w:sz w:val="24"/>
                <w:szCs w:val="24"/>
              </w:rPr>
              <w:t>重点培育矿山机械、工程机械、环保装备等细分领域，加快现有高端智能矿机及配套项目建设，形成智能成套矿机装备全产业链。</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bCs/>
                <w:sz w:val="24"/>
                <w:szCs w:val="24"/>
              </w:rPr>
              <w:t>铝及铝加工：</w:t>
            </w:r>
            <w:r>
              <w:rPr>
                <w:rFonts w:hint="eastAsia" w:ascii="Times New Roman" w:hAnsi="Times New Roman" w:eastAsia="仿宋_GB2312" w:cs="仿宋_GB2312"/>
                <w:sz w:val="24"/>
                <w:szCs w:val="24"/>
              </w:rPr>
              <w:t>围绕延链补链和产业提质，加快新型铝合金型材研发生产，大力推动向高强高韧铝合金、高端精深铝合金加工延伸，重点发展航空航天、交通运输、电子信息等高附加值产品。</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ascii="Times New Roman" w:hAnsi="Times New Roman" w:cs="Arial"/>
                <w:sz w:val="28"/>
                <w:szCs w:val="24"/>
              </w:rPr>
            </w:pPr>
            <w:r>
              <w:rPr>
                <w:rFonts w:hint="eastAsia" w:ascii="Times New Roman" w:hAnsi="Times New Roman" w:eastAsia="仿宋_GB2312" w:cs="仿宋_GB2312"/>
                <w:b/>
                <w:bCs/>
                <w:sz w:val="24"/>
                <w:szCs w:val="24"/>
              </w:rPr>
              <w:t>电子信息：</w:t>
            </w:r>
            <w:r>
              <w:rPr>
                <w:rFonts w:hint="eastAsia" w:ascii="Times New Roman" w:hAnsi="Times New Roman" w:eastAsia="仿宋_GB2312" w:cs="仿宋_GB2312"/>
                <w:sz w:val="24"/>
                <w:szCs w:val="24"/>
              </w:rPr>
              <w:t>重点培育隔离器、适配器、准直器、波分器、磁性材料、锂电池等细分领域，加快高标准光电子新兴产业园和光子创客基地建设，着力培育“光元器件</w:t>
            </w:r>
            <w:r>
              <w:rPr>
                <w:rFonts w:hint="eastAsia" w:ascii="Times New Roman" w:hAnsi="Times New Roman" w:eastAsia="仿宋_GB2312" w:cs="仿宋_GB2312"/>
                <w:bCs/>
                <w:sz w:val="24"/>
                <w:szCs w:val="24"/>
              </w:rPr>
              <w:t>—</w:t>
            </w:r>
            <w:r>
              <w:rPr>
                <w:rFonts w:hint="eastAsia" w:ascii="Times New Roman" w:hAnsi="Times New Roman" w:eastAsia="仿宋_GB2312" w:cs="仿宋_GB2312"/>
                <w:sz w:val="24"/>
                <w:szCs w:val="24"/>
              </w:rPr>
              <w:t>模组</w:t>
            </w:r>
            <w:r>
              <w:rPr>
                <w:rFonts w:hint="eastAsia" w:ascii="Times New Roman" w:hAnsi="Times New Roman" w:eastAsia="仿宋_GB2312" w:cs="仿宋_GB2312"/>
                <w:bCs/>
                <w:sz w:val="24"/>
                <w:szCs w:val="24"/>
              </w:rPr>
              <w:t>—</w:t>
            </w:r>
            <w:r>
              <w:rPr>
                <w:rFonts w:hint="eastAsia" w:ascii="Times New Roman" w:hAnsi="Times New Roman" w:eastAsia="仿宋_GB2312" w:cs="仿宋_GB2312"/>
                <w:sz w:val="24"/>
                <w:szCs w:val="24"/>
              </w:rPr>
              <w:t>整机</w:t>
            </w:r>
            <w:r>
              <w:rPr>
                <w:rFonts w:hint="eastAsia" w:ascii="Times New Roman" w:hAnsi="Times New Roman" w:eastAsia="仿宋_GB2312" w:cs="仿宋_GB2312"/>
                <w:bCs/>
                <w:sz w:val="24"/>
                <w:szCs w:val="24"/>
              </w:rPr>
              <w:t>—</w:t>
            </w:r>
            <w:r>
              <w:rPr>
                <w:rFonts w:hint="eastAsia" w:ascii="Times New Roman" w:hAnsi="Times New Roman" w:eastAsia="仿宋_GB2312" w:cs="仿宋_GB2312"/>
                <w:sz w:val="24"/>
                <w:szCs w:val="24"/>
              </w:rPr>
              <w:t>装备”的光电及战略新兴产业集群。</w:t>
            </w:r>
          </w:p>
        </w:tc>
      </w:tr>
    </w:tbl>
    <w:p>
      <w:pPr>
        <w:pStyle w:val="6"/>
        <w:ind w:firstLine="482"/>
        <w:rPr>
          <w:rFonts w:hint="eastAsia" w:ascii="Times New Roman" w:hAnsi="Times New Roman" w:eastAsia="楷体_GB2312" w:cs="楷体_GB2312"/>
        </w:rPr>
      </w:pPr>
      <w:bookmarkStart w:id="227" w:name="_Toc96455147"/>
      <w:bookmarkStart w:id="228" w:name="_Toc4962"/>
      <w:r>
        <w:rPr>
          <w:rFonts w:hint="eastAsia" w:ascii="Times New Roman" w:hAnsi="Times New Roman" w:eastAsia="楷体_GB2312" w:cs="楷体_GB2312"/>
        </w:rPr>
        <w:t>（四）提升枢纽产业竞争力</w:t>
      </w:r>
      <w:bookmarkEnd w:id="227"/>
      <w:bookmarkEnd w:id="228"/>
    </w:p>
    <w:p>
      <w:pPr>
        <w:ind w:firstLine="643"/>
        <w:rPr>
          <w:rFonts w:hint="eastAsia" w:ascii="Times New Roman" w:hAnsi="Times New Roman" w:eastAsia="仿宋_GB2312" w:cs="仿宋_GB2312"/>
        </w:rPr>
      </w:pPr>
      <w:r>
        <w:rPr>
          <w:rFonts w:hint="eastAsia" w:ascii="Times New Roman" w:hAnsi="Times New Roman" w:eastAsia="仿宋_GB2312" w:cs="仿宋_GB2312"/>
          <w:b/>
          <w:bCs/>
        </w:rPr>
        <w:t>推动枢纽经济制造业高质量发展。</w:t>
      </w:r>
      <w:r>
        <w:rPr>
          <w:rFonts w:hint="eastAsia" w:ascii="Times New Roman" w:hAnsi="Times New Roman" w:eastAsia="仿宋_GB2312" w:cs="仿宋_GB2312"/>
        </w:rPr>
        <w:t>以新能源汽车、航空航天、高铁动车装备等为重点，推动交通装备制造业发展。以轨道交通用铝、车辆用铝、动力锂电池新型电解质等新型材料为重点，推动交通领域新型材料产业发展。围绕创建</w:t>
      </w:r>
      <w:r>
        <w:rPr>
          <w:rFonts w:hint="eastAsia" w:ascii="Times New Roman" w:hAnsi="Times New Roman" w:eastAsia="仿宋_GB2312" w:cs="仿宋_GB2312"/>
          <w:szCs w:val="32"/>
          <w:shd w:val="clear" w:color="auto" w:fill="FFFFFF"/>
        </w:rPr>
        <w:t>国家供应链创新与应用示范城市，</w:t>
      </w:r>
      <w:r>
        <w:rPr>
          <w:rFonts w:hint="eastAsia" w:ascii="Times New Roman" w:hAnsi="Times New Roman" w:eastAsia="仿宋_GB2312" w:cs="仿宋_GB2312"/>
        </w:rPr>
        <w:t>加强物流服务与生产供应链各个环节融合发展，鼓励物流企业和供应链管理企业为制造企业量身定做供应链管理库存、“线边物流”、供应链一体化服务等物流解决方案。鼓励物流企业依法合规面向中原内配、平原光电等生产制造企业开发物流大数据、云计算等产品，提高数据服务能力，协助制造企业及时感知市场变化，开展生产线柔性化改造，为用户提供个性化定制产品和服务。</w:t>
      </w:r>
    </w:p>
    <w:p>
      <w:pPr>
        <w:ind w:firstLine="643"/>
        <w:rPr>
          <w:rFonts w:hint="eastAsia" w:ascii="Times New Roman" w:hAnsi="Times New Roman" w:eastAsia="仿宋_GB2312" w:cs="仿宋_GB2312"/>
        </w:rPr>
      </w:pPr>
      <w:r>
        <w:rPr>
          <w:rFonts w:hint="eastAsia" w:ascii="Times New Roman" w:hAnsi="Times New Roman" w:eastAsia="仿宋_GB2312" w:cs="仿宋_GB2312"/>
          <w:b/>
          <w:bCs/>
        </w:rPr>
        <w:t>促进枢纽经济服务业扩容升级。</w:t>
      </w:r>
      <w:r>
        <w:rPr>
          <w:rFonts w:hint="eastAsia" w:ascii="Times New Roman" w:hAnsi="Times New Roman" w:eastAsia="仿宋_GB2312" w:cs="仿宋_GB2312"/>
        </w:rPr>
        <w:t>支撑生产性服务业发展，大力发展现代物流，以郑州、洛阳、太原及其他重要城市为重点，加强枢纽间合作互动，开展设施联通、平台对接、资本合作，加强国际物流、多式联运、干线运输、区域分拨等服务高效协同和一体运作，提高建材、粮食、工机、特色农产品、化工产品等商品物流竞争力；依托焦作西站等高铁站，大力发展总部经济和楼宇经济，引导总部办公、现代金融、科技服务、信息服务、商务会展等产业在高铁枢纽周边聚集，支撑创新创业、科技孵化、成果转化等价值创造，构建高铁高端商务商业圈。促进生活性服务业发展，围绕打造高能级文旅，加快构建“快进慢游”交通网络，配套建设交通旅游服务设施，提升交通旅游服务品质，推进交通旅游融合发展。积极发展商贸流通业，推动仓储、零担运输、电商、邮政、快递等各类企业向综合共配中心、分拨中心集聚，围绕快消品、农产品、药品、家电、快递件等重点领域，向商超、市场等提供统仓共配、及时配送服务；依托焦作金土地农产品市场等交易市场，完善市场功能和物流组织，拓展交易、结算、贸易等功能，增强商贸资源吸附能力。</w:t>
      </w:r>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widowControl/>
              <w:spacing w:line="360" w:lineRule="auto"/>
              <w:ind w:firstLine="0" w:firstLineChars="0"/>
              <w:jc w:val="center"/>
              <w:rPr>
                <w:rFonts w:ascii="Times New Roman" w:hAnsi="Times New Roman" w:eastAsia="黑体" w:cs="Arial"/>
                <w:sz w:val="28"/>
                <w:szCs w:val="32"/>
              </w:rPr>
            </w:pPr>
            <w:r>
              <w:rPr>
                <w:rFonts w:ascii="Times New Roman" w:hAnsi="Times New Roman" w:eastAsia="黑体" w:cs="宋体"/>
                <w:color w:val="000000"/>
                <w:kern w:val="0"/>
                <w:sz w:val="28"/>
                <w:szCs w:val="28"/>
              </w:rPr>
              <w:t>专栏</w:t>
            </w:r>
            <w:r>
              <w:rPr>
                <w:rFonts w:ascii="Times New Roman" w:hAnsi="Times New Roman" w:eastAsia="黑体" w:cs="Times New Roman"/>
                <w:color w:val="000000"/>
                <w:kern w:val="0"/>
                <w:sz w:val="28"/>
                <w:szCs w:val="28"/>
              </w:rPr>
              <w:t>18</w:t>
            </w:r>
            <w:r>
              <w:rPr>
                <w:rFonts w:ascii="Times New Roman" w:hAnsi="Times New Roman" w:eastAsia="黑体" w:cs="宋体"/>
                <w:color w:val="000000"/>
                <w:kern w:val="0"/>
                <w:sz w:val="28"/>
                <w:szCs w:val="28"/>
              </w:rPr>
              <w:t xml:space="preserve">  </w:t>
            </w:r>
            <w:r>
              <w:rPr>
                <w:rFonts w:hint="eastAsia" w:ascii="Times New Roman" w:hAnsi="Times New Roman" w:eastAsia="黑体" w:cs="宋体"/>
                <w:color w:val="000000"/>
                <w:kern w:val="0"/>
                <w:sz w:val="28"/>
                <w:szCs w:val="28"/>
              </w:rPr>
              <w:t>交通运输与文化旅游融合工程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构建“快进慢游”交通网络。</w:t>
            </w:r>
            <w:r>
              <w:rPr>
                <w:rFonts w:hint="eastAsia" w:ascii="Times New Roman" w:hAnsi="Times New Roman" w:eastAsia="仿宋_GB2312" w:cs="仿宋_GB2312"/>
                <w:bCs/>
                <w:sz w:val="24"/>
                <w:szCs w:val="24"/>
              </w:rPr>
              <w:t>依托高（快）速铁路、高速公路等，构建“快进”旅游通道，为游客提供快速、便捷的旅游通达服务，实现远距离快速进出目的地。依托普通干线公路、农村公路等，建设集“吃住行游购娱”于一体的“慢游”交通网络。按照“主题化、精品化”原则，建设一批与沿线景观风貌和旅游资源融为一体的精品旅游示范线路，重点推进王园线生态风景廊道、南太行旅游公路等旅游公路建设，实现道路从单一的交通功能向交通、游憩和保护等复合功能的转变。</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建设交通旅游服务设施。</w:t>
            </w:r>
            <w:r>
              <w:rPr>
                <w:rFonts w:hint="eastAsia" w:ascii="Times New Roman" w:hAnsi="Times New Roman" w:eastAsia="仿宋_GB2312" w:cs="仿宋_GB2312"/>
                <w:bCs/>
                <w:sz w:val="24"/>
                <w:szCs w:val="24"/>
              </w:rPr>
              <w:t>推进神农山、青龙峡等旅游客运站及旅游集散中心建设，提供内外交通转换、车辆租赁、大型停车、景区解说、咨询等服务。依托省道230、王园线等，根据沿线景观特点，增设融合太极文化、黄河文化、怀药文化等元素的驿站、观景台、自驾车营地、绿道、停车场等服务设施，打造旅游风景道，完善公路旅游服务功能。完善景区、旅游公路沿线、客运站等重要节点的旅游交通导引标识。</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ascii="Times New Roman" w:hAnsi="Times New Roman" w:cs="Arial"/>
                <w:bCs/>
                <w:sz w:val="28"/>
                <w:szCs w:val="24"/>
              </w:rPr>
            </w:pPr>
            <w:r>
              <w:rPr>
                <w:rFonts w:hint="eastAsia" w:ascii="Times New Roman" w:hAnsi="Times New Roman" w:eastAsia="仿宋_GB2312" w:cs="仿宋_GB2312"/>
                <w:b/>
                <w:sz w:val="24"/>
                <w:szCs w:val="24"/>
              </w:rPr>
              <w:t>提升交通旅游服务品质。</w:t>
            </w:r>
            <w:r>
              <w:rPr>
                <w:rFonts w:hint="eastAsia" w:ascii="Times New Roman" w:hAnsi="Times New Roman" w:eastAsia="仿宋_GB2312" w:cs="仿宋_GB2312"/>
                <w:bCs/>
                <w:sz w:val="24"/>
                <w:szCs w:val="24"/>
              </w:rPr>
              <w:t>以多层次客运网络为依托，通过发展旅游包车、旅游专列、旅游公交、低空飞行、智慧出租等形式，完善旅游客运服务。支持在焦作旅游客运站、焦作西站等客运站、火车站附近建设“落地自驾、异地还车”自驾车租赁网络，进一步完善出租车停泊点，实现车站与景区间无缝对接。实施“车票+景区门票”“车票+宾馆”“车票+1至3日游”等模式，为游客提供多元化的运输服务。</w:t>
            </w:r>
          </w:p>
        </w:tc>
      </w:tr>
    </w:tbl>
    <w:p>
      <w:pPr>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eastAsia" w:ascii="Times New Roman" w:hAnsi="Times New Roman" w:eastAsia="仿宋_GB2312" w:cs="仿宋_GB2312"/>
          <w:szCs w:val="32"/>
          <w:shd w:val="clear" w:color="auto" w:fill="FFFFFF"/>
        </w:rPr>
      </w:pPr>
      <w:r>
        <w:rPr>
          <w:rFonts w:hint="eastAsia" w:ascii="Times New Roman" w:hAnsi="Times New Roman" w:eastAsia="仿宋_GB2312" w:cs="仿宋_GB2312"/>
          <w:b/>
          <w:bCs/>
        </w:rPr>
        <w:t>推进枢纽经济农业现代化。</w:t>
      </w:r>
      <w:r>
        <w:rPr>
          <w:rFonts w:hint="eastAsia" w:ascii="Times New Roman" w:hAnsi="Times New Roman" w:eastAsia="仿宋_GB2312" w:cs="仿宋_GB2312"/>
        </w:rPr>
        <w:t>持续推进“四好农村路”建设，加快通往现代农业产业基地等的公路提档升级，打造乡村资源路、产业路，构建覆盖城乡、串联村镇的农村交通经济环线。统筹推进农村客运、物流、邮政快递融合发展，创新农产品物流经营模式，开展多品种经营和“产销双向合作”，促进农产品产业链、供应链相互融合，打造产运销一体化农村物流服务体系。以乳制品、肉品和果蔬等为重点，大力发展冷链物流，推进以产地预冷库、保鲜气调冷库、低温冷冻库等冷链仓储为核心功能的冷链物流园区、冷链配送中心等基础设施建设，发展“生鲜电商+冷链宅配”“中央厨房+食材冷链配送”等冷链物流新模式，加强冷链物流全程监控，保障生鲜农产品品质和消费安全。</w:t>
      </w:r>
    </w:p>
    <w:p>
      <w:pPr>
        <w:pStyle w:val="5"/>
        <w:pageBreakBefore w:val="0"/>
        <w:widowControl w:val="0"/>
        <w:kinsoku/>
        <w:wordWrap/>
        <w:overflowPunct/>
        <w:topLinePunct w:val="0"/>
        <w:autoSpaceDE/>
        <w:autoSpaceDN/>
        <w:bidi w:val="0"/>
        <w:adjustRightInd/>
        <w:snapToGrid/>
        <w:spacing w:before="0" w:after="0" w:line="580" w:lineRule="exact"/>
        <w:ind w:firstLine="720" w:firstLineChars="200"/>
        <w:jc w:val="both"/>
        <w:textAlignment w:val="auto"/>
        <w:rPr>
          <w:rFonts w:ascii="Times New Roman" w:hAnsi="Times New Roman"/>
          <w:b w:val="0"/>
          <w:bCs w:val="0"/>
        </w:rPr>
      </w:pPr>
      <w:bookmarkStart w:id="229" w:name="_Toc96455148"/>
      <w:bookmarkStart w:id="230" w:name="_Toc7657"/>
      <w:r>
        <w:rPr>
          <w:rFonts w:hint="eastAsia" w:ascii="Times New Roman" w:hAnsi="Times New Roman"/>
          <w:b w:val="0"/>
          <w:bCs w:val="0"/>
        </w:rPr>
        <w:t>八、推进智慧绿色安全可持续发展</w:t>
      </w:r>
      <w:bookmarkEnd w:id="229"/>
      <w:bookmarkEnd w:id="230"/>
    </w:p>
    <w:p>
      <w:pPr>
        <w:pStyle w:val="6"/>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楷体_GB2312" w:cs="楷体_GB2312"/>
        </w:rPr>
      </w:pPr>
      <w:bookmarkStart w:id="231" w:name="_Toc96455149"/>
      <w:bookmarkStart w:id="232" w:name="_Toc27890"/>
      <w:bookmarkStart w:id="233" w:name="_Hlk45037698"/>
      <w:bookmarkStart w:id="234" w:name="_Hlk45030257"/>
      <w:r>
        <w:rPr>
          <w:rFonts w:hint="eastAsia" w:ascii="Times New Roman" w:hAnsi="Times New Roman" w:eastAsia="楷体_GB2312" w:cs="楷体_GB2312"/>
        </w:rPr>
        <w:t>（一）提升信息化智能化水平</w:t>
      </w:r>
      <w:bookmarkEnd w:id="231"/>
      <w:bookmarkEnd w:id="232"/>
    </w:p>
    <w:p>
      <w:pPr>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仿宋_GB2312" w:cs="仿宋_GB2312"/>
        </w:rPr>
      </w:pPr>
      <w:r>
        <w:rPr>
          <w:rFonts w:hint="eastAsia" w:ascii="Times New Roman" w:hAnsi="Times New Roman" w:eastAsia="仿宋_GB2312" w:cs="仿宋_GB2312"/>
          <w:b/>
          <w:bCs/>
        </w:rPr>
        <w:t>推进新型交通基础设施建设。</w:t>
      </w:r>
      <w:r>
        <w:rPr>
          <w:rFonts w:hint="eastAsia" w:ascii="Times New Roman" w:hAnsi="Times New Roman" w:eastAsia="仿宋_GB2312" w:cs="仿宋_GB2312"/>
        </w:rPr>
        <w:t>加快推动5G、物联网、边缘计算、机器视觉等新技术的应用，提升交通运载工具、装备、路网、枢纽、场站等交通基础设施的数字化水平，实现对人、车、路、环境、信息等交通要素的全面感知和泛在联接。选取国道207等部分路段、焦作西站等部分节点为试点，推进智慧公路、智慧客运枢纽建设，在试点成功基础上，再进行大面积推广。</w:t>
      </w:r>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widowControl/>
              <w:spacing w:line="360" w:lineRule="auto"/>
              <w:ind w:firstLine="0" w:firstLineChars="0"/>
              <w:jc w:val="center"/>
              <w:rPr>
                <w:rFonts w:ascii="Times New Roman" w:hAnsi="Times New Roman" w:eastAsia="黑体" w:cs="Arial"/>
                <w:sz w:val="28"/>
                <w:szCs w:val="32"/>
              </w:rPr>
            </w:pPr>
            <w:r>
              <w:rPr>
                <w:rFonts w:ascii="Times New Roman" w:hAnsi="Times New Roman" w:eastAsia="黑体" w:cs="宋体"/>
                <w:color w:val="000000"/>
                <w:kern w:val="0"/>
                <w:sz w:val="28"/>
                <w:szCs w:val="28"/>
              </w:rPr>
              <w:t>专栏</w:t>
            </w:r>
            <w:r>
              <w:rPr>
                <w:rFonts w:ascii="Times New Roman" w:hAnsi="Times New Roman" w:eastAsia="黑体" w:cs="Times New Roman"/>
                <w:color w:val="000000"/>
                <w:kern w:val="0"/>
                <w:sz w:val="28"/>
                <w:szCs w:val="28"/>
              </w:rPr>
              <w:t>19</w:t>
            </w:r>
            <w:r>
              <w:rPr>
                <w:rFonts w:ascii="Times New Roman" w:hAnsi="Times New Roman" w:eastAsia="黑体" w:cs="宋体"/>
                <w:color w:val="000000"/>
                <w:kern w:val="0"/>
                <w:sz w:val="28"/>
                <w:szCs w:val="28"/>
              </w:rPr>
              <w:t xml:space="preserve">  </w:t>
            </w:r>
            <w:r>
              <w:rPr>
                <w:rFonts w:hint="eastAsia" w:ascii="Times New Roman" w:hAnsi="Times New Roman" w:eastAsia="黑体" w:cs="宋体"/>
                <w:color w:val="000000"/>
                <w:kern w:val="0"/>
                <w:sz w:val="28"/>
                <w:szCs w:val="28"/>
              </w:rPr>
              <w:t>“十四五”新型交通基础设施建设工程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智慧公路。</w:t>
            </w:r>
            <w:r>
              <w:rPr>
                <w:rFonts w:hint="eastAsia" w:ascii="Times New Roman" w:hAnsi="Times New Roman" w:eastAsia="仿宋_GB2312" w:cs="仿宋_GB2312"/>
                <w:bCs/>
                <w:sz w:val="24"/>
                <w:szCs w:val="24"/>
              </w:rPr>
              <w:t>依托沿黄高速、焦平高速焦作至荥阳段等项目建设，深化高速公路电子不停车收费系统（ETC）门架应用，推进车路协同等设施建设，丰富车路协同应用场景。依托国道207、国道327等前期已布设外场设备的国省干线，继续完善基础设施及交通运行监测传感网，建设集监测、应急、管控于一体的智慧路网云控平台。应用公路智能养护设施设备，提升公路检查、监测、风险预警、养护决策的快速化、自动化、智能化水平。</w:t>
            </w:r>
          </w:p>
          <w:p>
            <w:pPr>
              <w:keepNext w:val="0"/>
              <w:keepLines w:val="0"/>
              <w:pageBreakBefore w:val="0"/>
              <w:widowControl w:val="0"/>
              <w:kinsoku/>
              <w:wordWrap/>
              <w:overflowPunct/>
              <w:topLinePunct w:val="0"/>
              <w:autoSpaceDE/>
              <w:autoSpaceDN/>
              <w:bidi w:val="0"/>
              <w:adjustRightInd/>
              <w:snapToGrid/>
              <w:spacing w:line="400" w:lineRule="exact"/>
              <w:ind w:firstLine="562"/>
              <w:textAlignment w:val="auto"/>
              <w:rPr>
                <w:rFonts w:ascii="Times New Roman" w:hAnsi="Times New Roman" w:cs="Arial"/>
                <w:sz w:val="28"/>
                <w:szCs w:val="24"/>
              </w:rPr>
            </w:pPr>
            <w:r>
              <w:rPr>
                <w:rFonts w:hint="eastAsia" w:ascii="Times New Roman" w:hAnsi="Times New Roman" w:eastAsia="仿宋_GB2312" w:cs="仿宋_GB2312"/>
                <w:b/>
                <w:bCs/>
                <w:sz w:val="24"/>
                <w:szCs w:val="24"/>
              </w:rPr>
              <w:t>智慧客运枢纽。</w:t>
            </w:r>
            <w:r>
              <w:rPr>
                <w:rFonts w:hint="eastAsia" w:ascii="Times New Roman" w:hAnsi="Times New Roman" w:eastAsia="仿宋_GB2312" w:cs="仿宋_GB2312"/>
                <w:sz w:val="24"/>
                <w:szCs w:val="24"/>
              </w:rPr>
              <w:t>依托焦作西站、修武西站综合客运枢纽，开展客运售票、检票、安检等服务设施设备智能化建设，推进枢纽内部智能导航设施建设，推广基于电子客票的智慧联程服务，构建铁路、公路一体衔接的全程电子化服务体系。</w:t>
            </w:r>
          </w:p>
        </w:tc>
      </w:tr>
    </w:tbl>
    <w:p>
      <w:pPr>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eastAsia" w:ascii="Times New Roman" w:hAnsi="Times New Roman" w:eastAsia="仿宋_GB2312" w:cs="仿宋_GB2312"/>
        </w:rPr>
      </w:pPr>
      <w:r>
        <w:rPr>
          <w:rFonts w:hint="eastAsia" w:ascii="Times New Roman" w:hAnsi="Times New Roman" w:eastAsia="仿宋_GB2312" w:cs="仿宋_GB2312"/>
          <w:b/>
          <w:bCs/>
        </w:rPr>
        <w:t>提升交通运输行业管理智能化。</w:t>
      </w:r>
      <w:r>
        <w:rPr>
          <w:rFonts w:hint="eastAsia" w:ascii="Times New Roman" w:hAnsi="Times New Roman" w:eastAsia="仿宋_GB2312" w:cs="仿宋_GB2312"/>
        </w:rPr>
        <w:t>建设交通运输大数据中心，整合交通运输各领域信息资源，推进数据开放共享，对接省交通运输厅以及市级综合数据交换和共享平台，实现跨地区、跨行业、跨部门的数据交换共享，有效支撑政府决策、行业监管、公众服务和企业服务。依托交通运输大数据中心，重点建设综合行政执法电子化管理系统、综合交通运输监管系统、综合交通应急指挥调度系统、OA办公管理信息系统，后期可根据业务需要继续拓展建设其他应用系统。</w:t>
      </w:r>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widowControl/>
              <w:spacing w:line="360" w:lineRule="auto"/>
              <w:ind w:firstLine="0" w:firstLineChars="0"/>
              <w:jc w:val="center"/>
              <w:rPr>
                <w:rFonts w:ascii="Times New Roman" w:hAnsi="Times New Roman" w:eastAsia="黑体" w:cs="Arial"/>
                <w:sz w:val="28"/>
                <w:szCs w:val="32"/>
              </w:rPr>
            </w:pPr>
            <w:r>
              <w:rPr>
                <w:rFonts w:ascii="Times New Roman" w:hAnsi="Times New Roman" w:eastAsia="黑体" w:cs="宋体"/>
                <w:color w:val="000000"/>
                <w:kern w:val="0"/>
                <w:sz w:val="28"/>
                <w:szCs w:val="28"/>
              </w:rPr>
              <w:t>专栏</w:t>
            </w:r>
            <w:r>
              <w:rPr>
                <w:rFonts w:ascii="Times New Roman" w:hAnsi="Times New Roman" w:eastAsia="楷体" w:cs="Times New Roman"/>
                <w:color w:val="000000"/>
                <w:kern w:val="0"/>
                <w:sz w:val="28"/>
                <w:szCs w:val="28"/>
              </w:rPr>
              <w:t>20</w:t>
            </w:r>
            <w:r>
              <w:rPr>
                <w:rFonts w:ascii="Times New Roman" w:hAnsi="Times New Roman" w:eastAsia="黑体" w:cs="宋体"/>
                <w:color w:val="000000"/>
                <w:kern w:val="0"/>
                <w:sz w:val="28"/>
                <w:szCs w:val="28"/>
              </w:rPr>
              <w:t xml:space="preserve">  </w:t>
            </w:r>
            <w:r>
              <w:rPr>
                <w:rFonts w:hint="eastAsia" w:ascii="Times New Roman" w:hAnsi="Times New Roman" w:eastAsia="黑体" w:cs="宋体"/>
                <w:color w:val="000000"/>
                <w:kern w:val="0"/>
                <w:sz w:val="28"/>
                <w:szCs w:val="28"/>
              </w:rPr>
              <w:t>“一中心四系统”建设工程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38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sz w:val="24"/>
                <w:szCs w:val="24"/>
              </w:rPr>
              <w:t>交通运输大数据中心。</w:t>
            </w:r>
            <w:r>
              <w:rPr>
                <w:rFonts w:hint="eastAsia" w:ascii="Times New Roman" w:hAnsi="Times New Roman" w:eastAsia="仿宋_GB2312" w:cs="仿宋_GB2312"/>
                <w:sz w:val="24"/>
                <w:szCs w:val="24"/>
              </w:rPr>
              <w:t>建设焦作市交通运输大数据中心，加强运政、联网联控、执法、公交、出租车、班线客运等各领域系统在线信息资源整合力度，构建全市统一的数据交换与共享平台、地理信息服务平台、位置信息监控平台、视频图像综合管理平台，实现运行监测、应急处置、大数据分析、信息发布等行业信息化建设的集中部署和集中管理。</w:t>
            </w:r>
          </w:p>
          <w:p>
            <w:pPr>
              <w:keepNext w:val="0"/>
              <w:keepLines w:val="0"/>
              <w:pageBreakBefore w:val="0"/>
              <w:widowControl w:val="0"/>
              <w:kinsoku/>
              <w:wordWrap/>
              <w:overflowPunct/>
              <w:topLinePunct w:val="0"/>
              <w:autoSpaceDE/>
              <w:autoSpaceDN/>
              <w:bidi w:val="0"/>
              <w:adjustRightInd/>
              <w:snapToGrid/>
              <w:spacing w:line="38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sz w:val="24"/>
                <w:szCs w:val="24"/>
              </w:rPr>
              <w:t>综合行政执法电子化管理系统。</w:t>
            </w:r>
            <w:r>
              <w:rPr>
                <w:rFonts w:hint="eastAsia" w:ascii="Times New Roman" w:hAnsi="Times New Roman" w:eastAsia="仿宋_GB2312" w:cs="仿宋_GB2312"/>
                <w:bCs/>
                <w:sz w:val="24"/>
                <w:szCs w:val="24"/>
              </w:rPr>
              <w:t>建设焦作市交通综</w:t>
            </w:r>
            <w:r>
              <w:rPr>
                <w:rFonts w:hint="eastAsia" w:ascii="Times New Roman" w:hAnsi="Times New Roman" w:eastAsia="仿宋_GB2312" w:cs="仿宋_GB2312"/>
                <w:sz w:val="24"/>
                <w:szCs w:val="24"/>
              </w:rPr>
              <w:t>合行政执法电子化管理系统，覆盖全市定点治超、流动治超、高速公路治超、治超非现场执法、货运源头治超、一超四罚、信用治超等执法门类，并与省治超信息系统进行对接，以现代化科技手段规范执法队伍管理，加大执法监管力度，促进跨区域跨部门协同执法。</w:t>
            </w:r>
          </w:p>
          <w:p>
            <w:pPr>
              <w:keepNext w:val="0"/>
              <w:keepLines w:val="0"/>
              <w:pageBreakBefore w:val="0"/>
              <w:widowControl w:val="0"/>
              <w:kinsoku/>
              <w:wordWrap/>
              <w:overflowPunct/>
              <w:topLinePunct w:val="0"/>
              <w:autoSpaceDE/>
              <w:autoSpaceDN/>
              <w:bidi w:val="0"/>
              <w:adjustRightInd/>
              <w:snapToGrid/>
              <w:spacing w:line="38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bCs/>
                <w:sz w:val="24"/>
                <w:szCs w:val="24"/>
              </w:rPr>
              <w:t>综合交通运输监管系统。</w:t>
            </w:r>
            <w:r>
              <w:rPr>
                <w:rFonts w:hint="eastAsia" w:ascii="Times New Roman" w:hAnsi="Times New Roman" w:eastAsia="仿宋_GB2312" w:cs="仿宋_GB2312"/>
                <w:sz w:val="24"/>
                <w:szCs w:val="24"/>
              </w:rPr>
              <w:t>建设焦作市综合交通运输监管系统，加强事前、事中监管，重点实现非法营运排查、违规营运监管、农村客运监管、12328电话服务、道路运输安全码、统计分析和监管移动终端应用等功能，不断提升预警预判能力，确保交通运输系统安全、平稳运行。</w:t>
            </w:r>
          </w:p>
          <w:p>
            <w:pPr>
              <w:keepNext w:val="0"/>
              <w:keepLines w:val="0"/>
              <w:pageBreakBefore w:val="0"/>
              <w:widowControl w:val="0"/>
              <w:kinsoku/>
              <w:wordWrap/>
              <w:overflowPunct/>
              <w:topLinePunct w:val="0"/>
              <w:autoSpaceDE/>
              <w:autoSpaceDN/>
              <w:bidi w:val="0"/>
              <w:adjustRightInd/>
              <w:snapToGrid/>
              <w:spacing w:line="380" w:lineRule="exact"/>
              <w:ind w:firstLine="562"/>
              <w:textAlignment w:val="auto"/>
              <w:rPr>
                <w:rFonts w:hint="eastAsia" w:ascii="Times New Roman" w:hAnsi="Times New Roman" w:eastAsia="仿宋_GB2312" w:cs="仿宋_GB2312"/>
                <w:sz w:val="24"/>
                <w:szCs w:val="24"/>
              </w:rPr>
            </w:pPr>
            <w:r>
              <w:rPr>
                <w:rFonts w:hint="eastAsia" w:ascii="Times New Roman" w:hAnsi="Times New Roman" w:eastAsia="仿宋_GB2312" w:cs="仿宋_GB2312"/>
                <w:b/>
                <w:sz w:val="24"/>
                <w:szCs w:val="24"/>
              </w:rPr>
              <w:t>综合交通应急指挥调度系统。</w:t>
            </w:r>
            <w:r>
              <w:rPr>
                <w:rFonts w:hint="eastAsia" w:ascii="Times New Roman" w:hAnsi="Times New Roman" w:eastAsia="仿宋_GB2312" w:cs="仿宋_GB2312"/>
                <w:bCs/>
                <w:sz w:val="24"/>
                <w:szCs w:val="24"/>
              </w:rPr>
              <w:t>以“两客一危”运输平台为基础，联合铁路、公路、水路、邮政等资源，加强与公安、卫生、宣传、气象等部门的协调合作，建立跨方式、跨部门综合交通预警、应急协调机制，推动综合交通应急指挥调度平台建设，加强救援体系信息互联互通，提升不同运输方式间联防、联控和联动能力。建立应急物资和运力运输资源信息共享体系，提高应急救援效率。</w:t>
            </w:r>
          </w:p>
          <w:p>
            <w:pPr>
              <w:keepNext w:val="0"/>
              <w:keepLines w:val="0"/>
              <w:pageBreakBefore w:val="0"/>
              <w:widowControl w:val="0"/>
              <w:kinsoku/>
              <w:wordWrap/>
              <w:overflowPunct/>
              <w:topLinePunct w:val="0"/>
              <w:autoSpaceDE/>
              <w:autoSpaceDN/>
              <w:bidi w:val="0"/>
              <w:adjustRightInd/>
              <w:snapToGrid/>
              <w:spacing w:line="380" w:lineRule="exact"/>
              <w:ind w:firstLine="562"/>
              <w:textAlignment w:val="auto"/>
              <w:rPr>
                <w:rFonts w:ascii="Times New Roman" w:hAnsi="Times New Roman" w:cs="Arial"/>
                <w:sz w:val="24"/>
                <w:szCs w:val="24"/>
              </w:rPr>
            </w:pPr>
            <w:r>
              <w:rPr>
                <w:rFonts w:hint="eastAsia" w:ascii="Times New Roman" w:hAnsi="Times New Roman" w:eastAsia="仿宋_GB2312" w:cs="仿宋_GB2312"/>
                <w:b/>
                <w:sz w:val="24"/>
                <w:szCs w:val="24"/>
              </w:rPr>
              <w:t>OA办公管理信息系统。</w:t>
            </w:r>
            <w:r>
              <w:rPr>
                <w:rFonts w:hint="eastAsia" w:ascii="Times New Roman" w:hAnsi="Times New Roman" w:eastAsia="仿宋_GB2312" w:cs="仿宋_GB2312"/>
                <w:sz w:val="24"/>
                <w:szCs w:val="24"/>
              </w:rPr>
              <w:t>建设焦作市交通运输OA办公管理信息系统，加强与省交通运输厅办公系统以及市委市政府各部门办公系统的无缝对接，实现交通政务办公和信息交换的自动化</w:t>
            </w:r>
            <w:r>
              <w:rPr>
                <w:rFonts w:hint="eastAsia" w:ascii="Times New Roman" w:hAnsi="Times New Roman" w:cs="Arial"/>
                <w:sz w:val="28"/>
                <w:szCs w:val="24"/>
              </w:rPr>
              <w:t>、电子化、网络化，提高管理部门行政效率。</w:t>
            </w:r>
          </w:p>
        </w:tc>
      </w:tr>
    </w:tbl>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仿宋_GB2312" w:cs="仿宋_GB2312"/>
        </w:rPr>
      </w:pPr>
      <w:r>
        <w:rPr>
          <w:rFonts w:hint="eastAsia" w:ascii="Times New Roman" w:hAnsi="Times New Roman" w:eastAsia="仿宋_GB2312" w:cs="仿宋_GB2312"/>
          <w:b/>
          <w:bCs/>
        </w:rPr>
        <w:t>推动“互联网+”运输服务。</w:t>
      </w:r>
      <w:r>
        <w:rPr>
          <w:rFonts w:hint="eastAsia" w:ascii="Times New Roman" w:hAnsi="Times New Roman" w:eastAsia="仿宋_GB2312" w:cs="仿宋_GB2312"/>
        </w:rPr>
        <w:t>推进“互联网+公众出行”，在全市三级以上公路客运站推广电子客票，鼓励企业提供旅客联程、往返、异地出行票务服务。为全市出租车安装智能车载终端，建设巡游出租汽车公共信息服务平台，提供智能派单、应急救援、寻人寻物等服务。在焦作新区试点建设无人驾驶公交线路，并逐步推广应用。推进“</w:t>
      </w:r>
      <w:r>
        <w:rPr>
          <w:rFonts w:hint="eastAsia" w:ascii="Times New Roman" w:hAnsi="Times New Roman" w:eastAsia="仿宋_GB2312" w:cs="仿宋_GB2312"/>
          <w:kern w:val="0"/>
          <w:szCs w:val="32"/>
        </w:rPr>
        <w:t>互联网+高效物流</w:t>
      </w:r>
      <w:r>
        <w:rPr>
          <w:rFonts w:hint="eastAsia" w:ascii="Times New Roman" w:hAnsi="Times New Roman" w:eastAsia="仿宋_GB2312" w:cs="仿宋_GB2312"/>
        </w:rPr>
        <w:t>”，</w:t>
      </w:r>
      <w:bookmarkStart w:id="235" w:name="_Hlk57388461"/>
      <w:r>
        <w:rPr>
          <w:rFonts w:hint="eastAsia" w:ascii="Times New Roman" w:hAnsi="Times New Roman" w:eastAsia="仿宋_GB2312" w:cs="仿宋_GB2312"/>
        </w:rPr>
        <w:t>鼓励和支持货运物流企业建设智能仓储设施网络和末端配送网络，整合各类社会仓储资源，提高物流配送效率。大力发展网络货运，支撑货源、运力、场站设施等资源跨市域一体化配置。</w:t>
      </w:r>
      <w:bookmarkEnd w:id="235"/>
    </w:p>
    <w:bookmarkEnd w:id="233"/>
    <w:bookmarkEnd w:id="234"/>
    <w:p>
      <w:pPr>
        <w:pStyle w:val="6"/>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楷体_GB2312" w:cs="楷体_GB2312"/>
        </w:rPr>
      </w:pPr>
      <w:bookmarkStart w:id="236" w:name="_Toc96455150"/>
      <w:bookmarkStart w:id="237" w:name="_Toc7915"/>
      <w:bookmarkStart w:id="238" w:name="_Hlk45037654"/>
      <w:bookmarkStart w:id="239" w:name="_Toc42075779"/>
      <w:r>
        <w:rPr>
          <w:rFonts w:hint="eastAsia" w:ascii="Times New Roman" w:hAnsi="Times New Roman" w:eastAsia="楷体_GB2312" w:cs="楷体_GB2312"/>
        </w:rPr>
        <w:t>（二）推进低碳循环绿色发展</w:t>
      </w:r>
      <w:bookmarkEnd w:id="236"/>
      <w:bookmarkEnd w:id="237"/>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仿宋_GB2312" w:cs="仿宋_GB2312"/>
        </w:rPr>
      </w:pPr>
      <w:bookmarkStart w:id="240" w:name="_Hlk45037733"/>
      <w:r>
        <w:rPr>
          <w:rFonts w:hint="eastAsia" w:ascii="Times New Roman" w:hAnsi="Times New Roman" w:eastAsia="仿宋_GB2312" w:cs="仿宋_GB2312"/>
          <w:b/>
          <w:bCs/>
        </w:rPr>
        <w:t>促进资源节约集约利用。</w:t>
      </w:r>
      <w:r>
        <w:rPr>
          <w:rFonts w:hint="eastAsia" w:ascii="Times New Roman" w:hAnsi="Times New Roman" w:eastAsia="仿宋_GB2312" w:cs="仿宋_GB2312"/>
        </w:rPr>
        <w:t>统筹交通线路、枢纽场站等设施布局，集约利用土地、通道等资源，推进郑焦高速和郑州都市圈轨道交通S4线等跨黄河通道桥位资源统筹利用，在焦作西站推广交通空间综合立体开发利用模式。加大资源综合利用和循环利用技术推广力度，促进废旧资源再生、循环和综合利用，大力推进沥青混凝土路面材料再生利用、废旧轮胎胶粉改性沥青筑路应用。推进邮件快件包装减量化、绿色化、可循环，推广应用“减肥”纸箱、“瘦身”胶带、可循环中转袋、共享快递盒，回收利用填充物等快递包装。</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仿宋_GB2312" w:cs="仿宋_GB2312"/>
        </w:rPr>
      </w:pPr>
      <w:r>
        <w:rPr>
          <w:rFonts w:hint="eastAsia" w:ascii="Times New Roman" w:hAnsi="Times New Roman" w:eastAsia="仿宋_GB2312" w:cs="仿宋_GB2312"/>
          <w:b/>
          <w:bCs/>
        </w:rPr>
        <w:t>强化交通生态环境保护。</w:t>
      </w:r>
      <w:r>
        <w:rPr>
          <w:rFonts w:hint="eastAsia" w:ascii="Times New Roman" w:hAnsi="Times New Roman" w:eastAsia="仿宋_GB2312" w:cs="仿宋_GB2312"/>
        </w:rPr>
        <w:t>加强公路建设方案设计的比选优化，合理绕避永久基本农田、环境敏感区和灾害易发区，尽可能少占用具有重要生态功能的国土空间，强化全过程环境保护评价和验收工作。将绿色发展理念贯穿公路规划、设计、建设、运营、管理等过程，积极开展绿色公路、美丽公路、生态公路创建活动，推进绿色公路示范工程建设。继续推广公路边坡植被防护，持续改善路域环境，有效发挥绿化、固碳功能，提升交通设施生态功能和景观品质，结合焦作丰富旅游资源以及黄河流域生态保护需要，建设</w:t>
      </w:r>
      <w:r>
        <w:rPr>
          <w:rFonts w:hint="eastAsia" w:ascii="Times New Roman" w:hAnsi="Times New Roman" w:eastAsia="仿宋_GB2312" w:cs="仿宋_GB2312"/>
          <w:color w:val="000000" w:themeColor="text1"/>
          <w:szCs w:val="32"/>
          <w14:textFill>
            <w14:solidFill>
              <w14:schemeClr w14:val="tx1"/>
            </w14:solidFill>
          </w14:textFill>
        </w:rPr>
        <w:t>黄河、太行山</w:t>
      </w:r>
      <w:r>
        <w:rPr>
          <w:rFonts w:hint="eastAsia" w:ascii="Times New Roman" w:hAnsi="Times New Roman" w:eastAsia="仿宋_GB2312" w:cs="仿宋_GB2312"/>
        </w:rPr>
        <w:t>等集交通、生态、文旅、休闲等功能于一体的特色生态廊道。</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仿宋_GB2312" w:cs="仿宋_GB2312"/>
        </w:rPr>
      </w:pPr>
      <w:r>
        <w:rPr>
          <w:rFonts w:hint="eastAsia" w:ascii="Times New Roman" w:hAnsi="Times New Roman" w:eastAsia="仿宋_GB2312" w:cs="仿宋_GB2312"/>
          <w:b/>
          <w:bCs/>
        </w:rPr>
        <w:t>加强重点领域污染防治。</w:t>
      </w:r>
      <w:r>
        <w:rPr>
          <w:rFonts w:hint="eastAsia" w:ascii="Times New Roman" w:hAnsi="Times New Roman" w:eastAsia="仿宋_GB2312" w:cs="仿宋_GB2312"/>
        </w:rPr>
        <w:t>严格执行大气污染防治攻坚任务，深化柴油货车污染治理，持续推进国三及以下排放标准柴油货车淘汰，适时推动国四排放标准柴油货车淘汰。加强对营运车辆排查检修力度，及时淘汰不达标高污染车辆，推广新能源、清洁能源和环保型装备发展。优化重型车辆快速过境线路，加快形成绕城高速、绕城快速，缓解城区大气污染排放压力。加强交通基础设施施工期和运营期施工扬尘、生活污水、生产废水、施工噪声等污染物的治理，做到污染物达标排放。加大国省干道机械化清扫保洁力度，进一步加强道路扬尘污染防治。推广路面降噪铺装材料，降低交通设施沿线噪声、振动。</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仿宋_GB2312" w:cs="仿宋_GB2312"/>
        </w:rPr>
      </w:pPr>
      <w:r>
        <w:rPr>
          <w:rFonts w:hint="eastAsia" w:ascii="Times New Roman" w:hAnsi="Times New Roman" w:eastAsia="仿宋_GB2312" w:cs="仿宋_GB2312"/>
          <w:b/>
          <w:bCs/>
        </w:rPr>
        <w:t>大力倡导绿色低碳出行。</w:t>
      </w:r>
      <w:r>
        <w:rPr>
          <w:rFonts w:hint="eastAsia" w:ascii="Times New Roman" w:hAnsi="Times New Roman" w:eastAsia="仿宋_GB2312" w:cs="仿宋_GB2312"/>
        </w:rPr>
        <w:t>持续推动运输结构调整，充分发挥综合运输方式的竞争优势和组合效率，推进大宗货物、中长距离运输公转铁、公转水。鼓励新能源和清洁能源车辆、船舶和节能装备的推广使用，推进新增和更新的城市公共交通、出租汽车、城市物流（快递）配送车辆，以及物流（快递）园区运输装备和机械使用新能源和清洁能源，加快淘汰老旧运输装备。鼓励绿色出行，优先发展公共交通，合理规划公交专用道和非机动车道。实施高速公路服务区绿色出行“续航工程”，实现全市高速公路服务区充电桩全覆盖，同时在普通干线公路沿线、公交场站等地加快布局新能源汽车充电桩、换电站、换气站等设施。加强绿色交通宣传，发挥公众参与积极性，提升社会公众的节能环保意识，引导企业更多应用节能技术和环保装备，形成全社会广泛参与绿色交通的工作机制。</w:t>
      </w:r>
    </w:p>
    <w:tbl>
      <w:tblPr>
        <w:tblStyle w:val="21"/>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auto"/>
            <w:vAlign w:val="top"/>
          </w:tcPr>
          <w:p>
            <w:pPr>
              <w:widowControl/>
              <w:spacing w:line="360" w:lineRule="auto"/>
              <w:ind w:firstLine="0" w:firstLineChars="0"/>
              <w:jc w:val="center"/>
              <w:rPr>
                <w:rFonts w:ascii="Times New Roman" w:hAnsi="Times New Roman" w:eastAsia="黑体" w:cs="Arial"/>
                <w:sz w:val="28"/>
                <w:szCs w:val="32"/>
              </w:rPr>
            </w:pPr>
            <w:r>
              <w:rPr>
                <w:rFonts w:ascii="Times New Roman" w:hAnsi="Times New Roman" w:eastAsia="黑体" w:cs="宋体"/>
                <w:color w:val="000000"/>
                <w:kern w:val="0"/>
                <w:sz w:val="28"/>
                <w:szCs w:val="28"/>
              </w:rPr>
              <w:t>专栏</w:t>
            </w:r>
            <w:r>
              <w:rPr>
                <w:rFonts w:ascii="Times New Roman" w:hAnsi="Times New Roman" w:eastAsia="黑体" w:cs="Times New Roman"/>
                <w:color w:val="000000"/>
                <w:kern w:val="0"/>
                <w:sz w:val="28"/>
                <w:szCs w:val="28"/>
              </w:rPr>
              <w:t>21</w:t>
            </w:r>
            <w:r>
              <w:rPr>
                <w:rFonts w:ascii="Times New Roman" w:hAnsi="Times New Roman" w:eastAsia="黑体" w:cs="宋体"/>
                <w:color w:val="000000"/>
                <w:kern w:val="0"/>
                <w:sz w:val="28"/>
                <w:szCs w:val="28"/>
              </w:rPr>
              <w:t xml:space="preserve">  </w:t>
            </w:r>
            <w:r>
              <w:rPr>
                <w:rFonts w:hint="eastAsia" w:ascii="Times New Roman" w:hAnsi="Times New Roman" w:eastAsia="黑体" w:cs="宋体"/>
                <w:color w:val="000000"/>
                <w:kern w:val="0"/>
                <w:sz w:val="28"/>
                <w:szCs w:val="28"/>
              </w:rPr>
              <w:t>绿色交通建设工程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9" w:hRule="atLeast"/>
          <w:jc w:val="center"/>
        </w:trPr>
        <w:tc>
          <w:tcPr>
            <w:tcW w:w="829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562"/>
              <w:jc w:val="both"/>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生态廊道构建。</w:t>
            </w:r>
            <w:r>
              <w:rPr>
                <w:rFonts w:hint="eastAsia" w:ascii="Times New Roman" w:hAnsi="Times New Roman" w:eastAsia="仿宋_GB2312" w:cs="仿宋_GB2312"/>
                <w:bCs/>
                <w:sz w:val="24"/>
                <w:szCs w:val="24"/>
              </w:rPr>
              <w:t>创建绿色公路、美丽公路、生态公路，推进绿色公路示范工程建设。结合焦作丰富旅游资源以及黄河流域生态保护需要，建设黄河、太行山等集交通、生态、文旅、休闲等功能于一体的特色生态廊道。</w:t>
            </w:r>
          </w:p>
          <w:p>
            <w:pPr>
              <w:keepNext w:val="0"/>
              <w:keepLines w:val="0"/>
              <w:pageBreakBefore w:val="0"/>
              <w:widowControl w:val="0"/>
              <w:kinsoku/>
              <w:wordWrap/>
              <w:overflowPunct/>
              <w:topLinePunct w:val="0"/>
              <w:autoSpaceDE/>
              <w:autoSpaceDN/>
              <w:bidi w:val="0"/>
              <w:adjustRightInd/>
              <w:snapToGrid/>
              <w:spacing w:line="400" w:lineRule="exact"/>
              <w:ind w:firstLine="562"/>
              <w:jc w:val="both"/>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运输结构调整。</w:t>
            </w:r>
            <w:r>
              <w:rPr>
                <w:rFonts w:hint="eastAsia" w:ascii="Times New Roman" w:hAnsi="Times New Roman" w:eastAsia="仿宋_GB2312" w:cs="仿宋_GB2312"/>
                <w:bCs/>
                <w:sz w:val="24"/>
                <w:szCs w:val="24"/>
              </w:rPr>
              <w:t>加快武陟公铁物流港铁路专用线和豫北中运物流园铁路专用线建设，推进大宗货物、中长距离运输公转铁，到2025年，铁路货运分担率增长3%。</w:t>
            </w:r>
          </w:p>
          <w:p>
            <w:pPr>
              <w:keepNext w:val="0"/>
              <w:keepLines w:val="0"/>
              <w:pageBreakBefore w:val="0"/>
              <w:widowControl w:val="0"/>
              <w:kinsoku/>
              <w:wordWrap/>
              <w:overflowPunct/>
              <w:topLinePunct w:val="0"/>
              <w:autoSpaceDE/>
              <w:autoSpaceDN/>
              <w:bidi w:val="0"/>
              <w:adjustRightInd/>
              <w:snapToGrid/>
              <w:spacing w:line="400" w:lineRule="exact"/>
              <w:ind w:firstLine="562"/>
              <w:jc w:val="both"/>
              <w:textAlignment w:val="auto"/>
              <w:rPr>
                <w:rFonts w:hint="eastAsia" w:ascii="Times New Roman" w:hAnsi="Times New Roman" w:eastAsia="仿宋_GB2312" w:cs="仿宋_GB2312"/>
                <w:bCs/>
                <w:sz w:val="24"/>
                <w:szCs w:val="24"/>
              </w:rPr>
            </w:pPr>
            <w:r>
              <w:rPr>
                <w:rFonts w:hint="eastAsia" w:ascii="Times New Roman" w:hAnsi="Times New Roman" w:eastAsia="仿宋_GB2312" w:cs="仿宋_GB2312"/>
                <w:b/>
                <w:sz w:val="24"/>
                <w:szCs w:val="24"/>
              </w:rPr>
              <w:t>能源结构调整。</w:t>
            </w:r>
            <w:r>
              <w:rPr>
                <w:rFonts w:hint="eastAsia" w:ascii="Times New Roman" w:hAnsi="Times New Roman" w:eastAsia="仿宋_GB2312" w:cs="仿宋_GB2312"/>
                <w:bCs/>
                <w:sz w:val="24"/>
                <w:szCs w:val="24"/>
              </w:rPr>
              <w:t>全面推进新能源、清洁能源在城市公交、出租、物流配送、邮政快递等方面应用，新增公交、出租、建成区配送车辆等营运车辆全部为新能源车辆。</w:t>
            </w:r>
          </w:p>
          <w:p>
            <w:pPr>
              <w:keepNext w:val="0"/>
              <w:keepLines w:val="0"/>
              <w:pageBreakBefore w:val="0"/>
              <w:widowControl w:val="0"/>
              <w:kinsoku/>
              <w:wordWrap/>
              <w:overflowPunct/>
              <w:topLinePunct w:val="0"/>
              <w:autoSpaceDE/>
              <w:autoSpaceDN/>
              <w:bidi w:val="0"/>
              <w:adjustRightInd/>
              <w:snapToGrid/>
              <w:spacing w:line="400" w:lineRule="exact"/>
              <w:ind w:firstLine="562"/>
              <w:jc w:val="both"/>
              <w:textAlignment w:val="auto"/>
              <w:rPr>
                <w:rFonts w:hint="eastAsia" w:ascii="Times New Roman" w:hAnsi="Times New Roman" w:eastAsia="仿宋_GB2312" w:cs="仿宋_GB2312"/>
                <w:b/>
                <w:sz w:val="24"/>
                <w:szCs w:val="24"/>
              </w:rPr>
            </w:pPr>
            <w:r>
              <w:rPr>
                <w:rFonts w:hint="eastAsia" w:ascii="Times New Roman" w:hAnsi="Times New Roman" w:eastAsia="仿宋_GB2312" w:cs="仿宋_GB2312"/>
                <w:b/>
                <w:sz w:val="24"/>
                <w:szCs w:val="24"/>
              </w:rPr>
              <w:t>柴油货车治理。</w:t>
            </w:r>
            <w:r>
              <w:rPr>
                <w:rFonts w:hint="eastAsia" w:ascii="Times New Roman" w:hAnsi="Times New Roman" w:eastAsia="仿宋_GB2312" w:cs="仿宋_GB2312"/>
                <w:bCs/>
                <w:sz w:val="24"/>
                <w:szCs w:val="24"/>
              </w:rPr>
              <w:t>重点整治高污染不达标柴油货车，持续推进国三及以下老旧柴油货车淘汰更新。加快郑州至焦作高速、省道230等项目建设，形成绕城高速、绕城快速，减少过境重型车辆对中心城区的空气污染。</w:t>
            </w:r>
          </w:p>
          <w:p>
            <w:pPr>
              <w:keepNext w:val="0"/>
              <w:keepLines w:val="0"/>
              <w:pageBreakBefore w:val="0"/>
              <w:widowControl w:val="0"/>
              <w:kinsoku/>
              <w:wordWrap/>
              <w:overflowPunct/>
              <w:topLinePunct w:val="0"/>
              <w:autoSpaceDE/>
              <w:autoSpaceDN/>
              <w:bidi w:val="0"/>
              <w:adjustRightInd/>
              <w:snapToGrid/>
              <w:spacing w:line="400" w:lineRule="exact"/>
              <w:ind w:firstLine="562"/>
              <w:jc w:val="both"/>
              <w:textAlignment w:val="auto"/>
              <w:rPr>
                <w:rFonts w:ascii="Times New Roman" w:hAnsi="Times New Roman" w:cs="Arial"/>
                <w:sz w:val="28"/>
                <w:szCs w:val="24"/>
              </w:rPr>
            </w:pPr>
            <w:r>
              <w:rPr>
                <w:rFonts w:hint="eastAsia" w:ascii="Times New Roman" w:hAnsi="Times New Roman" w:eastAsia="仿宋_GB2312" w:cs="仿宋_GB2312"/>
                <w:b/>
                <w:sz w:val="24"/>
                <w:szCs w:val="24"/>
              </w:rPr>
              <w:t>充电站场布局。</w:t>
            </w:r>
            <w:r>
              <w:rPr>
                <w:rFonts w:hint="eastAsia" w:ascii="Times New Roman" w:hAnsi="Times New Roman" w:eastAsia="仿宋_GB2312" w:cs="仿宋_GB2312"/>
                <w:bCs/>
                <w:sz w:val="24"/>
                <w:szCs w:val="24"/>
              </w:rPr>
              <w:t>实施高速公路服务区绿色出行“续航工程”，到2022年6月底，全市高速公路服务区充电桩覆盖率达到100%。同时在普通干线公路沿线、公交场站、单位内部等地加快布局新能源汽车充电桩、换电站、换气站等设施。</w:t>
            </w:r>
          </w:p>
        </w:tc>
      </w:tr>
      <w:bookmarkEnd w:id="238"/>
      <w:bookmarkEnd w:id="239"/>
      <w:bookmarkEnd w:id="240"/>
    </w:tbl>
    <w:p>
      <w:pPr>
        <w:pStyle w:val="6"/>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楷体_GB2312" w:cs="楷体_GB2312"/>
          <w:sz w:val="32"/>
          <w:szCs w:val="32"/>
        </w:rPr>
      </w:pPr>
      <w:bookmarkStart w:id="241" w:name="_Toc96455151"/>
      <w:bookmarkStart w:id="242" w:name="_Toc10991"/>
      <w:r>
        <w:rPr>
          <w:rFonts w:hint="eastAsia" w:ascii="Times New Roman" w:hAnsi="Times New Roman" w:eastAsia="楷体_GB2312" w:cs="楷体_GB2312"/>
          <w:sz w:val="32"/>
          <w:szCs w:val="32"/>
        </w:rPr>
        <w:t>（三）提高安全应急保障能力</w:t>
      </w:r>
      <w:bookmarkEnd w:id="241"/>
      <w:bookmarkEnd w:id="242"/>
    </w:p>
    <w:p>
      <w:pPr>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提高基础设施安全保障和防护能力。</w:t>
      </w:r>
      <w:r>
        <w:rPr>
          <w:rFonts w:hint="eastAsia" w:ascii="Times New Roman" w:hAnsi="Times New Roman" w:eastAsia="仿宋_GB2312" w:cs="仿宋_GB2312"/>
          <w:sz w:val="32"/>
          <w:szCs w:val="32"/>
        </w:rPr>
        <w:t>全面推进灾后恢复重建，畅通国道207、省道232等受灾路段，完善排水和安全防护设施；推进太焦、侯月等干线铁路恢复重建，全面恢复服务能力。遵照国家和地方交通基础设施建设标准体系，推广新型耐久抗灾材料投入交通建设。加强安全生命防护工程建设，持续加强危桥、急弯陡坡、临水临崖等路段安全防范，及时处置坍塌、路基塌方以及路面破损严重、道路警示指示标志标识不全和安全防护缺失等安全隐患，基本完成乡道及以上行政等级公路安全隐患治理，基本消除现有危桥。完善公路、桥梁、场站等重要结构物视频监控体系，引进无人机等新型检测设备，加强重点交通基础设施安全运行监测与预警系统建设，及时排查安全隐患，保障运输安全。</w:t>
      </w:r>
    </w:p>
    <w:p>
      <w:pPr>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完善交通安全生产监管和治理体系。</w:t>
      </w:r>
      <w:r>
        <w:rPr>
          <w:rFonts w:hint="eastAsia" w:ascii="Times New Roman" w:hAnsi="Times New Roman" w:eastAsia="仿宋_GB2312" w:cs="仿宋_GB2312"/>
          <w:sz w:val="32"/>
          <w:szCs w:val="32"/>
        </w:rPr>
        <w:t>落实企业主体责任，积极推进企业安全生产信用建设。加强行业部门监管，深入开展客运站、重点工程、快件寄递渠道等的隐患排查与专项治理，加强对网约车、道路客运、危险货物运输等的安全管控，完善联合执法、风险分级管控等工作机制。鼓励营运车辆安装智能视频监控报警设备，应用驾驶辅助系统（ADAS），坚决杜绝超速行驶、疲劳驾驶等重大事故隐患发生。推进综合交通运输监管系统建设，充分运用大数据等技术，推动交通运输各领域数据与公安、安监等部门安全生产监管信息共享，加强对行业风险的跟踪预警，提升监管精准化、智能化水平。鼓励购买第三方安全技术服务，推进安全生产责任保险等保险制度。健全网络安全工作责任体系，强化网络安全实战训练能力。充分发挥安全教育基地警示教育功能，推动降低道路运输安全事故，在驾驶员安全教育中走在全国前列，努力打造中原地区有影响力的交通运输教育品牌。</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加强应急运输体系建设和保障能力。</w:t>
      </w:r>
      <w:r>
        <w:rPr>
          <w:rFonts w:hint="eastAsia" w:ascii="Times New Roman" w:hAnsi="Times New Roman" w:eastAsia="仿宋_GB2312" w:cs="仿宋_GB2312"/>
          <w:sz w:val="32"/>
          <w:szCs w:val="32"/>
        </w:rPr>
        <w:t>建立健全跨方式、跨部门综合交通预警、应急协调机制，完善综合交通应急预案体系，提升铁路、公路、水路、邮政等不同运输方式间联防、联控和联动能力。加强与公安、卫生、宣传、气象等部门的协调合作，推动综合交通应急指挥调度系统建设，加强应急救援体系信息互联互通，提高应对极端天气、疫情防控、网络攻击等各类突发事件的响应能力。建立应急物资和运力运输资源信息共享体系，提高应急响应速度。加强应急救援队伍、装备和设施建设，积极开展应急救援演练。</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Times New Roman" w:hAnsi="Times New Roman" w:eastAsia="黑体" w:cs="黑体"/>
          <w:b w:val="0"/>
          <w:bCs w:val="0"/>
          <w:sz w:val="32"/>
          <w:szCs w:val="32"/>
        </w:rPr>
      </w:pPr>
      <w:bookmarkStart w:id="243" w:name="_Toc96455152"/>
      <w:bookmarkStart w:id="244" w:name="_Toc25481"/>
      <w:r>
        <w:rPr>
          <w:rFonts w:hint="eastAsia" w:ascii="Times New Roman" w:hAnsi="Times New Roman" w:eastAsia="黑体" w:cs="黑体"/>
          <w:b w:val="0"/>
          <w:bCs w:val="0"/>
          <w:sz w:val="32"/>
          <w:szCs w:val="32"/>
        </w:rPr>
        <w:t>九、加强治理体系和治理能力建设</w:t>
      </w:r>
      <w:bookmarkEnd w:id="243"/>
      <w:bookmarkEnd w:id="244"/>
    </w:p>
    <w:p>
      <w:pPr>
        <w:pStyle w:val="6"/>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楷体_GB2312" w:cs="楷体_GB2312"/>
          <w:sz w:val="32"/>
          <w:szCs w:val="32"/>
        </w:rPr>
      </w:pPr>
      <w:bookmarkStart w:id="245" w:name="_Toc96455153"/>
      <w:bookmarkStart w:id="246" w:name="_Toc7289"/>
      <w:r>
        <w:rPr>
          <w:rFonts w:hint="eastAsia" w:ascii="Times New Roman" w:hAnsi="Times New Roman" w:eastAsia="楷体_GB2312" w:cs="楷体_GB2312"/>
          <w:sz w:val="32"/>
          <w:szCs w:val="32"/>
        </w:rPr>
        <w:t>（一）完善行业管理体制机制</w:t>
      </w:r>
      <w:bookmarkEnd w:id="245"/>
      <w:bookmarkEnd w:id="24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sz w:val="32"/>
          <w:szCs w:val="32"/>
          <w:highlight w:val="yellow"/>
        </w:rPr>
      </w:pPr>
      <w:r>
        <w:rPr>
          <w:rFonts w:hint="eastAsia" w:ascii="Times New Roman" w:hAnsi="Times New Roman" w:eastAsia="仿宋_GB2312" w:cs="仿宋_GB2312"/>
          <w:sz w:val="32"/>
          <w:szCs w:val="32"/>
        </w:rPr>
        <w:t>深化综合交通运输管理体制改革，健全综合交通运输发展协调机制，构建跨方式、跨部门、跨区域的综合交通运输管理体制和协调机制。扎实推进“放管服”改革，加大职能转变和简政放权力度，强化事中事后监管。探索公路建管养体制改革，推进深化干线公路建管养体制机制改革，建立起干线公路建设、养护、运行管理权责分明、管理科学的新模式，全面推进农村公路管理养护体制改革试点工作，建立农村公路管理养护长效机制。全力推进出租汽车行业改革，学习外地成功先进经验，尽快完成全市出租汽车两权合一，维持行业稳定；引导建立巡游车运价动态调整机制，指导网约车运价机制和动态加价机制。</w:t>
      </w:r>
    </w:p>
    <w:p>
      <w:pPr>
        <w:pStyle w:val="6"/>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楷体_GB2312" w:cs="楷体_GB2312"/>
          <w:sz w:val="32"/>
          <w:szCs w:val="32"/>
        </w:rPr>
      </w:pPr>
      <w:bookmarkStart w:id="247" w:name="_Toc96455154"/>
      <w:bookmarkStart w:id="248" w:name="_Hlk45037756"/>
      <w:bookmarkStart w:id="249" w:name="_Toc8035"/>
      <w:r>
        <w:rPr>
          <w:rFonts w:hint="eastAsia" w:ascii="Times New Roman" w:hAnsi="Times New Roman" w:eastAsia="楷体_GB2312" w:cs="楷体_GB2312"/>
          <w:sz w:val="32"/>
          <w:szCs w:val="32"/>
        </w:rPr>
        <w:t>（二）提升交通运输法治能力</w:t>
      </w:r>
      <w:bookmarkEnd w:id="247"/>
      <w:bookmarkEnd w:id="248"/>
      <w:bookmarkEnd w:id="24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推进法治部门建设，完善事中事后监管长效工作机制，健全以“双随机、一公开”监管为基本手段、以重点监管为补充、以信用监管为基础的新型监管机制。完善交通运输法规体系，研究出台《焦作市出租汽车管理条例》，弥补对出租车企业行政管理的法律缺失，提升出租车行业治理能力</w:t>
      </w:r>
      <w:bookmarkStart w:id="250" w:name="_Hlk58954670"/>
      <w:r>
        <w:rPr>
          <w:rFonts w:hint="eastAsia" w:ascii="Times New Roman" w:hAnsi="Times New Roman" w:eastAsia="仿宋_GB2312" w:cs="仿宋_GB2312"/>
          <w:sz w:val="32"/>
          <w:szCs w:val="32"/>
        </w:rPr>
        <w:t>；出台《焦作市公共汽车经营企业成本规制管理办法》，完善公交补贴补偿机制。</w:t>
      </w:r>
      <w:bookmarkEnd w:id="250"/>
      <w:r>
        <w:rPr>
          <w:rFonts w:hint="eastAsia" w:ascii="Times New Roman" w:hAnsi="Times New Roman" w:eastAsia="仿宋_GB2312" w:cs="仿宋_GB2312"/>
          <w:sz w:val="32"/>
          <w:szCs w:val="32"/>
        </w:rPr>
        <w:t>深入开展法治宣传教育，引导职工牢固树立法治观念，积极推进交通运输行业法治化规范化建设水平。加强综合执法力度，深入推进执法责任制和服务型执法建设，进一步梳理修订行政执法权责清单，规范行政执法，深化“三基三化”建设成果。进一步规范运输市场管理，严格落实治理车辆超限超载联合执法常态化、制度化工作要求，加大超限超载查处力度，促进运输市场健康发展。</w:t>
      </w:r>
    </w:p>
    <w:p>
      <w:pPr>
        <w:pStyle w:val="6"/>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楷体_GB2312" w:cs="楷体_GB2312"/>
          <w:sz w:val="32"/>
          <w:szCs w:val="32"/>
        </w:rPr>
      </w:pPr>
      <w:bookmarkStart w:id="251" w:name="_Toc96455155"/>
      <w:bookmarkStart w:id="252" w:name="_Toc19366"/>
      <w:r>
        <w:rPr>
          <w:rFonts w:hint="eastAsia" w:ascii="Times New Roman" w:hAnsi="Times New Roman" w:eastAsia="楷体_GB2312" w:cs="楷体_GB2312"/>
          <w:sz w:val="32"/>
          <w:szCs w:val="32"/>
        </w:rPr>
        <w:t>（三）构建交通运输信用体系</w:t>
      </w:r>
      <w:bookmarkEnd w:id="251"/>
      <w:bookmarkEnd w:id="252"/>
    </w:p>
    <w:p>
      <w:pPr>
        <w:keepNext w:val="0"/>
        <w:keepLines w:val="0"/>
        <w:pageBreakBefore w:val="0"/>
        <w:widowControl w:val="0"/>
        <w:kinsoku/>
        <w:wordWrap/>
        <w:overflowPunct/>
        <w:topLinePunct w:val="0"/>
        <w:autoSpaceDE/>
        <w:autoSpaceDN/>
        <w:bidi w:val="0"/>
        <w:adjustRightInd/>
        <w:snapToGrid/>
        <w:spacing w:line="580" w:lineRule="exact"/>
        <w:ind w:firstLine="664" w:firstLineChars="200"/>
        <w:jc w:val="both"/>
        <w:textAlignment w:val="auto"/>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结合国家交通运输信用体系框架，助力河南省“信用交通省”建设，应用5G、大数据、云计算、物联网等技术手段，强化焦作市交通运输信用体系建设，推进信用信息全领域覆盖、规范化归集、系统化共享、规模化应用。加快构建焦作市交通信用平台建设，涵盖交通行业全领域，并实现与河南省级交通运输信用平台信息互联共享。完善守信激励和失信惩戒制度，健全“黑名单”制度，开展交通行业信用评价工作，推动建立跨区域、跨部门、跨行业信用奖惩联动机制。加强诚信文化建设，组织诚信宣传，引导行业协会和相关机构参与信用体系建设，通过网站、公众号等形式公开相关单位信用信息，为查询相关企业信息提供便利。</w:t>
      </w:r>
    </w:p>
    <w:bookmarkEnd w:id="167"/>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64" w:firstLineChars="200"/>
        <w:jc w:val="both"/>
        <w:textAlignment w:val="auto"/>
        <w:rPr>
          <w:rFonts w:hint="eastAsia" w:ascii="Times New Roman" w:hAnsi="Times New Roman" w:eastAsia="黑体" w:cs="黑体"/>
          <w:b w:val="0"/>
          <w:bCs w:val="0"/>
          <w:spacing w:val="6"/>
          <w:sz w:val="32"/>
          <w:szCs w:val="32"/>
        </w:rPr>
      </w:pPr>
      <w:bookmarkStart w:id="253" w:name="_Toc96455156"/>
      <w:bookmarkStart w:id="254" w:name="_Toc437677311"/>
      <w:bookmarkStart w:id="255" w:name="_Toc42075793"/>
      <w:bookmarkStart w:id="256" w:name="_Toc429405495"/>
      <w:bookmarkStart w:id="257" w:name="_Toc11591"/>
      <w:r>
        <w:rPr>
          <w:rFonts w:hint="eastAsia" w:ascii="Times New Roman" w:hAnsi="Times New Roman" w:eastAsia="黑体" w:cs="黑体"/>
          <w:b w:val="0"/>
          <w:bCs w:val="0"/>
          <w:spacing w:val="6"/>
          <w:sz w:val="32"/>
          <w:szCs w:val="32"/>
        </w:rPr>
        <w:t>十、保障措施</w:t>
      </w:r>
      <w:bookmarkEnd w:id="253"/>
      <w:bookmarkEnd w:id="254"/>
      <w:bookmarkEnd w:id="255"/>
      <w:bookmarkEnd w:id="256"/>
      <w:bookmarkEnd w:id="257"/>
    </w:p>
    <w:p>
      <w:pPr>
        <w:pStyle w:val="6"/>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楷体_GB2312" w:cs="楷体_GB2312"/>
          <w:sz w:val="32"/>
          <w:szCs w:val="32"/>
        </w:rPr>
      </w:pPr>
      <w:bookmarkStart w:id="258" w:name="_Toc42075794"/>
      <w:bookmarkStart w:id="259" w:name="_Toc96455157"/>
      <w:bookmarkStart w:id="260" w:name="_Toc1242"/>
      <w:r>
        <w:rPr>
          <w:rFonts w:hint="eastAsia" w:ascii="Times New Roman" w:hAnsi="Times New Roman" w:eastAsia="楷体_GB2312" w:cs="楷体_GB2312"/>
          <w:sz w:val="32"/>
          <w:szCs w:val="32"/>
        </w:rPr>
        <w:t>（一）加强组织领导</w:t>
      </w:r>
      <w:bookmarkEnd w:id="258"/>
      <w:bookmarkEnd w:id="259"/>
      <w:bookmarkEnd w:id="260"/>
    </w:p>
    <w:p>
      <w:pPr>
        <w:keepNext w:val="0"/>
        <w:keepLines w:val="0"/>
        <w:pageBreakBefore w:val="0"/>
        <w:widowControl w:val="0"/>
        <w:kinsoku/>
        <w:wordWrap/>
        <w:overflowPunct/>
        <w:topLinePunct w:val="0"/>
        <w:autoSpaceDE/>
        <w:autoSpaceDN/>
        <w:bidi w:val="0"/>
        <w:adjustRightInd/>
        <w:snapToGrid/>
        <w:spacing w:line="580" w:lineRule="exact"/>
        <w:ind w:firstLine="616" w:firstLineChars="200"/>
        <w:jc w:val="both"/>
        <w:textAlignment w:val="auto"/>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加强规划实施过程组织管理能力，加强领导、明确权责、形成合力，确保交通运输各项重点任务有序推进。加强与</w:t>
      </w:r>
      <w:bookmarkStart w:id="261" w:name="_Hlk61962245"/>
      <w:r>
        <w:rPr>
          <w:rFonts w:hint="eastAsia" w:ascii="Times New Roman" w:hAnsi="Times New Roman" w:eastAsia="仿宋_GB2312" w:cs="仿宋_GB2312"/>
          <w:spacing w:val="-6"/>
          <w:sz w:val="32"/>
          <w:szCs w:val="32"/>
        </w:rPr>
        <w:t>市发改、自然资源、文化旅游、农业农村</w:t>
      </w:r>
      <w:bookmarkEnd w:id="261"/>
      <w:r>
        <w:rPr>
          <w:rFonts w:hint="eastAsia" w:ascii="Times New Roman" w:hAnsi="Times New Roman" w:eastAsia="仿宋_GB2312" w:cs="仿宋_GB2312"/>
          <w:spacing w:val="-6"/>
          <w:sz w:val="32"/>
          <w:szCs w:val="32"/>
        </w:rPr>
        <w:t>等相关部门的沟通协调，建立分工协作机制，统筹协调推进综合交通运输发展的重大项目、重大工程，确保规划各项目标和任务有序推进。加强与郑州、洛阳、新乡、济源、山西等相关部门对接，共同推进跨区域交通项目建设。</w:t>
      </w:r>
    </w:p>
    <w:p>
      <w:pPr>
        <w:pStyle w:val="6"/>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楷体_GB2312" w:cs="楷体_GB2312"/>
          <w:sz w:val="32"/>
          <w:szCs w:val="32"/>
        </w:rPr>
      </w:pPr>
      <w:bookmarkStart w:id="262" w:name="_Toc42075795"/>
      <w:bookmarkStart w:id="263" w:name="_Toc96455158"/>
      <w:bookmarkStart w:id="264" w:name="_Toc14762"/>
      <w:r>
        <w:rPr>
          <w:rFonts w:hint="eastAsia" w:ascii="Times New Roman" w:hAnsi="Times New Roman" w:eastAsia="楷体_GB2312" w:cs="楷体_GB2312"/>
          <w:sz w:val="32"/>
          <w:szCs w:val="32"/>
        </w:rPr>
        <w:t>（二）拓宽融资渠道</w:t>
      </w:r>
      <w:bookmarkEnd w:id="262"/>
      <w:bookmarkEnd w:id="263"/>
      <w:bookmarkEnd w:id="264"/>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结合黄河流域生态保护和高质量发展、郑州都市圈等政策，争取将规划的重大项目纳入国家、河南省相关规划，积极争取国省资金补助。优化政府投资安排方式，加大政府财政资金投入和政策支持力度，形成稳定的交通建设资金来源渠道。积极引导社会资本参与交通建设，不断拓展多元化融资渠道，有序化解政府债务风险。</w:t>
      </w:r>
    </w:p>
    <w:p>
      <w:pPr>
        <w:pStyle w:val="6"/>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楷体_GB2312" w:cs="楷体_GB2312"/>
          <w:sz w:val="32"/>
          <w:szCs w:val="32"/>
        </w:rPr>
      </w:pPr>
      <w:bookmarkStart w:id="265" w:name="_Toc96455159"/>
      <w:bookmarkStart w:id="266" w:name="_Toc42075796"/>
      <w:bookmarkStart w:id="267" w:name="_Toc5583"/>
      <w:r>
        <w:rPr>
          <w:rFonts w:hint="eastAsia" w:ascii="Times New Roman" w:hAnsi="Times New Roman" w:eastAsia="楷体_GB2312" w:cs="楷体_GB2312"/>
          <w:sz w:val="32"/>
          <w:szCs w:val="32"/>
        </w:rPr>
        <w:t>（三）强化土地保障</w:t>
      </w:r>
      <w:bookmarkEnd w:id="265"/>
      <w:bookmarkEnd w:id="266"/>
      <w:bookmarkEnd w:id="267"/>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抓住国土空间规划编制的有力时机，将交通运输建设用地纳入国土空间规划，加强重要通道和重大项目的空间预控，规划战略性空间储备用地，切实保障交通运输建设用地。合理安排交通建设项目，优先考虑土地利用效率高、单位土地交通承载量大的交通项目，通过既有资源改造提升交通供给能力，推动新建项目并线规划、综合开发、立体开发，促进空间利用向集约紧凑、功能复合、低碳高效转变。</w:t>
      </w:r>
    </w:p>
    <w:p>
      <w:pPr>
        <w:pStyle w:val="6"/>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Times New Roman" w:hAnsi="Times New Roman" w:eastAsia="楷体_GB2312" w:cs="楷体_GB2312"/>
          <w:b/>
          <w:bCs/>
          <w:sz w:val="32"/>
          <w:szCs w:val="32"/>
        </w:rPr>
      </w:pPr>
      <w:bookmarkStart w:id="268" w:name="_Toc42075797"/>
      <w:bookmarkStart w:id="269" w:name="_Toc96455160"/>
      <w:bookmarkStart w:id="270" w:name="_Toc18966"/>
      <w:r>
        <w:rPr>
          <w:rFonts w:hint="eastAsia" w:ascii="Times New Roman" w:hAnsi="Times New Roman" w:eastAsia="楷体_GB2312" w:cs="楷体_GB2312"/>
          <w:b/>
          <w:bCs/>
          <w:sz w:val="32"/>
          <w:szCs w:val="32"/>
        </w:rPr>
        <w:t>（四）</w:t>
      </w:r>
      <w:bookmarkEnd w:id="268"/>
      <w:bookmarkStart w:id="271" w:name="_Hlk39312235"/>
      <w:r>
        <w:rPr>
          <w:rFonts w:hint="eastAsia" w:ascii="Times New Roman" w:hAnsi="Times New Roman" w:eastAsia="楷体_GB2312" w:cs="楷体_GB2312"/>
          <w:b/>
          <w:bCs/>
          <w:sz w:val="32"/>
          <w:szCs w:val="32"/>
        </w:rPr>
        <w:t>加强实施评估</w:t>
      </w:r>
      <w:bookmarkEnd w:id="269"/>
      <w:bookmarkEnd w:id="27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加强对规划实施情况的跟踪分析和监督检查，及时把握交通运输发展中出现的新情况、新问题，组织开展对规划执行情况的全面评估，建立健全项目库动态调整机制，适时调整规划和相关政策，进一步增强规划的指导性。</w:t>
      </w:r>
      <w:bookmarkEnd w:id="27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仿宋_GB2312"/>
          <w:sz w:val="32"/>
          <w:szCs w:val="32"/>
        </w:rPr>
        <w:sectPr>
          <w:headerReference r:id="rId12" w:type="default"/>
          <w:pgSz w:w="11906" w:h="16838"/>
          <w:pgMar w:top="2098" w:right="1531" w:bottom="1757" w:left="1531" w:header="851" w:footer="1191" w:gutter="0"/>
          <w:pgBorders>
            <w:top w:val="none" w:sz="0" w:space="0"/>
            <w:left w:val="none" w:sz="0" w:space="0"/>
            <w:bottom w:val="none" w:sz="0" w:space="0"/>
            <w:right w:val="none" w:sz="0" w:space="0"/>
          </w:pgBorders>
          <w:pgNumType w:fmt="decimal"/>
          <w:cols w:space="0" w:num="1"/>
          <w:rtlGutter w:val="0"/>
          <w:docGrid w:type="lines" w:linePitch="408" w:charSpace="0"/>
        </w:sectPr>
      </w:pPr>
    </w:p>
    <w:p>
      <w:pPr>
        <w:pStyle w:val="5"/>
        <w:rPr>
          <w:rFonts w:ascii="Times New Roman" w:hAnsi="Times New Roman"/>
          <w:b w:val="0"/>
          <w:bCs w:val="0"/>
        </w:rPr>
      </w:pPr>
      <w:bookmarkStart w:id="272" w:name="_Toc94194391"/>
      <w:bookmarkStart w:id="273" w:name="_Toc9075"/>
      <w:bookmarkStart w:id="274" w:name="_Toc96455161"/>
      <w:bookmarkStart w:id="275" w:name="_Toc27087"/>
      <w:bookmarkStart w:id="276" w:name="_Hlk56373630"/>
      <w:bookmarkStart w:id="277" w:name="_Toc60235105"/>
      <w:bookmarkStart w:id="278" w:name="_Toc94194392"/>
      <w:bookmarkStart w:id="279" w:name="_Toc60846313"/>
      <w:bookmarkStart w:id="280" w:name="_Toc96455162"/>
      <w:bookmarkStart w:id="281" w:name="_Toc56188764"/>
      <w:bookmarkStart w:id="282" w:name="_Toc54704881"/>
      <w:bookmarkStart w:id="283" w:name="_Toc56245422"/>
      <w:bookmarkStart w:id="284" w:name="_Toc54704872"/>
      <w:bookmarkStart w:id="285" w:name="_Toc53041796"/>
      <w:r>
        <w:rPr>
          <w:rFonts w:hint="eastAsia" w:ascii="Times New Roman" w:hAnsi="Times New Roman"/>
          <w:b w:val="0"/>
          <w:bCs w:val="0"/>
        </w:rPr>
        <w:t>附表</w:t>
      </w:r>
      <w:bookmarkEnd w:id="272"/>
      <w:bookmarkEnd w:id="273"/>
      <w:bookmarkEnd w:id="274"/>
      <w:bookmarkEnd w:id="275"/>
    </w:p>
    <w:bookmarkEnd w:id="276"/>
    <w:p>
      <w:pPr>
        <w:pStyle w:val="5"/>
        <w:rPr>
          <w:rFonts w:hint="eastAsia" w:ascii="Times New Roman" w:hAnsi="Times New Roman" w:eastAsia="仿宋_GB2312" w:cs="仿宋_GB2312"/>
          <w:b/>
          <w:bCs/>
          <w:color w:val="000000" w:themeColor="text1"/>
          <w:sz w:val="36"/>
          <w:szCs w:val="36"/>
          <w14:textFill>
            <w14:solidFill>
              <w14:schemeClr w14:val="tx1"/>
            </w14:solidFill>
          </w14:textFill>
        </w:rPr>
      </w:pPr>
      <w:bookmarkStart w:id="286" w:name="_Toc17082"/>
      <w:bookmarkStart w:id="287" w:name="_Toc20712"/>
      <w:r>
        <w:rPr>
          <w:rFonts w:hint="eastAsia" w:ascii="Times New Roman" w:hAnsi="Times New Roman" w:eastAsia="仿宋_GB2312" w:cs="仿宋_GB2312"/>
          <w:b/>
          <w:bCs/>
          <w:color w:val="000000" w:themeColor="text1"/>
          <w:sz w:val="36"/>
          <w:szCs w:val="36"/>
          <w14:textFill>
            <w14:solidFill>
              <w14:schemeClr w14:val="tx1"/>
            </w14:solidFill>
          </w14:textFill>
        </w:rPr>
        <w:t xml:space="preserve">附表1 </w:t>
      </w:r>
      <w:bookmarkStart w:id="288" w:name="_Hlk58942350"/>
      <w:r>
        <w:rPr>
          <w:rFonts w:hint="eastAsia" w:ascii="Times New Roman" w:hAnsi="Times New Roman" w:eastAsia="仿宋_GB2312" w:cs="仿宋_GB2312"/>
          <w:b/>
          <w:bCs/>
          <w:color w:val="000000" w:themeColor="text1"/>
          <w:sz w:val="36"/>
          <w:szCs w:val="36"/>
          <w14:textFill>
            <w14:solidFill>
              <w14:schemeClr w14:val="tx1"/>
            </w14:solidFill>
          </w14:textFill>
        </w:rPr>
        <w:t>“十四五</w:t>
      </w:r>
      <w:bookmarkEnd w:id="288"/>
      <w:r>
        <w:rPr>
          <w:rFonts w:hint="eastAsia" w:ascii="Times New Roman" w:hAnsi="Times New Roman" w:eastAsia="仿宋_GB2312" w:cs="仿宋_GB2312"/>
          <w:b/>
          <w:bCs/>
          <w:color w:val="000000" w:themeColor="text1"/>
          <w:sz w:val="36"/>
          <w:szCs w:val="36"/>
          <w14:textFill>
            <w14:solidFill>
              <w14:schemeClr w14:val="tx1"/>
            </w14:solidFill>
          </w14:textFill>
        </w:rPr>
        <w:t>”交通建设项目资金匡算表</w:t>
      </w:r>
      <w:bookmarkEnd w:id="277"/>
      <w:bookmarkEnd w:id="278"/>
      <w:bookmarkEnd w:id="279"/>
      <w:bookmarkEnd w:id="280"/>
      <w:bookmarkEnd w:id="281"/>
      <w:bookmarkEnd w:id="282"/>
      <w:bookmarkEnd w:id="283"/>
      <w:bookmarkEnd w:id="286"/>
      <w:bookmarkEnd w:id="287"/>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09"/>
        <w:gridCol w:w="2661"/>
        <w:gridCol w:w="1109"/>
        <w:gridCol w:w="1109"/>
        <w:gridCol w:w="1335"/>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4" w:hRule="atLeast"/>
        </w:trPr>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序号</w:t>
            </w:r>
          </w:p>
        </w:tc>
        <w:tc>
          <w:tcPr>
            <w:tcW w:w="14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项目</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建设规模</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单位</w:t>
            </w:r>
          </w:p>
        </w:tc>
        <w:tc>
          <w:tcPr>
            <w:tcW w:w="75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总投资</w:t>
            </w:r>
          </w:p>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（亿元）</w:t>
            </w:r>
          </w:p>
        </w:tc>
        <w:tc>
          <w:tcPr>
            <w:tcW w:w="88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spacing w:val="-6"/>
                <w:kern w:val="0"/>
                <w:sz w:val="22"/>
                <w:szCs w:val="22"/>
              </w:rPr>
            </w:pPr>
            <w:r>
              <w:rPr>
                <w:rFonts w:hint="eastAsia" w:ascii="Times New Roman" w:hAnsi="Times New Roman" w:eastAsia="仿宋_GB2312" w:cs="仿宋_GB2312"/>
                <w:b/>
                <w:bCs/>
                <w:color w:val="000000"/>
                <w:spacing w:val="-6"/>
                <w:kern w:val="0"/>
                <w:sz w:val="22"/>
                <w:szCs w:val="22"/>
              </w:rPr>
              <w:t>“十四五”投资</w:t>
            </w:r>
          </w:p>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7" w:hRule="atLeast"/>
        </w:trPr>
        <w:tc>
          <w:tcPr>
            <w:tcW w:w="2118" w:type="pct"/>
            <w:gridSpan w:val="2"/>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合计</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　</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　</w:t>
            </w:r>
          </w:p>
        </w:tc>
        <w:tc>
          <w:tcPr>
            <w:tcW w:w="75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sz w:val="22"/>
                <w:szCs w:val="22"/>
              </w:rPr>
            </w:pPr>
            <w:r>
              <w:rPr>
                <w:rFonts w:hint="eastAsia" w:ascii="Times New Roman" w:hAnsi="Times New Roman" w:eastAsia="仿宋_GB2312" w:cs="仿宋_GB2312"/>
                <w:b/>
                <w:bCs/>
                <w:color w:val="000000"/>
                <w:sz w:val="22"/>
                <w:szCs w:val="22"/>
              </w:rPr>
              <w:t>974</w:t>
            </w:r>
          </w:p>
        </w:tc>
        <w:tc>
          <w:tcPr>
            <w:tcW w:w="88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sz w:val="22"/>
                <w:szCs w:val="22"/>
              </w:rPr>
            </w:pPr>
            <w:r>
              <w:rPr>
                <w:rFonts w:hint="eastAsia" w:ascii="Times New Roman" w:hAnsi="Times New Roman" w:eastAsia="仿宋_GB2312" w:cs="仿宋_GB2312"/>
                <w:b/>
                <w:bCs/>
                <w:color w:val="000000"/>
                <w:sz w:val="22"/>
                <w:szCs w:val="22"/>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8" w:hRule="atLeast"/>
        </w:trPr>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w:t>
            </w:r>
          </w:p>
        </w:tc>
        <w:tc>
          <w:tcPr>
            <w:tcW w:w="14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铁路</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sz w:val="22"/>
                <w:szCs w:val="22"/>
              </w:rPr>
              <w:t>122</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公里</w:t>
            </w:r>
          </w:p>
        </w:tc>
        <w:tc>
          <w:tcPr>
            <w:tcW w:w="75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szCs w:val="22"/>
              </w:rPr>
            </w:pPr>
            <w:r>
              <w:rPr>
                <w:rFonts w:hint="eastAsia" w:ascii="Times New Roman" w:hAnsi="Times New Roman" w:eastAsia="仿宋_GB2312" w:cs="仿宋_GB2312"/>
                <w:color w:val="000000"/>
                <w:sz w:val="22"/>
                <w:szCs w:val="22"/>
              </w:rPr>
              <w:t>196</w:t>
            </w:r>
          </w:p>
        </w:tc>
        <w:tc>
          <w:tcPr>
            <w:tcW w:w="88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szCs w:val="22"/>
              </w:rPr>
            </w:pPr>
            <w:r>
              <w:rPr>
                <w:rFonts w:hint="eastAsia" w:ascii="Times New Roman" w:hAnsi="Times New Roman" w:eastAsia="仿宋_GB2312" w:cs="仿宋_GB2312"/>
                <w:color w:val="000000"/>
                <w:sz w:val="22"/>
                <w:szCs w:val="22"/>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8" w:hRule="atLeast"/>
        </w:trPr>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w:t>
            </w:r>
          </w:p>
        </w:tc>
        <w:tc>
          <w:tcPr>
            <w:tcW w:w="14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高速公路</w:t>
            </w:r>
          </w:p>
        </w:tc>
        <w:tc>
          <w:tcPr>
            <w:tcW w:w="623" w:type="pct"/>
            <w:tcBorders>
              <w:tl2br w:val="nil"/>
              <w:tr2bl w:val="nil"/>
            </w:tcBorders>
            <w:shd w:val="clear" w:color="auto" w:fill="auto"/>
            <w:vAlign w:val="bottom"/>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sz w:val="22"/>
                <w:szCs w:val="22"/>
              </w:rPr>
              <w:t>311</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公里</w:t>
            </w:r>
          </w:p>
        </w:tc>
        <w:tc>
          <w:tcPr>
            <w:tcW w:w="75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szCs w:val="22"/>
              </w:rPr>
            </w:pPr>
            <w:r>
              <w:rPr>
                <w:rFonts w:hint="eastAsia" w:ascii="Times New Roman" w:hAnsi="Times New Roman" w:eastAsia="仿宋_GB2312" w:cs="仿宋_GB2312"/>
                <w:color w:val="000000"/>
                <w:sz w:val="22"/>
                <w:szCs w:val="22"/>
              </w:rPr>
              <w:t>537</w:t>
            </w:r>
          </w:p>
        </w:tc>
        <w:tc>
          <w:tcPr>
            <w:tcW w:w="88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szCs w:val="22"/>
              </w:rPr>
            </w:pPr>
            <w:r>
              <w:rPr>
                <w:rFonts w:hint="eastAsia" w:ascii="Times New Roman" w:hAnsi="Times New Roman" w:eastAsia="仿宋_GB2312" w:cs="仿宋_GB2312"/>
                <w:color w:val="000000"/>
                <w:sz w:val="22"/>
                <w:szCs w:val="22"/>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8" w:hRule="atLeast"/>
        </w:trPr>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w:t>
            </w:r>
          </w:p>
        </w:tc>
        <w:tc>
          <w:tcPr>
            <w:tcW w:w="14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普通干线公路</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sz w:val="22"/>
                <w:szCs w:val="22"/>
              </w:rPr>
              <w:t>543</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公里</w:t>
            </w:r>
          </w:p>
        </w:tc>
        <w:tc>
          <w:tcPr>
            <w:tcW w:w="75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szCs w:val="22"/>
              </w:rPr>
            </w:pPr>
            <w:r>
              <w:rPr>
                <w:rFonts w:hint="eastAsia" w:ascii="Times New Roman" w:hAnsi="Times New Roman" w:eastAsia="仿宋_GB2312" w:cs="仿宋_GB2312"/>
                <w:color w:val="000000"/>
                <w:sz w:val="22"/>
                <w:szCs w:val="22"/>
              </w:rPr>
              <w:t>116</w:t>
            </w:r>
          </w:p>
        </w:tc>
        <w:tc>
          <w:tcPr>
            <w:tcW w:w="88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szCs w:val="22"/>
              </w:rPr>
            </w:pPr>
            <w:r>
              <w:rPr>
                <w:rFonts w:hint="eastAsia" w:ascii="Times New Roman" w:hAnsi="Times New Roman" w:eastAsia="仿宋_GB2312" w:cs="仿宋_GB2312"/>
                <w:color w:val="000000"/>
                <w:sz w:val="22"/>
                <w:szCs w:val="22"/>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8" w:hRule="atLeast"/>
        </w:trPr>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4</w:t>
            </w:r>
          </w:p>
        </w:tc>
        <w:tc>
          <w:tcPr>
            <w:tcW w:w="14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农村公路</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1200/750</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公里/延米</w:t>
            </w:r>
          </w:p>
        </w:tc>
        <w:tc>
          <w:tcPr>
            <w:tcW w:w="75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szCs w:val="22"/>
              </w:rPr>
            </w:pPr>
            <w:r>
              <w:rPr>
                <w:rFonts w:hint="eastAsia" w:ascii="Times New Roman" w:hAnsi="Times New Roman" w:eastAsia="仿宋_GB2312" w:cs="仿宋_GB2312"/>
                <w:color w:val="000000"/>
                <w:sz w:val="22"/>
                <w:szCs w:val="22"/>
              </w:rPr>
              <w:t>10</w:t>
            </w:r>
          </w:p>
        </w:tc>
        <w:tc>
          <w:tcPr>
            <w:tcW w:w="88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szCs w:val="22"/>
              </w:rPr>
            </w:pPr>
            <w:r>
              <w:rPr>
                <w:rFonts w:hint="eastAsia" w:ascii="Times New Roman" w:hAnsi="Times New Roman" w:eastAsia="仿宋_GB2312" w:cs="仿宋_GB2312"/>
                <w:color w:val="000000"/>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8" w:hRule="atLeast"/>
        </w:trPr>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5</w:t>
            </w:r>
          </w:p>
        </w:tc>
        <w:tc>
          <w:tcPr>
            <w:tcW w:w="14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水运</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75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szCs w:val="22"/>
              </w:rPr>
            </w:pPr>
            <w:r>
              <w:rPr>
                <w:rFonts w:hint="eastAsia" w:ascii="Times New Roman" w:hAnsi="Times New Roman" w:eastAsia="仿宋_GB2312" w:cs="仿宋_GB2312"/>
                <w:color w:val="000000"/>
                <w:sz w:val="22"/>
                <w:szCs w:val="22"/>
              </w:rPr>
              <w:t>0.9</w:t>
            </w:r>
          </w:p>
        </w:tc>
        <w:tc>
          <w:tcPr>
            <w:tcW w:w="88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szCs w:val="22"/>
              </w:rPr>
            </w:pPr>
            <w:r>
              <w:rPr>
                <w:rFonts w:hint="eastAsia" w:ascii="Times New Roman" w:hAnsi="Times New Roman" w:eastAsia="仿宋_GB2312" w:cs="仿宋_GB2312"/>
                <w:color w:val="000000"/>
                <w:sz w:val="22"/>
                <w:szCs w:val="22"/>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8" w:hRule="atLeast"/>
        </w:trPr>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6</w:t>
            </w:r>
          </w:p>
        </w:tc>
        <w:tc>
          <w:tcPr>
            <w:tcW w:w="14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枢纽场站</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szCs w:val="22"/>
              </w:rPr>
            </w:pPr>
            <w:r>
              <w:rPr>
                <w:rFonts w:hint="eastAsia" w:ascii="Times New Roman" w:hAnsi="Times New Roman" w:eastAsia="仿宋_GB2312" w:cs="仿宋_GB2312"/>
                <w:color w:val="000000"/>
                <w:sz w:val="22"/>
                <w:szCs w:val="22"/>
              </w:rPr>
              <w:t>7265</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亩</w:t>
            </w:r>
          </w:p>
        </w:tc>
        <w:tc>
          <w:tcPr>
            <w:tcW w:w="75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szCs w:val="22"/>
              </w:rPr>
            </w:pPr>
            <w:r>
              <w:rPr>
                <w:rFonts w:hint="eastAsia" w:ascii="Times New Roman" w:hAnsi="Times New Roman" w:eastAsia="仿宋_GB2312" w:cs="仿宋_GB2312"/>
                <w:color w:val="000000"/>
                <w:sz w:val="22"/>
                <w:szCs w:val="22"/>
              </w:rPr>
              <w:t>114</w:t>
            </w:r>
          </w:p>
        </w:tc>
        <w:tc>
          <w:tcPr>
            <w:tcW w:w="88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szCs w:val="22"/>
              </w:rPr>
            </w:pPr>
            <w:r>
              <w:rPr>
                <w:rFonts w:hint="eastAsia" w:ascii="Times New Roman" w:hAnsi="Times New Roman" w:eastAsia="仿宋_GB2312" w:cs="仿宋_GB2312"/>
                <w:color w:val="000000"/>
                <w:sz w:val="22"/>
                <w:szCs w:val="22"/>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8" w:hRule="atLeast"/>
        </w:trPr>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7</w:t>
            </w:r>
          </w:p>
        </w:tc>
        <w:tc>
          <w:tcPr>
            <w:tcW w:w="14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智慧交通</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6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75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szCs w:val="22"/>
              </w:rPr>
            </w:pPr>
            <w:r>
              <w:rPr>
                <w:rFonts w:hint="eastAsia" w:ascii="Times New Roman" w:hAnsi="Times New Roman" w:eastAsia="仿宋_GB2312" w:cs="仿宋_GB2312"/>
                <w:color w:val="000000"/>
                <w:sz w:val="22"/>
                <w:szCs w:val="22"/>
              </w:rPr>
              <w:t>0.3</w:t>
            </w:r>
          </w:p>
        </w:tc>
        <w:tc>
          <w:tcPr>
            <w:tcW w:w="88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szCs w:val="22"/>
              </w:rPr>
            </w:pPr>
            <w:r>
              <w:rPr>
                <w:rFonts w:hint="eastAsia" w:ascii="Times New Roman" w:hAnsi="Times New Roman" w:eastAsia="仿宋_GB2312" w:cs="仿宋_GB2312"/>
                <w:color w:val="000000"/>
                <w:sz w:val="22"/>
                <w:szCs w:val="22"/>
              </w:rPr>
              <w:t>0.3</w:t>
            </w:r>
          </w:p>
        </w:tc>
      </w:tr>
    </w:tbl>
    <w:p>
      <w:pPr>
        <w:ind w:firstLine="640"/>
        <w:rPr>
          <w:rFonts w:ascii="Times New Roman" w:hAnsi="Times New Roman"/>
        </w:rPr>
      </w:pPr>
      <w:r>
        <w:rPr>
          <w:rFonts w:ascii="Times New Roman" w:hAnsi="Times New Roman"/>
        </w:rPr>
        <w:br w:type="page"/>
      </w:r>
    </w:p>
    <w:p>
      <w:pPr>
        <w:pStyle w:val="5"/>
        <w:rPr>
          <w:rFonts w:hint="eastAsia" w:ascii="Times New Roman" w:hAnsi="Times New Roman" w:eastAsia="仿宋_GB2312" w:cs="仿宋_GB2312"/>
          <w:b/>
          <w:bCs/>
          <w:color w:val="000000" w:themeColor="text1"/>
          <w:sz w:val="36"/>
          <w:szCs w:val="36"/>
          <w14:textFill>
            <w14:solidFill>
              <w14:schemeClr w14:val="tx1"/>
            </w14:solidFill>
          </w14:textFill>
        </w:rPr>
      </w:pPr>
      <w:bookmarkStart w:id="289" w:name="_Toc94194393"/>
      <w:bookmarkStart w:id="290" w:name="_Toc60235106"/>
      <w:bookmarkStart w:id="291" w:name="_Toc56245423"/>
      <w:bookmarkStart w:id="292" w:name="_Toc56188765"/>
      <w:bookmarkStart w:id="293" w:name="_Toc23359"/>
      <w:bookmarkStart w:id="294" w:name="_Toc96455163"/>
      <w:bookmarkStart w:id="295" w:name="_Toc60846314"/>
      <w:bookmarkStart w:id="296" w:name="_Toc5373"/>
      <w:bookmarkStart w:id="297" w:name="_Hlk56373530"/>
      <w:r>
        <w:rPr>
          <w:rFonts w:hint="eastAsia" w:ascii="Times New Roman" w:hAnsi="Times New Roman" w:eastAsia="仿宋_GB2312" w:cs="仿宋_GB2312"/>
          <w:b/>
          <w:bCs/>
          <w:color w:val="000000" w:themeColor="text1"/>
          <w:sz w:val="36"/>
          <w:szCs w:val="36"/>
          <w14:textFill>
            <w14:solidFill>
              <w14:schemeClr w14:val="tx1"/>
            </w14:solidFill>
          </w14:textFill>
        </w:rPr>
        <w:t>附表2 “十四五”铁路建设项目明细表</w:t>
      </w:r>
      <w:bookmarkEnd w:id="284"/>
      <w:bookmarkEnd w:id="285"/>
      <w:bookmarkEnd w:id="289"/>
      <w:bookmarkEnd w:id="290"/>
      <w:bookmarkEnd w:id="291"/>
      <w:bookmarkEnd w:id="292"/>
      <w:bookmarkEnd w:id="293"/>
      <w:bookmarkEnd w:id="294"/>
      <w:bookmarkEnd w:id="295"/>
      <w:bookmarkEnd w:id="296"/>
    </w:p>
    <w:tbl>
      <w:tblPr>
        <w:tblStyle w:val="20"/>
        <w:tblW w:w="5000" w:type="pct"/>
        <w:tblInd w:w="0" w:type="dxa"/>
        <w:tblLayout w:type="autofit"/>
        <w:tblCellMar>
          <w:top w:w="0" w:type="dxa"/>
          <w:left w:w="28" w:type="dxa"/>
          <w:bottom w:w="0" w:type="dxa"/>
          <w:right w:w="28" w:type="dxa"/>
        </w:tblCellMar>
      </w:tblPr>
      <w:tblGrid>
        <w:gridCol w:w="648"/>
        <w:gridCol w:w="2130"/>
        <w:gridCol w:w="1102"/>
        <w:gridCol w:w="1094"/>
        <w:gridCol w:w="1318"/>
        <w:gridCol w:w="992"/>
        <w:gridCol w:w="1616"/>
      </w:tblGrid>
      <w:tr>
        <w:tblPrEx>
          <w:tblCellMar>
            <w:top w:w="0" w:type="dxa"/>
            <w:left w:w="28" w:type="dxa"/>
            <w:bottom w:w="0" w:type="dxa"/>
            <w:right w:w="28" w:type="dxa"/>
          </w:tblCellMar>
        </w:tblPrEx>
        <w:trPr>
          <w:trHeight w:val="576" w:hRule="atLeast"/>
        </w:trPr>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序号</w:t>
            </w:r>
          </w:p>
        </w:tc>
        <w:tc>
          <w:tcPr>
            <w:tcW w:w="1196"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项目名称</w:t>
            </w:r>
          </w:p>
        </w:tc>
        <w:tc>
          <w:tcPr>
            <w:tcW w:w="619"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spacing w:val="-6"/>
                <w:kern w:val="0"/>
                <w:sz w:val="22"/>
                <w:szCs w:val="22"/>
              </w:rPr>
              <w:t>建设性质</w:t>
            </w:r>
          </w:p>
        </w:tc>
        <w:tc>
          <w:tcPr>
            <w:tcW w:w="614"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建设里程（km）</w:t>
            </w:r>
          </w:p>
        </w:tc>
        <w:tc>
          <w:tcPr>
            <w:tcW w:w="74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建设年限</w:t>
            </w:r>
          </w:p>
        </w:tc>
        <w:tc>
          <w:tcPr>
            <w:tcW w:w="557"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总投资</w:t>
            </w:r>
          </w:p>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（亿元）</w:t>
            </w:r>
          </w:p>
        </w:tc>
        <w:tc>
          <w:tcPr>
            <w:tcW w:w="907"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spacing w:val="-6"/>
                <w:kern w:val="0"/>
                <w:sz w:val="22"/>
                <w:szCs w:val="22"/>
              </w:rPr>
            </w:pPr>
            <w:r>
              <w:rPr>
                <w:rFonts w:hint="eastAsia" w:ascii="Times New Roman" w:hAnsi="Times New Roman" w:eastAsia="仿宋_GB2312" w:cs="仿宋_GB2312"/>
                <w:b/>
                <w:bCs/>
                <w:color w:val="000000"/>
                <w:spacing w:val="-6"/>
                <w:kern w:val="0"/>
                <w:sz w:val="22"/>
                <w:szCs w:val="22"/>
              </w:rPr>
              <w:t>“十四五”投资</w:t>
            </w:r>
          </w:p>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color w:val="000000"/>
                <w:kern w:val="0"/>
                <w:sz w:val="22"/>
                <w:szCs w:val="22"/>
              </w:rPr>
              <w:t>（亿元）</w:t>
            </w:r>
          </w:p>
        </w:tc>
      </w:tr>
      <w:tr>
        <w:tblPrEx>
          <w:tblCellMar>
            <w:top w:w="0" w:type="dxa"/>
            <w:left w:w="28" w:type="dxa"/>
            <w:bottom w:w="0" w:type="dxa"/>
            <w:right w:w="28" w:type="dxa"/>
          </w:tblCellMar>
        </w:tblPrEx>
        <w:trPr>
          <w:trHeight w:val="583" w:hRule="atLeast"/>
        </w:trPr>
        <w:tc>
          <w:tcPr>
            <w:tcW w:w="2179" w:type="pct"/>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合计</w:t>
            </w:r>
          </w:p>
        </w:tc>
        <w:tc>
          <w:tcPr>
            <w:tcW w:w="6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color w:val="000000"/>
                <w:sz w:val="22"/>
                <w:szCs w:val="22"/>
              </w:rPr>
              <w:t>122</w:t>
            </w:r>
          </w:p>
        </w:tc>
        <w:tc>
          <w:tcPr>
            <w:tcW w:w="74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color w:val="000000"/>
                <w:sz w:val="22"/>
                <w:szCs w:val="22"/>
              </w:rPr>
              <w:t>　</w:t>
            </w:r>
          </w:p>
        </w:tc>
        <w:tc>
          <w:tcPr>
            <w:tcW w:w="55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color w:val="000000"/>
                <w:sz w:val="22"/>
                <w:szCs w:val="22"/>
              </w:rPr>
              <w:t>196.1</w:t>
            </w:r>
          </w:p>
        </w:tc>
        <w:tc>
          <w:tcPr>
            <w:tcW w:w="9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color w:val="000000"/>
                <w:sz w:val="22"/>
                <w:szCs w:val="22"/>
              </w:rPr>
              <w:t>82.1</w:t>
            </w:r>
          </w:p>
        </w:tc>
      </w:tr>
      <w:tr>
        <w:tblPrEx>
          <w:tblCellMar>
            <w:top w:w="0" w:type="dxa"/>
            <w:left w:w="28" w:type="dxa"/>
            <w:bottom w:w="0" w:type="dxa"/>
            <w:right w:w="28" w:type="dxa"/>
          </w:tblCellMar>
        </w:tblPrEx>
        <w:trPr>
          <w:trHeight w:val="576" w:hRule="atLeast"/>
        </w:trPr>
        <w:tc>
          <w:tcPr>
            <w:tcW w:w="364"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w:t>
            </w:r>
          </w:p>
        </w:tc>
        <w:tc>
          <w:tcPr>
            <w:tcW w:w="119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呼南高铁豫西通道</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6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42.5</w:t>
            </w:r>
          </w:p>
        </w:tc>
        <w:tc>
          <w:tcPr>
            <w:tcW w:w="74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2022-2025</w:t>
            </w:r>
          </w:p>
        </w:tc>
        <w:tc>
          <w:tcPr>
            <w:tcW w:w="55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58.7</w:t>
            </w:r>
          </w:p>
        </w:tc>
        <w:tc>
          <w:tcPr>
            <w:tcW w:w="9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58.7</w:t>
            </w:r>
          </w:p>
        </w:tc>
      </w:tr>
      <w:tr>
        <w:tblPrEx>
          <w:tblCellMar>
            <w:top w:w="0" w:type="dxa"/>
            <w:left w:w="28" w:type="dxa"/>
            <w:bottom w:w="0" w:type="dxa"/>
            <w:right w:w="28" w:type="dxa"/>
          </w:tblCellMar>
        </w:tblPrEx>
        <w:trPr>
          <w:trHeight w:val="576" w:hRule="atLeast"/>
        </w:trPr>
        <w:tc>
          <w:tcPr>
            <w:tcW w:w="364"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w:t>
            </w:r>
          </w:p>
        </w:tc>
        <w:tc>
          <w:tcPr>
            <w:tcW w:w="119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新焦城际铁路</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6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10.4</w:t>
            </w:r>
          </w:p>
        </w:tc>
        <w:tc>
          <w:tcPr>
            <w:tcW w:w="74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2023-2025</w:t>
            </w:r>
          </w:p>
        </w:tc>
        <w:tc>
          <w:tcPr>
            <w:tcW w:w="55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15</w:t>
            </w:r>
          </w:p>
        </w:tc>
        <w:tc>
          <w:tcPr>
            <w:tcW w:w="9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15</w:t>
            </w:r>
          </w:p>
        </w:tc>
      </w:tr>
      <w:tr>
        <w:tblPrEx>
          <w:tblCellMar>
            <w:top w:w="0" w:type="dxa"/>
            <w:left w:w="28" w:type="dxa"/>
            <w:bottom w:w="0" w:type="dxa"/>
            <w:right w:w="28" w:type="dxa"/>
          </w:tblCellMar>
        </w:tblPrEx>
        <w:trPr>
          <w:trHeight w:val="556" w:hRule="atLeast"/>
        </w:trPr>
        <w:tc>
          <w:tcPr>
            <w:tcW w:w="364"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w:t>
            </w:r>
          </w:p>
        </w:tc>
        <w:tc>
          <w:tcPr>
            <w:tcW w:w="119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郑州都市圈轨道交通S3线焦作段</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6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58</w:t>
            </w:r>
          </w:p>
        </w:tc>
        <w:tc>
          <w:tcPr>
            <w:tcW w:w="74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p>
        </w:tc>
        <w:tc>
          <w:tcPr>
            <w:tcW w:w="55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114</w:t>
            </w:r>
          </w:p>
        </w:tc>
        <w:tc>
          <w:tcPr>
            <w:tcW w:w="9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p>
        </w:tc>
      </w:tr>
      <w:tr>
        <w:tblPrEx>
          <w:tblCellMar>
            <w:top w:w="0" w:type="dxa"/>
            <w:left w:w="28" w:type="dxa"/>
            <w:bottom w:w="0" w:type="dxa"/>
            <w:right w:w="28" w:type="dxa"/>
          </w:tblCellMar>
        </w:tblPrEx>
        <w:trPr>
          <w:trHeight w:val="576" w:hRule="atLeast"/>
        </w:trPr>
        <w:tc>
          <w:tcPr>
            <w:tcW w:w="364"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4</w:t>
            </w:r>
          </w:p>
        </w:tc>
        <w:tc>
          <w:tcPr>
            <w:tcW w:w="119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武陟公铁物流港铁路专用线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6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8.8</w:t>
            </w:r>
          </w:p>
        </w:tc>
        <w:tc>
          <w:tcPr>
            <w:tcW w:w="74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2022-2025</w:t>
            </w:r>
          </w:p>
        </w:tc>
        <w:tc>
          <w:tcPr>
            <w:tcW w:w="55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5.4</w:t>
            </w:r>
          </w:p>
        </w:tc>
        <w:tc>
          <w:tcPr>
            <w:tcW w:w="9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5.4</w:t>
            </w:r>
          </w:p>
        </w:tc>
      </w:tr>
      <w:tr>
        <w:tblPrEx>
          <w:tblCellMar>
            <w:top w:w="0" w:type="dxa"/>
            <w:left w:w="28" w:type="dxa"/>
            <w:bottom w:w="0" w:type="dxa"/>
            <w:right w:w="28" w:type="dxa"/>
          </w:tblCellMar>
        </w:tblPrEx>
        <w:trPr>
          <w:trHeight w:val="544" w:hRule="atLeast"/>
        </w:trPr>
        <w:tc>
          <w:tcPr>
            <w:tcW w:w="364"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5</w:t>
            </w:r>
          </w:p>
        </w:tc>
        <w:tc>
          <w:tcPr>
            <w:tcW w:w="119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豫北中运物流园铁路专用线</w:t>
            </w:r>
          </w:p>
        </w:tc>
        <w:tc>
          <w:tcPr>
            <w:tcW w:w="61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6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2.7</w:t>
            </w:r>
          </w:p>
        </w:tc>
        <w:tc>
          <w:tcPr>
            <w:tcW w:w="74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2022-2024</w:t>
            </w:r>
          </w:p>
        </w:tc>
        <w:tc>
          <w:tcPr>
            <w:tcW w:w="55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w:t>
            </w:r>
          </w:p>
        </w:tc>
        <w:tc>
          <w:tcPr>
            <w:tcW w:w="9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w:t>
            </w:r>
          </w:p>
        </w:tc>
      </w:tr>
    </w:tbl>
    <w:p>
      <w:pPr>
        <w:ind w:firstLine="640"/>
        <w:rPr>
          <w:rFonts w:ascii="Times New Roman" w:hAnsi="Times New Roman"/>
        </w:rPr>
      </w:pPr>
      <w:r>
        <w:rPr>
          <w:rFonts w:ascii="Times New Roman" w:hAnsi="Times New Roman"/>
        </w:rPr>
        <w:br w:type="page"/>
      </w:r>
    </w:p>
    <w:p>
      <w:pPr>
        <w:pStyle w:val="5"/>
        <w:rPr>
          <w:rFonts w:hint="eastAsia" w:ascii="Times New Roman" w:hAnsi="Times New Roman" w:eastAsia="仿宋_GB2312" w:cs="仿宋_GB2312"/>
          <w:b/>
          <w:bCs/>
          <w:color w:val="000000" w:themeColor="text1"/>
          <w:sz w:val="36"/>
          <w:szCs w:val="36"/>
          <w14:textFill>
            <w14:solidFill>
              <w14:schemeClr w14:val="tx1"/>
            </w14:solidFill>
          </w14:textFill>
        </w:rPr>
      </w:pPr>
      <w:bookmarkStart w:id="298" w:name="_Toc60235108"/>
      <w:bookmarkStart w:id="299" w:name="_Toc27216"/>
      <w:bookmarkStart w:id="300" w:name="_Toc96455165"/>
      <w:bookmarkStart w:id="301" w:name="_Toc53041798"/>
      <w:bookmarkStart w:id="302" w:name="_Toc60846316"/>
      <w:bookmarkStart w:id="303" w:name="_Toc56245425"/>
      <w:bookmarkStart w:id="304" w:name="_Toc94194395"/>
      <w:bookmarkStart w:id="305" w:name="_Toc56188767"/>
      <w:bookmarkStart w:id="306" w:name="_Toc54704874"/>
      <w:bookmarkStart w:id="307" w:name="_Toc14351"/>
      <w:r>
        <w:rPr>
          <w:rFonts w:hint="eastAsia" w:ascii="Times New Roman" w:hAnsi="Times New Roman" w:eastAsia="仿宋_GB2312" w:cs="仿宋_GB2312"/>
          <w:b/>
          <w:bCs/>
          <w:color w:val="000000" w:themeColor="text1"/>
          <w:sz w:val="36"/>
          <w:szCs w:val="36"/>
          <w14:textFill>
            <w14:solidFill>
              <w14:schemeClr w14:val="tx1"/>
            </w14:solidFill>
          </w14:textFill>
        </w:rPr>
        <w:t>附表3 “十四五”高速公路建设项目明细表</w:t>
      </w:r>
      <w:bookmarkEnd w:id="298"/>
      <w:bookmarkEnd w:id="299"/>
      <w:bookmarkEnd w:id="300"/>
      <w:bookmarkEnd w:id="301"/>
      <w:bookmarkEnd w:id="302"/>
      <w:bookmarkEnd w:id="303"/>
      <w:bookmarkEnd w:id="304"/>
      <w:bookmarkEnd w:id="305"/>
      <w:bookmarkEnd w:id="306"/>
      <w:bookmarkEnd w:id="307"/>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36"/>
        <w:gridCol w:w="2730"/>
        <w:gridCol w:w="923"/>
        <w:gridCol w:w="1010"/>
        <w:gridCol w:w="1149"/>
        <w:gridCol w:w="1013"/>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4" w:hRule="atLeast"/>
        </w:trPr>
        <w:tc>
          <w:tcPr>
            <w:tcW w:w="35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rPr>
            </w:pPr>
            <w:r>
              <w:rPr>
                <w:rFonts w:hint="eastAsia" w:ascii="Times New Roman" w:hAnsi="Times New Roman" w:eastAsia="仿宋_GB2312" w:cs="仿宋_GB2312"/>
                <w:b/>
                <w:bCs/>
                <w:kern w:val="0"/>
                <w:sz w:val="22"/>
              </w:rPr>
              <w:t>序号</w:t>
            </w:r>
          </w:p>
        </w:tc>
        <w:tc>
          <w:tcPr>
            <w:tcW w:w="1533"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rPr>
            </w:pPr>
            <w:r>
              <w:rPr>
                <w:rFonts w:hint="eastAsia" w:ascii="Times New Roman" w:hAnsi="Times New Roman" w:eastAsia="仿宋_GB2312" w:cs="仿宋_GB2312"/>
                <w:b/>
                <w:bCs/>
                <w:kern w:val="0"/>
                <w:sz w:val="22"/>
              </w:rPr>
              <w:t>项目名称</w:t>
            </w:r>
          </w:p>
        </w:tc>
        <w:tc>
          <w:tcPr>
            <w:tcW w:w="51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rPr>
            </w:pPr>
            <w:r>
              <w:rPr>
                <w:rFonts w:hint="eastAsia" w:ascii="Times New Roman" w:hAnsi="Times New Roman" w:eastAsia="仿宋_GB2312" w:cs="仿宋_GB2312"/>
                <w:b/>
                <w:bCs/>
                <w:spacing w:val="-6"/>
                <w:kern w:val="0"/>
                <w:sz w:val="22"/>
              </w:rPr>
              <w:t>建设性质</w:t>
            </w:r>
          </w:p>
        </w:tc>
        <w:tc>
          <w:tcPr>
            <w:tcW w:w="56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rPr>
            </w:pPr>
            <w:r>
              <w:rPr>
                <w:rFonts w:hint="eastAsia" w:ascii="Times New Roman" w:hAnsi="Times New Roman" w:eastAsia="仿宋_GB2312" w:cs="仿宋_GB2312"/>
                <w:b/>
                <w:bCs/>
                <w:kern w:val="0"/>
                <w:sz w:val="22"/>
              </w:rPr>
              <w:t>建设里程（km）</w:t>
            </w:r>
          </w:p>
        </w:tc>
        <w:tc>
          <w:tcPr>
            <w:tcW w:w="645"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rPr>
            </w:pPr>
            <w:r>
              <w:rPr>
                <w:rFonts w:hint="eastAsia" w:ascii="Times New Roman" w:hAnsi="Times New Roman" w:eastAsia="仿宋_GB2312" w:cs="仿宋_GB2312"/>
                <w:b/>
                <w:bCs/>
                <w:kern w:val="0"/>
                <w:sz w:val="22"/>
              </w:rPr>
              <w:t>建设年限</w:t>
            </w:r>
          </w:p>
        </w:tc>
        <w:tc>
          <w:tcPr>
            <w:tcW w:w="569"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rPr>
            </w:pPr>
            <w:r>
              <w:rPr>
                <w:rFonts w:hint="eastAsia" w:ascii="Times New Roman" w:hAnsi="Times New Roman" w:eastAsia="仿宋_GB2312" w:cs="仿宋_GB2312"/>
                <w:b/>
                <w:bCs/>
                <w:kern w:val="0"/>
                <w:sz w:val="22"/>
              </w:rPr>
              <w:t>总投资</w:t>
            </w:r>
          </w:p>
          <w:p>
            <w:pPr>
              <w:widowControl/>
              <w:spacing w:line="240" w:lineRule="auto"/>
              <w:ind w:firstLine="0" w:firstLineChars="0"/>
              <w:jc w:val="center"/>
              <w:rPr>
                <w:rFonts w:hint="eastAsia" w:ascii="Times New Roman" w:hAnsi="Times New Roman" w:eastAsia="仿宋_GB2312" w:cs="仿宋_GB2312"/>
                <w:b/>
                <w:bCs/>
                <w:kern w:val="0"/>
                <w:sz w:val="22"/>
              </w:rPr>
            </w:pPr>
            <w:r>
              <w:rPr>
                <w:rFonts w:hint="eastAsia" w:ascii="Times New Roman" w:hAnsi="Times New Roman" w:eastAsia="仿宋_GB2312" w:cs="仿宋_GB2312"/>
                <w:b/>
                <w:bCs/>
                <w:kern w:val="0"/>
                <w:sz w:val="22"/>
              </w:rPr>
              <w:t>（亿元）</w:t>
            </w:r>
          </w:p>
        </w:tc>
        <w:tc>
          <w:tcPr>
            <w:tcW w:w="808"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spacing w:val="-6"/>
                <w:kern w:val="0"/>
                <w:sz w:val="22"/>
              </w:rPr>
            </w:pPr>
            <w:r>
              <w:rPr>
                <w:rFonts w:hint="eastAsia" w:ascii="Times New Roman" w:hAnsi="Times New Roman" w:eastAsia="仿宋_GB2312" w:cs="仿宋_GB2312"/>
                <w:b/>
                <w:bCs/>
                <w:color w:val="000000"/>
                <w:spacing w:val="-6"/>
                <w:kern w:val="0"/>
                <w:sz w:val="22"/>
              </w:rPr>
              <w:t>“十四五”投资</w:t>
            </w:r>
          </w:p>
          <w:p>
            <w:pPr>
              <w:widowControl/>
              <w:spacing w:line="240" w:lineRule="auto"/>
              <w:ind w:firstLine="0" w:firstLineChars="0"/>
              <w:jc w:val="center"/>
              <w:rPr>
                <w:rFonts w:hint="eastAsia" w:ascii="Times New Roman" w:hAnsi="Times New Roman" w:eastAsia="仿宋_GB2312" w:cs="仿宋_GB2312"/>
                <w:b/>
                <w:bCs/>
                <w:kern w:val="0"/>
                <w:sz w:val="22"/>
              </w:rPr>
            </w:pPr>
            <w:r>
              <w:rPr>
                <w:rFonts w:hint="eastAsia" w:ascii="Times New Roman" w:hAnsi="Times New Roman" w:eastAsia="仿宋_GB2312" w:cs="仿宋_GB2312"/>
                <w:b/>
                <w:bCs/>
                <w:color w:val="000000"/>
                <w:kern w:val="0"/>
                <w:sz w:val="22"/>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4" w:hRule="atLeast"/>
        </w:trPr>
        <w:tc>
          <w:tcPr>
            <w:tcW w:w="2408" w:type="pct"/>
            <w:gridSpan w:val="3"/>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rPr>
            </w:pPr>
            <w:r>
              <w:rPr>
                <w:rFonts w:hint="eastAsia" w:ascii="Times New Roman" w:hAnsi="Times New Roman" w:eastAsia="仿宋_GB2312" w:cs="仿宋_GB2312"/>
                <w:b/>
                <w:bCs/>
                <w:kern w:val="0"/>
                <w:sz w:val="22"/>
              </w:rPr>
              <w:t>合计</w:t>
            </w:r>
          </w:p>
        </w:tc>
        <w:tc>
          <w:tcPr>
            <w:tcW w:w="56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rPr>
            </w:pPr>
            <w:r>
              <w:rPr>
                <w:rFonts w:hint="eastAsia" w:ascii="Times New Roman" w:hAnsi="Times New Roman" w:eastAsia="仿宋_GB2312" w:cs="仿宋_GB2312"/>
                <w:b/>
                <w:bCs/>
                <w:color w:val="000000"/>
                <w:sz w:val="22"/>
              </w:rPr>
              <w:t>311.2</w:t>
            </w:r>
          </w:p>
        </w:tc>
        <w:tc>
          <w:tcPr>
            <w:tcW w:w="645"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rPr>
            </w:pPr>
            <w:r>
              <w:rPr>
                <w:rFonts w:hint="eastAsia" w:ascii="Times New Roman" w:hAnsi="Times New Roman" w:eastAsia="仿宋_GB2312" w:cs="仿宋_GB2312"/>
                <w:b/>
                <w:bCs/>
                <w:color w:val="000000"/>
                <w:sz w:val="22"/>
              </w:rPr>
              <w:t>　</w:t>
            </w:r>
          </w:p>
        </w:tc>
        <w:tc>
          <w:tcPr>
            <w:tcW w:w="569"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rPr>
            </w:pPr>
            <w:r>
              <w:rPr>
                <w:rFonts w:hint="eastAsia" w:ascii="Times New Roman" w:hAnsi="Times New Roman" w:eastAsia="仿宋_GB2312" w:cs="仿宋_GB2312"/>
                <w:b/>
                <w:bCs/>
                <w:color w:val="000000"/>
                <w:sz w:val="22"/>
              </w:rPr>
              <w:t>537.2</w:t>
            </w:r>
          </w:p>
        </w:tc>
        <w:tc>
          <w:tcPr>
            <w:tcW w:w="808"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rPr>
            </w:pPr>
            <w:r>
              <w:rPr>
                <w:rFonts w:hint="eastAsia" w:ascii="Times New Roman" w:hAnsi="Times New Roman" w:eastAsia="仿宋_GB2312" w:cs="仿宋_GB2312"/>
                <w:b/>
                <w:bCs/>
                <w:color w:val="000000"/>
                <w:sz w:val="22"/>
              </w:rPr>
              <w:t>497.2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rPr>
        <w:tc>
          <w:tcPr>
            <w:tcW w:w="35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1</w:t>
            </w:r>
          </w:p>
        </w:tc>
        <w:tc>
          <w:tcPr>
            <w:tcW w:w="1533"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沿太行高速焦作至济源段</w:t>
            </w:r>
          </w:p>
        </w:tc>
        <w:tc>
          <w:tcPr>
            <w:tcW w:w="51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kern w:val="0"/>
                <w:sz w:val="22"/>
              </w:rPr>
              <w:t>新建</w:t>
            </w:r>
          </w:p>
        </w:tc>
        <w:tc>
          <w:tcPr>
            <w:tcW w:w="56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38.9</w:t>
            </w:r>
          </w:p>
        </w:tc>
        <w:tc>
          <w:tcPr>
            <w:tcW w:w="645"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2021-2024</w:t>
            </w:r>
          </w:p>
        </w:tc>
        <w:tc>
          <w:tcPr>
            <w:tcW w:w="569"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56.3</w:t>
            </w:r>
          </w:p>
        </w:tc>
        <w:tc>
          <w:tcPr>
            <w:tcW w:w="808"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8" w:hRule="atLeast"/>
        </w:trPr>
        <w:tc>
          <w:tcPr>
            <w:tcW w:w="35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2</w:t>
            </w:r>
          </w:p>
        </w:tc>
        <w:tc>
          <w:tcPr>
            <w:tcW w:w="1533"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沿黄高速武陟至济源段</w:t>
            </w:r>
          </w:p>
        </w:tc>
        <w:tc>
          <w:tcPr>
            <w:tcW w:w="51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kern w:val="0"/>
                <w:sz w:val="22"/>
              </w:rPr>
              <w:t>新建</w:t>
            </w:r>
          </w:p>
        </w:tc>
        <w:tc>
          <w:tcPr>
            <w:tcW w:w="56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92</w:t>
            </w:r>
          </w:p>
        </w:tc>
        <w:tc>
          <w:tcPr>
            <w:tcW w:w="645"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2021-2024</w:t>
            </w:r>
          </w:p>
        </w:tc>
        <w:tc>
          <w:tcPr>
            <w:tcW w:w="569"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123.8</w:t>
            </w:r>
          </w:p>
        </w:tc>
        <w:tc>
          <w:tcPr>
            <w:tcW w:w="808"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7" w:hRule="atLeast"/>
        </w:trPr>
        <w:tc>
          <w:tcPr>
            <w:tcW w:w="35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3</w:t>
            </w:r>
          </w:p>
        </w:tc>
        <w:tc>
          <w:tcPr>
            <w:tcW w:w="1533"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焦平高速焦作至荥阳段</w:t>
            </w:r>
          </w:p>
        </w:tc>
        <w:tc>
          <w:tcPr>
            <w:tcW w:w="51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kern w:val="0"/>
                <w:sz w:val="22"/>
              </w:rPr>
              <w:t>新建</w:t>
            </w:r>
          </w:p>
        </w:tc>
        <w:tc>
          <w:tcPr>
            <w:tcW w:w="56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28.4</w:t>
            </w:r>
          </w:p>
        </w:tc>
        <w:tc>
          <w:tcPr>
            <w:tcW w:w="645"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2021-2025</w:t>
            </w:r>
          </w:p>
        </w:tc>
        <w:tc>
          <w:tcPr>
            <w:tcW w:w="569"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60</w:t>
            </w:r>
          </w:p>
        </w:tc>
        <w:tc>
          <w:tcPr>
            <w:tcW w:w="808"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35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4</w:t>
            </w:r>
          </w:p>
        </w:tc>
        <w:tc>
          <w:tcPr>
            <w:tcW w:w="1533"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沁阳至伊川高速公路</w:t>
            </w:r>
          </w:p>
        </w:tc>
        <w:tc>
          <w:tcPr>
            <w:tcW w:w="51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kern w:val="0"/>
                <w:sz w:val="22"/>
              </w:rPr>
              <w:t>新建</w:t>
            </w:r>
          </w:p>
        </w:tc>
        <w:tc>
          <w:tcPr>
            <w:tcW w:w="56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25.2</w:t>
            </w:r>
          </w:p>
        </w:tc>
        <w:tc>
          <w:tcPr>
            <w:tcW w:w="645"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2021-2025</w:t>
            </w:r>
          </w:p>
        </w:tc>
        <w:tc>
          <w:tcPr>
            <w:tcW w:w="569"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54</w:t>
            </w:r>
          </w:p>
        </w:tc>
        <w:tc>
          <w:tcPr>
            <w:tcW w:w="808"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trPr>
        <w:tc>
          <w:tcPr>
            <w:tcW w:w="35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5</w:t>
            </w:r>
          </w:p>
        </w:tc>
        <w:tc>
          <w:tcPr>
            <w:tcW w:w="1533"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长垣至修武高速公路</w:t>
            </w:r>
          </w:p>
        </w:tc>
        <w:tc>
          <w:tcPr>
            <w:tcW w:w="51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kern w:val="0"/>
                <w:sz w:val="22"/>
              </w:rPr>
              <w:t>新建</w:t>
            </w:r>
          </w:p>
        </w:tc>
        <w:tc>
          <w:tcPr>
            <w:tcW w:w="56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1.8</w:t>
            </w:r>
          </w:p>
        </w:tc>
        <w:tc>
          <w:tcPr>
            <w:tcW w:w="645"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2021-2025</w:t>
            </w:r>
          </w:p>
        </w:tc>
        <w:tc>
          <w:tcPr>
            <w:tcW w:w="569"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5.2</w:t>
            </w:r>
          </w:p>
        </w:tc>
        <w:tc>
          <w:tcPr>
            <w:tcW w:w="808"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trPr>
        <w:tc>
          <w:tcPr>
            <w:tcW w:w="35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6</w:t>
            </w:r>
          </w:p>
        </w:tc>
        <w:tc>
          <w:tcPr>
            <w:tcW w:w="1533"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沿太行高速焦作段</w:t>
            </w:r>
          </w:p>
        </w:tc>
        <w:tc>
          <w:tcPr>
            <w:tcW w:w="51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kern w:val="0"/>
                <w:sz w:val="22"/>
              </w:rPr>
              <w:t>新建</w:t>
            </w:r>
          </w:p>
        </w:tc>
        <w:tc>
          <w:tcPr>
            <w:tcW w:w="56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40.3</w:t>
            </w:r>
          </w:p>
        </w:tc>
        <w:tc>
          <w:tcPr>
            <w:tcW w:w="645"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2022-2025</w:t>
            </w:r>
          </w:p>
        </w:tc>
        <w:tc>
          <w:tcPr>
            <w:tcW w:w="569"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66.4</w:t>
            </w:r>
          </w:p>
        </w:tc>
        <w:tc>
          <w:tcPr>
            <w:tcW w:w="808"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35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sz w:val="22"/>
              </w:rPr>
              <w:t>7</w:t>
            </w:r>
          </w:p>
        </w:tc>
        <w:tc>
          <w:tcPr>
            <w:tcW w:w="1533"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sz w:val="22"/>
              </w:rPr>
            </w:pPr>
            <w:r>
              <w:rPr>
                <w:rFonts w:hint="eastAsia" w:ascii="Times New Roman" w:hAnsi="Times New Roman" w:eastAsia="仿宋_GB2312" w:cs="仿宋_GB2312"/>
                <w:sz w:val="22"/>
              </w:rPr>
              <w:t>焦唐高速温县至巩义段</w:t>
            </w:r>
          </w:p>
        </w:tc>
        <w:tc>
          <w:tcPr>
            <w:tcW w:w="51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kern w:val="0"/>
                <w:sz w:val="22"/>
              </w:rPr>
              <w:t>新建</w:t>
            </w:r>
          </w:p>
        </w:tc>
        <w:tc>
          <w:tcPr>
            <w:tcW w:w="56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sz w:val="22"/>
              </w:rPr>
            </w:pPr>
            <w:r>
              <w:rPr>
                <w:rFonts w:hint="eastAsia" w:ascii="Times New Roman" w:hAnsi="Times New Roman" w:eastAsia="仿宋_GB2312" w:cs="仿宋_GB2312"/>
                <w:color w:val="000000"/>
                <w:sz w:val="22"/>
              </w:rPr>
              <w:t>18</w:t>
            </w:r>
          </w:p>
        </w:tc>
        <w:tc>
          <w:tcPr>
            <w:tcW w:w="645"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sz w:val="22"/>
              </w:rPr>
            </w:pPr>
            <w:r>
              <w:rPr>
                <w:rFonts w:hint="eastAsia" w:ascii="Times New Roman" w:hAnsi="Times New Roman" w:eastAsia="仿宋_GB2312" w:cs="仿宋_GB2312"/>
                <w:sz w:val="22"/>
              </w:rPr>
              <w:t>2022-2026</w:t>
            </w:r>
          </w:p>
        </w:tc>
        <w:tc>
          <w:tcPr>
            <w:tcW w:w="569"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sz w:val="22"/>
              </w:rPr>
            </w:pPr>
            <w:r>
              <w:rPr>
                <w:rFonts w:hint="eastAsia" w:ascii="Times New Roman" w:hAnsi="Times New Roman" w:eastAsia="仿宋_GB2312" w:cs="仿宋_GB2312"/>
                <w:color w:val="000000"/>
                <w:sz w:val="22"/>
              </w:rPr>
              <w:t>40</w:t>
            </w:r>
          </w:p>
        </w:tc>
        <w:tc>
          <w:tcPr>
            <w:tcW w:w="808"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sz w:val="22"/>
              </w:rPr>
            </w:pPr>
            <w:r>
              <w:rPr>
                <w:rFonts w:hint="eastAsia" w:ascii="Times New Roman" w:hAnsi="Times New Roman" w:eastAsia="仿宋_GB2312" w:cs="仿宋_GB2312"/>
                <w:sz w:val="2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35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color w:val="000000"/>
                <w:sz w:val="22"/>
              </w:rPr>
              <w:t>8</w:t>
            </w:r>
          </w:p>
        </w:tc>
        <w:tc>
          <w:tcPr>
            <w:tcW w:w="1533"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sz w:val="22"/>
              </w:rPr>
            </w:pPr>
            <w:r>
              <w:rPr>
                <w:rFonts w:hint="eastAsia" w:ascii="Times New Roman" w:hAnsi="Times New Roman" w:eastAsia="仿宋_GB2312" w:cs="仿宋_GB2312"/>
                <w:sz w:val="22"/>
              </w:rPr>
              <w:t>郑州至焦作高速公路</w:t>
            </w:r>
          </w:p>
        </w:tc>
        <w:tc>
          <w:tcPr>
            <w:tcW w:w="51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kern w:val="0"/>
                <w:sz w:val="22"/>
              </w:rPr>
              <w:t>新建</w:t>
            </w:r>
          </w:p>
        </w:tc>
        <w:tc>
          <w:tcPr>
            <w:tcW w:w="56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sz w:val="22"/>
              </w:rPr>
            </w:pPr>
            <w:r>
              <w:rPr>
                <w:rFonts w:hint="eastAsia" w:ascii="Times New Roman" w:hAnsi="Times New Roman" w:eastAsia="仿宋_GB2312" w:cs="仿宋_GB2312"/>
                <w:color w:val="000000"/>
                <w:sz w:val="22"/>
              </w:rPr>
              <w:t>66</w:t>
            </w:r>
          </w:p>
        </w:tc>
        <w:tc>
          <w:tcPr>
            <w:tcW w:w="645"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sz w:val="22"/>
              </w:rPr>
            </w:pPr>
            <w:r>
              <w:rPr>
                <w:rFonts w:hint="eastAsia" w:ascii="Times New Roman" w:hAnsi="Times New Roman" w:eastAsia="仿宋_GB2312" w:cs="仿宋_GB2312"/>
                <w:sz w:val="22"/>
              </w:rPr>
              <w:t>2022-2026</w:t>
            </w:r>
          </w:p>
        </w:tc>
        <w:tc>
          <w:tcPr>
            <w:tcW w:w="569"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sz w:val="22"/>
              </w:rPr>
            </w:pPr>
            <w:r>
              <w:rPr>
                <w:rFonts w:hint="eastAsia" w:ascii="Times New Roman" w:hAnsi="Times New Roman" w:eastAsia="仿宋_GB2312" w:cs="仿宋_GB2312"/>
                <w:color w:val="000000"/>
                <w:sz w:val="22"/>
              </w:rPr>
              <w:t>130</w:t>
            </w:r>
          </w:p>
        </w:tc>
        <w:tc>
          <w:tcPr>
            <w:tcW w:w="808"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sz w:val="22"/>
              </w:rPr>
            </w:pPr>
            <w:r>
              <w:rPr>
                <w:rFonts w:hint="eastAsia" w:ascii="Times New Roman" w:hAnsi="Times New Roman" w:eastAsia="仿宋_GB2312" w:cs="仿宋_GB2312"/>
                <w:sz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35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rPr>
            </w:pPr>
            <w:r>
              <w:rPr>
                <w:rFonts w:hint="eastAsia" w:ascii="Times New Roman" w:hAnsi="Times New Roman" w:eastAsia="仿宋_GB2312" w:cs="仿宋_GB2312"/>
                <w:color w:val="000000"/>
                <w:sz w:val="22"/>
              </w:rPr>
              <w:t>9</w:t>
            </w:r>
          </w:p>
        </w:tc>
        <w:tc>
          <w:tcPr>
            <w:tcW w:w="1533"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sz w:val="22"/>
              </w:rPr>
            </w:pPr>
            <w:r>
              <w:rPr>
                <w:rFonts w:hint="eastAsia" w:ascii="Times New Roman" w:hAnsi="Times New Roman" w:eastAsia="仿宋_GB2312" w:cs="仿宋_GB2312"/>
                <w:sz w:val="22"/>
              </w:rPr>
              <w:t>郑州至辉县高速公路</w:t>
            </w:r>
          </w:p>
        </w:tc>
        <w:tc>
          <w:tcPr>
            <w:tcW w:w="51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kern w:val="0"/>
                <w:sz w:val="22"/>
              </w:rPr>
              <w:t>新建</w:t>
            </w:r>
          </w:p>
        </w:tc>
        <w:tc>
          <w:tcPr>
            <w:tcW w:w="56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rPr>
            </w:pPr>
            <w:r>
              <w:rPr>
                <w:rFonts w:hint="eastAsia" w:ascii="Times New Roman" w:hAnsi="Times New Roman" w:eastAsia="仿宋_GB2312" w:cs="仿宋_GB2312"/>
                <w:sz w:val="22"/>
              </w:rPr>
              <w:t>0.6</w:t>
            </w:r>
          </w:p>
        </w:tc>
        <w:tc>
          <w:tcPr>
            <w:tcW w:w="645"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sz w:val="22"/>
              </w:rPr>
            </w:pPr>
            <w:r>
              <w:rPr>
                <w:rFonts w:hint="eastAsia" w:ascii="Times New Roman" w:hAnsi="Times New Roman" w:eastAsia="仿宋_GB2312" w:cs="仿宋_GB2312"/>
                <w:sz w:val="22"/>
              </w:rPr>
              <w:t>2022-2026</w:t>
            </w:r>
          </w:p>
        </w:tc>
        <w:tc>
          <w:tcPr>
            <w:tcW w:w="569"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rPr>
            </w:pPr>
            <w:r>
              <w:rPr>
                <w:rFonts w:hint="eastAsia" w:ascii="Times New Roman" w:hAnsi="Times New Roman" w:eastAsia="仿宋_GB2312" w:cs="仿宋_GB2312"/>
                <w:sz w:val="22"/>
              </w:rPr>
              <w:t>0</w:t>
            </w:r>
          </w:p>
        </w:tc>
        <w:tc>
          <w:tcPr>
            <w:tcW w:w="808"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sz w:val="22"/>
              </w:rPr>
            </w:pPr>
            <w:r>
              <w:rPr>
                <w:rFonts w:hint="eastAsia" w:ascii="Times New Roman" w:hAnsi="Times New Roman" w:eastAsia="仿宋_GB2312" w:cs="仿宋_GB2312"/>
                <w:color w:val="00000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35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rPr>
            </w:pPr>
            <w:r>
              <w:rPr>
                <w:rFonts w:hint="eastAsia" w:ascii="Times New Roman" w:hAnsi="Times New Roman" w:eastAsia="仿宋_GB2312" w:cs="仿宋_GB2312"/>
                <w:color w:val="000000"/>
                <w:sz w:val="22"/>
              </w:rPr>
              <w:t>10</w:t>
            </w:r>
          </w:p>
        </w:tc>
        <w:tc>
          <w:tcPr>
            <w:tcW w:w="1533"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sz w:val="22"/>
              </w:rPr>
            </w:pPr>
            <w:r>
              <w:rPr>
                <w:rFonts w:hint="eastAsia" w:ascii="Times New Roman" w:hAnsi="Times New Roman" w:eastAsia="仿宋_GB2312" w:cs="仿宋_GB2312"/>
                <w:sz w:val="22"/>
              </w:rPr>
              <w:t>晋新高速焦作西站</w:t>
            </w:r>
          </w:p>
        </w:tc>
        <w:tc>
          <w:tcPr>
            <w:tcW w:w="51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kern w:val="0"/>
                <w:sz w:val="22"/>
              </w:rPr>
            </w:pPr>
            <w:r>
              <w:rPr>
                <w:rFonts w:hint="eastAsia" w:ascii="Times New Roman" w:hAnsi="Times New Roman" w:eastAsia="仿宋_GB2312" w:cs="仿宋_GB2312"/>
                <w:kern w:val="0"/>
                <w:sz w:val="22"/>
              </w:rPr>
              <w:t>改扩建</w:t>
            </w:r>
          </w:p>
        </w:tc>
        <w:tc>
          <w:tcPr>
            <w:tcW w:w="56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rPr>
            </w:pPr>
            <w:r>
              <w:rPr>
                <w:rFonts w:hint="eastAsia" w:ascii="Times New Roman" w:hAnsi="Times New Roman" w:eastAsia="仿宋_GB2312" w:cs="仿宋_GB2312"/>
                <w:color w:val="000000"/>
                <w:sz w:val="22"/>
              </w:rPr>
              <w:t>—</w:t>
            </w:r>
          </w:p>
        </w:tc>
        <w:tc>
          <w:tcPr>
            <w:tcW w:w="645"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sz w:val="22"/>
              </w:rPr>
            </w:pPr>
            <w:r>
              <w:rPr>
                <w:rFonts w:hint="eastAsia" w:ascii="Times New Roman" w:hAnsi="Times New Roman" w:eastAsia="仿宋_GB2312" w:cs="仿宋_GB2312"/>
                <w:sz w:val="22"/>
              </w:rPr>
              <w:t>2022-2022</w:t>
            </w:r>
          </w:p>
        </w:tc>
        <w:tc>
          <w:tcPr>
            <w:tcW w:w="569"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z w:val="22"/>
              </w:rPr>
            </w:pPr>
            <w:r>
              <w:rPr>
                <w:rFonts w:hint="eastAsia" w:ascii="Times New Roman" w:hAnsi="Times New Roman" w:eastAsia="仿宋_GB2312" w:cs="仿宋_GB2312"/>
                <w:color w:val="000000"/>
                <w:sz w:val="22"/>
              </w:rPr>
              <w:t>1.5</w:t>
            </w:r>
          </w:p>
        </w:tc>
        <w:tc>
          <w:tcPr>
            <w:tcW w:w="808"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sz w:val="22"/>
              </w:rPr>
            </w:pPr>
            <w:r>
              <w:rPr>
                <w:rFonts w:hint="eastAsia" w:ascii="Times New Roman" w:hAnsi="Times New Roman" w:eastAsia="仿宋_GB2312" w:cs="仿宋_GB2312"/>
                <w:sz w:val="22"/>
              </w:rPr>
              <w:t>1.5</w:t>
            </w:r>
          </w:p>
        </w:tc>
      </w:tr>
    </w:tbl>
    <w:p>
      <w:pPr>
        <w:ind w:firstLine="640"/>
        <w:rPr>
          <w:rFonts w:ascii="Times New Roman" w:hAnsi="Times New Roman"/>
        </w:rPr>
      </w:pPr>
      <w:r>
        <w:rPr>
          <w:rFonts w:ascii="Times New Roman" w:hAnsi="Times New Roman"/>
        </w:rPr>
        <w:br w:type="page"/>
      </w:r>
    </w:p>
    <w:p>
      <w:pPr>
        <w:pStyle w:val="5"/>
        <w:rPr>
          <w:rFonts w:hint="eastAsia" w:ascii="Times New Roman" w:hAnsi="Times New Roman" w:eastAsia="仿宋_GB2312" w:cs="仿宋_GB2312"/>
          <w:b/>
          <w:bCs/>
          <w:color w:val="000000" w:themeColor="text1"/>
          <w:sz w:val="36"/>
          <w:szCs w:val="36"/>
          <w14:textFill>
            <w14:solidFill>
              <w14:schemeClr w14:val="tx1"/>
            </w14:solidFill>
          </w14:textFill>
        </w:rPr>
      </w:pPr>
      <w:bookmarkStart w:id="308" w:name="_Toc16432"/>
      <w:bookmarkStart w:id="309" w:name="_Toc94194396"/>
      <w:bookmarkStart w:id="310" w:name="_Toc60846317"/>
      <w:bookmarkStart w:id="311" w:name="_Toc96455166"/>
      <w:bookmarkStart w:id="312" w:name="_Toc54704875"/>
      <w:bookmarkStart w:id="313" w:name="_Toc56188768"/>
      <w:bookmarkStart w:id="314" w:name="_Toc60235109"/>
      <w:bookmarkStart w:id="315" w:name="_Toc56245426"/>
      <w:bookmarkStart w:id="316" w:name="_Toc53041799"/>
      <w:bookmarkStart w:id="317" w:name="_Toc11928"/>
      <w:r>
        <w:rPr>
          <w:rFonts w:hint="eastAsia" w:ascii="Times New Roman" w:hAnsi="Times New Roman" w:eastAsia="仿宋_GB2312" w:cs="仿宋_GB2312"/>
          <w:b/>
          <w:bCs/>
          <w:color w:val="000000" w:themeColor="text1"/>
          <w:sz w:val="36"/>
          <w:szCs w:val="36"/>
          <w14:textFill>
            <w14:solidFill>
              <w14:schemeClr w14:val="tx1"/>
            </w14:solidFill>
          </w14:textFill>
        </w:rPr>
        <w:t>附表4 “十四五”普通干线公路建设项目明细表</w:t>
      </w:r>
      <w:bookmarkEnd w:id="308"/>
      <w:bookmarkEnd w:id="309"/>
      <w:bookmarkEnd w:id="310"/>
      <w:bookmarkEnd w:id="311"/>
      <w:bookmarkEnd w:id="312"/>
      <w:bookmarkEnd w:id="313"/>
      <w:bookmarkEnd w:id="314"/>
      <w:bookmarkEnd w:id="315"/>
      <w:bookmarkEnd w:id="316"/>
      <w:bookmarkEnd w:id="317"/>
    </w:p>
    <w:tbl>
      <w:tblPr>
        <w:tblStyle w:val="20"/>
        <w:tblW w:w="51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1"/>
        <w:gridCol w:w="2373"/>
        <w:gridCol w:w="1013"/>
        <w:gridCol w:w="689"/>
        <w:gridCol w:w="959"/>
        <w:gridCol w:w="1068"/>
        <w:gridCol w:w="933"/>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0" w:hRule="atLeast"/>
          <w:tblHeader/>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序号</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项目名称</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建设性质</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建设</w:t>
            </w:r>
          </w:p>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标准</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建设里程（公里）</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建设年限</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总投资</w:t>
            </w:r>
          </w:p>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（亿元）</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“十四五”投资（亿元）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3" w:hRule="atLeast"/>
          <w:jc w:val="center"/>
        </w:trPr>
        <w:tc>
          <w:tcPr>
            <w:tcW w:w="2542" w:type="pct"/>
            <w:gridSpan w:val="4"/>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合计</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542.8</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　</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115.7</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4" w:hRule="atLeast"/>
          <w:jc w:val="center"/>
        </w:trPr>
        <w:tc>
          <w:tcPr>
            <w:tcW w:w="5000" w:type="pct"/>
            <w:gridSpan w:val="8"/>
            <w:tcBorders>
              <w:tl2br w:val="nil"/>
              <w:tr2bl w:val="nil"/>
            </w:tcBorders>
            <w:shd w:val="clear" w:color="auto" w:fill="auto"/>
            <w:vAlign w:val="center"/>
          </w:tcPr>
          <w:p>
            <w:pPr>
              <w:widowControl/>
              <w:spacing w:line="240" w:lineRule="auto"/>
              <w:ind w:firstLine="0" w:firstLineChars="0"/>
              <w:jc w:val="left"/>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一、跨河贯通项目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国道207孟州黄河大桥及连接线工程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一级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18.4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2018-2021</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23.6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000" w:type="pct"/>
            <w:gridSpan w:val="8"/>
            <w:tcBorders>
              <w:tl2br w:val="nil"/>
              <w:tr2bl w:val="nil"/>
            </w:tcBorders>
            <w:shd w:val="clear" w:color="auto" w:fill="auto"/>
            <w:vAlign w:val="center"/>
          </w:tcPr>
          <w:p>
            <w:pPr>
              <w:widowControl/>
              <w:spacing w:line="240" w:lineRule="auto"/>
              <w:ind w:firstLine="0" w:firstLineChars="0"/>
              <w:jc w:val="left"/>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二、绕城改造项目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省道230沿南太行线修武方庄至博爱寨豁段改建工程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升级改造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40.0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2022-2024</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14.2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国道327郑焦晋高速立交至长济高速立交段改建工程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原级改造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一级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6.2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2022-2024</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3.9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4</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省道230与国道207联络线改建工程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升级改造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11.7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2022-2025</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1.7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5</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省道309温县段改建工程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原级改造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一级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22.5</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2023-2023</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7.1</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6</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省道309孟州至济源交界段改建工程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升级改造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一级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36.2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2023-2025</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9.9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7</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省道104武陟高村至丹河桥段改建工程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升级改造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39.4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2023-2025</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5.2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000" w:type="pct"/>
            <w:gridSpan w:val="8"/>
            <w:tcBorders>
              <w:tl2br w:val="nil"/>
              <w:tr2bl w:val="nil"/>
            </w:tcBorders>
            <w:shd w:val="clear" w:color="auto" w:fill="auto"/>
            <w:vAlign w:val="center"/>
          </w:tcPr>
          <w:p>
            <w:pPr>
              <w:widowControl/>
              <w:spacing w:line="240" w:lineRule="auto"/>
              <w:ind w:firstLine="0" w:firstLineChars="0"/>
              <w:jc w:val="left"/>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三、节点衔接项目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8</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省道237沁阳捏掌东至孟州里村段改建工程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升级改造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一级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31.6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2019-2022</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7.4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9</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省道306云台山至修武段改建工程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升级改造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25.2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2022-2023</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3.8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10</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省道310孟州境改建工程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升级改造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一级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16.0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2023-2024</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4.7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000" w:type="pct"/>
            <w:gridSpan w:val="8"/>
            <w:tcBorders>
              <w:tl2br w:val="nil"/>
              <w:tr2bl w:val="nil"/>
            </w:tcBorders>
            <w:shd w:val="clear" w:color="auto" w:fill="auto"/>
            <w:vAlign w:val="center"/>
          </w:tcPr>
          <w:p>
            <w:pPr>
              <w:widowControl/>
              <w:spacing w:line="240" w:lineRule="auto"/>
              <w:ind w:firstLine="0" w:firstLineChars="0"/>
              <w:jc w:val="left"/>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四、提质升级项目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11</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省道230博爱至济源段改建工程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升级改造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25.0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2022-2025</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19.2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12</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国道327沁阳至济源交界段改建工程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升级改造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一级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14.3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2024-2024</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1.7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13</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国道207省界至省道230段改建工程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升级改造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25.4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2025-2025</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5.8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14</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省道234山区段路面改造工程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原级改造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15.2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2021-2021</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0.4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15</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省道236沁阳常平至沁阳城区段路面改造工程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原级改造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16.7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2021-2021</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0.8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16</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省道238温县段路面改造工程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原级改造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7.5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2021-2021</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0.4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17</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省道308沁阳至济源段改建工程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原级改造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11.2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2023-2023</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1.6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000" w:type="pct"/>
            <w:gridSpan w:val="8"/>
            <w:tcBorders>
              <w:tl2br w:val="nil"/>
              <w:tr2bl w:val="nil"/>
            </w:tcBorders>
            <w:shd w:val="clear" w:color="auto" w:fill="auto"/>
            <w:vAlign w:val="center"/>
          </w:tcPr>
          <w:p>
            <w:pPr>
              <w:widowControl/>
              <w:spacing w:line="240" w:lineRule="auto"/>
              <w:ind w:firstLine="0" w:firstLineChars="0"/>
              <w:jc w:val="left"/>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五、灾毁重建项目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18</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国道207山区段灾毁恢复重建工程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原级改造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17.5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2021-2022</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0.6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7"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19</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国道207（省道235）博爱秦庄南至温县后岗村灾毁重建工程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原级改造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13.2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2021-2022</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0.3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省道232小营三叉路口至武陟段灾毁恢复重建工程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原级改造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6.9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2021-2022</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0.2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21</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省道235博许线山区段灾毁恢复重建工程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原级改造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24.0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2021-2022</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0.5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22</w:t>
            </w:r>
          </w:p>
        </w:tc>
        <w:tc>
          <w:tcPr>
            <w:tcW w:w="129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省道236温沁交界至温县后岗灾毁恢复重建工程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原级改造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10.3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2021-2022</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0.2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23</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省道104丹河桥灾毁恢复重建工程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原级改造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0.2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2021-2022</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0.2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24</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省道230纸坊河大桥灾毁恢复重建工程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原级改造</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0.3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2021-2022</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0.1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000" w:type="pct"/>
            <w:gridSpan w:val="8"/>
            <w:tcBorders>
              <w:tl2br w:val="nil"/>
              <w:tr2bl w:val="nil"/>
            </w:tcBorders>
            <w:shd w:val="clear" w:color="auto" w:fill="auto"/>
            <w:vAlign w:val="center"/>
          </w:tcPr>
          <w:p>
            <w:pPr>
              <w:widowControl/>
              <w:spacing w:line="240" w:lineRule="auto"/>
              <w:ind w:firstLine="0" w:firstLineChars="0"/>
              <w:jc w:val="left"/>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六、养护修复项目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25</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国道207温县后岗至猪龙河桥修复养护工程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养护工程</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6.8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2021-2021</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0.17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26</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国道234武陟县赵马蓬至北益庄段大修项目</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大修工程</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9.7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2021-2021</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0.42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27</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省道230中站区赵庄至许河桥段大修项目</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大修工程</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1.6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2021-2021</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0.02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28</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省道310孟州廉桥至洛阳界段修复养护工程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养护工程</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12.0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2021-2021</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0.24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29</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国道207乌海线方庄转盘至安阳城段中修工程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中修工程</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6.8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2022-2022</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0.16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30</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省道236沁阳境沁上线豫晋交界至常平段大修工程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大修工程</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1.9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2022-2022</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0.03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31</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省道310沁阳境长邵线王庄至沁河桥段大修工程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大修工程</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1.3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2022-2022</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0.06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32</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省道309长济线武陟县北益庄至温县界大修工程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大修工程</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13.3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2022-2022</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0.43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33</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国道207中站区境焦晋高速入口至博爱界中修工程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中修工程</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一级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4.1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2024-2024</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0.08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34</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国道207乌海线博爱焦温高速路口至秦庄段大修工程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大修工程</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9.5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2024-2024</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0.22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35</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国道327连固线武陟城区段预防养护工程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养护工程</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一级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5.8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2024-2024</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0.04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36</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国道208孟州境上汤沟至吉利界大修工程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大修工程</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5.8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2024-2024</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0.17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0"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37</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原省道309现国道207温县猪龙河桥至孟州田寺及现省道309田寺至钱唐段预防性养护工程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养护工程</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13.9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2024-2024</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0.10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38</w:t>
            </w:r>
          </w:p>
        </w:tc>
        <w:tc>
          <w:tcPr>
            <w:tcW w:w="1295"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省道232修武县方庄环岛至北环路口中修工程</w:t>
            </w:r>
          </w:p>
        </w:tc>
        <w:tc>
          <w:tcPr>
            <w:tcW w:w="5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中修工程</w:t>
            </w:r>
          </w:p>
        </w:tc>
        <w:tc>
          <w:tcPr>
            <w:tcW w:w="37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52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15.5 </w:t>
            </w:r>
          </w:p>
        </w:tc>
        <w:tc>
          <w:tcPr>
            <w:tcW w:w="58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2024-2024</w:t>
            </w:r>
          </w:p>
        </w:tc>
        <w:tc>
          <w:tcPr>
            <w:tcW w:w="50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0.19 </w:t>
            </w:r>
          </w:p>
        </w:tc>
        <w:tc>
          <w:tcPr>
            <w:tcW w:w="840"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0.19 </w:t>
            </w:r>
          </w:p>
        </w:tc>
      </w:tr>
    </w:tbl>
    <w:p>
      <w:pPr>
        <w:pStyle w:val="5"/>
        <w:outlineLvl w:val="9"/>
        <w:rPr>
          <w:rFonts w:hint="eastAsia" w:ascii="Times New Roman" w:hAnsi="Times New Roman" w:eastAsia="仿宋_GB2312" w:cs="仿宋_GB2312"/>
          <w:b/>
          <w:bCs/>
          <w:color w:val="000000" w:themeColor="text1"/>
          <w:sz w:val="36"/>
          <w:szCs w:val="36"/>
          <w14:textFill>
            <w14:solidFill>
              <w14:schemeClr w14:val="tx1"/>
            </w14:solidFill>
          </w14:textFill>
        </w:rPr>
      </w:pPr>
      <w:bookmarkStart w:id="318" w:name="_Toc60846318"/>
      <w:bookmarkStart w:id="319" w:name="_Toc53041800"/>
      <w:bookmarkStart w:id="320" w:name="_Toc60235110"/>
      <w:bookmarkStart w:id="321" w:name="_Toc94194397"/>
      <w:bookmarkStart w:id="322" w:name="_Toc56245427"/>
      <w:bookmarkStart w:id="323" w:name="_Toc56188769"/>
      <w:bookmarkStart w:id="324" w:name="_Toc54704876"/>
      <w:bookmarkStart w:id="325" w:name="_Toc96455167"/>
    </w:p>
    <w:p>
      <w:pPr>
        <w:rPr>
          <w:rFonts w:hint="eastAsia" w:ascii="Times New Roman" w:hAnsi="Times New Roman" w:eastAsia="仿宋_GB2312" w:cs="仿宋_GB2312"/>
          <w:b/>
          <w:bCs/>
          <w:color w:val="000000" w:themeColor="text1"/>
          <w:sz w:val="36"/>
          <w:szCs w:val="36"/>
          <w14:textFill>
            <w14:solidFill>
              <w14:schemeClr w14:val="tx1"/>
            </w14:solidFill>
          </w14:textFill>
        </w:rPr>
      </w:pPr>
      <w:r>
        <w:rPr>
          <w:rFonts w:hint="eastAsia" w:ascii="Times New Roman" w:hAnsi="Times New Roman" w:eastAsia="仿宋_GB2312" w:cs="仿宋_GB2312"/>
          <w:b/>
          <w:bCs/>
          <w:color w:val="000000" w:themeColor="text1"/>
          <w:sz w:val="36"/>
          <w:szCs w:val="36"/>
          <w14:textFill>
            <w14:solidFill>
              <w14:schemeClr w14:val="tx1"/>
            </w14:solidFill>
          </w14:textFill>
        </w:rPr>
        <w:br w:type="page"/>
      </w:r>
    </w:p>
    <w:p>
      <w:pPr>
        <w:pStyle w:val="5"/>
        <w:rPr>
          <w:rFonts w:hint="eastAsia" w:ascii="Times New Roman" w:hAnsi="Times New Roman" w:eastAsia="仿宋_GB2312" w:cs="仿宋_GB2312"/>
          <w:b/>
          <w:bCs/>
          <w:color w:val="000000" w:themeColor="text1"/>
          <w:sz w:val="36"/>
          <w:szCs w:val="36"/>
          <w14:textFill>
            <w14:solidFill>
              <w14:schemeClr w14:val="tx1"/>
            </w14:solidFill>
          </w14:textFill>
        </w:rPr>
      </w:pPr>
      <w:bookmarkStart w:id="326" w:name="_Toc20100"/>
      <w:bookmarkStart w:id="327" w:name="_Toc25258"/>
      <w:r>
        <w:rPr>
          <w:rFonts w:hint="eastAsia" w:ascii="Times New Roman" w:hAnsi="Times New Roman" w:eastAsia="仿宋_GB2312" w:cs="仿宋_GB2312"/>
          <w:b/>
          <w:bCs/>
          <w:color w:val="000000" w:themeColor="text1"/>
          <w:sz w:val="36"/>
          <w:szCs w:val="36"/>
          <w14:textFill>
            <w14:solidFill>
              <w14:schemeClr w14:val="tx1"/>
            </w14:solidFill>
          </w14:textFill>
        </w:rPr>
        <w:t>附表5 “十四五”农村公路建设项目明细表</w:t>
      </w:r>
      <w:bookmarkEnd w:id="318"/>
      <w:bookmarkEnd w:id="319"/>
      <w:bookmarkEnd w:id="320"/>
      <w:bookmarkEnd w:id="321"/>
      <w:bookmarkEnd w:id="322"/>
      <w:bookmarkEnd w:id="323"/>
      <w:bookmarkEnd w:id="324"/>
      <w:bookmarkEnd w:id="325"/>
      <w:bookmarkEnd w:id="326"/>
      <w:bookmarkEnd w:id="327"/>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9"/>
        <w:gridCol w:w="4144"/>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6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b/>
                <w:bCs/>
                <w:color w:val="000000"/>
                <w:kern w:val="0"/>
                <w:sz w:val="22"/>
                <w:szCs w:val="22"/>
              </w:rPr>
            </w:pPr>
            <w:bookmarkStart w:id="328" w:name="RANGE!A35"/>
            <w:r>
              <w:rPr>
                <w:rFonts w:hint="eastAsia" w:ascii="Times New Roman" w:hAnsi="Times New Roman" w:eastAsia="仿宋_GB2312" w:cs="仿宋_GB2312"/>
                <w:b/>
                <w:bCs/>
                <w:color w:val="000000"/>
                <w:kern w:val="0"/>
                <w:sz w:val="22"/>
                <w:szCs w:val="22"/>
              </w:rPr>
              <w:t>类别</w:t>
            </w:r>
            <w:bookmarkEnd w:id="328"/>
          </w:p>
        </w:tc>
        <w:tc>
          <w:tcPr>
            <w:tcW w:w="2294"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建设规模</w:t>
            </w:r>
          </w:p>
        </w:tc>
        <w:tc>
          <w:tcPr>
            <w:tcW w:w="738" w:type="pct"/>
            <w:vMerge w:val="restar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投资规模</w:t>
            </w:r>
          </w:p>
          <w:p>
            <w:pPr>
              <w:widowControl/>
              <w:spacing w:line="216"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6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农村公路提档升级</w:t>
            </w:r>
          </w:p>
        </w:tc>
        <w:tc>
          <w:tcPr>
            <w:tcW w:w="2294"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建设里程(公里)</w:t>
            </w:r>
          </w:p>
        </w:tc>
        <w:tc>
          <w:tcPr>
            <w:tcW w:w="738" w:type="pct"/>
            <w:vMerge w:val="continue"/>
            <w:tcBorders>
              <w:tl2br w:val="nil"/>
              <w:tr2bl w:val="nil"/>
            </w:tcBorders>
            <w:vAlign w:val="center"/>
          </w:tcPr>
          <w:p>
            <w:pPr>
              <w:widowControl/>
              <w:spacing w:line="216" w:lineRule="auto"/>
              <w:ind w:firstLine="0" w:firstLineChars="0"/>
              <w:jc w:val="left"/>
              <w:rPr>
                <w:rFonts w:hint="eastAsia" w:ascii="Times New Roman" w:hAnsi="Times New Roman" w:eastAsia="仿宋_GB2312" w:cs="仿宋_GB2312"/>
                <w:b/>
                <w:bCs/>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68" w:type="pct"/>
            <w:tcBorders>
              <w:tl2br w:val="nil"/>
              <w:tr2bl w:val="nil"/>
            </w:tcBorders>
            <w:shd w:val="clear" w:color="auto" w:fill="auto"/>
            <w:noWrap/>
            <w:vAlign w:val="center"/>
          </w:tcPr>
          <w:p>
            <w:pPr>
              <w:widowControl/>
              <w:spacing w:line="216" w:lineRule="auto"/>
              <w:ind w:firstLine="0" w:firstLineChars="0"/>
              <w:jc w:val="left"/>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1、3.5米及以下窄路基路面公路拓宽改造</w:t>
            </w:r>
          </w:p>
        </w:tc>
        <w:tc>
          <w:tcPr>
            <w:tcW w:w="2294"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100</w:t>
            </w:r>
          </w:p>
        </w:tc>
        <w:tc>
          <w:tcPr>
            <w:tcW w:w="73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68" w:type="pct"/>
            <w:tcBorders>
              <w:tl2br w:val="nil"/>
              <w:tr2bl w:val="nil"/>
            </w:tcBorders>
            <w:shd w:val="clear" w:color="auto" w:fill="auto"/>
            <w:noWrap/>
            <w:vAlign w:val="center"/>
          </w:tcPr>
          <w:p>
            <w:pPr>
              <w:widowControl/>
              <w:spacing w:line="216" w:lineRule="auto"/>
              <w:ind w:firstLine="0" w:firstLineChars="0"/>
              <w:jc w:val="left"/>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2、乡村旅游路、资源路、产业路建设</w:t>
            </w:r>
          </w:p>
        </w:tc>
        <w:tc>
          <w:tcPr>
            <w:tcW w:w="2294"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40</w:t>
            </w:r>
          </w:p>
        </w:tc>
        <w:tc>
          <w:tcPr>
            <w:tcW w:w="73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68" w:type="pct"/>
            <w:tcBorders>
              <w:tl2br w:val="nil"/>
              <w:tr2bl w:val="nil"/>
            </w:tcBorders>
            <w:shd w:val="clear" w:color="auto" w:fill="auto"/>
            <w:noWrap/>
            <w:vAlign w:val="center"/>
          </w:tcPr>
          <w:p>
            <w:pPr>
              <w:widowControl/>
              <w:spacing w:line="216" w:lineRule="auto"/>
              <w:ind w:firstLine="0" w:firstLineChars="0"/>
              <w:jc w:val="left"/>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3、其他农村公路提档升级改造</w:t>
            </w:r>
          </w:p>
        </w:tc>
        <w:tc>
          <w:tcPr>
            <w:tcW w:w="2294"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p>
        </w:tc>
        <w:tc>
          <w:tcPr>
            <w:tcW w:w="73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68" w:type="pct"/>
            <w:tcBorders>
              <w:tl2br w:val="nil"/>
              <w:tr2bl w:val="nil"/>
            </w:tcBorders>
            <w:shd w:val="clear" w:color="auto" w:fill="auto"/>
            <w:noWrap/>
            <w:vAlign w:val="center"/>
          </w:tcPr>
          <w:p>
            <w:pPr>
              <w:widowControl/>
              <w:spacing w:line="216" w:lineRule="auto"/>
              <w:ind w:firstLine="0" w:firstLineChars="0"/>
              <w:jc w:val="left"/>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  3.1升级改造为二级及以上公路</w:t>
            </w:r>
          </w:p>
        </w:tc>
        <w:tc>
          <w:tcPr>
            <w:tcW w:w="2294"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225</w:t>
            </w:r>
          </w:p>
        </w:tc>
        <w:tc>
          <w:tcPr>
            <w:tcW w:w="73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68" w:type="pct"/>
            <w:tcBorders>
              <w:tl2br w:val="nil"/>
              <w:tr2bl w:val="nil"/>
            </w:tcBorders>
            <w:shd w:val="clear" w:color="auto" w:fill="auto"/>
            <w:noWrap/>
            <w:vAlign w:val="center"/>
          </w:tcPr>
          <w:p>
            <w:pPr>
              <w:widowControl/>
              <w:spacing w:line="216" w:lineRule="auto"/>
              <w:ind w:firstLine="0" w:firstLineChars="0"/>
              <w:jc w:val="left"/>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  3.2升级改造为三级公路</w:t>
            </w:r>
          </w:p>
        </w:tc>
        <w:tc>
          <w:tcPr>
            <w:tcW w:w="2294"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300</w:t>
            </w:r>
          </w:p>
        </w:tc>
        <w:tc>
          <w:tcPr>
            <w:tcW w:w="73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68" w:type="pct"/>
            <w:tcBorders>
              <w:tl2br w:val="nil"/>
              <w:tr2bl w:val="nil"/>
            </w:tcBorders>
            <w:shd w:val="clear" w:color="auto" w:fill="auto"/>
            <w:noWrap/>
            <w:vAlign w:val="center"/>
          </w:tcPr>
          <w:p>
            <w:pPr>
              <w:widowControl/>
              <w:spacing w:line="216" w:lineRule="auto"/>
              <w:ind w:firstLine="0" w:firstLineChars="0"/>
              <w:jc w:val="left"/>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  3.3升级改造为四级公路</w:t>
            </w:r>
          </w:p>
        </w:tc>
        <w:tc>
          <w:tcPr>
            <w:tcW w:w="2294"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135</w:t>
            </w:r>
          </w:p>
        </w:tc>
        <w:tc>
          <w:tcPr>
            <w:tcW w:w="73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68" w:type="pct"/>
            <w:tcBorders>
              <w:tl2br w:val="nil"/>
              <w:tr2bl w:val="nil"/>
            </w:tcBorders>
            <w:shd w:val="clear" w:color="auto" w:fill="auto"/>
            <w:noWrap/>
            <w:vAlign w:val="center"/>
          </w:tcPr>
          <w:p>
            <w:pPr>
              <w:widowControl/>
              <w:spacing w:line="216" w:lineRule="auto"/>
              <w:ind w:firstLine="0" w:firstLineChars="0"/>
              <w:jc w:val="left"/>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4、农村联网公路建设</w:t>
            </w:r>
          </w:p>
        </w:tc>
        <w:tc>
          <w:tcPr>
            <w:tcW w:w="2294"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100</w:t>
            </w:r>
          </w:p>
        </w:tc>
        <w:tc>
          <w:tcPr>
            <w:tcW w:w="73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68" w:type="pct"/>
            <w:tcBorders>
              <w:tl2br w:val="nil"/>
              <w:tr2bl w:val="nil"/>
            </w:tcBorders>
            <w:shd w:val="clear" w:color="auto" w:fill="auto"/>
            <w:noWrap/>
            <w:vAlign w:val="center"/>
          </w:tcPr>
          <w:p>
            <w:pPr>
              <w:widowControl/>
              <w:spacing w:line="216" w:lineRule="auto"/>
              <w:ind w:firstLine="0" w:firstLineChars="0"/>
              <w:jc w:val="left"/>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5、美丽农村公路改造建设</w:t>
            </w:r>
          </w:p>
        </w:tc>
        <w:tc>
          <w:tcPr>
            <w:tcW w:w="2294"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100</w:t>
            </w:r>
          </w:p>
        </w:tc>
        <w:tc>
          <w:tcPr>
            <w:tcW w:w="73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68" w:type="pct"/>
            <w:tcBorders>
              <w:tl2br w:val="nil"/>
              <w:tr2bl w:val="nil"/>
            </w:tcBorders>
            <w:shd w:val="clear" w:color="auto" w:fill="auto"/>
            <w:noWrap/>
            <w:vAlign w:val="center"/>
          </w:tcPr>
          <w:p>
            <w:pPr>
              <w:widowControl/>
              <w:spacing w:line="216" w:lineRule="auto"/>
              <w:ind w:firstLine="0" w:firstLineChars="0"/>
              <w:jc w:val="left"/>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6、农村公路安保工程</w:t>
            </w:r>
          </w:p>
        </w:tc>
        <w:tc>
          <w:tcPr>
            <w:tcW w:w="2294"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200</w:t>
            </w:r>
          </w:p>
        </w:tc>
        <w:tc>
          <w:tcPr>
            <w:tcW w:w="73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6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农村公路桥梁、隧道建设</w:t>
            </w:r>
          </w:p>
        </w:tc>
        <w:tc>
          <w:tcPr>
            <w:tcW w:w="2294"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建设改造数量(座/延米)</w:t>
            </w:r>
          </w:p>
        </w:tc>
        <w:tc>
          <w:tcPr>
            <w:tcW w:w="73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投资规模</w:t>
            </w:r>
          </w:p>
          <w:p>
            <w:pPr>
              <w:widowControl/>
              <w:spacing w:line="216"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68" w:type="pct"/>
            <w:tcBorders>
              <w:tl2br w:val="nil"/>
              <w:tr2bl w:val="nil"/>
            </w:tcBorders>
            <w:shd w:val="clear" w:color="auto" w:fill="auto"/>
            <w:noWrap/>
            <w:vAlign w:val="center"/>
          </w:tcPr>
          <w:p>
            <w:pPr>
              <w:widowControl/>
              <w:spacing w:line="216" w:lineRule="auto"/>
              <w:ind w:firstLine="0" w:firstLineChars="0"/>
              <w:jc w:val="left"/>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1、危桥改造</w:t>
            </w:r>
          </w:p>
        </w:tc>
        <w:tc>
          <w:tcPr>
            <w:tcW w:w="2294"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30/750</w:t>
            </w:r>
          </w:p>
        </w:tc>
        <w:tc>
          <w:tcPr>
            <w:tcW w:w="73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68" w:type="pct"/>
            <w:tcBorders>
              <w:tl2br w:val="nil"/>
              <w:tr2bl w:val="nil"/>
            </w:tcBorders>
            <w:shd w:val="clear" w:color="auto" w:fill="auto"/>
            <w:noWrap/>
            <w:vAlign w:val="center"/>
          </w:tcPr>
          <w:p>
            <w:pPr>
              <w:widowControl/>
              <w:spacing w:line="216" w:lineRule="auto"/>
              <w:ind w:firstLine="0" w:firstLineChars="0"/>
              <w:jc w:val="left"/>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2、危隧改造</w:t>
            </w:r>
          </w:p>
        </w:tc>
        <w:tc>
          <w:tcPr>
            <w:tcW w:w="2294"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p>
        </w:tc>
        <w:tc>
          <w:tcPr>
            <w:tcW w:w="73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68" w:type="pct"/>
            <w:tcBorders>
              <w:tl2br w:val="nil"/>
              <w:tr2bl w:val="nil"/>
            </w:tcBorders>
            <w:shd w:val="clear" w:color="auto" w:fill="auto"/>
            <w:noWrap/>
            <w:vAlign w:val="center"/>
          </w:tcPr>
          <w:p>
            <w:pPr>
              <w:widowControl/>
              <w:spacing w:line="216" w:lineRule="auto"/>
              <w:ind w:firstLine="0" w:firstLineChars="0"/>
              <w:jc w:val="left"/>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3、渡口改造/渡改桥</w:t>
            </w:r>
          </w:p>
        </w:tc>
        <w:tc>
          <w:tcPr>
            <w:tcW w:w="2294"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p>
        </w:tc>
        <w:tc>
          <w:tcPr>
            <w:tcW w:w="73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68" w:type="pct"/>
            <w:tcBorders>
              <w:tl2br w:val="nil"/>
              <w:tr2bl w:val="nil"/>
            </w:tcBorders>
            <w:shd w:val="clear" w:color="auto" w:fill="auto"/>
            <w:noWrap/>
            <w:vAlign w:val="center"/>
          </w:tcPr>
          <w:p>
            <w:pPr>
              <w:widowControl/>
              <w:spacing w:line="216" w:lineRule="auto"/>
              <w:ind w:firstLine="0" w:firstLineChars="0"/>
              <w:jc w:val="left"/>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4、桥梁新改建</w:t>
            </w:r>
          </w:p>
        </w:tc>
        <w:tc>
          <w:tcPr>
            <w:tcW w:w="2294"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p>
        </w:tc>
        <w:tc>
          <w:tcPr>
            <w:tcW w:w="738" w:type="pct"/>
            <w:tcBorders>
              <w:tl2br w:val="nil"/>
              <w:tr2bl w:val="nil"/>
            </w:tcBorders>
            <w:shd w:val="clear" w:color="auto" w:fill="auto"/>
            <w:noWrap/>
            <w:vAlign w:val="center"/>
          </w:tcPr>
          <w:p>
            <w:pPr>
              <w:widowControl/>
              <w:spacing w:line="216" w:lineRule="auto"/>
              <w:ind w:firstLine="0" w:firstLineChars="0"/>
              <w:jc w:val="center"/>
              <w:rPr>
                <w:rFonts w:hint="eastAsia" w:ascii="Times New Roman" w:hAnsi="Times New Roman" w:eastAsia="仿宋_GB2312" w:cs="仿宋_GB2312"/>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00" w:type="pct"/>
            <w:gridSpan w:val="3"/>
            <w:tcBorders>
              <w:tl2br w:val="nil"/>
              <w:tr2bl w:val="nil"/>
            </w:tcBorders>
            <w:shd w:val="clear" w:color="auto" w:fill="auto"/>
            <w:noWrap/>
            <w:vAlign w:val="center"/>
          </w:tcPr>
          <w:p>
            <w:pPr>
              <w:widowControl/>
              <w:spacing w:line="216" w:lineRule="auto"/>
              <w:ind w:firstLine="0" w:firstLineChars="0"/>
              <w:jc w:val="left"/>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注：“农村农路提档升级”中1-5自上而下不重复统计；农村联网路主要指乡镇之间、村庄之间连通的公路。</w:t>
            </w:r>
          </w:p>
        </w:tc>
      </w:tr>
    </w:tbl>
    <w:p>
      <w:pPr>
        <w:rPr>
          <w:rFonts w:hint="eastAsia" w:ascii="Times New Roman" w:hAnsi="Times New Roman" w:eastAsia="仿宋_GB2312" w:cs="仿宋_GB2312"/>
          <w:b/>
          <w:bCs/>
          <w:color w:val="000000" w:themeColor="text1"/>
          <w:sz w:val="36"/>
          <w:szCs w:val="36"/>
          <w14:textFill>
            <w14:solidFill>
              <w14:schemeClr w14:val="tx1"/>
            </w14:solidFill>
          </w14:textFill>
        </w:rPr>
      </w:pPr>
      <w:bookmarkStart w:id="329" w:name="_Toc54704879"/>
      <w:bookmarkStart w:id="330" w:name="_Toc60846319"/>
      <w:bookmarkStart w:id="331" w:name="_Toc94194398"/>
      <w:bookmarkStart w:id="332" w:name="_Toc60235111"/>
      <w:bookmarkStart w:id="333" w:name="_Toc56245428"/>
      <w:bookmarkStart w:id="334" w:name="_Toc56188770"/>
      <w:bookmarkStart w:id="335" w:name="_Toc53041802"/>
      <w:bookmarkStart w:id="336" w:name="_Toc96455168"/>
      <w:bookmarkStart w:id="337" w:name="_Toc54704877"/>
      <w:bookmarkStart w:id="338" w:name="_Toc53041801"/>
      <w:r>
        <w:rPr>
          <w:rFonts w:hint="eastAsia" w:ascii="Times New Roman" w:hAnsi="Times New Roman" w:eastAsia="仿宋_GB2312" w:cs="仿宋_GB2312"/>
          <w:b/>
          <w:bCs/>
          <w:color w:val="000000" w:themeColor="text1"/>
          <w:sz w:val="36"/>
          <w:szCs w:val="36"/>
          <w14:textFill>
            <w14:solidFill>
              <w14:schemeClr w14:val="tx1"/>
            </w14:solidFill>
          </w14:textFill>
        </w:rPr>
        <w:br w:type="page"/>
      </w:r>
    </w:p>
    <w:p>
      <w:pPr>
        <w:pStyle w:val="5"/>
        <w:rPr>
          <w:rFonts w:hint="eastAsia" w:ascii="Times New Roman" w:hAnsi="Times New Roman" w:eastAsia="仿宋_GB2312" w:cs="仿宋_GB2312"/>
          <w:b/>
          <w:bCs/>
          <w:color w:val="000000" w:themeColor="text1"/>
          <w:sz w:val="36"/>
          <w:szCs w:val="36"/>
          <w14:textFill>
            <w14:solidFill>
              <w14:schemeClr w14:val="tx1"/>
            </w14:solidFill>
          </w14:textFill>
        </w:rPr>
      </w:pPr>
      <w:bookmarkStart w:id="339" w:name="_Toc26655"/>
      <w:bookmarkStart w:id="340" w:name="_Toc6814"/>
      <w:r>
        <w:rPr>
          <w:rFonts w:hint="eastAsia" w:ascii="Times New Roman" w:hAnsi="Times New Roman" w:eastAsia="仿宋_GB2312" w:cs="仿宋_GB2312"/>
          <w:b/>
          <w:bCs/>
          <w:color w:val="000000" w:themeColor="text1"/>
          <w:sz w:val="36"/>
          <w:szCs w:val="36"/>
          <w14:textFill>
            <w14:solidFill>
              <w14:schemeClr w14:val="tx1"/>
            </w14:solidFill>
          </w14:textFill>
        </w:rPr>
        <w:t>附表6 “十四五”水运建设项目明细表</w:t>
      </w:r>
      <w:bookmarkEnd w:id="329"/>
      <w:bookmarkEnd w:id="330"/>
      <w:bookmarkEnd w:id="331"/>
      <w:bookmarkEnd w:id="332"/>
      <w:bookmarkEnd w:id="333"/>
      <w:bookmarkEnd w:id="334"/>
      <w:bookmarkEnd w:id="335"/>
      <w:bookmarkEnd w:id="336"/>
      <w:bookmarkEnd w:id="339"/>
      <w:bookmarkEnd w:id="340"/>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00"/>
        <w:gridCol w:w="2056"/>
        <w:gridCol w:w="2878"/>
        <w:gridCol w:w="1095"/>
        <w:gridCol w:w="1034"/>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5" w:hRule="atLeast"/>
          <w:jc w:val="center"/>
        </w:trPr>
        <w:tc>
          <w:tcPr>
            <w:tcW w:w="337"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序号</w:t>
            </w:r>
          </w:p>
        </w:tc>
        <w:tc>
          <w:tcPr>
            <w:tcW w:w="1155"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项目名称</w:t>
            </w:r>
          </w:p>
        </w:tc>
        <w:tc>
          <w:tcPr>
            <w:tcW w:w="1616" w:type="pct"/>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建设内容</w:t>
            </w:r>
          </w:p>
        </w:tc>
        <w:tc>
          <w:tcPr>
            <w:tcW w:w="615" w:type="pct"/>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建设年限</w:t>
            </w:r>
          </w:p>
        </w:tc>
        <w:tc>
          <w:tcPr>
            <w:tcW w:w="580"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总投资</w:t>
            </w:r>
          </w:p>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（亿元）</w:t>
            </w:r>
          </w:p>
        </w:tc>
        <w:tc>
          <w:tcPr>
            <w:tcW w:w="694" w:type="pct"/>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color w:val="000000"/>
                <w:kern w:val="0"/>
                <w:sz w:val="22"/>
                <w:szCs w:val="22"/>
              </w:rPr>
              <w:t>“十四五”投资（亿元）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5" w:hRule="atLeast"/>
          <w:jc w:val="center"/>
        </w:trPr>
        <w:tc>
          <w:tcPr>
            <w:tcW w:w="3108" w:type="pct"/>
            <w:gridSpan w:val="3"/>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合计</w:t>
            </w:r>
          </w:p>
        </w:tc>
        <w:tc>
          <w:tcPr>
            <w:tcW w:w="615" w:type="pct"/>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p>
        </w:tc>
        <w:tc>
          <w:tcPr>
            <w:tcW w:w="580"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0.9</w:t>
            </w:r>
          </w:p>
        </w:tc>
        <w:tc>
          <w:tcPr>
            <w:tcW w:w="694" w:type="pct"/>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6" w:hRule="atLeast"/>
          <w:jc w:val="center"/>
        </w:trPr>
        <w:tc>
          <w:tcPr>
            <w:tcW w:w="337" w:type="pct"/>
            <w:shd w:val="clear" w:color="auto" w:fill="auto"/>
            <w:noWrap/>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kern w:val="0"/>
                <w:sz w:val="22"/>
                <w:szCs w:val="22"/>
              </w:rPr>
              <w:t>1</w:t>
            </w:r>
          </w:p>
        </w:tc>
        <w:tc>
          <w:tcPr>
            <w:tcW w:w="1155" w:type="pct"/>
            <w:shd w:val="clear" w:color="auto" w:fill="auto"/>
            <w:noWrap/>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kern w:val="0"/>
                <w:sz w:val="22"/>
                <w:szCs w:val="22"/>
              </w:rPr>
              <w:t>青天河水库港航安全监督基层设施</w:t>
            </w:r>
          </w:p>
        </w:tc>
        <w:tc>
          <w:tcPr>
            <w:tcW w:w="1616" w:type="pct"/>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kern w:val="0"/>
                <w:sz w:val="22"/>
                <w:szCs w:val="22"/>
              </w:rPr>
              <w:t>港航服务中心、应急救援中心、游客服务中心、浮码头</w:t>
            </w:r>
          </w:p>
        </w:tc>
        <w:tc>
          <w:tcPr>
            <w:tcW w:w="615" w:type="pct"/>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kern w:val="0"/>
                <w:sz w:val="22"/>
                <w:szCs w:val="22"/>
              </w:rPr>
              <w:t>2021-2025</w:t>
            </w:r>
          </w:p>
        </w:tc>
        <w:tc>
          <w:tcPr>
            <w:tcW w:w="580" w:type="pct"/>
            <w:shd w:val="clear" w:color="auto" w:fill="auto"/>
            <w:noWrap/>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kern w:val="0"/>
                <w:sz w:val="22"/>
                <w:szCs w:val="22"/>
              </w:rPr>
              <w:t>0.1</w:t>
            </w:r>
          </w:p>
        </w:tc>
        <w:tc>
          <w:tcPr>
            <w:tcW w:w="694" w:type="pct"/>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kern w:val="0"/>
                <w:sz w:val="22"/>
                <w:szCs w:val="22"/>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6" w:hRule="atLeast"/>
          <w:jc w:val="center"/>
        </w:trPr>
        <w:tc>
          <w:tcPr>
            <w:tcW w:w="337" w:type="pct"/>
            <w:shd w:val="clear" w:color="auto" w:fill="auto"/>
            <w:noWrap/>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color w:val="000000"/>
                <w:sz w:val="22"/>
                <w:szCs w:val="22"/>
              </w:rPr>
              <w:t>2</w:t>
            </w:r>
          </w:p>
        </w:tc>
        <w:tc>
          <w:tcPr>
            <w:tcW w:w="1155" w:type="pct"/>
            <w:shd w:val="clear" w:color="auto" w:fill="auto"/>
            <w:noWrap/>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color w:val="000000"/>
                <w:sz w:val="22"/>
                <w:szCs w:val="22"/>
              </w:rPr>
              <w:t>马鞍石水库港航安全监管基础设施</w:t>
            </w:r>
          </w:p>
        </w:tc>
        <w:tc>
          <w:tcPr>
            <w:tcW w:w="1616" w:type="pct"/>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color w:val="000000"/>
                <w:sz w:val="22"/>
                <w:szCs w:val="22"/>
              </w:rPr>
              <w:t>港航服务中心、应急救援中心、游客服务中心</w:t>
            </w:r>
          </w:p>
        </w:tc>
        <w:tc>
          <w:tcPr>
            <w:tcW w:w="615" w:type="pct"/>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color w:val="000000"/>
                <w:sz w:val="22"/>
                <w:szCs w:val="22"/>
              </w:rPr>
              <w:t>2021-2022</w:t>
            </w:r>
          </w:p>
        </w:tc>
        <w:tc>
          <w:tcPr>
            <w:tcW w:w="580" w:type="pct"/>
            <w:shd w:val="clear" w:color="auto" w:fill="auto"/>
            <w:noWrap/>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kern w:val="0"/>
                <w:sz w:val="22"/>
                <w:szCs w:val="22"/>
              </w:rPr>
              <w:t>0.5</w:t>
            </w:r>
          </w:p>
        </w:tc>
        <w:tc>
          <w:tcPr>
            <w:tcW w:w="694" w:type="pct"/>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kern w:val="0"/>
                <w:sz w:val="22"/>
                <w:szCs w:val="22"/>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6" w:hRule="atLeast"/>
          <w:jc w:val="center"/>
        </w:trPr>
        <w:tc>
          <w:tcPr>
            <w:tcW w:w="337" w:type="pct"/>
            <w:shd w:val="clear" w:color="auto" w:fill="auto"/>
            <w:noWrap/>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color w:val="000000"/>
                <w:sz w:val="22"/>
                <w:szCs w:val="22"/>
              </w:rPr>
              <w:t>3</w:t>
            </w:r>
          </w:p>
        </w:tc>
        <w:tc>
          <w:tcPr>
            <w:tcW w:w="1155" w:type="pct"/>
            <w:shd w:val="clear" w:color="auto" w:fill="auto"/>
            <w:noWrap/>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color w:val="000000"/>
                <w:sz w:val="22"/>
                <w:szCs w:val="22"/>
              </w:rPr>
              <w:t>群英水库港航安全监管基础设施</w:t>
            </w:r>
          </w:p>
        </w:tc>
        <w:tc>
          <w:tcPr>
            <w:tcW w:w="1616" w:type="pct"/>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color w:val="000000"/>
                <w:sz w:val="22"/>
                <w:szCs w:val="22"/>
              </w:rPr>
              <w:t>港航服务中心、应急救援中心、游客服务中心</w:t>
            </w:r>
          </w:p>
        </w:tc>
        <w:tc>
          <w:tcPr>
            <w:tcW w:w="615" w:type="pct"/>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color w:val="000000"/>
                <w:sz w:val="22"/>
                <w:szCs w:val="22"/>
              </w:rPr>
              <w:t>2022-2023</w:t>
            </w:r>
          </w:p>
        </w:tc>
        <w:tc>
          <w:tcPr>
            <w:tcW w:w="580" w:type="pct"/>
            <w:shd w:val="clear" w:color="auto" w:fill="auto"/>
            <w:noWrap/>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kern w:val="0"/>
                <w:sz w:val="22"/>
                <w:szCs w:val="22"/>
              </w:rPr>
              <w:t>0.3</w:t>
            </w:r>
          </w:p>
        </w:tc>
        <w:tc>
          <w:tcPr>
            <w:tcW w:w="694" w:type="pct"/>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kern w:val="0"/>
                <w:sz w:val="22"/>
                <w:szCs w:val="22"/>
              </w:rPr>
              <w:t>0.3</w:t>
            </w:r>
          </w:p>
        </w:tc>
      </w:tr>
    </w:tbl>
    <w:p>
      <w:pPr>
        <w:ind w:firstLine="640"/>
        <w:rPr>
          <w:rFonts w:ascii="Times New Roman" w:hAnsi="Times New Roman"/>
        </w:rPr>
      </w:pPr>
    </w:p>
    <w:p>
      <w:pPr>
        <w:ind w:firstLine="640"/>
        <w:rPr>
          <w:rFonts w:ascii="Times New Roman" w:hAnsi="Times New Roman"/>
        </w:rPr>
      </w:pPr>
      <w:r>
        <w:rPr>
          <w:rFonts w:ascii="Times New Roman" w:hAnsi="Times New Roman"/>
        </w:rPr>
        <w:br w:type="page"/>
      </w:r>
    </w:p>
    <w:p>
      <w:pPr>
        <w:pStyle w:val="5"/>
        <w:rPr>
          <w:rFonts w:hint="eastAsia" w:ascii="Times New Roman" w:hAnsi="Times New Roman" w:eastAsia="仿宋_GB2312" w:cs="仿宋_GB2312"/>
          <w:b/>
          <w:bCs/>
          <w:color w:val="000000" w:themeColor="text1"/>
          <w:sz w:val="36"/>
          <w:szCs w:val="36"/>
          <w14:textFill>
            <w14:solidFill>
              <w14:schemeClr w14:val="tx1"/>
            </w14:solidFill>
          </w14:textFill>
        </w:rPr>
      </w:pPr>
      <w:bookmarkStart w:id="341" w:name="_Toc56245429"/>
      <w:bookmarkStart w:id="342" w:name="_Toc60235112"/>
      <w:bookmarkStart w:id="343" w:name="_Toc56188771"/>
      <w:bookmarkStart w:id="344" w:name="_Toc60846320"/>
      <w:bookmarkStart w:id="345" w:name="_Toc12339"/>
      <w:bookmarkStart w:id="346" w:name="_Toc94194399"/>
      <w:bookmarkStart w:id="347" w:name="_Toc96455169"/>
      <w:bookmarkStart w:id="348" w:name="_Toc25785"/>
      <w:r>
        <w:rPr>
          <w:rFonts w:hint="eastAsia" w:ascii="Times New Roman" w:hAnsi="Times New Roman" w:eastAsia="仿宋_GB2312" w:cs="仿宋_GB2312"/>
          <w:b/>
          <w:bCs/>
          <w:color w:val="000000" w:themeColor="text1"/>
          <w:sz w:val="36"/>
          <w:szCs w:val="36"/>
          <w14:textFill>
            <w14:solidFill>
              <w14:schemeClr w14:val="tx1"/>
            </w14:solidFill>
          </w14:textFill>
        </w:rPr>
        <w:t>附表7 “十四五”枢纽场站建设项目明细表</w:t>
      </w:r>
      <w:bookmarkEnd w:id="337"/>
      <w:bookmarkEnd w:id="338"/>
      <w:bookmarkEnd w:id="341"/>
      <w:bookmarkEnd w:id="342"/>
      <w:bookmarkEnd w:id="343"/>
      <w:bookmarkEnd w:id="344"/>
      <w:bookmarkEnd w:id="345"/>
      <w:bookmarkEnd w:id="346"/>
      <w:bookmarkEnd w:id="347"/>
      <w:bookmarkEnd w:id="348"/>
    </w:p>
    <w:tbl>
      <w:tblPr>
        <w:tblStyle w:val="20"/>
        <w:tblW w:w="51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03"/>
        <w:gridCol w:w="417"/>
        <w:gridCol w:w="1462"/>
        <w:gridCol w:w="837"/>
        <w:gridCol w:w="752"/>
        <w:gridCol w:w="586"/>
        <w:gridCol w:w="732"/>
        <w:gridCol w:w="1061"/>
        <w:gridCol w:w="1046"/>
        <w:gridCol w:w="606"/>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4" w:hRule="atLeast"/>
          <w:tblHeader/>
        </w:trPr>
        <w:tc>
          <w:tcPr>
            <w:tcW w:w="38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spacing w:val="-6"/>
                <w:kern w:val="0"/>
                <w:sz w:val="22"/>
                <w:szCs w:val="22"/>
              </w:rPr>
            </w:pPr>
            <w:bookmarkStart w:id="349" w:name="_Hlk59004655"/>
            <w:r>
              <w:rPr>
                <w:rFonts w:hint="eastAsia" w:ascii="Times New Roman" w:hAnsi="Times New Roman" w:eastAsia="仿宋_GB2312" w:cs="仿宋_GB2312"/>
                <w:b/>
                <w:bCs/>
                <w:color w:val="000000"/>
                <w:spacing w:val="-6"/>
                <w:kern w:val="0"/>
                <w:sz w:val="22"/>
                <w:szCs w:val="22"/>
              </w:rPr>
              <w:t>类型</w:t>
            </w: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spacing w:val="-6"/>
                <w:kern w:val="0"/>
                <w:sz w:val="22"/>
                <w:szCs w:val="22"/>
              </w:rPr>
            </w:pPr>
            <w:r>
              <w:rPr>
                <w:rFonts w:hint="eastAsia" w:ascii="Times New Roman" w:hAnsi="Times New Roman" w:eastAsia="仿宋_GB2312" w:cs="仿宋_GB2312"/>
                <w:b/>
                <w:bCs/>
                <w:color w:val="000000"/>
                <w:spacing w:val="-6"/>
                <w:kern w:val="0"/>
                <w:sz w:val="22"/>
                <w:szCs w:val="22"/>
              </w:rPr>
              <w:t>序号</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spacing w:val="-6"/>
                <w:kern w:val="0"/>
                <w:sz w:val="22"/>
                <w:szCs w:val="22"/>
              </w:rPr>
            </w:pPr>
            <w:r>
              <w:rPr>
                <w:rFonts w:hint="eastAsia" w:ascii="Times New Roman" w:hAnsi="Times New Roman" w:eastAsia="仿宋_GB2312" w:cs="仿宋_GB2312"/>
                <w:b/>
                <w:bCs/>
                <w:color w:val="000000"/>
                <w:spacing w:val="-6"/>
                <w:kern w:val="0"/>
                <w:sz w:val="22"/>
                <w:szCs w:val="22"/>
              </w:rPr>
              <w:t>枢纽名称</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spacing w:val="-6"/>
                <w:kern w:val="0"/>
                <w:sz w:val="22"/>
                <w:szCs w:val="22"/>
              </w:rPr>
            </w:pPr>
            <w:r>
              <w:rPr>
                <w:rFonts w:hint="eastAsia" w:ascii="Times New Roman" w:hAnsi="Times New Roman" w:eastAsia="仿宋_GB2312" w:cs="仿宋_GB2312"/>
                <w:b/>
                <w:bCs/>
                <w:spacing w:val="-6"/>
                <w:kern w:val="0"/>
                <w:sz w:val="22"/>
                <w:szCs w:val="22"/>
              </w:rPr>
              <w:t>位置</w:t>
            </w:r>
          </w:p>
          <w:p>
            <w:pPr>
              <w:widowControl/>
              <w:spacing w:line="240" w:lineRule="auto"/>
              <w:ind w:firstLine="0" w:firstLineChars="0"/>
              <w:jc w:val="center"/>
              <w:rPr>
                <w:rFonts w:hint="eastAsia" w:ascii="Times New Roman" w:hAnsi="Times New Roman" w:eastAsia="仿宋_GB2312" w:cs="仿宋_GB2312"/>
                <w:b/>
                <w:bCs/>
                <w:spacing w:val="-6"/>
                <w:kern w:val="0"/>
                <w:sz w:val="22"/>
                <w:szCs w:val="22"/>
              </w:rPr>
            </w:pPr>
            <w:r>
              <w:rPr>
                <w:rFonts w:hint="eastAsia" w:ascii="Times New Roman" w:hAnsi="Times New Roman" w:eastAsia="仿宋_GB2312" w:cs="仿宋_GB2312"/>
                <w:b/>
                <w:bCs/>
                <w:spacing w:val="-6"/>
                <w:kern w:val="0"/>
                <w:sz w:val="22"/>
                <w:szCs w:val="22"/>
              </w:rPr>
              <w:t>（县市）</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spacing w:val="-6"/>
                <w:kern w:val="0"/>
                <w:sz w:val="22"/>
                <w:szCs w:val="22"/>
              </w:rPr>
            </w:pPr>
            <w:r>
              <w:rPr>
                <w:rFonts w:hint="eastAsia" w:ascii="Times New Roman" w:hAnsi="Times New Roman" w:eastAsia="仿宋_GB2312" w:cs="仿宋_GB2312"/>
                <w:b/>
                <w:bCs/>
                <w:color w:val="000000"/>
                <w:spacing w:val="-6"/>
                <w:kern w:val="0"/>
                <w:sz w:val="22"/>
                <w:szCs w:val="22"/>
              </w:rPr>
              <w:t>类型/等级</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spacing w:val="-6"/>
                <w:kern w:val="0"/>
                <w:sz w:val="22"/>
                <w:szCs w:val="22"/>
              </w:rPr>
            </w:pPr>
            <w:r>
              <w:rPr>
                <w:rFonts w:hint="eastAsia" w:ascii="Times New Roman" w:hAnsi="Times New Roman" w:eastAsia="仿宋_GB2312" w:cs="仿宋_GB2312"/>
                <w:b/>
                <w:bCs/>
                <w:color w:val="000000"/>
                <w:spacing w:val="-6"/>
                <w:kern w:val="0"/>
                <w:sz w:val="22"/>
                <w:szCs w:val="22"/>
              </w:rPr>
              <w:t>建设性质</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spacing w:val="-6"/>
                <w:kern w:val="0"/>
                <w:sz w:val="22"/>
                <w:szCs w:val="22"/>
              </w:rPr>
            </w:pPr>
            <w:r>
              <w:rPr>
                <w:rFonts w:hint="eastAsia" w:ascii="Times New Roman" w:hAnsi="Times New Roman" w:eastAsia="仿宋_GB2312" w:cs="仿宋_GB2312"/>
                <w:b/>
                <w:bCs/>
                <w:color w:val="000000"/>
                <w:spacing w:val="-6"/>
                <w:kern w:val="0"/>
                <w:sz w:val="22"/>
                <w:szCs w:val="22"/>
              </w:rPr>
              <w:t>占地面积（亩）</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spacing w:val="-6"/>
                <w:kern w:val="0"/>
                <w:sz w:val="22"/>
                <w:szCs w:val="22"/>
              </w:rPr>
            </w:pPr>
            <w:r>
              <w:rPr>
                <w:rFonts w:hint="eastAsia" w:ascii="Times New Roman" w:hAnsi="Times New Roman" w:eastAsia="仿宋_GB2312" w:cs="仿宋_GB2312"/>
                <w:b/>
                <w:bCs/>
                <w:color w:val="000000"/>
                <w:spacing w:val="-6"/>
                <w:kern w:val="0"/>
                <w:sz w:val="22"/>
                <w:szCs w:val="22"/>
              </w:rPr>
              <w:t>设计能力</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spacing w:val="-6"/>
                <w:kern w:val="0"/>
                <w:sz w:val="22"/>
                <w:szCs w:val="22"/>
              </w:rPr>
            </w:pPr>
            <w:r>
              <w:rPr>
                <w:rFonts w:hint="eastAsia" w:ascii="Times New Roman" w:hAnsi="Times New Roman" w:eastAsia="仿宋_GB2312" w:cs="仿宋_GB2312"/>
                <w:b/>
                <w:bCs/>
                <w:color w:val="000000"/>
                <w:spacing w:val="-6"/>
                <w:kern w:val="0"/>
                <w:sz w:val="22"/>
                <w:szCs w:val="22"/>
              </w:rPr>
              <w:t>建设年限</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spacing w:val="-6"/>
                <w:kern w:val="0"/>
                <w:sz w:val="22"/>
                <w:szCs w:val="22"/>
              </w:rPr>
            </w:pPr>
            <w:r>
              <w:rPr>
                <w:rFonts w:hint="eastAsia" w:ascii="Times New Roman" w:hAnsi="Times New Roman" w:eastAsia="仿宋_GB2312" w:cs="仿宋_GB2312"/>
                <w:b/>
                <w:bCs/>
                <w:color w:val="000000"/>
                <w:spacing w:val="-11"/>
                <w:kern w:val="0"/>
                <w:sz w:val="22"/>
                <w:szCs w:val="22"/>
              </w:rPr>
              <w:t>总投资</w:t>
            </w:r>
            <w:r>
              <w:rPr>
                <w:rFonts w:hint="eastAsia" w:ascii="Times New Roman" w:hAnsi="Times New Roman" w:eastAsia="仿宋_GB2312" w:cs="仿宋_GB2312"/>
                <w:b/>
                <w:bCs/>
                <w:color w:val="000000"/>
                <w:spacing w:val="-6"/>
                <w:kern w:val="0"/>
                <w:sz w:val="22"/>
                <w:szCs w:val="22"/>
              </w:rPr>
              <w:t>（亿元）</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spacing w:val="-6"/>
                <w:kern w:val="0"/>
                <w:sz w:val="22"/>
                <w:szCs w:val="22"/>
              </w:rPr>
            </w:pPr>
            <w:r>
              <w:rPr>
                <w:rFonts w:hint="eastAsia" w:ascii="Times New Roman" w:hAnsi="Times New Roman" w:eastAsia="仿宋_GB2312" w:cs="仿宋_GB2312"/>
                <w:b/>
                <w:bCs/>
                <w:color w:val="000000"/>
                <w:spacing w:val="-6"/>
                <w:kern w:val="0"/>
                <w:sz w:val="22"/>
                <w:szCs w:val="22"/>
              </w:rPr>
              <w:t>“十四五”投资</w:t>
            </w:r>
          </w:p>
          <w:p>
            <w:pPr>
              <w:widowControl/>
              <w:spacing w:line="240" w:lineRule="auto"/>
              <w:ind w:firstLine="0" w:firstLineChars="0"/>
              <w:jc w:val="center"/>
              <w:rPr>
                <w:rFonts w:hint="eastAsia" w:ascii="Times New Roman" w:hAnsi="Times New Roman" w:eastAsia="仿宋_GB2312" w:cs="仿宋_GB2312"/>
                <w:b/>
                <w:bCs/>
                <w:spacing w:val="-6"/>
                <w:kern w:val="0"/>
                <w:sz w:val="22"/>
                <w:szCs w:val="22"/>
              </w:rPr>
            </w:pPr>
            <w:r>
              <w:rPr>
                <w:rFonts w:hint="eastAsia" w:ascii="Times New Roman" w:hAnsi="Times New Roman" w:eastAsia="仿宋_GB2312" w:cs="仿宋_GB2312"/>
                <w:b/>
                <w:bCs/>
                <w:color w:val="000000"/>
                <w:spacing w:val="-6"/>
                <w:kern w:val="0"/>
                <w:sz w:val="22"/>
                <w:szCs w:val="22"/>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8" w:hRule="atLeast"/>
        </w:trPr>
        <w:tc>
          <w:tcPr>
            <w:tcW w:w="2575" w:type="pct"/>
            <w:gridSpan w:val="6"/>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kern w:val="0"/>
                <w:sz w:val="22"/>
                <w:szCs w:val="22"/>
              </w:rPr>
              <w:t>合计</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sz w:val="22"/>
                <w:szCs w:val="22"/>
              </w:rPr>
              <w:t xml:space="preserve">7265 </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sz w:val="22"/>
                <w:szCs w:val="22"/>
              </w:rPr>
              <w:t>　</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sz w:val="22"/>
                <w:szCs w:val="22"/>
              </w:rPr>
              <w:t>　</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sz w:val="22"/>
                <w:szCs w:val="22"/>
              </w:rPr>
              <w:t>114</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color w:val="000000"/>
                <w:kern w:val="0"/>
                <w:sz w:val="22"/>
                <w:szCs w:val="22"/>
              </w:rPr>
            </w:pPr>
            <w:r>
              <w:rPr>
                <w:rFonts w:hint="eastAsia" w:ascii="Times New Roman" w:hAnsi="Times New Roman" w:eastAsia="仿宋_GB2312" w:cs="仿宋_GB2312"/>
                <w:b/>
                <w:bCs/>
                <w:color w:val="000000"/>
                <w:sz w:val="22"/>
                <w:szCs w:val="22"/>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79" w:hRule="atLeast"/>
        </w:trPr>
        <w:tc>
          <w:tcPr>
            <w:tcW w:w="38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综合客运枢纽</w:t>
            </w: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太焦高铁焦西站综合客运枢纽</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博爱县</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客运枢纽</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500</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pacing w:val="-23"/>
                <w:kern w:val="0"/>
                <w:sz w:val="22"/>
                <w:szCs w:val="22"/>
              </w:rPr>
            </w:pPr>
            <w:r>
              <w:rPr>
                <w:rFonts w:hint="eastAsia" w:ascii="Times New Roman" w:hAnsi="Times New Roman" w:eastAsia="仿宋_GB2312" w:cs="仿宋_GB2312"/>
                <w:color w:val="000000"/>
                <w:spacing w:val="-23"/>
                <w:kern w:val="0"/>
                <w:sz w:val="22"/>
                <w:szCs w:val="22"/>
              </w:rPr>
              <w:t>1万人/日</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2020-2021</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1.5 </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17" w:hRule="atLeast"/>
        </w:trPr>
        <w:tc>
          <w:tcPr>
            <w:tcW w:w="38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sz w:val="22"/>
                <w:szCs w:val="22"/>
              </w:rPr>
              <w:t>市级客运站</w:t>
            </w: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sz w:val="22"/>
                <w:szCs w:val="22"/>
              </w:rPr>
              <w:t>1</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sz w:val="22"/>
                <w:szCs w:val="22"/>
              </w:rPr>
              <w:t>焦作旅游汽车站</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sz w:val="22"/>
                <w:szCs w:val="22"/>
              </w:rPr>
              <w:t>解放区</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sz w:val="22"/>
                <w:szCs w:val="22"/>
              </w:rPr>
              <w:t>三级</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sz w:val="22"/>
                <w:szCs w:val="22"/>
              </w:rPr>
              <w:t>新建</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sz w:val="22"/>
                <w:szCs w:val="22"/>
              </w:rPr>
              <w:t>20</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pacing w:val="-23"/>
                <w:kern w:val="0"/>
                <w:sz w:val="22"/>
                <w:szCs w:val="22"/>
              </w:rPr>
            </w:pPr>
            <w:r>
              <w:rPr>
                <w:rFonts w:hint="eastAsia" w:ascii="Times New Roman" w:hAnsi="Times New Roman" w:eastAsia="仿宋_GB2312" w:cs="仿宋_GB2312"/>
                <w:color w:val="000000"/>
                <w:spacing w:val="-23"/>
                <w:sz w:val="22"/>
                <w:szCs w:val="22"/>
              </w:rPr>
              <w:t>0.28万人/日</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sz w:val="22"/>
                <w:szCs w:val="22"/>
              </w:rPr>
              <w:t>2021-2022</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sz w:val="22"/>
                <w:szCs w:val="22"/>
              </w:rPr>
              <w:t xml:space="preserve">0.1 </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sz w:val="22"/>
                <w:szCs w:val="22"/>
              </w:rPr>
              <w:t xml:space="preserve">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8" w:hRule="atLeast"/>
        </w:trPr>
        <w:tc>
          <w:tcPr>
            <w:tcW w:w="381" w:type="pct"/>
            <w:vMerge w:val="restar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县级客运站</w:t>
            </w: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孟州市客运站</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孟州市</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一级</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80</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pacing w:val="-23"/>
                <w:kern w:val="0"/>
                <w:sz w:val="22"/>
                <w:szCs w:val="22"/>
              </w:rPr>
            </w:pPr>
            <w:r>
              <w:rPr>
                <w:rFonts w:hint="eastAsia" w:ascii="Times New Roman" w:hAnsi="Times New Roman" w:eastAsia="仿宋_GB2312" w:cs="仿宋_GB2312"/>
                <w:color w:val="000000"/>
                <w:spacing w:val="-23"/>
                <w:kern w:val="0"/>
                <w:sz w:val="22"/>
                <w:szCs w:val="22"/>
              </w:rPr>
              <w:t>0.9万人/日</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2022-2025</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1.5</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9" w:hRule="atLeast"/>
        </w:trPr>
        <w:tc>
          <w:tcPr>
            <w:tcW w:w="381" w:type="pct"/>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仿宋_GB2312" w:cs="仿宋_GB2312"/>
                <w:color w:val="000000"/>
                <w:kern w:val="0"/>
                <w:sz w:val="22"/>
                <w:szCs w:val="22"/>
              </w:rPr>
            </w:pP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沁阳呼南高铁西站口客运站</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沁阳市</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一级</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50</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pacing w:val="-23"/>
                <w:kern w:val="0"/>
                <w:sz w:val="22"/>
                <w:szCs w:val="22"/>
              </w:rPr>
            </w:pPr>
            <w:r>
              <w:rPr>
                <w:rFonts w:hint="eastAsia" w:ascii="Times New Roman" w:hAnsi="Times New Roman" w:eastAsia="仿宋_GB2312" w:cs="仿宋_GB2312"/>
                <w:color w:val="000000"/>
                <w:spacing w:val="-23"/>
                <w:kern w:val="0"/>
                <w:sz w:val="22"/>
                <w:szCs w:val="22"/>
              </w:rPr>
              <w:t>1万人/日</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2021-2022</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0.3</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93" w:hRule="atLeast"/>
        </w:trPr>
        <w:tc>
          <w:tcPr>
            <w:tcW w:w="381" w:type="pct"/>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仿宋_GB2312" w:cs="仿宋_GB2312"/>
                <w:color w:val="000000"/>
                <w:kern w:val="0"/>
                <w:sz w:val="22"/>
                <w:szCs w:val="22"/>
              </w:rPr>
            </w:pP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神农山旅游客运站</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沁阳市</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23</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pacing w:val="-23"/>
                <w:kern w:val="0"/>
                <w:sz w:val="22"/>
                <w:szCs w:val="22"/>
              </w:rPr>
            </w:pPr>
            <w:r>
              <w:rPr>
                <w:rFonts w:hint="eastAsia" w:ascii="Times New Roman" w:hAnsi="Times New Roman" w:eastAsia="仿宋_GB2312" w:cs="仿宋_GB2312"/>
                <w:color w:val="000000"/>
                <w:spacing w:val="-23"/>
                <w:kern w:val="0"/>
                <w:sz w:val="22"/>
                <w:szCs w:val="22"/>
              </w:rPr>
              <w:t>0.2万人/日</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2020-2022</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0.3</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29" w:hRule="atLeast"/>
        </w:trPr>
        <w:tc>
          <w:tcPr>
            <w:tcW w:w="381" w:type="pct"/>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仿宋_GB2312" w:cs="仿宋_GB2312"/>
                <w:color w:val="000000"/>
                <w:kern w:val="0"/>
                <w:sz w:val="22"/>
                <w:szCs w:val="22"/>
              </w:rPr>
            </w:pP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4</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温县城市公交汽车站</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温县</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30</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pacing w:val="-23"/>
                <w:kern w:val="0"/>
                <w:sz w:val="22"/>
                <w:szCs w:val="22"/>
              </w:rPr>
            </w:pPr>
            <w:r>
              <w:rPr>
                <w:rFonts w:hint="eastAsia" w:ascii="Times New Roman" w:hAnsi="Times New Roman" w:eastAsia="仿宋_GB2312" w:cs="仿宋_GB2312"/>
                <w:color w:val="000000"/>
                <w:spacing w:val="-23"/>
                <w:kern w:val="0"/>
                <w:sz w:val="22"/>
                <w:szCs w:val="22"/>
              </w:rPr>
              <w:t>0.5万人/日</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2020-2023</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2" w:hRule="atLeast"/>
        </w:trPr>
        <w:tc>
          <w:tcPr>
            <w:tcW w:w="381" w:type="pct"/>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仿宋_GB2312" w:cs="仿宋_GB2312"/>
                <w:color w:val="000000"/>
                <w:kern w:val="0"/>
                <w:sz w:val="22"/>
                <w:szCs w:val="22"/>
              </w:rPr>
            </w:pP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5</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温县客运中心站（搬迁）</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温县</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二级</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50</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pacing w:val="-23"/>
                <w:kern w:val="0"/>
                <w:sz w:val="22"/>
                <w:szCs w:val="22"/>
              </w:rPr>
            </w:pPr>
            <w:r>
              <w:rPr>
                <w:rFonts w:hint="eastAsia" w:ascii="Times New Roman" w:hAnsi="Times New Roman" w:eastAsia="仿宋_GB2312" w:cs="仿宋_GB2312"/>
                <w:color w:val="000000"/>
                <w:spacing w:val="-23"/>
                <w:kern w:val="0"/>
                <w:sz w:val="22"/>
                <w:szCs w:val="22"/>
              </w:rPr>
              <w:t>0.5万人/日</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2022-2025</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0.6</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9" w:hRule="atLeast"/>
        </w:trPr>
        <w:tc>
          <w:tcPr>
            <w:tcW w:w="381" w:type="pct"/>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仿宋_GB2312" w:cs="仿宋_GB2312"/>
                <w:color w:val="000000"/>
                <w:kern w:val="0"/>
                <w:sz w:val="22"/>
                <w:szCs w:val="22"/>
              </w:rPr>
            </w:pP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6</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修武县台创园客运站</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修武县</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三级</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396" w:type="pct"/>
            <w:tcBorders>
              <w:tl2br w:val="nil"/>
              <w:tr2bl w:val="nil"/>
            </w:tcBorders>
            <w:shd w:val="clear" w:color="auto" w:fill="auto"/>
            <w:vAlign w:val="bottom"/>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4</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pacing w:val="-23"/>
                <w:kern w:val="0"/>
                <w:sz w:val="22"/>
                <w:szCs w:val="22"/>
              </w:rPr>
            </w:pPr>
            <w:r>
              <w:rPr>
                <w:rFonts w:hint="eastAsia" w:ascii="Times New Roman" w:hAnsi="Times New Roman" w:eastAsia="仿宋_GB2312" w:cs="仿宋_GB2312"/>
                <w:color w:val="000000"/>
                <w:spacing w:val="-23"/>
                <w:kern w:val="0"/>
                <w:sz w:val="22"/>
                <w:szCs w:val="22"/>
              </w:rPr>
              <w:t>0.3万人/日</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2021-2022</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0.16</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7" w:hRule="atLeast"/>
        </w:trPr>
        <w:tc>
          <w:tcPr>
            <w:tcW w:w="381" w:type="pct"/>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仿宋_GB2312" w:cs="仿宋_GB2312"/>
                <w:color w:val="000000"/>
                <w:kern w:val="0"/>
                <w:sz w:val="22"/>
                <w:szCs w:val="22"/>
              </w:rPr>
            </w:pP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7</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修武县青龙峡旅游客运站</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修武县</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三级</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396" w:type="pct"/>
            <w:tcBorders>
              <w:tl2br w:val="nil"/>
              <w:tr2bl w:val="nil"/>
            </w:tcBorders>
            <w:shd w:val="clear" w:color="auto" w:fill="auto"/>
            <w:vAlign w:val="bottom"/>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4</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spacing w:val="-23"/>
                <w:kern w:val="0"/>
                <w:sz w:val="22"/>
                <w:szCs w:val="22"/>
              </w:rPr>
            </w:pPr>
            <w:r>
              <w:rPr>
                <w:rFonts w:hint="eastAsia" w:ascii="Times New Roman" w:hAnsi="Times New Roman" w:eastAsia="仿宋_GB2312" w:cs="仿宋_GB2312"/>
                <w:color w:val="000000"/>
                <w:spacing w:val="-23"/>
                <w:kern w:val="0"/>
                <w:sz w:val="22"/>
                <w:szCs w:val="22"/>
              </w:rPr>
              <w:t>0.28万人/日</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2022-2023</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0.13</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6" w:hRule="atLeast"/>
        </w:trPr>
        <w:tc>
          <w:tcPr>
            <w:tcW w:w="381" w:type="pct"/>
            <w:vMerge w:val="restar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货运枢纽（物流园区）</w:t>
            </w: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中国宝武焦作现代综合物流园</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中站区</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货运枢纽型</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600</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2021-2025</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15.0</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6" w:hRule="atLeast"/>
        </w:trPr>
        <w:tc>
          <w:tcPr>
            <w:tcW w:w="381" w:type="pct"/>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仿宋_GB2312" w:cs="仿宋_GB2312"/>
                <w:color w:val="000000"/>
                <w:kern w:val="0"/>
                <w:sz w:val="22"/>
                <w:szCs w:val="22"/>
              </w:rPr>
            </w:pP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万邦农产品冷链物流园</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马村区</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商贸服务型</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690</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2021-2025</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13.5</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6" w:hRule="atLeast"/>
        </w:trPr>
        <w:tc>
          <w:tcPr>
            <w:tcW w:w="381" w:type="pct"/>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仿宋_GB2312" w:cs="仿宋_GB2312"/>
                <w:color w:val="000000"/>
                <w:kern w:val="0"/>
                <w:sz w:val="22"/>
                <w:szCs w:val="22"/>
              </w:rPr>
            </w:pP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w:t>
            </w:r>
          </w:p>
        </w:tc>
        <w:tc>
          <w:tcPr>
            <w:tcW w:w="791" w:type="pct"/>
            <w:tcBorders>
              <w:tl2br w:val="nil"/>
              <w:tr2bl w:val="nil"/>
            </w:tcBorders>
            <w:shd w:val="clear" w:color="000000" w:fill="FFFFFF"/>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焦煤集团综合物流园</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马村区</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货运枢纽型</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改建</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2021-2025</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3.9</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6" w:hRule="atLeast"/>
        </w:trPr>
        <w:tc>
          <w:tcPr>
            <w:tcW w:w="381" w:type="pct"/>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仿宋_GB2312" w:cs="仿宋_GB2312"/>
                <w:color w:val="000000"/>
                <w:kern w:val="0"/>
                <w:sz w:val="22"/>
                <w:szCs w:val="22"/>
              </w:rPr>
            </w:pP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4</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焦作市快递物流电商直播产业园</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城乡一体化示范区</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商贸服务型</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200</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2021-2025</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10.0</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6" w:hRule="atLeast"/>
        </w:trPr>
        <w:tc>
          <w:tcPr>
            <w:tcW w:w="381" w:type="pct"/>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仿宋_GB2312" w:cs="仿宋_GB2312"/>
                <w:color w:val="000000"/>
                <w:kern w:val="0"/>
                <w:sz w:val="22"/>
                <w:szCs w:val="22"/>
              </w:rPr>
            </w:pP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5</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河南德众保税物流园</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孟州市</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口岸服务型</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1500</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2021-2025</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15.0</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6" w:hRule="atLeast"/>
        </w:trPr>
        <w:tc>
          <w:tcPr>
            <w:tcW w:w="381" w:type="pct"/>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仿宋_GB2312" w:cs="仿宋_GB2312"/>
                <w:color w:val="000000"/>
                <w:kern w:val="0"/>
                <w:sz w:val="22"/>
                <w:szCs w:val="22"/>
              </w:rPr>
            </w:pP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6</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豫北现代物流园</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博爱县</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生产服务型</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630</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2021-2025</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18.0</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6" w:hRule="atLeast"/>
        </w:trPr>
        <w:tc>
          <w:tcPr>
            <w:tcW w:w="381" w:type="pct"/>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仿宋_GB2312" w:cs="仿宋_GB2312"/>
                <w:color w:val="000000"/>
                <w:kern w:val="0"/>
                <w:sz w:val="22"/>
                <w:szCs w:val="22"/>
              </w:rPr>
            </w:pP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7</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豫北中运物流园</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博爱县</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生产服务型</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改建</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800</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2021-2025</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10.0</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6" w:hRule="atLeast"/>
        </w:trPr>
        <w:tc>
          <w:tcPr>
            <w:tcW w:w="381" w:type="pct"/>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仿宋_GB2312" w:cs="仿宋_GB2312"/>
                <w:color w:val="000000"/>
                <w:kern w:val="0"/>
                <w:sz w:val="22"/>
                <w:szCs w:val="22"/>
              </w:rPr>
            </w:pP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8</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温县公路港</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温县</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生产服务型</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584</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2021-2025</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7.1</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6" w:hRule="atLeast"/>
        </w:trPr>
        <w:tc>
          <w:tcPr>
            <w:tcW w:w="381" w:type="pct"/>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仿宋_GB2312" w:cs="仿宋_GB2312"/>
                <w:color w:val="000000"/>
                <w:kern w:val="0"/>
                <w:sz w:val="22"/>
                <w:szCs w:val="22"/>
              </w:rPr>
            </w:pP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9</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武陟公铁联运物流港</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武陟县</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货运枢纽型</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新建</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1500</w:t>
            </w:r>
          </w:p>
        </w:tc>
        <w:tc>
          <w:tcPr>
            <w:tcW w:w="574"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2021-2025</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15.0</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6" w:hRule="atLeast"/>
        </w:trPr>
        <w:tc>
          <w:tcPr>
            <w:tcW w:w="38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乡镇运输服务站</w:t>
            </w:r>
          </w:p>
        </w:tc>
        <w:tc>
          <w:tcPr>
            <w:tcW w:w="22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1</w:t>
            </w:r>
          </w:p>
        </w:tc>
        <w:tc>
          <w:tcPr>
            <w:tcW w:w="791"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36个乡镇运输服务站</w:t>
            </w:r>
          </w:p>
        </w:tc>
        <w:tc>
          <w:tcPr>
            <w:tcW w:w="453"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407"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31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39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574" w:type="pct"/>
            <w:tcBorders>
              <w:tl2br w:val="nil"/>
              <w:tr2bl w:val="nil"/>
            </w:tcBorders>
            <w:shd w:val="clear" w:color="000000" w:fill="FFFFFF"/>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w:t>
            </w:r>
          </w:p>
        </w:tc>
        <w:tc>
          <w:tcPr>
            <w:tcW w:w="566"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2021-2025</w:t>
            </w:r>
          </w:p>
        </w:tc>
        <w:tc>
          <w:tcPr>
            <w:tcW w:w="328"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0.5 </w:t>
            </w:r>
          </w:p>
        </w:tc>
        <w:tc>
          <w:tcPr>
            <w:tcW w:w="559" w:type="pct"/>
            <w:tcBorders>
              <w:tl2br w:val="nil"/>
              <w:tr2bl w:val="nil"/>
            </w:tcBorders>
            <w:shd w:val="clear" w:color="auto" w:fill="auto"/>
            <w:vAlign w:val="center"/>
          </w:tcPr>
          <w:p>
            <w:pPr>
              <w:widowControl/>
              <w:spacing w:line="240" w:lineRule="auto"/>
              <w:ind w:firstLine="0" w:firstLineChars="0"/>
              <w:jc w:val="center"/>
              <w:rPr>
                <w:rFonts w:hint="eastAsia" w:ascii="Times New Roman" w:hAnsi="Times New Roman" w:eastAsia="仿宋_GB2312" w:cs="仿宋_GB2312"/>
                <w:color w:val="000000"/>
                <w:kern w:val="0"/>
                <w:sz w:val="22"/>
                <w:szCs w:val="22"/>
              </w:rPr>
            </w:pPr>
            <w:r>
              <w:rPr>
                <w:rFonts w:hint="eastAsia" w:ascii="Times New Roman" w:hAnsi="Times New Roman" w:eastAsia="仿宋_GB2312" w:cs="仿宋_GB2312"/>
                <w:color w:val="000000"/>
                <w:kern w:val="0"/>
                <w:sz w:val="22"/>
                <w:szCs w:val="22"/>
              </w:rPr>
              <w:t xml:space="preserve">0.5 </w:t>
            </w:r>
          </w:p>
        </w:tc>
      </w:tr>
      <w:bookmarkEnd w:id="349"/>
    </w:tbl>
    <w:p>
      <w:pPr>
        <w:spacing w:line="240" w:lineRule="auto"/>
        <w:ind w:firstLine="640"/>
        <w:rPr>
          <w:rFonts w:ascii="Times New Roman" w:hAnsi="Times New Roman"/>
        </w:rPr>
      </w:pPr>
      <w:r>
        <w:rPr>
          <w:rFonts w:ascii="Times New Roman" w:hAnsi="Times New Roman"/>
        </w:rPr>
        <w:br w:type="page"/>
      </w:r>
    </w:p>
    <w:p>
      <w:pPr>
        <w:pStyle w:val="5"/>
        <w:rPr>
          <w:rFonts w:hint="eastAsia" w:ascii="Times New Roman" w:hAnsi="Times New Roman" w:eastAsia="仿宋_GB2312" w:cs="仿宋_GB2312"/>
          <w:b/>
          <w:bCs/>
          <w:color w:val="000000" w:themeColor="text1"/>
          <w:sz w:val="36"/>
          <w:szCs w:val="36"/>
          <w14:textFill>
            <w14:solidFill>
              <w14:schemeClr w14:val="tx1"/>
            </w14:solidFill>
          </w14:textFill>
        </w:rPr>
      </w:pPr>
      <w:bookmarkStart w:id="350" w:name="_Toc56188772"/>
      <w:bookmarkStart w:id="351" w:name="_Toc94194400"/>
      <w:bookmarkStart w:id="352" w:name="_Toc12600"/>
      <w:bookmarkStart w:id="353" w:name="_Toc56245430"/>
      <w:bookmarkStart w:id="354" w:name="_Toc60235113"/>
      <w:bookmarkStart w:id="355" w:name="_Toc60846321"/>
      <w:bookmarkStart w:id="356" w:name="_Toc96455170"/>
      <w:bookmarkStart w:id="357" w:name="_Toc54704880"/>
      <w:bookmarkStart w:id="358" w:name="_Toc9526"/>
      <w:r>
        <w:rPr>
          <w:rFonts w:hint="eastAsia" w:ascii="Times New Roman" w:hAnsi="Times New Roman" w:eastAsia="仿宋_GB2312" w:cs="仿宋_GB2312"/>
          <w:b/>
          <w:bCs/>
          <w:color w:val="000000" w:themeColor="text1"/>
          <w:sz w:val="36"/>
          <w:szCs w:val="36"/>
          <w14:textFill>
            <w14:solidFill>
              <w14:schemeClr w14:val="tx1"/>
            </w14:solidFill>
          </w14:textFill>
        </w:rPr>
        <w:t>附表8 “十四五”智慧交通建设项目明细表</w:t>
      </w:r>
      <w:bookmarkEnd w:id="350"/>
      <w:bookmarkEnd w:id="351"/>
      <w:bookmarkEnd w:id="352"/>
      <w:bookmarkEnd w:id="353"/>
      <w:bookmarkEnd w:id="354"/>
      <w:bookmarkEnd w:id="355"/>
      <w:bookmarkEnd w:id="356"/>
      <w:bookmarkEnd w:id="357"/>
      <w:bookmarkEnd w:id="358"/>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66"/>
        <w:gridCol w:w="1596"/>
        <w:gridCol w:w="2908"/>
        <w:gridCol w:w="1209"/>
        <w:gridCol w:w="1095"/>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486"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序号</w:t>
            </w:r>
          </w:p>
        </w:tc>
        <w:tc>
          <w:tcPr>
            <w:tcW w:w="896"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项目名称</w:t>
            </w:r>
          </w:p>
        </w:tc>
        <w:tc>
          <w:tcPr>
            <w:tcW w:w="1633" w:type="pct"/>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建设内容</w:t>
            </w:r>
          </w:p>
        </w:tc>
        <w:tc>
          <w:tcPr>
            <w:tcW w:w="679"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建设年限</w:t>
            </w:r>
          </w:p>
        </w:tc>
        <w:tc>
          <w:tcPr>
            <w:tcW w:w="615" w:type="pct"/>
            <w:shd w:val="clear" w:color="auto" w:fill="auto"/>
            <w:vAlign w:val="center"/>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总投资</w:t>
            </w:r>
          </w:p>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kern w:val="0"/>
                <w:sz w:val="22"/>
                <w:szCs w:val="22"/>
              </w:rPr>
              <w:t>（亿元）</w:t>
            </w:r>
          </w:p>
        </w:tc>
        <w:tc>
          <w:tcPr>
            <w:tcW w:w="688" w:type="pct"/>
          </w:tcPr>
          <w:p>
            <w:pPr>
              <w:widowControl/>
              <w:spacing w:line="240" w:lineRule="auto"/>
              <w:ind w:firstLine="0" w:firstLineChars="0"/>
              <w:jc w:val="center"/>
              <w:rPr>
                <w:rFonts w:hint="eastAsia" w:ascii="Times New Roman" w:hAnsi="Times New Roman" w:eastAsia="仿宋_GB2312" w:cs="仿宋_GB2312"/>
                <w:b/>
                <w:bCs/>
                <w:kern w:val="0"/>
                <w:sz w:val="22"/>
                <w:szCs w:val="22"/>
              </w:rPr>
            </w:pPr>
            <w:r>
              <w:rPr>
                <w:rFonts w:hint="eastAsia" w:ascii="Times New Roman" w:hAnsi="Times New Roman" w:eastAsia="仿宋_GB2312" w:cs="仿宋_GB2312"/>
                <w:b/>
                <w:bCs/>
                <w:color w:val="000000"/>
                <w:kern w:val="0"/>
                <w:sz w:val="22"/>
                <w:szCs w:val="22"/>
              </w:rPr>
              <w:t>“十四五”投资（亿元）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5" w:hRule="atLeast"/>
        </w:trPr>
        <w:tc>
          <w:tcPr>
            <w:tcW w:w="486" w:type="pct"/>
            <w:shd w:val="clear" w:color="auto" w:fill="auto"/>
            <w:noWrap/>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kern w:val="0"/>
                <w:sz w:val="22"/>
                <w:szCs w:val="22"/>
              </w:rPr>
              <w:t>1</w:t>
            </w:r>
          </w:p>
        </w:tc>
        <w:tc>
          <w:tcPr>
            <w:tcW w:w="896" w:type="pct"/>
            <w:shd w:val="clear" w:color="auto" w:fill="auto"/>
            <w:noWrap/>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kern w:val="0"/>
                <w:sz w:val="22"/>
                <w:szCs w:val="22"/>
              </w:rPr>
              <w:t>交通大数据中心</w:t>
            </w:r>
          </w:p>
        </w:tc>
        <w:tc>
          <w:tcPr>
            <w:tcW w:w="1633" w:type="pct"/>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kern w:val="0"/>
                <w:sz w:val="22"/>
                <w:szCs w:val="22"/>
              </w:rPr>
              <w:t>整合交通运输各领域信息资源，建设综合行政执法电子化管理系统、综合交通运输监管系统、综合交通应急指挥调度系统、OA办公管理信息系统等</w:t>
            </w:r>
          </w:p>
        </w:tc>
        <w:tc>
          <w:tcPr>
            <w:tcW w:w="679" w:type="pct"/>
            <w:shd w:val="clear" w:color="auto" w:fill="auto"/>
            <w:noWrap/>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kern w:val="0"/>
                <w:sz w:val="22"/>
                <w:szCs w:val="22"/>
              </w:rPr>
              <w:t>2021-2025</w:t>
            </w:r>
          </w:p>
        </w:tc>
        <w:tc>
          <w:tcPr>
            <w:tcW w:w="615" w:type="pct"/>
            <w:shd w:val="clear" w:color="auto" w:fill="auto"/>
            <w:noWrap/>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kern w:val="0"/>
                <w:sz w:val="22"/>
                <w:szCs w:val="22"/>
              </w:rPr>
              <w:t>0.3</w:t>
            </w:r>
          </w:p>
        </w:tc>
        <w:tc>
          <w:tcPr>
            <w:tcW w:w="688" w:type="pct"/>
            <w:vAlign w:val="center"/>
          </w:tcPr>
          <w:p>
            <w:pPr>
              <w:widowControl/>
              <w:spacing w:line="240" w:lineRule="auto"/>
              <w:ind w:firstLine="0" w:firstLineChars="0"/>
              <w:jc w:val="center"/>
              <w:rPr>
                <w:rFonts w:hint="eastAsia" w:ascii="Times New Roman" w:hAnsi="Times New Roman" w:eastAsia="仿宋_GB2312" w:cs="仿宋_GB2312"/>
                <w:kern w:val="0"/>
                <w:sz w:val="22"/>
                <w:szCs w:val="22"/>
              </w:rPr>
            </w:pPr>
            <w:r>
              <w:rPr>
                <w:rFonts w:hint="eastAsia" w:ascii="Times New Roman" w:hAnsi="Times New Roman" w:eastAsia="仿宋_GB2312" w:cs="仿宋_GB2312"/>
                <w:kern w:val="0"/>
                <w:sz w:val="22"/>
                <w:szCs w:val="22"/>
              </w:rPr>
              <w:t>0.3</w:t>
            </w:r>
          </w:p>
        </w:tc>
      </w:tr>
      <w:bookmarkEnd w:id="297"/>
    </w:tbl>
    <w:p>
      <w:pPr>
        <w:ind w:firstLine="0" w:firstLineChars="0"/>
        <w:rPr>
          <w:rFonts w:ascii="Times New Roman" w:hAnsi="Times New Roman"/>
        </w:rPr>
        <w:sectPr>
          <w:headerReference r:id="rId13" w:type="even"/>
          <w:pgSz w:w="11906" w:h="16838"/>
          <w:pgMar w:top="2098" w:right="1531" w:bottom="1757" w:left="1531" w:header="851" w:footer="1191" w:gutter="0"/>
          <w:pgBorders>
            <w:top w:val="none" w:sz="0" w:space="0"/>
            <w:left w:val="none" w:sz="0" w:space="0"/>
            <w:bottom w:val="none" w:sz="0" w:space="0"/>
            <w:right w:val="none" w:sz="0" w:space="0"/>
          </w:pgBorders>
          <w:pgNumType w:fmt="decimal"/>
          <w:cols w:space="0" w:num="1"/>
          <w:rtlGutter w:val="0"/>
          <w:docGrid w:type="lines" w:linePitch="408" w:charSpace="0"/>
        </w:sectPr>
      </w:pPr>
      <w:bookmarkStart w:id="359" w:name="_GoBack"/>
      <w:bookmarkEnd w:id="359"/>
    </w:p>
    <w:p>
      <w:pPr>
        <w:pStyle w:val="2"/>
        <w:spacing w:line="240" w:lineRule="auto"/>
        <w:rPr>
          <w:rFonts w:hint="eastAsia" w:eastAsia="仿宋_GB2312"/>
          <w:lang w:eastAsia="zh-CN"/>
        </w:rPr>
      </w:pPr>
      <w:r>
        <w:rPr>
          <w:rFonts w:hint="eastAsia" w:eastAsia="仿宋_GB2312"/>
          <w:lang w:eastAsia="zh-CN"/>
        </w:rPr>
        <w:drawing>
          <wp:inline distT="0" distB="0" distL="114300" distR="114300">
            <wp:extent cx="7940040" cy="5614670"/>
            <wp:effectExtent l="0" t="0" r="3810" b="5080"/>
            <wp:docPr id="3" name="图片 3" descr="1 综合交通现状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综合交通现状图-01"/>
                    <pic:cNvPicPr>
                      <a:picLocks noChangeAspect="1"/>
                    </pic:cNvPicPr>
                  </pic:nvPicPr>
                  <pic:blipFill>
                    <a:blip r:embed="rId16"/>
                    <a:stretch>
                      <a:fillRect/>
                    </a:stretch>
                  </pic:blipFill>
                  <pic:spPr>
                    <a:xfrm>
                      <a:off x="0" y="0"/>
                      <a:ext cx="7940040" cy="5614670"/>
                    </a:xfrm>
                    <a:prstGeom prst="rect">
                      <a:avLst/>
                    </a:prstGeom>
                  </pic:spPr>
                </pic:pic>
              </a:graphicData>
            </a:graphic>
          </wp:inline>
        </w:drawing>
      </w:r>
    </w:p>
    <w:p>
      <w:pPr>
        <w:pStyle w:val="2"/>
        <w:spacing w:line="240" w:lineRule="auto"/>
        <w:rPr>
          <w:rFonts w:hint="eastAsia" w:eastAsia="仿宋_GB2312"/>
          <w:lang w:eastAsia="zh-CN"/>
        </w:rPr>
      </w:pPr>
      <w:r>
        <w:rPr>
          <w:rFonts w:hint="eastAsia" w:eastAsia="仿宋_GB2312"/>
          <w:lang w:eastAsia="zh-CN"/>
        </w:rPr>
        <w:drawing>
          <wp:inline distT="0" distB="0" distL="114300" distR="114300">
            <wp:extent cx="7875270" cy="5568950"/>
            <wp:effectExtent l="0" t="0" r="11430" b="12700"/>
            <wp:docPr id="4" name="图片 4" descr="2 综合运输通道布局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综合运输通道布局图-01"/>
                    <pic:cNvPicPr>
                      <a:picLocks noChangeAspect="1"/>
                    </pic:cNvPicPr>
                  </pic:nvPicPr>
                  <pic:blipFill>
                    <a:blip r:embed="rId17"/>
                    <a:stretch>
                      <a:fillRect/>
                    </a:stretch>
                  </pic:blipFill>
                  <pic:spPr>
                    <a:xfrm>
                      <a:off x="0" y="0"/>
                      <a:ext cx="7875270" cy="5568950"/>
                    </a:xfrm>
                    <a:prstGeom prst="rect">
                      <a:avLst/>
                    </a:prstGeom>
                  </pic:spPr>
                </pic:pic>
              </a:graphicData>
            </a:graphic>
          </wp:inline>
        </w:drawing>
      </w:r>
    </w:p>
    <w:p>
      <w:pPr>
        <w:pStyle w:val="2"/>
        <w:spacing w:line="240" w:lineRule="auto"/>
        <w:rPr>
          <w:rFonts w:hint="eastAsia" w:eastAsia="仿宋_GB2312"/>
          <w:lang w:eastAsia="zh-CN"/>
        </w:rPr>
      </w:pPr>
      <w:r>
        <w:rPr>
          <w:rFonts w:hint="eastAsia" w:eastAsia="仿宋_GB2312"/>
          <w:lang w:eastAsia="zh-CN"/>
        </w:rPr>
        <w:drawing>
          <wp:inline distT="0" distB="0" distL="114300" distR="114300">
            <wp:extent cx="7914005" cy="5596255"/>
            <wp:effectExtent l="0" t="0" r="10795" b="4445"/>
            <wp:docPr id="5" name="图片 5" descr="3 综合交通规划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综合交通规划图-01"/>
                    <pic:cNvPicPr>
                      <a:picLocks noChangeAspect="1"/>
                    </pic:cNvPicPr>
                  </pic:nvPicPr>
                  <pic:blipFill>
                    <a:blip r:embed="rId18"/>
                    <a:stretch>
                      <a:fillRect/>
                    </a:stretch>
                  </pic:blipFill>
                  <pic:spPr>
                    <a:xfrm>
                      <a:off x="0" y="0"/>
                      <a:ext cx="7914005" cy="5596255"/>
                    </a:xfrm>
                    <a:prstGeom prst="rect">
                      <a:avLst/>
                    </a:prstGeom>
                  </pic:spPr>
                </pic:pic>
              </a:graphicData>
            </a:graphic>
          </wp:inline>
        </w:drawing>
      </w:r>
    </w:p>
    <w:p>
      <w:pPr>
        <w:pStyle w:val="2"/>
        <w:spacing w:line="240" w:lineRule="auto"/>
        <w:rPr>
          <w:rFonts w:hint="eastAsia" w:eastAsia="仿宋_GB2312"/>
          <w:lang w:eastAsia="zh-CN"/>
        </w:rPr>
      </w:pPr>
      <w:r>
        <w:rPr>
          <w:rFonts w:hint="eastAsia" w:eastAsia="仿宋_GB2312"/>
          <w:lang w:eastAsia="zh-CN"/>
        </w:rPr>
        <w:drawing>
          <wp:inline distT="0" distB="0" distL="114300" distR="114300">
            <wp:extent cx="7973695" cy="5638800"/>
            <wp:effectExtent l="0" t="0" r="8255" b="0"/>
            <wp:docPr id="6" name="图片 6" descr="4 铁路网规划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铁路网规划图-01"/>
                    <pic:cNvPicPr>
                      <a:picLocks noChangeAspect="1"/>
                    </pic:cNvPicPr>
                  </pic:nvPicPr>
                  <pic:blipFill>
                    <a:blip r:embed="rId19"/>
                    <a:stretch>
                      <a:fillRect/>
                    </a:stretch>
                  </pic:blipFill>
                  <pic:spPr>
                    <a:xfrm>
                      <a:off x="0" y="0"/>
                      <a:ext cx="7973695" cy="5638800"/>
                    </a:xfrm>
                    <a:prstGeom prst="rect">
                      <a:avLst/>
                    </a:prstGeom>
                  </pic:spPr>
                </pic:pic>
              </a:graphicData>
            </a:graphic>
          </wp:inline>
        </w:drawing>
      </w:r>
    </w:p>
    <w:p>
      <w:pPr>
        <w:pStyle w:val="2"/>
        <w:spacing w:line="240" w:lineRule="auto"/>
        <w:rPr>
          <w:rFonts w:hint="eastAsia" w:eastAsia="仿宋_GB2312"/>
          <w:lang w:eastAsia="zh-CN"/>
        </w:rPr>
      </w:pPr>
      <w:r>
        <w:rPr>
          <w:rFonts w:hint="eastAsia" w:eastAsia="仿宋_GB2312"/>
          <w:lang w:eastAsia="zh-CN"/>
        </w:rPr>
        <w:drawing>
          <wp:inline distT="0" distB="0" distL="114300" distR="114300">
            <wp:extent cx="7925435" cy="5605145"/>
            <wp:effectExtent l="0" t="0" r="18415" b="14605"/>
            <wp:docPr id="7" name="图片 7" descr="5 高速公路网规划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高速公路网规划图-01"/>
                    <pic:cNvPicPr>
                      <a:picLocks noChangeAspect="1"/>
                    </pic:cNvPicPr>
                  </pic:nvPicPr>
                  <pic:blipFill>
                    <a:blip r:embed="rId20"/>
                    <a:stretch>
                      <a:fillRect/>
                    </a:stretch>
                  </pic:blipFill>
                  <pic:spPr>
                    <a:xfrm>
                      <a:off x="0" y="0"/>
                      <a:ext cx="7925435" cy="5605145"/>
                    </a:xfrm>
                    <a:prstGeom prst="rect">
                      <a:avLst/>
                    </a:prstGeom>
                  </pic:spPr>
                </pic:pic>
              </a:graphicData>
            </a:graphic>
          </wp:inline>
        </w:drawing>
      </w:r>
    </w:p>
    <w:p>
      <w:pPr>
        <w:pStyle w:val="2"/>
        <w:spacing w:line="240" w:lineRule="auto"/>
        <w:rPr>
          <w:rFonts w:hint="eastAsia" w:eastAsia="仿宋_GB2312"/>
          <w:lang w:eastAsia="zh-CN"/>
        </w:rPr>
      </w:pPr>
      <w:r>
        <w:rPr>
          <w:rFonts w:hint="eastAsia" w:eastAsia="仿宋_GB2312"/>
          <w:lang w:eastAsia="zh-CN"/>
        </w:rPr>
        <w:drawing>
          <wp:inline distT="0" distB="0" distL="114300" distR="114300">
            <wp:extent cx="8144510" cy="5759450"/>
            <wp:effectExtent l="0" t="0" r="8890" b="12700"/>
            <wp:docPr id="8" name="图片 8" descr="6 干线公路网规划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干线公路网规划图-01"/>
                    <pic:cNvPicPr>
                      <a:picLocks noChangeAspect="1"/>
                    </pic:cNvPicPr>
                  </pic:nvPicPr>
                  <pic:blipFill>
                    <a:blip r:embed="rId21"/>
                    <a:stretch>
                      <a:fillRect/>
                    </a:stretch>
                  </pic:blipFill>
                  <pic:spPr>
                    <a:xfrm>
                      <a:off x="0" y="0"/>
                      <a:ext cx="8144510" cy="5759450"/>
                    </a:xfrm>
                    <a:prstGeom prst="rect">
                      <a:avLst/>
                    </a:prstGeom>
                  </pic:spPr>
                </pic:pic>
              </a:graphicData>
            </a:graphic>
          </wp:inline>
        </w:drawing>
      </w:r>
    </w:p>
    <w:p>
      <w:pPr>
        <w:pStyle w:val="2"/>
        <w:spacing w:line="240" w:lineRule="auto"/>
        <w:rPr>
          <w:rFonts w:hint="eastAsia" w:eastAsia="仿宋_GB2312"/>
          <w:lang w:eastAsia="zh-CN"/>
        </w:rPr>
      </w:pPr>
      <w:r>
        <w:rPr>
          <w:rFonts w:hint="eastAsia" w:eastAsia="仿宋_GB2312"/>
          <w:lang w:eastAsia="zh-CN"/>
        </w:rPr>
        <w:drawing>
          <wp:inline distT="0" distB="0" distL="114300" distR="114300">
            <wp:extent cx="8054975" cy="5696585"/>
            <wp:effectExtent l="0" t="0" r="3175" b="18415"/>
            <wp:docPr id="9" name="图片 9" descr="7 公路客货运枢纽规划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公路客货运枢纽规划图-01"/>
                    <pic:cNvPicPr>
                      <a:picLocks noChangeAspect="1"/>
                    </pic:cNvPicPr>
                  </pic:nvPicPr>
                  <pic:blipFill>
                    <a:blip r:embed="rId22"/>
                    <a:stretch>
                      <a:fillRect/>
                    </a:stretch>
                  </pic:blipFill>
                  <pic:spPr>
                    <a:xfrm>
                      <a:off x="0" y="0"/>
                      <a:ext cx="8054975" cy="5696585"/>
                    </a:xfrm>
                    <a:prstGeom prst="rect">
                      <a:avLst/>
                    </a:prstGeom>
                  </pic:spPr>
                </pic:pic>
              </a:graphicData>
            </a:graphic>
          </wp:inline>
        </w:drawing>
      </w:r>
    </w:p>
    <w:p>
      <w:pPr>
        <w:pStyle w:val="2"/>
        <w:spacing w:line="240" w:lineRule="auto"/>
        <w:rPr>
          <w:rFonts w:hint="eastAsia" w:eastAsia="仿宋_GB2312"/>
          <w:lang w:eastAsia="zh-CN"/>
        </w:rPr>
      </w:pPr>
      <w:r>
        <w:rPr>
          <w:rFonts w:hint="eastAsia" w:eastAsia="仿宋_GB2312"/>
          <w:lang w:eastAsia="zh-CN"/>
        </w:rPr>
        <w:drawing>
          <wp:inline distT="0" distB="0" distL="114300" distR="114300">
            <wp:extent cx="7965440" cy="5633085"/>
            <wp:effectExtent l="0" t="0" r="16510" b="5715"/>
            <wp:docPr id="10" name="图片 10" descr="8 交通与产业耦合示意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 交通与产业耦合示意图-01"/>
                    <pic:cNvPicPr>
                      <a:picLocks noChangeAspect="1"/>
                    </pic:cNvPicPr>
                  </pic:nvPicPr>
                  <pic:blipFill>
                    <a:blip r:embed="rId23"/>
                    <a:stretch>
                      <a:fillRect/>
                    </a:stretch>
                  </pic:blipFill>
                  <pic:spPr>
                    <a:xfrm>
                      <a:off x="0" y="0"/>
                      <a:ext cx="7965440" cy="5633085"/>
                    </a:xfrm>
                    <a:prstGeom prst="rect">
                      <a:avLst/>
                    </a:prstGeom>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sectPr>
      <w:footerReference r:id="rId14" w:type="default"/>
      <w:pgSz w:w="16838" w:h="11906" w:orient="landscape"/>
      <w:pgMar w:top="1531" w:right="2098" w:bottom="1531" w:left="1757" w:header="851" w:footer="1191" w:gutter="0"/>
      <w:pgBorders>
        <w:top w:val="none" w:sz="0" w:space="0"/>
        <w:left w:val="none" w:sz="0" w:space="0"/>
        <w:bottom w:val="none" w:sz="0" w:space="0"/>
        <w:right w:val="none" w:sz="0" w:space="0"/>
      </w:pgBorders>
      <w:pgNumType w:fmt="decimal"/>
      <w:cols w:space="0" w:num="1"/>
      <w:rtlGutter w:val="0"/>
      <w:docGrid w:type="lines" w:linePitch="40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Light">
    <w:altName w:val="华文中宋"/>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等线 Light">
    <w:altName w:val="朗太書体"/>
    <w:panose1 w:val="00000000000000000000"/>
    <w:charset w:val="00"/>
    <w:family w:val="auto"/>
    <w:pitch w:val="default"/>
    <w:sig w:usb0="00000000" w:usb1="00000000" w:usb2="00000000" w:usb3="00000000" w:csb0="00000000" w:csb1="00000000"/>
  </w:font>
  <w:font w:name="朗太書体">
    <w:panose1 w:val="02000009000000000000"/>
    <w:charset w:val="80"/>
    <w:family w:val="auto"/>
    <w:pitch w:val="default"/>
    <w:sig w:usb0="800002A3" w:usb1="38C7ECF8" w:usb2="00000016"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 </w:t>
                          </w:r>
                          <w:r>
                            <w:fldChar w:fldCharType="begin"/>
                          </w:r>
                          <w:r>
                            <w:instrText xml:space="preserve"> PAGE  \* MERGEFORMAT </w:instrText>
                          </w:r>
                          <w:r>
                            <w:fldChar w:fldCharType="separate"/>
                          </w:r>
                          <w:r>
                            <w:t>- 1 -</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2"/>
                    </w:pPr>
                    <w:r>
                      <w:t xml:space="preserve">— </w:t>
                    </w:r>
                    <w:r>
                      <w:fldChar w:fldCharType="begin"/>
                    </w:r>
                    <w:r>
                      <w:instrText xml:space="preserve"> PAGE  \* MERGEFORMAT </w:instrText>
                    </w:r>
                    <w:r>
                      <w:fldChar w:fldCharType="separate"/>
                    </w:r>
                    <w:r>
                      <w:t>- 1 -</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cs="Times New Roman"/>
      </w:rPr>
      <w:id w:val="-262306711"/>
      <w:docPartObj>
        <w:docPartGallery w:val="autotext"/>
      </w:docPartObj>
    </w:sdtPr>
    <w:sdtEndPr>
      <w:rPr>
        <w:rFonts w:cs="Times New Roman"/>
      </w:rPr>
    </w:sdtEndPr>
    <w:sdtContent>
      <w:p>
        <w:pPr>
          <w:pStyle w:val="12"/>
          <w:ind w:firstLine="360"/>
          <w:jc w:val="center"/>
          <w:rPr>
            <w:rFonts w:cs="Times New Roman"/>
          </w:rP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2</w:t>
        </w:r>
        <w:r>
          <w:rPr>
            <w:rFonts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rPr>
        <w:rFonts w:cs="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3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1D09B6"/>
    <w:multiLevelType w:val="multilevel"/>
    <w:tmpl w:val="7D1D09B6"/>
    <w:lvl w:ilvl="0" w:tentative="0">
      <w:start w:val="1"/>
      <w:numFmt w:val="decimal"/>
      <w:lvlText w:val="%1."/>
      <w:lvlJc w:val="left"/>
      <w:pPr>
        <w:ind w:left="1063" w:hanging="420"/>
      </w:pPr>
      <w:rPr>
        <w:rFonts w:hint="default" w:ascii="Times New Roman" w:hAnsi="Times New Roman" w:cs="Times New Roman"/>
        <w:b/>
        <w:bCs/>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A73"/>
    <w:rsid w:val="00001102"/>
    <w:rsid w:val="00001B12"/>
    <w:rsid w:val="0000200C"/>
    <w:rsid w:val="000021C9"/>
    <w:rsid w:val="00002E6C"/>
    <w:rsid w:val="000047B6"/>
    <w:rsid w:val="00006059"/>
    <w:rsid w:val="0001027C"/>
    <w:rsid w:val="0001055B"/>
    <w:rsid w:val="00010860"/>
    <w:rsid w:val="00010918"/>
    <w:rsid w:val="00010DB4"/>
    <w:rsid w:val="00011ADA"/>
    <w:rsid w:val="00011BF1"/>
    <w:rsid w:val="00014CD5"/>
    <w:rsid w:val="00015C00"/>
    <w:rsid w:val="0001632E"/>
    <w:rsid w:val="00016EE6"/>
    <w:rsid w:val="00017411"/>
    <w:rsid w:val="00017B35"/>
    <w:rsid w:val="00021E93"/>
    <w:rsid w:val="00023688"/>
    <w:rsid w:val="00023EF4"/>
    <w:rsid w:val="00024F55"/>
    <w:rsid w:val="0002542D"/>
    <w:rsid w:val="00026244"/>
    <w:rsid w:val="0002632A"/>
    <w:rsid w:val="000273AD"/>
    <w:rsid w:val="00032B7F"/>
    <w:rsid w:val="000331D3"/>
    <w:rsid w:val="00033618"/>
    <w:rsid w:val="00034356"/>
    <w:rsid w:val="00037682"/>
    <w:rsid w:val="00037CBD"/>
    <w:rsid w:val="000406B6"/>
    <w:rsid w:val="0004120E"/>
    <w:rsid w:val="00041BB4"/>
    <w:rsid w:val="00042343"/>
    <w:rsid w:val="0004329D"/>
    <w:rsid w:val="0004399B"/>
    <w:rsid w:val="000449EA"/>
    <w:rsid w:val="000450C9"/>
    <w:rsid w:val="000452F0"/>
    <w:rsid w:val="00046053"/>
    <w:rsid w:val="00046378"/>
    <w:rsid w:val="00046FB8"/>
    <w:rsid w:val="000500D5"/>
    <w:rsid w:val="0005011C"/>
    <w:rsid w:val="00050171"/>
    <w:rsid w:val="0005074F"/>
    <w:rsid w:val="00051161"/>
    <w:rsid w:val="00051686"/>
    <w:rsid w:val="00052071"/>
    <w:rsid w:val="000530D8"/>
    <w:rsid w:val="00053375"/>
    <w:rsid w:val="00054290"/>
    <w:rsid w:val="00054BCD"/>
    <w:rsid w:val="00054CCD"/>
    <w:rsid w:val="00054D5C"/>
    <w:rsid w:val="00055606"/>
    <w:rsid w:val="000557F3"/>
    <w:rsid w:val="000560E7"/>
    <w:rsid w:val="00057473"/>
    <w:rsid w:val="00057FBB"/>
    <w:rsid w:val="0006059D"/>
    <w:rsid w:val="00061F99"/>
    <w:rsid w:val="00062795"/>
    <w:rsid w:val="000631A0"/>
    <w:rsid w:val="00064ED4"/>
    <w:rsid w:val="00065107"/>
    <w:rsid w:val="00065C9F"/>
    <w:rsid w:val="00065E27"/>
    <w:rsid w:val="00066BCC"/>
    <w:rsid w:val="000703DE"/>
    <w:rsid w:val="00070B90"/>
    <w:rsid w:val="000711E8"/>
    <w:rsid w:val="000715D1"/>
    <w:rsid w:val="000727F7"/>
    <w:rsid w:val="00073167"/>
    <w:rsid w:val="00073692"/>
    <w:rsid w:val="00074312"/>
    <w:rsid w:val="000743F2"/>
    <w:rsid w:val="00074E48"/>
    <w:rsid w:val="000757AD"/>
    <w:rsid w:val="000760D7"/>
    <w:rsid w:val="00080778"/>
    <w:rsid w:val="00080D97"/>
    <w:rsid w:val="00080D99"/>
    <w:rsid w:val="000825AE"/>
    <w:rsid w:val="000829E8"/>
    <w:rsid w:val="00082D0E"/>
    <w:rsid w:val="000834EE"/>
    <w:rsid w:val="00083607"/>
    <w:rsid w:val="00084C6B"/>
    <w:rsid w:val="00085063"/>
    <w:rsid w:val="000864ED"/>
    <w:rsid w:val="000873F4"/>
    <w:rsid w:val="00090A90"/>
    <w:rsid w:val="000939D3"/>
    <w:rsid w:val="00093D41"/>
    <w:rsid w:val="00093FB5"/>
    <w:rsid w:val="000952D0"/>
    <w:rsid w:val="000952FD"/>
    <w:rsid w:val="00095CD0"/>
    <w:rsid w:val="00096001"/>
    <w:rsid w:val="00096472"/>
    <w:rsid w:val="000969DE"/>
    <w:rsid w:val="00096A26"/>
    <w:rsid w:val="00097F9F"/>
    <w:rsid w:val="000A0F36"/>
    <w:rsid w:val="000A18F8"/>
    <w:rsid w:val="000A289D"/>
    <w:rsid w:val="000A3817"/>
    <w:rsid w:val="000A3883"/>
    <w:rsid w:val="000A45A2"/>
    <w:rsid w:val="000A6003"/>
    <w:rsid w:val="000A68CF"/>
    <w:rsid w:val="000A7071"/>
    <w:rsid w:val="000B0125"/>
    <w:rsid w:val="000B0913"/>
    <w:rsid w:val="000B0AA8"/>
    <w:rsid w:val="000B1147"/>
    <w:rsid w:val="000B16F8"/>
    <w:rsid w:val="000B1D6A"/>
    <w:rsid w:val="000B2B8B"/>
    <w:rsid w:val="000B413E"/>
    <w:rsid w:val="000B415A"/>
    <w:rsid w:val="000B43DE"/>
    <w:rsid w:val="000B51F5"/>
    <w:rsid w:val="000B5602"/>
    <w:rsid w:val="000B58D1"/>
    <w:rsid w:val="000B5D38"/>
    <w:rsid w:val="000B71B9"/>
    <w:rsid w:val="000B7C80"/>
    <w:rsid w:val="000B7CE0"/>
    <w:rsid w:val="000C0768"/>
    <w:rsid w:val="000C0AF5"/>
    <w:rsid w:val="000C25F1"/>
    <w:rsid w:val="000C27EF"/>
    <w:rsid w:val="000C2826"/>
    <w:rsid w:val="000C2F5C"/>
    <w:rsid w:val="000C3765"/>
    <w:rsid w:val="000C3ACC"/>
    <w:rsid w:val="000C3D90"/>
    <w:rsid w:val="000C5237"/>
    <w:rsid w:val="000C6712"/>
    <w:rsid w:val="000C6C3C"/>
    <w:rsid w:val="000C7451"/>
    <w:rsid w:val="000D0610"/>
    <w:rsid w:val="000D06FA"/>
    <w:rsid w:val="000D1407"/>
    <w:rsid w:val="000D1621"/>
    <w:rsid w:val="000D1B93"/>
    <w:rsid w:val="000D1FCA"/>
    <w:rsid w:val="000D31BE"/>
    <w:rsid w:val="000D40A0"/>
    <w:rsid w:val="000D5C35"/>
    <w:rsid w:val="000D62F8"/>
    <w:rsid w:val="000E27D3"/>
    <w:rsid w:val="000E37F8"/>
    <w:rsid w:val="000E3D6F"/>
    <w:rsid w:val="000E3ED3"/>
    <w:rsid w:val="000E3F5A"/>
    <w:rsid w:val="000E3FC1"/>
    <w:rsid w:val="000E470B"/>
    <w:rsid w:val="000E4BCF"/>
    <w:rsid w:val="000E4C35"/>
    <w:rsid w:val="000E6F77"/>
    <w:rsid w:val="000F0103"/>
    <w:rsid w:val="000F03DF"/>
    <w:rsid w:val="000F0B44"/>
    <w:rsid w:val="000F11F7"/>
    <w:rsid w:val="000F14B4"/>
    <w:rsid w:val="000F156B"/>
    <w:rsid w:val="000F19A4"/>
    <w:rsid w:val="000F1F71"/>
    <w:rsid w:val="000F23C2"/>
    <w:rsid w:val="000F23F7"/>
    <w:rsid w:val="000F2714"/>
    <w:rsid w:val="000F3BEB"/>
    <w:rsid w:val="000F406D"/>
    <w:rsid w:val="000F41CE"/>
    <w:rsid w:val="000F47F4"/>
    <w:rsid w:val="000F4F9E"/>
    <w:rsid w:val="000F6C39"/>
    <w:rsid w:val="000F6F91"/>
    <w:rsid w:val="000F760C"/>
    <w:rsid w:val="0010094F"/>
    <w:rsid w:val="00101BF5"/>
    <w:rsid w:val="00101DCB"/>
    <w:rsid w:val="00102517"/>
    <w:rsid w:val="00102854"/>
    <w:rsid w:val="00103274"/>
    <w:rsid w:val="0010345C"/>
    <w:rsid w:val="0010450C"/>
    <w:rsid w:val="00105181"/>
    <w:rsid w:val="00106BBB"/>
    <w:rsid w:val="00106E31"/>
    <w:rsid w:val="001101F7"/>
    <w:rsid w:val="0011063C"/>
    <w:rsid w:val="00110E3D"/>
    <w:rsid w:val="00111FED"/>
    <w:rsid w:val="00112AAA"/>
    <w:rsid w:val="00113059"/>
    <w:rsid w:val="00113BBD"/>
    <w:rsid w:val="00113E4B"/>
    <w:rsid w:val="00114223"/>
    <w:rsid w:val="00114F1B"/>
    <w:rsid w:val="00115C4E"/>
    <w:rsid w:val="0011637D"/>
    <w:rsid w:val="001172E5"/>
    <w:rsid w:val="0012006D"/>
    <w:rsid w:val="00120673"/>
    <w:rsid w:val="001212BF"/>
    <w:rsid w:val="00122C3F"/>
    <w:rsid w:val="001236B9"/>
    <w:rsid w:val="00123C28"/>
    <w:rsid w:val="00124343"/>
    <w:rsid w:val="00124772"/>
    <w:rsid w:val="00124A6F"/>
    <w:rsid w:val="001259ED"/>
    <w:rsid w:val="001267B4"/>
    <w:rsid w:val="001274AA"/>
    <w:rsid w:val="0013009D"/>
    <w:rsid w:val="00130441"/>
    <w:rsid w:val="001305F9"/>
    <w:rsid w:val="00130A4B"/>
    <w:rsid w:val="0013219F"/>
    <w:rsid w:val="00132211"/>
    <w:rsid w:val="0013301B"/>
    <w:rsid w:val="001330C1"/>
    <w:rsid w:val="001332A4"/>
    <w:rsid w:val="00133A73"/>
    <w:rsid w:val="00133E3C"/>
    <w:rsid w:val="00135281"/>
    <w:rsid w:val="001352B4"/>
    <w:rsid w:val="00135692"/>
    <w:rsid w:val="00136CD9"/>
    <w:rsid w:val="00137770"/>
    <w:rsid w:val="00140971"/>
    <w:rsid w:val="00140BD1"/>
    <w:rsid w:val="00140F65"/>
    <w:rsid w:val="00142150"/>
    <w:rsid w:val="001431F8"/>
    <w:rsid w:val="001431FD"/>
    <w:rsid w:val="00143488"/>
    <w:rsid w:val="00143C35"/>
    <w:rsid w:val="00144A49"/>
    <w:rsid w:val="001458AA"/>
    <w:rsid w:val="00145B01"/>
    <w:rsid w:val="00146E4C"/>
    <w:rsid w:val="001475E6"/>
    <w:rsid w:val="001501F5"/>
    <w:rsid w:val="001511B9"/>
    <w:rsid w:val="001519BA"/>
    <w:rsid w:val="00151AFF"/>
    <w:rsid w:val="00151F16"/>
    <w:rsid w:val="00152ACC"/>
    <w:rsid w:val="00152F88"/>
    <w:rsid w:val="001532A2"/>
    <w:rsid w:val="00153E4E"/>
    <w:rsid w:val="00153E63"/>
    <w:rsid w:val="0015621C"/>
    <w:rsid w:val="001570CC"/>
    <w:rsid w:val="00157798"/>
    <w:rsid w:val="001602BD"/>
    <w:rsid w:val="001605FA"/>
    <w:rsid w:val="00160F0A"/>
    <w:rsid w:val="00161067"/>
    <w:rsid w:val="00162C4C"/>
    <w:rsid w:val="001668A7"/>
    <w:rsid w:val="00166BD1"/>
    <w:rsid w:val="00166C02"/>
    <w:rsid w:val="0016735E"/>
    <w:rsid w:val="001707D7"/>
    <w:rsid w:val="00172CE8"/>
    <w:rsid w:val="00173415"/>
    <w:rsid w:val="00174C4B"/>
    <w:rsid w:val="00174DAA"/>
    <w:rsid w:val="00174FDB"/>
    <w:rsid w:val="001758E3"/>
    <w:rsid w:val="00175ABD"/>
    <w:rsid w:val="0017679B"/>
    <w:rsid w:val="00176CF4"/>
    <w:rsid w:val="00176E71"/>
    <w:rsid w:val="001770AC"/>
    <w:rsid w:val="00180213"/>
    <w:rsid w:val="0018042C"/>
    <w:rsid w:val="00180765"/>
    <w:rsid w:val="00181BA2"/>
    <w:rsid w:val="00182917"/>
    <w:rsid w:val="00183965"/>
    <w:rsid w:val="001856E4"/>
    <w:rsid w:val="00185D65"/>
    <w:rsid w:val="001863E9"/>
    <w:rsid w:val="00186E15"/>
    <w:rsid w:val="001874A6"/>
    <w:rsid w:val="00187C87"/>
    <w:rsid w:val="0019053F"/>
    <w:rsid w:val="00190E32"/>
    <w:rsid w:val="0019141D"/>
    <w:rsid w:val="00191AA9"/>
    <w:rsid w:val="00192933"/>
    <w:rsid w:val="00192A45"/>
    <w:rsid w:val="00192AA1"/>
    <w:rsid w:val="00192C1B"/>
    <w:rsid w:val="0019341B"/>
    <w:rsid w:val="001938EA"/>
    <w:rsid w:val="001955A5"/>
    <w:rsid w:val="00195B48"/>
    <w:rsid w:val="00196566"/>
    <w:rsid w:val="00197625"/>
    <w:rsid w:val="00197A1E"/>
    <w:rsid w:val="00197E43"/>
    <w:rsid w:val="001A293D"/>
    <w:rsid w:val="001A2B71"/>
    <w:rsid w:val="001A4B37"/>
    <w:rsid w:val="001A66CD"/>
    <w:rsid w:val="001A7487"/>
    <w:rsid w:val="001A782B"/>
    <w:rsid w:val="001B1CC6"/>
    <w:rsid w:val="001B2F01"/>
    <w:rsid w:val="001B4509"/>
    <w:rsid w:val="001B56E2"/>
    <w:rsid w:val="001B7E88"/>
    <w:rsid w:val="001C00DC"/>
    <w:rsid w:val="001C0985"/>
    <w:rsid w:val="001C155C"/>
    <w:rsid w:val="001C19AB"/>
    <w:rsid w:val="001C1EA9"/>
    <w:rsid w:val="001C26D5"/>
    <w:rsid w:val="001C3318"/>
    <w:rsid w:val="001C3418"/>
    <w:rsid w:val="001C3D9B"/>
    <w:rsid w:val="001C3DFB"/>
    <w:rsid w:val="001C3ECA"/>
    <w:rsid w:val="001C59EE"/>
    <w:rsid w:val="001C5BAF"/>
    <w:rsid w:val="001C6AEA"/>
    <w:rsid w:val="001C747A"/>
    <w:rsid w:val="001C78C0"/>
    <w:rsid w:val="001D067A"/>
    <w:rsid w:val="001D0CAD"/>
    <w:rsid w:val="001D1339"/>
    <w:rsid w:val="001D2629"/>
    <w:rsid w:val="001D2CEA"/>
    <w:rsid w:val="001D4209"/>
    <w:rsid w:val="001D4E78"/>
    <w:rsid w:val="001D6798"/>
    <w:rsid w:val="001D6978"/>
    <w:rsid w:val="001D70A2"/>
    <w:rsid w:val="001D77B6"/>
    <w:rsid w:val="001D7F39"/>
    <w:rsid w:val="001E00FD"/>
    <w:rsid w:val="001E08B3"/>
    <w:rsid w:val="001E0CA9"/>
    <w:rsid w:val="001E10E7"/>
    <w:rsid w:val="001E12DC"/>
    <w:rsid w:val="001E1893"/>
    <w:rsid w:val="001E1BC1"/>
    <w:rsid w:val="001E212E"/>
    <w:rsid w:val="001E2C3C"/>
    <w:rsid w:val="001E3474"/>
    <w:rsid w:val="001E388B"/>
    <w:rsid w:val="001E3F8D"/>
    <w:rsid w:val="001E5409"/>
    <w:rsid w:val="001E5C65"/>
    <w:rsid w:val="001E5DE6"/>
    <w:rsid w:val="001E611A"/>
    <w:rsid w:val="001E64B6"/>
    <w:rsid w:val="001E7CF8"/>
    <w:rsid w:val="001E7F1B"/>
    <w:rsid w:val="001F13DF"/>
    <w:rsid w:val="001F1A5B"/>
    <w:rsid w:val="001F30D7"/>
    <w:rsid w:val="001F3FA6"/>
    <w:rsid w:val="001F4CE4"/>
    <w:rsid w:val="001F69C3"/>
    <w:rsid w:val="001F7805"/>
    <w:rsid w:val="001F7C7A"/>
    <w:rsid w:val="00200BD9"/>
    <w:rsid w:val="00201C65"/>
    <w:rsid w:val="00202066"/>
    <w:rsid w:val="00202500"/>
    <w:rsid w:val="0020256C"/>
    <w:rsid w:val="00203BF1"/>
    <w:rsid w:val="00203C85"/>
    <w:rsid w:val="00204CDC"/>
    <w:rsid w:val="00205216"/>
    <w:rsid w:val="002105FD"/>
    <w:rsid w:val="002107DD"/>
    <w:rsid w:val="00210FF7"/>
    <w:rsid w:val="0021250F"/>
    <w:rsid w:val="0021299E"/>
    <w:rsid w:val="00212CAB"/>
    <w:rsid w:val="00213782"/>
    <w:rsid w:val="00214DE2"/>
    <w:rsid w:val="00214E47"/>
    <w:rsid w:val="002150F7"/>
    <w:rsid w:val="002152AC"/>
    <w:rsid w:val="0021566B"/>
    <w:rsid w:val="00216C30"/>
    <w:rsid w:val="00216E4C"/>
    <w:rsid w:val="00216F9C"/>
    <w:rsid w:val="00217262"/>
    <w:rsid w:val="00220DC6"/>
    <w:rsid w:val="002219B7"/>
    <w:rsid w:val="00221B92"/>
    <w:rsid w:val="00222A57"/>
    <w:rsid w:val="00222C13"/>
    <w:rsid w:val="00223160"/>
    <w:rsid w:val="002234DB"/>
    <w:rsid w:val="00225EDF"/>
    <w:rsid w:val="00226BE4"/>
    <w:rsid w:val="002312CF"/>
    <w:rsid w:val="00232C4F"/>
    <w:rsid w:val="00233E42"/>
    <w:rsid w:val="00234038"/>
    <w:rsid w:val="00234315"/>
    <w:rsid w:val="00234ABA"/>
    <w:rsid w:val="00234D63"/>
    <w:rsid w:val="002363D9"/>
    <w:rsid w:val="0023658E"/>
    <w:rsid w:val="00236884"/>
    <w:rsid w:val="00236AD5"/>
    <w:rsid w:val="00236AFF"/>
    <w:rsid w:val="002375B8"/>
    <w:rsid w:val="00237BAF"/>
    <w:rsid w:val="002410A5"/>
    <w:rsid w:val="002410B7"/>
    <w:rsid w:val="00241C38"/>
    <w:rsid w:val="0024260F"/>
    <w:rsid w:val="00242AAE"/>
    <w:rsid w:val="00244348"/>
    <w:rsid w:val="00244551"/>
    <w:rsid w:val="002447E3"/>
    <w:rsid w:val="00244CCE"/>
    <w:rsid w:val="00245F07"/>
    <w:rsid w:val="00245F2B"/>
    <w:rsid w:val="00250699"/>
    <w:rsid w:val="002520FF"/>
    <w:rsid w:val="00252BB4"/>
    <w:rsid w:val="00253631"/>
    <w:rsid w:val="0025503F"/>
    <w:rsid w:val="00255483"/>
    <w:rsid w:val="00255CB8"/>
    <w:rsid w:val="0025627C"/>
    <w:rsid w:val="00256449"/>
    <w:rsid w:val="00260F0E"/>
    <w:rsid w:val="0026139F"/>
    <w:rsid w:val="00261A85"/>
    <w:rsid w:val="002641BD"/>
    <w:rsid w:val="00264F0A"/>
    <w:rsid w:val="002663EC"/>
    <w:rsid w:val="00272C79"/>
    <w:rsid w:val="00273E4D"/>
    <w:rsid w:val="00275628"/>
    <w:rsid w:val="0027648D"/>
    <w:rsid w:val="00276685"/>
    <w:rsid w:val="00277C8C"/>
    <w:rsid w:val="00281B9F"/>
    <w:rsid w:val="0028213B"/>
    <w:rsid w:val="00282C41"/>
    <w:rsid w:val="00283914"/>
    <w:rsid w:val="00283D2A"/>
    <w:rsid w:val="002842C9"/>
    <w:rsid w:val="002870E2"/>
    <w:rsid w:val="0029055C"/>
    <w:rsid w:val="0029075A"/>
    <w:rsid w:val="00290EFB"/>
    <w:rsid w:val="00291239"/>
    <w:rsid w:val="00291DE5"/>
    <w:rsid w:val="0029221B"/>
    <w:rsid w:val="002932BA"/>
    <w:rsid w:val="00293612"/>
    <w:rsid w:val="00295640"/>
    <w:rsid w:val="00296997"/>
    <w:rsid w:val="00297E21"/>
    <w:rsid w:val="002A0106"/>
    <w:rsid w:val="002A1172"/>
    <w:rsid w:val="002A13B3"/>
    <w:rsid w:val="002A15F2"/>
    <w:rsid w:val="002A1834"/>
    <w:rsid w:val="002A1F77"/>
    <w:rsid w:val="002A248C"/>
    <w:rsid w:val="002A3BA0"/>
    <w:rsid w:val="002A457E"/>
    <w:rsid w:val="002A518C"/>
    <w:rsid w:val="002A58E5"/>
    <w:rsid w:val="002A5A48"/>
    <w:rsid w:val="002A629F"/>
    <w:rsid w:val="002A6320"/>
    <w:rsid w:val="002A6EB1"/>
    <w:rsid w:val="002A710C"/>
    <w:rsid w:val="002A7856"/>
    <w:rsid w:val="002B03CC"/>
    <w:rsid w:val="002B064F"/>
    <w:rsid w:val="002B06F9"/>
    <w:rsid w:val="002B08CF"/>
    <w:rsid w:val="002B0D10"/>
    <w:rsid w:val="002B24CB"/>
    <w:rsid w:val="002B386D"/>
    <w:rsid w:val="002B3981"/>
    <w:rsid w:val="002B5677"/>
    <w:rsid w:val="002B7CA5"/>
    <w:rsid w:val="002B7F2B"/>
    <w:rsid w:val="002C0CB0"/>
    <w:rsid w:val="002C35C2"/>
    <w:rsid w:val="002C4384"/>
    <w:rsid w:val="002C4775"/>
    <w:rsid w:val="002C499B"/>
    <w:rsid w:val="002C4C1C"/>
    <w:rsid w:val="002C6056"/>
    <w:rsid w:val="002C625F"/>
    <w:rsid w:val="002C7C63"/>
    <w:rsid w:val="002D01F9"/>
    <w:rsid w:val="002D0C1A"/>
    <w:rsid w:val="002D165D"/>
    <w:rsid w:val="002D1AE4"/>
    <w:rsid w:val="002D4080"/>
    <w:rsid w:val="002D4426"/>
    <w:rsid w:val="002D5537"/>
    <w:rsid w:val="002D5664"/>
    <w:rsid w:val="002D5711"/>
    <w:rsid w:val="002D6302"/>
    <w:rsid w:val="002D6951"/>
    <w:rsid w:val="002D7230"/>
    <w:rsid w:val="002D7D69"/>
    <w:rsid w:val="002E0494"/>
    <w:rsid w:val="002E0924"/>
    <w:rsid w:val="002E19CC"/>
    <w:rsid w:val="002E2F27"/>
    <w:rsid w:val="002E3699"/>
    <w:rsid w:val="002E441A"/>
    <w:rsid w:val="002E6372"/>
    <w:rsid w:val="002F1E53"/>
    <w:rsid w:val="002F28EA"/>
    <w:rsid w:val="002F29FD"/>
    <w:rsid w:val="002F2FD2"/>
    <w:rsid w:val="002F44B2"/>
    <w:rsid w:val="002F5D48"/>
    <w:rsid w:val="002F60C9"/>
    <w:rsid w:val="002F720C"/>
    <w:rsid w:val="002F727A"/>
    <w:rsid w:val="002F7CC4"/>
    <w:rsid w:val="0030015D"/>
    <w:rsid w:val="00301073"/>
    <w:rsid w:val="00301337"/>
    <w:rsid w:val="00301DFE"/>
    <w:rsid w:val="003022ED"/>
    <w:rsid w:val="00303719"/>
    <w:rsid w:val="00303B20"/>
    <w:rsid w:val="00305FE3"/>
    <w:rsid w:val="00306071"/>
    <w:rsid w:val="00306213"/>
    <w:rsid w:val="00306A73"/>
    <w:rsid w:val="00307704"/>
    <w:rsid w:val="0031002A"/>
    <w:rsid w:val="00310B85"/>
    <w:rsid w:val="00310C67"/>
    <w:rsid w:val="003115EA"/>
    <w:rsid w:val="00312612"/>
    <w:rsid w:val="00312D58"/>
    <w:rsid w:val="003139E7"/>
    <w:rsid w:val="00315209"/>
    <w:rsid w:val="0031528C"/>
    <w:rsid w:val="00315647"/>
    <w:rsid w:val="00316959"/>
    <w:rsid w:val="00320864"/>
    <w:rsid w:val="0032400E"/>
    <w:rsid w:val="00324F24"/>
    <w:rsid w:val="00326269"/>
    <w:rsid w:val="00326A76"/>
    <w:rsid w:val="00327CE7"/>
    <w:rsid w:val="00330960"/>
    <w:rsid w:val="00330DF1"/>
    <w:rsid w:val="00331754"/>
    <w:rsid w:val="00331AB4"/>
    <w:rsid w:val="003329CD"/>
    <w:rsid w:val="0033443C"/>
    <w:rsid w:val="00334A96"/>
    <w:rsid w:val="00337E45"/>
    <w:rsid w:val="00341492"/>
    <w:rsid w:val="00341B8A"/>
    <w:rsid w:val="003422A3"/>
    <w:rsid w:val="0034261B"/>
    <w:rsid w:val="00342B24"/>
    <w:rsid w:val="003436B6"/>
    <w:rsid w:val="00343A78"/>
    <w:rsid w:val="00344E51"/>
    <w:rsid w:val="00345CD5"/>
    <w:rsid w:val="00346E98"/>
    <w:rsid w:val="0034770F"/>
    <w:rsid w:val="00347B93"/>
    <w:rsid w:val="00347F70"/>
    <w:rsid w:val="003500B6"/>
    <w:rsid w:val="00350DCA"/>
    <w:rsid w:val="00352A01"/>
    <w:rsid w:val="00353E79"/>
    <w:rsid w:val="00355378"/>
    <w:rsid w:val="003554C3"/>
    <w:rsid w:val="00355AB4"/>
    <w:rsid w:val="00356358"/>
    <w:rsid w:val="00356C84"/>
    <w:rsid w:val="00356E11"/>
    <w:rsid w:val="00356F32"/>
    <w:rsid w:val="0035768D"/>
    <w:rsid w:val="003579AE"/>
    <w:rsid w:val="003606B4"/>
    <w:rsid w:val="00360818"/>
    <w:rsid w:val="00360C3D"/>
    <w:rsid w:val="0036140B"/>
    <w:rsid w:val="00361663"/>
    <w:rsid w:val="00362683"/>
    <w:rsid w:val="00363024"/>
    <w:rsid w:val="00363048"/>
    <w:rsid w:val="003630CC"/>
    <w:rsid w:val="00363244"/>
    <w:rsid w:val="003635C0"/>
    <w:rsid w:val="00363850"/>
    <w:rsid w:val="00364635"/>
    <w:rsid w:val="00364643"/>
    <w:rsid w:val="0036487D"/>
    <w:rsid w:val="00365561"/>
    <w:rsid w:val="00366E03"/>
    <w:rsid w:val="00367C69"/>
    <w:rsid w:val="0037062A"/>
    <w:rsid w:val="003715E2"/>
    <w:rsid w:val="00371BC2"/>
    <w:rsid w:val="0037351E"/>
    <w:rsid w:val="00374A05"/>
    <w:rsid w:val="0037505C"/>
    <w:rsid w:val="0037510A"/>
    <w:rsid w:val="0037525C"/>
    <w:rsid w:val="00376E09"/>
    <w:rsid w:val="00377AB1"/>
    <w:rsid w:val="00382E75"/>
    <w:rsid w:val="0038349F"/>
    <w:rsid w:val="0038380C"/>
    <w:rsid w:val="00383DAE"/>
    <w:rsid w:val="00384258"/>
    <w:rsid w:val="00386204"/>
    <w:rsid w:val="00390A0D"/>
    <w:rsid w:val="00390ED3"/>
    <w:rsid w:val="00390FF9"/>
    <w:rsid w:val="0039165A"/>
    <w:rsid w:val="00391C10"/>
    <w:rsid w:val="00391E24"/>
    <w:rsid w:val="00392D6B"/>
    <w:rsid w:val="00393818"/>
    <w:rsid w:val="003947B6"/>
    <w:rsid w:val="00397BC5"/>
    <w:rsid w:val="003A10C4"/>
    <w:rsid w:val="003A18B4"/>
    <w:rsid w:val="003A27F4"/>
    <w:rsid w:val="003A2FAD"/>
    <w:rsid w:val="003A5121"/>
    <w:rsid w:val="003A5ACE"/>
    <w:rsid w:val="003A5CB8"/>
    <w:rsid w:val="003A690A"/>
    <w:rsid w:val="003A6979"/>
    <w:rsid w:val="003A71FC"/>
    <w:rsid w:val="003A7498"/>
    <w:rsid w:val="003A74BB"/>
    <w:rsid w:val="003A7DB4"/>
    <w:rsid w:val="003B04DB"/>
    <w:rsid w:val="003B0BC5"/>
    <w:rsid w:val="003B1725"/>
    <w:rsid w:val="003B2AC5"/>
    <w:rsid w:val="003B2CE8"/>
    <w:rsid w:val="003B376B"/>
    <w:rsid w:val="003B5774"/>
    <w:rsid w:val="003B772A"/>
    <w:rsid w:val="003B7B8F"/>
    <w:rsid w:val="003C17DB"/>
    <w:rsid w:val="003C286B"/>
    <w:rsid w:val="003C3C5E"/>
    <w:rsid w:val="003C3CEC"/>
    <w:rsid w:val="003C566C"/>
    <w:rsid w:val="003C6AE7"/>
    <w:rsid w:val="003C6B2A"/>
    <w:rsid w:val="003C6D43"/>
    <w:rsid w:val="003C7BC6"/>
    <w:rsid w:val="003C7E3C"/>
    <w:rsid w:val="003C7FA4"/>
    <w:rsid w:val="003D02D3"/>
    <w:rsid w:val="003D0675"/>
    <w:rsid w:val="003D17AE"/>
    <w:rsid w:val="003D20B2"/>
    <w:rsid w:val="003D3A14"/>
    <w:rsid w:val="003D3B4F"/>
    <w:rsid w:val="003D3F92"/>
    <w:rsid w:val="003D5741"/>
    <w:rsid w:val="003D57E4"/>
    <w:rsid w:val="003D5B85"/>
    <w:rsid w:val="003D6662"/>
    <w:rsid w:val="003D6E28"/>
    <w:rsid w:val="003D6F08"/>
    <w:rsid w:val="003D70D9"/>
    <w:rsid w:val="003D7297"/>
    <w:rsid w:val="003D78F9"/>
    <w:rsid w:val="003E0004"/>
    <w:rsid w:val="003E0704"/>
    <w:rsid w:val="003E0DD1"/>
    <w:rsid w:val="003E1739"/>
    <w:rsid w:val="003E198A"/>
    <w:rsid w:val="003E2414"/>
    <w:rsid w:val="003E3B28"/>
    <w:rsid w:val="003E5531"/>
    <w:rsid w:val="003E5880"/>
    <w:rsid w:val="003E60A9"/>
    <w:rsid w:val="003F0138"/>
    <w:rsid w:val="003F06DB"/>
    <w:rsid w:val="003F19AD"/>
    <w:rsid w:val="003F219F"/>
    <w:rsid w:val="003F22F8"/>
    <w:rsid w:val="003F2571"/>
    <w:rsid w:val="003F34D0"/>
    <w:rsid w:val="003F694B"/>
    <w:rsid w:val="003F6C70"/>
    <w:rsid w:val="003F7C21"/>
    <w:rsid w:val="003F7CE7"/>
    <w:rsid w:val="00400E69"/>
    <w:rsid w:val="00405695"/>
    <w:rsid w:val="004058C6"/>
    <w:rsid w:val="00407523"/>
    <w:rsid w:val="004102F7"/>
    <w:rsid w:val="00410B1D"/>
    <w:rsid w:val="00410BAA"/>
    <w:rsid w:val="0041158B"/>
    <w:rsid w:val="004125D8"/>
    <w:rsid w:val="004133C2"/>
    <w:rsid w:val="004138FC"/>
    <w:rsid w:val="00416119"/>
    <w:rsid w:val="004173F7"/>
    <w:rsid w:val="004204F0"/>
    <w:rsid w:val="00421068"/>
    <w:rsid w:val="00421CCE"/>
    <w:rsid w:val="00422D51"/>
    <w:rsid w:val="004234B0"/>
    <w:rsid w:val="004248F9"/>
    <w:rsid w:val="00424DB6"/>
    <w:rsid w:val="00425290"/>
    <w:rsid w:val="004254CF"/>
    <w:rsid w:val="004326B2"/>
    <w:rsid w:val="00434391"/>
    <w:rsid w:val="004347C7"/>
    <w:rsid w:val="00435250"/>
    <w:rsid w:val="004371CB"/>
    <w:rsid w:val="00437CF1"/>
    <w:rsid w:val="00440921"/>
    <w:rsid w:val="004411F0"/>
    <w:rsid w:val="004420DA"/>
    <w:rsid w:val="004430B3"/>
    <w:rsid w:val="00443A2E"/>
    <w:rsid w:val="004443B2"/>
    <w:rsid w:val="004449CB"/>
    <w:rsid w:val="0044587F"/>
    <w:rsid w:val="00446B30"/>
    <w:rsid w:val="00446BC5"/>
    <w:rsid w:val="00446C83"/>
    <w:rsid w:val="00450458"/>
    <w:rsid w:val="00450A9E"/>
    <w:rsid w:val="0045197D"/>
    <w:rsid w:val="00451A5A"/>
    <w:rsid w:val="00452403"/>
    <w:rsid w:val="00452A92"/>
    <w:rsid w:val="00452AC6"/>
    <w:rsid w:val="004540F4"/>
    <w:rsid w:val="00454505"/>
    <w:rsid w:val="00454A82"/>
    <w:rsid w:val="00454B4D"/>
    <w:rsid w:val="00454BA9"/>
    <w:rsid w:val="00454CDB"/>
    <w:rsid w:val="00455880"/>
    <w:rsid w:val="00455B7E"/>
    <w:rsid w:val="00456568"/>
    <w:rsid w:val="00456A27"/>
    <w:rsid w:val="004575D9"/>
    <w:rsid w:val="00457B8A"/>
    <w:rsid w:val="00457FCA"/>
    <w:rsid w:val="00457FCC"/>
    <w:rsid w:val="00462D87"/>
    <w:rsid w:val="0046379E"/>
    <w:rsid w:val="00463A8E"/>
    <w:rsid w:val="00463B3B"/>
    <w:rsid w:val="004647B6"/>
    <w:rsid w:val="00464A11"/>
    <w:rsid w:val="00464C40"/>
    <w:rsid w:val="00465611"/>
    <w:rsid w:val="004658C1"/>
    <w:rsid w:val="00466015"/>
    <w:rsid w:val="00466196"/>
    <w:rsid w:val="00466CC1"/>
    <w:rsid w:val="004677D4"/>
    <w:rsid w:val="00470A3B"/>
    <w:rsid w:val="00470A50"/>
    <w:rsid w:val="00470E4D"/>
    <w:rsid w:val="00473A08"/>
    <w:rsid w:val="00473F41"/>
    <w:rsid w:val="00474939"/>
    <w:rsid w:val="00474E86"/>
    <w:rsid w:val="0047522C"/>
    <w:rsid w:val="0047525B"/>
    <w:rsid w:val="00475677"/>
    <w:rsid w:val="004757A8"/>
    <w:rsid w:val="004770B7"/>
    <w:rsid w:val="0048045A"/>
    <w:rsid w:val="00480569"/>
    <w:rsid w:val="004809F4"/>
    <w:rsid w:val="00483607"/>
    <w:rsid w:val="00483EA4"/>
    <w:rsid w:val="00484A44"/>
    <w:rsid w:val="00485681"/>
    <w:rsid w:val="00486056"/>
    <w:rsid w:val="00487688"/>
    <w:rsid w:val="00490239"/>
    <w:rsid w:val="004910C4"/>
    <w:rsid w:val="0049185A"/>
    <w:rsid w:val="00492671"/>
    <w:rsid w:val="004933C7"/>
    <w:rsid w:val="00493FC4"/>
    <w:rsid w:val="00495E6B"/>
    <w:rsid w:val="0049704D"/>
    <w:rsid w:val="004970BE"/>
    <w:rsid w:val="004A0684"/>
    <w:rsid w:val="004A10FE"/>
    <w:rsid w:val="004A2AFA"/>
    <w:rsid w:val="004A2D6F"/>
    <w:rsid w:val="004A34EC"/>
    <w:rsid w:val="004A35DD"/>
    <w:rsid w:val="004A4DEC"/>
    <w:rsid w:val="004A57DF"/>
    <w:rsid w:val="004A5DCA"/>
    <w:rsid w:val="004A65F0"/>
    <w:rsid w:val="004A73C4"/>
    <w:rsid w:val="004B0202"/>
    <w:rsid w:val="004B09F4"/>
    <w:rsid w:val="004B1189"/>
    <w:rsid w:val="004B22E9"/>
    <w:rsid w:val="004B2A8C"/>
    <w:rsid w:val="004B3FC1"/>
    <w:rsid w:val="004B494A"/>
    <w:rsid w:val="004B53F7"/>
    <w:rsid w:val="004B57BF"/>
    <w:rsid w:val="004B7A6B"/>
    <w:rsid w:val="004C2458"/>
    <w:rsid w:val="004C25E3"/>
    <w:rsid w:val="004C26EC"/>
    <w:rsid w:val="004C2984"/>
    <w:rsid w:val="004C2B42"/>
    <w:rsid w:val="004C2F04"/>
    <w:rsid w:val="004C34C1"/>
    <w:rsid w:val="004C365B"/>
    <w:rsid w:val="004C3F72"/>
    <w:rsid w:val="004C4600"/>
    <w:rsid w:val="004C4B11"/>
    <w:rsid w:val="004C4FD8"/>
    <w:rsid w:val="004C5C2E"/>
    <w:rsid w:val="004C5E38"/>
    <w:rsid w:val="004D0261"/>
    <w:rsid w:val="004D1CD7"/>
    <w:rsid w:val="004D20D7"/>
    <w:rsid w:val="004D282B"/>
    <w:rsid w:val="004D3DAE"/>
    <w:rsid w:val="004D5EDC"/>
    <w:rsid w:val="004D627E"/>
    <w:rsid w:val="004D6E74"/>
    <w:rsid w:val="004D6FB9"/>
    <w:rsid w:val="004D7274"/>
    <w:rsid w:val="004D7600"/>
    <w:rsid w:val="004D7C90"/>
    <w:rsid w:val="004E065C"/>
    <w:rsid w:val="004E0E1A"/>
    <w:rsid w:val="004E1F37"/>
    <w:rsid w:val="004E2AE2"/>
    <w:rsid w:val="004E2C9E"/>
    <w:rsid w:val="004E549C"/>
    <w:rsid w:val="004E5781"/>
    <w:rsid w:val="004E5B4C"/>
    <w:rsid w:val="004E5DDB"/>
    <w:rsid w:val="004E62B9"/>
    <w:rsid w:val="004E6491"/>
    <w:rsid w:val="004F0C62"/>
    <w:rsid w:val="004F1479"/>
    <w:rsid w:val="004F1A91"/>
    <w:rsid w:val="004F2032"/>
    <w:rsid w:val="004F21EC"/>
    <w:rsid w:val="004F40E7"/>
    <w:rsid w:val="004F4629"/>
    <w:rsid w:val="004F4C29"/>
    <w:rsid w:val="004F6B78"/>
    <w:rsid w:val="004F7494"/>
    <w:rsid w:val="004F79D2"/>
    <w:rsid w:val="0050136C"/>
    <w:rsid w:val="00502102"/>
    <w:rsid w:val="005023AA"/>
    <w:rsid w:val="00502B84"/>
    <w:rsid w:val="005033D4"/>
    <w:rsid w:val="00503C8D"/>
    <w:rsid w:val="00503FF3"/>
    <w:rsid w:val="00504046"/>
    <w:rsid w:val="00504425"/>
    <w:rsid w:val="00504C4A"/>
    <w:rsid w:val="00505842"/>
    <w:rsid w:val="00505FB4"/>
    <w:rsid w:val="0050691A"/>
    <w:rsid w:val="0050751A"/>
    <w:rsid w:val="00507C6F"/>
    <w:rsid w:val="005106DA"/>
    <w:rsid w:val="00510FE6"/>
    <w:rsid w:val="0051220A"/>
    <w:rsid w:val="005123E2"/>
    <w:rsid w:val="00512CC6"/>
    <w:rsid w:val="00514013"/>
    <w:rsid w:val="005141B4"/>
    <w:rsid w:val="005148FD"/>
    <w:rsid w:val="0051596D"/>
    <w:rsid w:val="00516169"/>
    <w:rsid w:val="00516649"/>
    <w:rsid w:val="00516E16"/>
    <w:rsid w:val="00516E3E"/>
    <w:rsid w:val="00516E5B"/>
    <w:rsid w:val="00516F56"/>
    <w:rsid w:val="00520332"/>
    <w:rsid w:val="005207DE"/>
    <w:rsid w:val="0052178B"/>
    <w:rsid w:val="005219C4"/>
    <w:rsid w:val="00521EC0"/>
    <w:rsid w:val="00522CAF"/>
    <w:rsid w:val="005237C1"/>
    <w:rsid w:val="00523D19"/>
    <w:rsid w:val="0052465A"/>
    <w:rsid w:val="005271E6"/>
    <w:rsid w:val="005308C8"/>
    <w:rsid w:val="00531407"/>
    <w:rsid w:val="005314CE"/>
    <w:rsid w:val="005316C8"/>
    <w:rsid w:val="0053251C"/>
    <w:rsid w:val="00532DE8"/>
    <w:rsid w:val="00533AC1"/>
    <w:rsid w:val="005354C5"/>
    <w:rsid w:val="00536540"/>
    <w:rsid w:val="00540A75"/>
    <w:rsid w:val="005421C2"/>
    <w:rsid w:val="00543553"/>
    <w:rsid w:val="005450B6"/>
    <w:rsid w:val="005451A4"/>
    <w:rsid w:val="005471F8"/>
    <w:rsid w:val="005476A6"/>
    <w:rsid w:val="00550EA2"/>
    <w:rsid w:val="00550EB5"/>
    <w:rsid w:val="00551E1E"/>
    <w:rsid w:val="00551EC0"/>
    <w:rsid w:val="00554595"/>
    <w:rsid w:val="005547B8"/>
    <w:rsid w:val="00554CDB"/>
    <w:rsid w:val="00555108"/>
    <w:rsid w:val="005551D8"/>
    <w:rsid w:val="0055563B"/>
    <w:rsid w:val="005562CB"/>
    <w:rsid w:val="0055766F"/>
    <w:rsid w:val="00557F7F"/>
    <w:rsid w:val="005602C6"/>
    <w:rsid w:val="00560E3E"/>
    <w:rsid w:val="0056120A"/>
    <w:rsid w:val="005612CD"/>
    <w:rsid w:val="005618B3"/>
    <w:rsid w:val="0056193F"/>
    <w:rsid w:val="00562C7F"/>
    <w:rsid w:val="0056425B"/>
    <w:rsid w:val="00565804"/>
    <w:rsid w:val="0056670B"/>
    <w:rsid w:val="00570BCC"/>
    <w:rsid w:val="00570FF6"/>
    <w:rsid w:val="0057171A"/>
    <w:rsid w:val="00573190"/>
    <w:rsid w:val="005738D0"/>
    <w:rsid w:val="00573945"/>
    <w:rsid w:val="005742A0"/>
    <w:rsid w:val="0057465E"/>
    <w:rsid w:val="005748D3"/>
    <w:rsid w:val="00575E24"/>
    <w:rsid w:val="00576016"/>
    <w:rsid w:val="005767CD"/>
    <w:rsid w:val="00577555"/>
    <w:rsid w:val="0058024E"/>
    <w:rsid w:val="00581068"/>
    <w:rsid w:val="00581CB1"/>
    <w:rsid w:val="00582862"/>
    <w:rsid w:val="00582905"/>
    <w:rsid w:val="00582F72"/>
    <w:rsid w:val="00583424"/>
    <w:rsid w:val="005840D7"/>
    <w:rsid w:val="00584BFD"/>
    <w:rsid w:val="005854D4"/>
    <w:rsid w:val="005857E3"/>
    <w:rsid w:val="00585BE7"/>
    <w:rsid w:val="00586545"/>
    <w:rsid w:val="005877B0"/>
    <w:rsid w:val="005877E9"/>
    <w:rsid w:val="00590231"/>
    <w:rsid w:val="005902D5"/>
    <w:rsid w:val="0059039A"/>
    <w:rsid w:val="00591D9F"/>
    <w:rsid w:val="00592898"/>
    <w:rsid w:val="00592ECD"/>
    <w:rsid w:val="0059329A"/>
    <w:rsid w:val="00594088"/>
    <w:rsid w:val="00594547"/>
    <w:rsid w:val="0059469A"/>
    <w:rsid w:val="00594A1B"/>
    <w:rsid w:val="00597348"/>
    <w:rsid w:val="005A0006"/>
    <w:rsid w:val="005A0485"/>
    <w:rsid w:val="005A06AA"/>
    <w:rsid w:val="005A07AD"/>
    <w:rsid w:val="005A0832"/>
    <w:rsid w:val="005A1AE8"/>
    <w:rsid w:val="005A2A6D"/>
    <w:rsid w:val="005A2E90"/>
    <w:rsid w:val="005A2F21"/>
    <w:rsid w:val="005A321E"/>
    <w:rsid w:val="005A36B1"/>
    <w:rsid w:val="005A43C6"/>
    <w:rsid w:val="005A45BB"/>
    <w:rsid w:val="005A554E"/>
    <w:rsid w:val="005A5655"/>
    <w:rsid w:val="005A5854"/>
    <w:rsid w:val="005A5F0C"/>
    <w:rsid w:val="005A6FA6"/>
    <w:rsid w:val="005A72DF"/>
    <w:rsid w:val="005A7517"/>
    <w:rsid w:val="005A7A26"/>
    <w:rsid w:val="005A7B65"/>
    <w:rsid w:val="005B1071"/>
    <w:rsid w:val="005B2E82"/>
    <w:rsid w:val="005B3229"/>
    <w:rsid w:val="005B3783"/>
    <w:rsid w:val="005B38D2"/>
    <w:rsid w:val="005B4104"/>
    <w:rsid w:val="005B4742"/>
    <w:rsid w:val="005B4C20"/>
    <w:rsid w:val="005B4C67"/>
    <w:rsid w:val="005B5EAB"/>
    <w:rsid w:val="005B5ED5"/>
    <w:rsid w:val="005B67A0"/>
    <w:rsid w:val="005B7946"/>
    <w:rsid w:val="005C06DA"/>
    <w:rsid w:val="005C15C5"/>
    <w:rsid w:val="005C2C17"/>
    <w:rsid w:val="005C2FEA"/>
    <w:rsid w:val="005C498F"/>
    <w:rsid w:val="005C5047"/>
    <w:rsid w:val="005C5A34"/>
    <w:rsid w:val="005C6884"/>
    <w:rsid w:val="005C7094"/>
    <w:rsid w:val="005C7256"/>
    <w:rsid w:val="005C7379"/>
    <w:rsid w:val="005D0E84"/>
    <w:rsid w:val="005D1AA1"/>
    <w:rsid w:val="005D2D10"/>
    <w:rsid w:val="005D2E8B"/>
    <w:rsid w:val="005D3255"/>
    <w:rsid w:val="005D4C23"/>
    <w:rsid w:val="005D57E9"/>
    <w:rsid w:val="005D59F8"/>
    <w:rsid w:val="005E11DD"/>
    <w:rsid w:val="005E1432"/>
    <w:rsid w:val="005E1498"/>
    <w:rsid w:val="005E209E"/>
    <w:rsid w:val="005E27EA"/>
    <w:rsid w:val="005E293C"/>
    <w:rsid w:val="005E4183"/>
    <w:rsid w:val="005E48EB"/>
    <w:rsid w:val="005E4A3A"/>
    <w:rsid w:val="005E4FC8"/>
    <w:rsid w:val="005E668E"/>
    <w:rsid w:val="005E7889"/>
    <w:rsid w:val="005E7C06"/>
    <w:rsid w:val="005E7FC2"/>
    <w:rsid w:val="005F180B"/>
    <w:rsid w:val="005F1D09"/>
    <w:rsid w:val="005F2123"/>
    <w:rsid w:val="005F3231"/>
    <w:rsid w:val="005F39A0"/>
    <w:rsid w:val="005F4A08"/>
    <w:rsid w:val="005F623E"/>
    <w:rsid w:val="00600382"/>
    <w:rsid w:val="006003E7"/>
    <w:rsid w:val="0060155C"/>
    <w:rsid w:val="00601A88"/>
    <w:rsid w:val="00602CA9"/>
    <w:rsid w:val="00602CB7"/>
    <w:rsid w:val="006033DC"/>
    <w:rsid w:val="00603769"/>
    <w:rsid w:val="00604805"/>
    <w:rsid w:val="006049E1"/>
    <w:rsid w:val="00604C29"/>
    <w:rsid w:val="006055D8"/>
    <w:rsid w:val="0060567C"/>
    <w:rsid w:val="006056CD"/>
    <w:rsid w:val="006068E4"/>
    <w:rsid w:val="00606F0B"/>
    <w:rsid w:val="00607236"/>
    <w:rsid w:val="006079F4"/>
    <w:rsid w:val="00607E93"/>
    <w:rsid w:val="00610641"/>
    <w:rsid w:val="00610FD4"/>
    <w:rsid w:val="0061102C"/>
    <w:rsid w:val="00611209"/>
    <w:rsid w:val="006113EB"/>
    <w:rsid w:val="00611C46"/>
    <w:rsid w:val="0061216F"/>
    <w:rsid w:val="00612540"/>
    <w:rsid w:val="00613761"/>
    <w:rsid w:val="00613AF5"/>
    <w:rsid w:val="00614A05"/>
    <w:rsid w:val="00615292"/>
    <w:rsid w:val="00615324"/>
    <w:rsid w:val="00617BC1"/>
    <w:rsid w:val="00617F4C"/>
    <w:rsid w:val="00620AEF"/>
    <w:rsid w:val="00620E38"/>
    <w:rsid w:val="00621FE6"/>
    <w:rsid w:val="00622223"/>
    <w:rsid w:val="006225E0"/>
    <w:rsid w:val="00622DD3"/>
    <w:rsid w:val="00624C69"/>
    <w:rsid w:val="00625BB8"/>
    <w:rsid w:val="0062677B"/>
    <w:rsid w:val="0062709A"/>
    <w:rsid w:val="00627381"/>
    <w:rsid w:val="00630206"/>
    <w:rsid w:val="00630742"/>
    <w:rsid w:val="00631660"/>
    <w:rsid w:val="00632932"/>
    <w:rsid w:val="00634E0F"/>
    <w:rsid w:val="0063524C"/>
    <w:rsid w:val="00635E31"/>
    <w:rsid w:val="00635E3C"/>
    <w:rsid w:val="00636990"/>
    <w:rsid w:val="00636DE2"/>
    <w:rsid w:val="00637435"/>
    <w:rsid w:val="0064004D"/>
    <w:rsid w:val="0064105B"/>
    <w:rsid w:val="0064133D"/>
    <w:rsid w:val="00641469"/>
    <w:rsid w:val="00644001"/>
    <w:rsid w:val="00644846"/>
    <w:rsid w:val="00644FF0"/>
    <w:rsid w:val="00645622"/>
    <w:rsid w:val="00645DFD"/>
    <w:rsid w:val="006478EF"/>
    <w:rsid w:val="00650593"/>
    <w:rsid w:val="00650F16"/>
    <w:rsid w:val="006525D0"/>
    <w:rsid w:val="006561EB"/>
    <w:rsid w:val="00656775"/>
    <w:rsid w:val="0066013B"/>
    <w:rsid w:val="00661966"/>
    <w:rsid w:val="00662596"/>
    <w:rsid w:val="00662A37"/>
    <w:rsid w:val="006630AF"/>
    <w:rsid w:val="00664015"/>
    <w:rsid w:val="00664401"/>
    <w:rsid w:val="00664737"/>
    <w:rsid w:val="00665EB7"/>
    <w:rsid w:val="0066689D"/>
    <w:rsid w:val="00667AA8"/>
    <w:rsid w:val="0067139D"/>
    <w:rsid w:val="006714FA"/>
    <w:rsid w:val="0067366D"/>
    <w:rsid w:val="00674A35"/>
    <w:rsid w:val="006751F8"/>
    <w:rsid w:val="006765F6"/>
    <w:rsid w:val="006774BA"/>
    <w:rsid w:val="006777B2"/>
    <w:rsid w:val="00677EF4"/>
    <w:rsid w:val="00681F03"/>
    <w:rsid w:val="00682D1B"/>
    <w:rsid w:val="00682D5F"/>
    <w:rsid w:val="006848D1"/>
    <w:rsid w:val="006853B0"/>
    <w:rsid w:val="006856F3"/>
    <w:rsid w:val="00686584"/>
    <w:rsid w:val="006867EA"/>
    <w:rsid w:val="006873F6"/>
    <w:rsid w:val="00687C42"/>
    <w:rsid w:val="006903F2"/>
    <w:rsid w:val="00690B6D"/>
    <w:rsid w:val="00692885"/>
    <w:rsid w:val="00692E60"/>
    <w:rsid w:val="00693445"/>
    <w:rsid w:val="00693B9E"/>
    <w:rsid w:val="006946A6"/>
    <w:rsid w:val="00694D01"/>
    <w:rsid w:val="00695560"/>
    <w:rsid w:val="006955B0"/>
    <w:rsid w:val="00696B80"/>
    <w:rsid w:val="00696DE9"/>
    <w:rsid w:val="00697F10"/>
    <w:rsid w:val="006A0073"/>
    <w:rsid w:val="006A081A"/>
    <w:rsid w:val="006A1BA4"/>
    <w:rsid w:val="006A1CAF"/>
    <w:rsid w:val="006A2325"/>
    <w:rsid w:val="006A34DC"/>
    <w:rsid w:val="006A3FD0"/>
    <w:rsid w:val="006A4992"/>
    <w:rsid w:val="006A5771"/>
    <w:rsid w:val="006A619B"/>
    <w:rsid w:val="006A6D31"/>
    <w:rsid w:val="006B071E"/>
    <w:rsid w:val="006B0C42"/>
    <w:rsid w:val="006B1CE3"/>
    <w:rsid w:val="006B54D7"/>
    <w:rsid w:val="006B5FB3"/>
    <w:rsid w:val="006B7266"/>
    <w:rsid w:val="006B7821"/>
    <w:rsid w:val="006C0323"/>
    <w:rsid w:val="006C0674"/>
    <w:rsid w:val="006C19FD"/>
    <w:rsid w:val="006C1FDC"/>
    <w:rsid w:val="006C2219"/>
    <w:rsid w:val="006C2EC1"/>
    <w:rsid w:val="006C332A"/>
    <w:rsid w:val="006C36D8"/>
    <w:rsid w:val="006C3914"/>
    <w:rsid w:val="006C3B70"/>
    <w:rsid w:val="006C3C60"/>
    <w:rsid w:val="006C52B6"/>
    <w:rsid w:val="006C631D"/>
    <w:rsid w:val="006C641A"/>
    <w:rsid w:val="006C7D0D"/>
    <w:rsid w:val="006D02D3"/>
    <w:rsid w:val="006D041C"/>
    <w:rsid w:val="006D1B6B"/>
    <w:rsid w:val="006D1CA3"/>
    <w:rsid w:val="006D2E0D"/>
    <w:rsid w:val="006D3042"/>
    <w:rsid w:val="006D34BE"/>
    <w:rsid w:val="006D3607"/>
    <w:rsid w:val="006D6D67"/>
    <w:rsid w:val="006D6DE0"/>
    <w:rsid w:val="006D6EE6"/>
    <w:rsid w:val="006D7015"/>
    <w:rsid w:val="006D7481"/>
    <w:rsid w:val="006D74B6"/>
    <w:rsid w:val="006D7DA9"/>
    <w:rsid w:val="006E0E27"/>
    <w:rsid w:val="006E117F"/>
    <w:rsid w:val="006E17CD"/>
    <w:rsid w:val="006E43A5"/>
    <w:rsid w:val="006E5494"/>
    <w:rsid w:val="006E575D"/>
    <w:rsid w:val="006E57EA"/>
    <w:rsid w:val="006E646C"/>
    <w:rsid w:val="006E66B5"/>
    <w:rsid w:val="006F01AE"/>
    <w:rsid w:val="006F2A30"/>
    <w:rsid w:val="006F3D1B"/>
    <w:rsid w:val="006F4B4B"/>
    <w:rsid w:val="006F7101"/>
    <w:rsid w:val="006F726A"/>
    <w:rsid w:val="006F7524"/>
    <w:rsid w:val="00700489"/>
    <w:rsid w:val="007005FC"/>
    <w:rsid w:val="00701C83"/>
    <w:rsid w:val="00702756"/>
    <w:rsid w:val="00703CEB"/>
    <w:rsid w:val="007046D8"/>
    <w:rsid w:val="00704E0A"/>
    <w:rsid w:val="007055F6"/>
    <w:rsid w:val="00705E45"/>
    <w:rsid w:val="007067DB"/>
    <w:rsid w:val="00706B28"/>
    <w:rsid w:val="0070794C"/>
    <w:rsid w:val="00710F9C"/>
    <w:rsid w:val="00712DC7"/>
    <w:rsid w:val="00712FC1"/>
    <w:rsid w:val="00713B25"/>
    <w:rsid w:val="00713F82"/>
    <w:rsid w:val="00714B4F"/>
    <w:rsid w:val="00714CE8"/>
    <w:rsid w:val="00716B73"/>
    <w:rsid w:val="00716E3F"/>
    <w:rsid w:val="00716E47"/>
    <w:rsid w:val="00717091"/>
    <w:rsid w:val="00717AE7"/>
    <w:rsid w:val="007203D4"/>
    <w:rsid w:val="007223C6"/>
    <w:rsid w:val="0072301E"/>
    <w:rsid w:val="00723056"/>
    <w:rsid w:val="007238D9"/>
    <w:rsid w:val="007239A3"/>
    <w:rsid w:val="00724772"/>
    <w:rsid w:val="007257E9"/>
    <w:rsid w:val="007261F2"/>
    <w:rsid w:val="0072755C"/>
    <w:rsid w:val="007276BB"/>
    <w:rsid w:val="007307DC"/>
    <w:rsid w:val="0073193B"/>
    <w:rsid w:val="007338AD"/>
    <w:rsid w:val="0073419B"/>
    <w:rsid w:val="007351E0"/>
    <w:rsid w:val="00737235"/>
    <w:rsid w:val="007376B9"/>
    <w:rsid w:val="007378DF"/>
    <w:rsid w:val="0074118B"/>
    <w:rsid w:val="00741ABD"/>
    <w:rsid w:val="00743267"/>
    <w:rsid w:val="00743968"/>
    <w:rsid w:val="00743EC5"/>
    <w:rsid w:val="007442FA"/>
    <w:rsid w:val="00744D6D"/>
    <w:rsid w:val="00744DB1"/>
    <w:rsid w:val="0074573A"/>
    <w:rsid w:val="0074573C"/>
    <w:rsid w:val="00745766"/>
    <w:rsid w:val="00750296"/>
    <w:rsid w:val="007545DE"/>
    <w:rsid w:val="00754E4D"/>
    <w:rsid w:val="007567A4"/>
    <w:rsid w:val="00756A71"/>
    <w:rsid w:val="00757D0D"/>
    <w:rsid w:val="007600E3"/>
    <w:rsid w:val="007601FA"/>
    <w:rsid w:val="0076080A"/>
    <w:rsid w:val="00761CDF"/>
    <w:rsid w:val="007623DD"/>
    <w:rsid w:val="00762743"/>
    <w:rsid w:val="00762C22"/>
    <w:rsid w:val="00763F15"/>
    <w:rsid w:val="007647AA"/>
    <w:rsid w:val="00765678"/>
    <w:rsid w:val="00765D00"/>
    <w:rsid w:val="00766BE0"/>
    <w:rsid w:val="00766E43"/>
    <w:rsid w:val="00771AAD"/>
    <w:rsid w:val="00772298"/>
    <w:rsid w:val="00772E46"/>
    <w:rsid w:val="007735E1"/>
    <w:rsid w:val="00773BA3"/>
    <w:rsid w:val="00773D25"/>
    <w:rsid w:val="00773F96"/>
    <w:rsid w:val="00774804"/>
    <w:rsid w:val="007765F9"/>
    <w:rsid w:val="00780250"/>
    <w:rsid w:val="007803EE"/>
    <w:rsid w:val="00780C48"/>
    <w:rsid w:val="00781362"/>
    <w:rsid w:val="0078219A"/>
    <w:rsid w:val="00783405"/>
    <w:rsid w:val="00783FEB"/>
    <w:rsid w:val="00784112"/>
    <w:rsid w:val="0078453B"/>
    <w:rsid w:val="00785D67"/>
    <w:rsid w:val="007864FB"/>
    <w:rsid w:val="00786E76"/>
    <w:rsid w:val="00787149"/>
    <w:rsid w:val="007875F4"/>
    <w:rsid w:val="007879FE"/>
    <w:rsid w:val="007927B8"/>
    <w:rsid w:val="0079314C"/>
    <w:rsid w:val="007932CF"/>
    <w:rsid w:val="007975C4"/>
    <w:rsid w:val="00797C66"/>
    <w:rsid w:val="007A0D22"/>
    <w:rsid w:val="007A65F4"/>
    <w:rsid w:val="007A6D93"/>
    <w:rsid w:val="007A6ED5"/>
    <w:rsid w:val="007A7ABC"/>
    <w:rsid w:val="007B0523"/>
    <w:rsid w:val="007B05DA"/>
    <w:rsid w:val="007B1FBE"/>
    <w:rsid w:val="007B2B36"/>
    <w:rsid w:val="007B3DD1"/>
    <w:rsid w:val="007B47FF"/>
    <w:rsid w:val="007B4EF4"/>
    <w:rsid w:val="007B68BB"/>
    <w:rsid w:val="007B6A9F"/>
    <w:rsid w:val="007B791B"/>
    <w:rsid w:val="007B7AB6"/>
    <w:rsid w:val="007C0044"/>
    <w:rsid w:val="007C1962"/>
    <w:rsid w:val="007C2B9C"/>
    <w:rsid w:val="007C36C1"/>
    <w:rsid w:val="007C3C77"/>
    <w:rsid w:val="007C66AB"/>
    <w:rsid w:val="007C76A0"/>
    <w:rsid w:val="007C79E3"/>
    <w:rsid w:val="007C7EAD"/>
    <w:rsid w:val="007D065C"/>
    <w:rsid w:val="007D15E1"/>
    <w:rsid w:val="007D21D8"/>
    <w:rsid w:val="007D273B"/>
    <w:rsid w:val="007D3142"/>
    <w:rsid w:val="007D3229"/>
    <w:rsid w:val="007D444F"/>
    <w:rsid w:val="007D4F40"/>
    <w:rsid w:val="007D7A14"/>
    <w:rsid w:val="007E0380"/>
    <w:rsid w:val="007E2EB5"/>
    <w:rsid w:val="007E300B"/>
    <w:rsid w:val="007E49D9"/>
    <w:rsid w:val="007E582C"/>
    <w:rsid w:val="007E5B20"/>
    <w:rsid w:val="007E5CC8"/>
    <w:rsid w:val="007E5F5E"/>
    <w:rsid w:val="007E6EE5"/>
    <w:rsid w:val="007E7973"/>
    <w:rsid w:val="007E7C5B"/>
    <w:rsid w:val="007F02A2"/>
    <w:rsid w:val="007F1981"/>
    <w:rsid w:val="007F1A8A"/>
    <w:rsid w:val="007F1C85"/>
    <w:rsid w:val="007F40AD"/>
    <w:rsid w:val="007F4B92"/>
    <w:rsid w:val="007F568C"/>
    <w:rsid w:val="007F6C9B"/>
    <w:rsid w:val="007F7EB2"/>
    <w:rsid w:val="00800072"/>
    <w:rsid w:val="00800470"/>
    <w:rsid w:val="0080084C"/>
    <w:rsid w:val="00800E0C"/>
    <w:rsid w:val="008010E2"/>
    <w:rsid w:val="008023DD"/>
    <w:rsid w:val="00802D3B"/>
    <w:rsid w:val="00803036"/>
    <w:rsid w:val="008057FB"/>
    <w:rsid w:val="00805E11"/>
    <w:rsid w:val="008100B6"/>
    <w:rsid w:val="008100CC"/>
    <w:rsid w:val="0081133D"/>
    <w:rsid w:val="0081301C"/>
    <w:rsid w:val="0081304D"/>
    <w:rsid w:val="0081370E"/>
    <w:rsid w:val="00813D9E"/>
    <w:rsid w:val="00814ACB"/>
    <w:rsid w:val="00815008"/>
    <w:rsid w:val="0081555F"/>
    <w:rsid w:val="00815816"/>
    <w:rsid w:val="0081585F"/>
    <w:rsid w:val="00815CF1"/>
    <w:rsid w:val="00817635"/>
    <w:rsid w:val="00817EC9"/>
    <w:rsid w:val="00820C7A"/>
    <w:rsid w:val="008236D8"/>
    <w:rsid w:val="008241C2"/>
    <w:rsid w:val="008249DF"/>
    <w:rsid w:val="00824D70"/>
    <w:rsid w:val="008310E9"/>
    <w:rsid w:val="008313F0"/>
    <w:rsid w:val="008335B5"/>
    <w:rsid w:val="00833689"/>
    <w:rsid w:val="00833CA8"/>
    <w:rsid w:val="00833F37"/>
    <w:rsid w:val="008351D2"/>
    <w:rsid w:val="00835380"/>
    <w:rsid w:val="0083620C"/>
    <w:rsid w:val="00836A6D"/>
    <w:rsid w:val="008373E5"/>
    <w:rsid w:val="00837D51"/>
    <w:rsid w:val="008405B6"/>
    <w:rsid w:val="008421B2"/>
    <w:rsid w:val="00842387"/>
    <w:rsid w:val="00842B5C"/>
    <w:rsid w:val="00843515"/>
    <w:rsid w:val="008442A8"/>
    <w:rsid w:val="0084461A"/>
    <w:rsid w:val="008456F5"/>
    <w:rsid w:val="00845E78"/>
    <w:rsid w:val="008511C5"/>
    <w:rsid w:val="00851CF1"/>
    <w:rsid w:val="008524C8"/>
    <w:rsid w:val="00852717"/>
    <w:rsid w:val="0085295F"/>
    <w:rsid w:val="00852A3B"/>
    <w:rsid w:val="00853254"/>
    <w:rsid w:val="00853D52"/>
    <w:rsid w:val="008546BC"/>
    <w:rsid w:val="0085642E"/>
    <w:rsid w:val="00856DFD"/>
    <w:rsid w:val="00857422"/>
    <w:rsid w:val="008577F6"/>
    <w:rsid w:val="008607D5"/>
    <w:rsid w:val="008610FE"/>
    <w:rsid w:val="0086169A"/>
    <w:rsid w:val="00861A28"/>
    <w:rsid w:val="00861D2C"/>
    <w:rsid w:val="0086234A"/>
    <w:rsid w:val="00862A3A"/>
    <w:rsid w:val="0086320A"/>
    <w:rsid w:val="00864323"/>
    <w:rsid w:val="00865708"/>
    <w:rsid w:val="00866724"/>
    <w:rsid w:val="008673F8"/>
    <w:rsid w:val="00867AB8"/>
    <w:rsid w:val="00870CFE"/>
    <w:rsid w:val="008720D5"/>
    <w:rsid w:val="00872650"/>
    <w:rsid w:val="0087372E"/>
    <w:rsid w:val="00873983"/>
    <w:rsid w:val="008749D7"/>
    <w:rsid w:val="0087517E"/>
    <w:rsid w:val="00875259"/>
    <w:rsid w:val="00876B4A"/>
    <w:rsid w:val="00876EC5"/>
    <w:rsid w:val="0087736B"/>
    <w:rsid w:val="00877867"/>
    <w:rsid w:val="00880199"/>
    <w:rsid w:val="00880464"/>
    <w:rsid w:val="00881CA5"/>
    <w:rsid w:val="008821D9"/>
    <w:rsid w:val="00883832"/>
    <w:rsid w:val="00884855"/>
    <w:rsid w:val="008855D2"/>
    <w:rsid w:val="00885A3C"/>
    <w:rsid w:val="0088722A"/>
    <w:rsid w:val="00887D23"/>
    <w:rsid w:val="00891355"/>
    <w:rsid w:val="00891464"/>
    <w:rsid w:val="008917C7"/>
    <w:rsid w:val="00891D99"/>
    <w:rsid w:val="00892616"/>
    <w:rsid w:val="008954F4"/>
    <w:rsid w:val="008955A1"/>
    <w:rsid w:val="00895750"/>
    <w:rsid w:val="00895F51"/>
    <w:rsid w:val="0089659D"/>
    <w:rsid w:val="00897146"/>
    <w:rsid w:val="0089733A"/>
    <w:rsid w:val="00897969"/>
    <w:rsid w:val="008A0D3E"/>
    <w:rsid w:val="008A1618"/>
    <w:rsid w:val="008A1B5D"/>
    <w:rsid w:val="008A1BB0"/>
    <w:rsid w:val="008A1F4D"/>
    <w:rsid w:val="008A200A"/>
    <w:rsid w:val="008A202A"/>
    <w:rsid w:val="008A2528"/>
    <w:rsid w:val="008A39E0"/>
    <w:rsid w:val="008A429E"/>
    <w:rsid w:val="008A47B1"/>
    <w:rsid w:val="008A6146"/>
    <w:rsid w:val="008A651D"/>
    <w:rsid w:val="008B0CCC"/>
    <w:rsid w:val="008B137E"/>
    <w:rsid w:val="008B214B"/>
    <w:rsid w:val="008B44AA"/>
    <w:rsid w:val="008B4AAF"/>
    <w:rsid w:val="008B5369"/>
    <w:rsid w:val="008B6A4F"/>
    <w:rsid w:val="008B6E87"/>
    <w:rsid w:val="008C0280"/>
    <w:rsid w:val="008C03DA"/>
    <w:rsid w:val="008C05C0"/>
    <w:rsid w:val="008C065B"/>
    <w:rsid w:val="008C0C7F"/>
    <w:rsid w:val="008C11FF"/>
    <w:rsid w:val="008C1900"/>
    <w:rsid w:val="008C2FB5"/>
    <w:rsid w:val="008C363E"/>
    <w:rsid w:val="008C372B"/>
    <w:rsid w:val="008C48BE"/>
    <w:rsid w:val="008C4B6A"/>
    <w:rsid w:val="008C4F38"/>
    <w:rsid w:val="008C4FD5"/>
    <w:rsid w:val="008C5D7D"/>
    <w:rsid w:val="008C617E"/>
    <w:rsid w:val="008C634F"/>
    <w:rsid w:val="008C66BF"/>
    <w:rsid w:val="008C6925"/>
    <w:rsid w:val="008C698E"/>
    <w:rsid w:val="008D0380"/>
    <w:rsid w:val="008D28BF"/>
    <w:rsid w:val="008D30E7"/>
    <w:rsid w:val="008D334D"/>
    <w:rsid w:val="008D3DD6"/>
    <w:rsid w:val="008D41D1"/>
    <w:rsid w:val="008D5073"/>
    <w:rsid w:val="008D6237"/>
    <w:rsid w:val="008D6A9D"/>
    <w:rsid w:val="008E00EA"/>
    <w:rsid w:val="008E16D6"/>
    <w:rsid w:val="008E49D6"/>
    <w:rsid w:val="008E52B8"/>
    <w:rsid w:val="008E6080"/>
    <w:rsid w:val="008E6084"/>
    <w:rsid w:val="008E6405"/>
    <w:rsid w:val="008E6918"/>
    <w:rsid w:val="008E6CE9"/>
    <w:rsid w:val="008F0674"/>
    <w:rsid w:val="008F0AD2"/>
    <w:rsid w:val="008F109C"/>
    <w:rsid w:val="008F1309"/>
    <w:rsid w:val="008F1397"/>
    <w:rsid w:val="008F1472"/>
    <w:rsid w:val="008F1A05"/>
    <w:rsid w:val="008F1C4F"/>
    <w:rsid w:val="008F3245"/>
    <w:rsid w:val="008F32DE"/>
    <w:rsid w:val="008F4215"/>
    <w:rsid w:val="008F4483"/>
    <w:rsid w:val="008F46BE"/>
    <w:rsid w:val="008F4905"/>
    <w:rsid w:val="008F4FF6"/>
    <w:rsid w:val="008F54BB"/>
    <w:rsid w:val="008F5E3D"/>
    <w:rsid w:val="008F667A"/>
    <w:rsid w:val="008F6B90"/>
    <w:rsid w:val="008F6C09"/>
    <w:rsid w:val="0090113C"/>
    <w:rsid w:val="00901422"/>
    <w:rsid w:val="00901CFF"/>
    <w:rsid w:val="00902170"/>
    <w:rsid w:val="00902A14"/>
    <w:rsid w:val="00903610"/>
    <w:rsid w:val="00903F27"/>
    <w:rsid w:val="0090500C"/>
    <w:rsid w:val="00906053"/>
    <w:rsid w:val="009062D8"/>
    <w:rsid w:val="00907BE8"/>
    <w:rsid w:val="00910F4F"/>
    <w:rsid w:val="009110EC"/>
    <w:rsid w:val="00912C37"/>
    <w:rsid w:val="00912F17"/>
    <w:rsid w:val="00915F74"/>
    <w:rsid w:val="009162D6"/>
    <w:rsid w:val="00916416"/>
    <w:rsid w:val="0091645C"/>
    <w:rsid w:val="00917378"/>
    <w:rsid w:val="009201DA"/>
    <w:rsid w:val="00920917"/>
    <w:rsid w:val="00920D12"/>
    <w:rsid w:val="00921127"/>
    <w:rsid w:val="00921494"/>
    <w:rsid w:val="00923400"/>
    <w:rsid w:val="0092537B"/>
    <w:rsid w:val="009259E7"/>
    <w:rsid w:val="00926506"/>
    <w:rsid w:val="00926B80"/>
    <w:rsid w:val="00927E0F"/>
    <w:rsid w:val="00927FE7"/>
    <w:rsid w:val="00932B93"/>
    <w:rsid w:val="00933470"/>
    <w:rsid w:val="00934486"/>
    <w:rsid w:val="00934564"/>
    <w:rsid w:val="00935580"/>
    <w:rsid w:val="0093662A"/>
    <w:rsid w:val="00936A70"/>
    <w:rsid w:val="00936DEE"/>
    <w:rsid w:val="0094007F"/>
    <w:rsid w:val="0094150F"/>
    <w:rsid w:val="009418A1"/>
    <w:rsid w:val="00941B33"/>
    <w:rsid w:val="009427A9"/>
    <w:rsid w:val="00943C87"/>
    <w:rsid w:val="0094431B"/>
    <w:rsid w:val="0094468F"/>
    <w:rsid w:val="00944E58"/>
    <w:rsid w:val="009454BD"/>
    <w:rsid w:val="009456E8"/>
    <w:rsid w:val="00945760"/>
    <w:rsid w:val="00945D82"/>
    <w:rsid w:val="00946C6A"/>
    <w:rsid w:val="0095043A"/>
    <w:rsid w:val="00951300"/>
    <w:rsid w:val="00953744"/>
    <w:rsid w:val="00953CB9"/>
    <w:rsid w:val="00953FA6"/>
    <w:rsid w:val="00955D90"/>
    <w:rsid w:val="0095607C"/>
    <w:rsid w:val="0095758B"/>
    <w:rsid w:val="00957B76"/>
    <w:rsid w:val="00961D38"/>
    <w:rsid w:val="00962307"/>
    <w:rsid w:val="00962503"/>
    <w:rsid w:val="009627FA"/>
    <w:rsid w:val="00963F82"/>
    <w:rsid w:val="00964982"/>
    <w:rsid w:val="00964A06"/>
    <w:rsid w:val="0096594F"/>
    <w:rsid w:val="00966DB0"/>
    <w:rsid w:val="009671F1"/>
    <w:rsid w:val="00967AD4"/>
    <w:rsid w:val="00967B1B"/>
    <w:rsid w:val="00967C3C"/>
    <w:rsid w:val="00967DE0"/>
    <w:rsid w:val="00970B47"/>
    <w:rsid w:val="009710D2"/>
    <w:rsid w:val="009717D0"/>
    <w:rsid w:val="00971D9E"/>
    <w:rsid w:val="00972D6A"/>
    <w:rsid w:val="009744F1"/>
    <w:rsid w:val="009744FC"/>
    <w:rsid w:val="0097587A"/>
    <w:rsid w:val="00976FB2"/>
    <w:rsid w:val="009810B5"/>
    <w:rsid w:val="00981B9F"/>
    <w:rsid w:val="00984247"/>
    <w:rsid w:val="0098640A"/>
    <w:rsid w:val="009866ED"/>
    <w:rsid w:val="009869E3"/>
    <w:rsid w:val="009879D8"/>
    <w:rsid w:val="00990B40"/>
    <w:rsid w:val="00991FE1"/>
    <w:rsid w:val="0099236E"/>
    <w:rsid w:val="00993723"/>
    <w:rsid w:val="0099531F"/>
    <w:rsid w:val="0099591C"/>
    <w:rsid w:val="0099625F"/>
    <w:rsid w:val="00996675"/>
    <w:rsid w:val="009969EB"/>
    <w:rsid w:val="00997329"/>
    <w:rsid w:val="009976AD"/>
    <w:rsid w:val="00997835"/>
    <w:rsid w:val="00997ACA"/>
    <w:rsid w:val="009A0021"/>
    <w:rsid w:val="009A053A"/>
    <w:rsid w:val="009A26AE"/>
    <w:rsid w:val="009A2A9D"/>
    <w:rsid w:val="009A35F1"/>
    <w:rsid w:val="009A3DF1"/>
    <w:rsid w:val="009A534B"/>
    <w:rsid w:val="009A5AD1"/>
    <w:rsid w:val="009A5B4D"/>
    <w:rsid w:val="009A5F46"/>
    <w:rsid w:val="009A6A99"/>
    <w:rsid w:val="009A6CB3"/>
    <w:rsid w:val="009A702E"/>
    <w:rsid w:val="009A7A07"/>
    <w:rsid w:val="009A7CA8"/>
    <w:rsid w:val="009B07DE"/>
    <w:rsid w:val="009B1751"/>
    <w:rsid w:val="009B1F14"/>
    <w:rsid w:val="009B3A77"/>
    <w:rsid w:val="009B3E75"/>
    <w:rsid w:val="009B479F"/>
    <w:rsid w:val="009B4CB9"/>
    <w:rsid w:val="009B505F"/>
    <w:rsid w:val="009B5544"/>
    <w:rsid w:val="009B57B4"/>
    <w:rsid w:val="009B6291"/>
    <w:rsid w:val="009B67F6"/>
    <w:rsid w:val="009B6FAC"/>
    <w:rsid w:val="009C1430"/>
    <w:rsid w:val="009C3242"/>
    <w:rsid w:val="009C3D6F"/>
    <w:rsid w:val="009C4AA3"/>
    <w:rsid w:val="009C4EAA"/>
    <w:rsid w:val="009C5C7B"/>
    <w:rsid w:val="009C5F07"/>
    <w:rsid w:val="009C6A13"/>
    <w:rsid w:val="009C78AF"/>
    <w:rsid w:val="009C7E12"/>
    <w:rsid w:val="009D0872"/>
    <w:rsid w:val="009D0B4C"/>
    <w:rsid w:val="009D1059"/>
    <w:rsid w:val="009D1880"/>
    <w:rsid w:val="009D24D9"/>
    <w:rsid w:val="009D2A12"/>
    <w:rsid w:val="009D3BC3"/>
    <w:rsid w:val="009D403B"/>
    <w:rsid w:val="009D4538"/>
    <w:rsid w:val="009D4DE8"/>
    <w:rsid w:val="009D5590"/>
    <w:rsid w:val="009D5BAA"/>
    <w:rsid w:val="009D5BAB"/>
    <w:rsid w:val="009D6A99"/>
    <w:rsid w:val="009D752B"/>
    <w:rsid w:val="009E0224"/>
    <w:rsid w:val="009E0781"/>
    <w:rsid w:val="009E09CE"/>
    <w:rsid w:val="009E3758"/>
    <w:rsid w:val="009E4DA0"/>
    <w:rsid w:val="009E525D"/>
    <w:rsid w:val="009E6C11"/>
    <w:rsid w:val="009E6D06"/>
    <w:rsid w:val="009E7314"/>
    <w:rsid w:val="009F125D"/>
    <w:rsid w:val="009F264F"/>
    <w:rsid w:val="009F2BC0"/>
    <w:rsid w:val="009F2C69"/>
    <w:rsid w:val="009F345D"/>
    <w:rsid w:val="009F3684"/>
    <w:rsid w:val="009F4001"/>
    <w:rsid w:val="009F4859"/>
    <w:rsid w:val="009F4957"/>
    <w:rsid w:val="009F58A7"/>
    <w:rsid w:val="009F727E"/>
    <w:rsid w:val="009F7C58"/>
    <w:rsid w:val="00A002D4"/>
    <w:rsid w:val="00A01195"/>
    <w:rsid w:val="00A01244"/>
    <w:rsid w:val="00A014EE"/>
    <w:rsid w:val="00A01CBE"/>
    <w:rsid w:val="00A02035"/>
    <w:rsid w:val="00A0253A"/>
    <w:rsid w:val="00A0264D"/>
    <w:rsid w:val="00A02A32"/>
    <w:rsid w:val="00A02B48"/>
    <w:rsid w:val="00A034EB"/>
    <w:rsid w:val="00A035BE"/>
    <w:rsid w:val="00A050FF"/>
    <w:rsid w:val="00A06135"/>
    <w:rsid w:val="00A06515"/>
    <w:rsid w:val="00A06A93"/>
    <w:rsid w:val="00A06B20"/>
    <w:rsid w:val="00A109FE"/>
    <w:rsid w:val="00A10DA4"/>
    <w:rsid w:val="00A118AC"/>
    <w:rsid w:val="00A12EB0"/>
    <w:rsid w:val="00A13ECF"/>
    <w:rsid w:val="00A14631"/>
    <w:rsid w:val="00A14B49"/>
    <w:rsid w:val="00A14C37"/>
    <w:rsid w:val="00A156B1"/>
    <w:rsid w:val="00A16283"/>
    <w:rsid w:val="00A1702A"/>
    <w:rsid w:val="00A17EA7"/>
    <w:rsid w:val="00A20871"/>
    <w:rsid w:val="00A20C3F"/>
    <w:rsid w:val="00A2292B"/>
    <w:rsid w:val="00A22ACF"/>
    <w:rsid w:val="00A22D0A"/>
    <w:rsid w:val="00A25F5A"/>
    <w:rsid w:val="00A26FC4"/>
    <w:rsid w:val="00A27355"/>
    <w:rsid w:val="00A304D8"/>
    <w:rsid w:val="00A30501"/>
    <w:rsid w:val="00A30797"/>
    <w:rsid w:val="00A313C3"/>
    <w:rsid w:val="00A32493"/>
    <w:rsid w:val="00A34291"/>
    <w:rsid w:val="00A35052"/>
    <w:rsid w:val="00A365B6"/>
    <w:rsid w:val="00A366BB"/>
    <w:rsid w:val="00A379E6"/>
    <w:rsid w:val="00A40AF9"/>
    <w:rsid w:val="00A41241"/>
    <w:rsid w:val="00A4127D"/>
    <w:rsid w:val="00A412B6"/>
    <w:rsid w:val="00A42D1C"/>
    <w:rsid w:val="00A433E3"/>
    <w:rsid w:val="00A453E9"/>
    <w:rsid w:val="00A463E5"/>
    <w:rsid w:val="00A466E3"/>
    <w:rsid w:val="00A47057"/>
    <w:rsid w:val="00A475A4"/>
    <w:rsid w:val="00A475FA"/>
    <w:rsid w:val="00A50633"/>
    <w:rsid w:val="00A5079E"/>
    <w:rsid w:val="00A50C7E"/>
    <w:rsid w:val="00A51098"/>
    <w:rsid w:val="00A515E9"/>
    <w:rsid w:val="00A51ACD"/>
    <w:rsid w:val="00A52BDB"/>
    <w:rsid w:val="00A52BF5"/>
    <w:rsid w:val="00A53402"/>
    <w:rsid w:val="00A54167"/>
    <w:rsid w:val="00A55DB2"/>
    <w:rsid w:val="00A573B6"/>
    <w:rsid w:val="00A60775"/>
    <w:rsid w:val="00A60D0C"/>
    <w:rsid w:val="00A61068"/>
    <w:rsid w:val="00A61089"/>
    <w:rsid w:val="00A617FB"/>
    <w:rsid w:val="00A62394"/>
    <w:rsid w:val="00A6334A"/>
    <w:rsid w:val="00A6464B"/>
    <w:rsid w:val="00A65137"/>
    <w:rsid w:val="00A651DE"/>
    <w:rsid w:val="00A653A7"/>
    <w:rsid w:val="00A65899"/>
    <w:rsid w:val="00A65F80"/>
    <w:rsid w:val="00A65FEE"/>
    <w:rsid w:val="00A666A6"/>
    <w:rsid w:val="00A67860"/>
    <w:rsid w:val="00A67FF9"/>
    <w:rsid w:val="00A70A7A"/>
    <w:rsid w:val="00A71C9A"/>
    <w:rsid w:val="00A72571"/>
    <w:rsid w:val="00A72D9D"/>
    <w:rsid w:val="00A72F5A"/>
    <w:rsid w:val="00A739EA"/>
    <w:rsid w:val="00A746EB"/>
    <w:rsid w:val="00A75E4A"/>
    <w:rsid w:val="00A7688B"/>
    <w:rsid w:val="00A769D4"/>
    <w:rsid w:val="00A76AAC"/>
    <w:rsid w:val="00A8038F"/>
    <w:rsid w:val="00A80D49"/>
    <w:rsid w:val="00A8176E"/>
    <w:rsid w:val="00A81A8B"/>
    <w:rsid w:val="00A821E3"/>
    <w:rsid w:val="00A82700"/>
    <w:rsid w:val="00A8348E"/>
    <w:rsid w:val="00A84D11"/>
    <w:rsid w:val="00A865B0"/>
    <w:rsid w:val="00A873E4"/>
    <w:rsid w:val="00A90050"/>
    <w:rsid w:val="00A91706"/>
    <w:rsid w:val="00A922B0"/>
    <w:rsid w:val="00A925AC"/>
    <w:rsid w:val="00A9407D"/>
    <w:rsid w:val="00AA089A"/>
    <w:rsid w:val="00AA0E55"/>
    <w:rsid w:val="00AA11D7"/>
    <w:rsid w:val="00AA19CE"/>
    <w:rsid w:val="00AA4C74"/>
    <w:rsid w:val="00AA4E4A"/>
    <w:rsid w:val="00AA4F78"/>
    <w:rsid w:val="00AA5885"/>
    <w:rsid w:val="00AA65DC"/>
    <w:rsid w:val="00AA7663"/>
    <w:rsid w:val="00AA79A7"/>
    <w:rsid w:val="00AA7D49"/>
    <w:rsid w:val="00AA7DAA"/>
    <w:rsid w:val="00AA7F53"/>
    <w:rsid w:val="00AB0CEB"/>
    <w:rsid w:val="00AB0F05"/>
    <w:rsid w:val="00AB11F5"/>
    <w:rsid w:val="00AB3917"/>
    <w:rsid w:val="00AB3A10"/>
    <w:rsid w:val="00AB3B81"/>
    <w:rsid w:val="00AB408F"/>
    <w:rsid w:val="00AB6281"/>
    <w:rsid w:val="00AB645B"/>
    <w:rsid w:val="00AB6CF1"/>
    <w:rsid w:val="00AB6E9C"/>
    <w:rsid w:val="00AC0758"/>
    <w:rsid w:val="00AC082A"/>
    <w:rsid w:val="00AC0DA4"/>
    <w:rsid w:val="00AC12D3"/>
    <w:rsid w:val="00AC156C"/>
    <w:rsid w:val="00AC1A41"/>
    <w:rsid w:val="00AC4F2F"/>
    <w:rsid w:val="00AC5C5D"/>
    <w:rsid w:val="00AC67AF"/>
    <w:rsid w:val="00AC6F11"/>
    <w:rsid w:val="00AC736F"/>
    <w:rsid w:val="00AC7441"/>
    <w:rsid w:val="00AD00E0"/>
    <w:rsid w:val="00AD06CE"/>
    <w:rsid w:val="00AD09C2"/>
    <w:rsid w:val="00AD1178"/>
    <w:rsid w:val="00AD20BD"/>
    <w:rsid w:val="00AD2707"/>
    <w:rsid w:val="00AD2E17"/>
    <w:rsid w:val="00AD30E5"/>
    <w:rsid w:val="00AD4424"/>
    <w:rsid w:val="00AD5381"/>
    <w:rsid w:val="00AD66B5"/>
    <w:rsid w:val="00AE074F"/>
    <w:rsid w:val="00AE1725"/>
    <w:rsid w:val="00AE18C7"/>
    <w:rsid w:val="00AE1C86"/>
    <w:rsid w:val="00AE265C"/>
    <w:rsid w:val="00AE4CFD"/>
    <w:rsid w:val="00AE6A04"/>
    <w:rsid w:val="00AE70F7"/>
    <w:rsid w:val="00AE7C2F"/>
    <w:rsid w:val="00AE7EA1"/>
    <w:rsid w:val="00AE7F9B"/>
    <w:rsid w:val="00AF14C5"/>
    <w:rsid w:val="00AF1FDC"/>
    <w:rsid w:val="00AF230C"/>
    <w:rsid w:val="00AF299D"/>
    <w:rsid w:val="00AF2AC2"/>
    <w:rsid w:val="00AF370E"/>
    <w:rsid w:val="00AF3CEE"/>
    <w:rsid w:val="00AF4B0B"/>
    <w:rsid w:val="00AF5950"/>
    <w:rsid w:val="00AF60AA"/>
    <w:rsid w:val="00AF6FC9"/>
    <w:rsid w:val="00B00AF6"/>
    <w:rsid w:val="00B0393D"/>
    <w:rsid w:val="00B04283"/>
    <w:rsid w:val="00B069F5"/>
    <w:rsid w:val="00B06C43"/>
    <w:rsid w:val="00B07071"/>
    <w:rsid w:val="00B1005D"/>
    <w:rsid w:val="00B1018E"/>
    <w:rsid w:val="00B1097D"/>
    <w:rsid w:val="00B10A56"/>
    <w:rsid w:val="00B110EC"/>
    <w:rsid w:val="00B1137E"/>
    <w:rsid w:val="00B114A9"/>
    <w:rsid w:val="00B11A14"/>
    <w:rsid w:val="00B12B18"/>
    <w:rsid w:val="00B12E6C"/>
    <w:rsid w:val="00B13073"/>
    <w:rsid w:val="00B14F31"/>
    <w:rsid w:val="00B151E0"/>
    <w:rsid w:val="00B15B57"/>
    <w:rsid w:val="00B160BA"/>
    <w:rsid w:val="00B1621F"/>
    <w:rsid w:val="00B16282"/>
    <w:rsid w:val="00B16D57"/>
    <w:rsid w:val="00B20004"/>
    <w:rsid w:val="00B2044E"/>
    <w:rsid w:val="00B215CA"/>
    <w:rsid w:val="00B21857"/>
    <w:rsid w:val="00B21ACE"/>
    <w:rsid w:val="00B21BE6"/>
    <w:rsid w:val="00B23123"/>
    <w:rsid w:val="00B23287"/>
    <w:rsid w:val="00B23B4F"/>
    <w:rsid w:val="00B24FF8"/>
    <w:rsid w:val="00B25C2F"/>
    <w:rsid w:val="00B27A39"/>
    <w:rsid w:val="00B27AAE"/>
    <w:rsid w:val="00B27C9D"/>
    <w:rsid w:val="00B27D6C"/>
    <w:rsid w:val="00B304D9"/>
    <w:rsid w:val="00B31289"/>
    <w:rsid w:val="00B32962"/>
    <w:rsid w:val="00B33849"/>
    <w:rsid w:val="00B33D17"/>
    <w:rsid w:val="00B34193"/>
    <w:rsid w:val="00B34A8F"/>
    <w:rsid w:val="00B35282"/>
    <w:rsid w:val="00B35E7D"/>
    <w:rsid w:val="00B36C45"/>
    <w:rsid w:val="00B372A4"/>
    <w:rsid w:val="00B376BC"/>
    <w:rsid w:val="00B40DC2"/>
    <w:rsid w:val="00B415EA"/>
    <w:rsid w:val="00B4166D"/>
    <w:rsid w:val="00B416AC"/>
    <w:rsid w:val="00B42661"/>
    <w:rsid w:val="00B42E3A"/>
    <w:rsid w:val="00B4319D"/>
    <w:rsid w:val="00B46028"/>
    <w:rsid w:val="00B47A94"/>
    <w:rsid w:val="00B47B51"/>
    <w:rsid w:val="00B505A8"/>
    <w:rsid w:val="00B50F7D"/>
    <w:rsid w:val="00B5108D"/>
    <w:rsid w:val="00B515CE"/>
    <w:rsid w:val="00B51AC9"/>
    <w:rsid w:val="00B52389"/>
    <w:rsid w:val="00B52528"/>
    <w:rsid w:val="00B525F2"/>
    <w:rsid w:val="00B52C2B"/>
    <w:rsid w:val="00B52C94"/>
    <w:rsid w:val="00B53BE3"/>
    <w:rsid w:val="00B53D8D"/>
    <w:rsid w:val="00B54083"/>
    <w:rsid w:val="00B553EB"/>
    <w:rsid w:val="00B569A3"/>
    <w:rsid w:val="00B56B1B"/>
    <w:rsid w:val="00B574CA"/>
    <w:rsid w:val="00B60009"/>
    <w:rsid w:val="00B615DD"/>
    <w:rsid w:val="00B61A7C"/>
    <w:rsid w:val="00B6221D"/>
    <w:rsid w:val="00B62D4D"/>
    <w:rsid w:val="00B6425B"/>
    <w:rsid w:val="00B64973"/>
    <w:rsid w:val="00B649F4"/>
    <w:rsid w:val="00B658E9"/>
    <w:rsid w:val="00B65DCB"/>
    <w:rsid w:val="00B66094"/>
    <w:rsid w:val="00B70911"/>
    <w:rsid w:val="00B71ECC"/>
    <w:rsid w:val="00B71FB4"/>
    <w:rsid w:val="00B72D46"/>
    <w:rsid w:val="00B733F9"/>
    <w:rsid w:val="00B73567"/>
    <w:rsid w:val="00B75215"/>
    <w:rsid w:val="00B80547"/>
    <w:rsid w:val="00B808D9"/>
    <w:rsid w:val="00B80B21"/>
    <w:rsid w:val="00B814A2"/>
    <w:rsid w:val="00B81EB7"/>
    <w:rsid w:val="00B82261"/>
    <w:rsid w:val="00B825E8"/>
    <w:rsid w:val="00B82631"/>
    <w:rsid w:val="00B83642"/>
    <w:rsid w:val="00B83A81"/>
    <w:rsid w:val="00B83C3C"/>
    <w:rsid w:val="00B83CD8"/>
    <w:rsid w:val="00B84939"/>
    <w:rsid w:val="00B84C0D"/>
    <w:rsid w:val="00B85937"/>
    <w:rsid w:val="00B85AD4"/>
    <w:rsid w:val="00B86616"/>
    <w:rsid w:val="00B902F7"/>
    <w:rsid w:val="00B9085C"/>
    <w:rsid w:val="00B911AB"/>
    <w:rsid w:val="00B9255B"/>
    <w:rsid w:val="00B93542"/>
    <w:rsid w:val="00B93FAC"/>
    <w:rsid w:val="00B94BFE"/>
    <w:rsid w:val="00B94E46"/>
    <w:rsid w:val="00B95C65"/>
    <w:rsid w:val="00B95EB2"/>
    <w:rsid w:val="00B9747A"/>
    <w:rsid w:val="00B978CB"/>
    <w:rsid w:val="00BA08BE"/>
    <w:rsid w:val="00BA2338"/>
    <w:rsid w:val="00BA2635"/>
    <w:rsid w:val="00BA3FCE"/>
    <w:rsid w:val="00BA4DBA"/>
    <w:rsid w:val="00BA56B9"/>
    <w:rsid w:val="00BA69B2"/>
    <w:rsid w:val="00BA6A59"/>
    <w:rsid w:val="00BA6EA2"/>
    <w:rsid w:val="00BA7A78"/>
    <w:rsid w:val="00BB1CBA"/>
    <w:rsid w:val="00BB1D6D"/>
    <w:rsid w:val="00BB2550"/>
    <w:rsid w:val="00BB30EA"/>
    <w:rsid w:val="00BB3197"/>
    <w:rsid w:val="00BB3EDF"/>
    <w:rsid w:val="00BB42D2"/>
    <w:rsid w:val="00BB52B0"/>
    <w:rsid w:val="00BB554E"/>
    <w:rsid w:val="00BB5AE5"/>
    <w:rsid w:val="00BB60D1"/>
    <w:rsid w:val="00BB6462"/>
    <w:rsid w:val="00BB6998"/>
    <w:rsid w:val="00BB7E95"/>
    <w:rsid w:val="00BC0DE5"/>
    <w:rsid w:val="00BC18A7"/>
    <w:rsid w:val="00BC2489"/>
    <w:rsid w:val="00BC273A"/>
    <w:rsid w:val="00BC33F2"/>
    <w:rsid w:val="00BC45C8"/>
    <w:rsid w:val="00BC47D0"/>
    <w:rsid w:val="00BC5432"/>
    <w:rsid w:val="00BC6C30"/>
    <w:rsid w:val="00BC7722"/>
    <w:rsid w:val="00BC7ACD"/>
    <w:rsid w:val="00BD09E0"/>
    <w:rsid w:val="00BD1061"/>
    <w:rsid w:val="00BD1A45"/>
    <w:rsid w:val="00BD520C"/>
    <w:rsid w:val="00BD5477"/>
    <w:rsid w:val="00BD5D1F"/>
    <w:rsid w:val="00BD634D"/>
    <w:rsid w:val="00BD63B4"/>
    <w:rsid w:val="00BD67D9"/>
    <w:rsid w:val="00BD724D"/>
    <w:rsid w:val="00BD7570"/>
    <w:rsid w:val="00BD7624"/>
    <w:rsid w:val="00BE1BC5"/>
    <w:rsid w:val="00BE2D55"/>
    <w:rsid w:val="00BE3F6A"/>
    <w:rsid w:val="00BE4B3E"/>
    <w:rsid w:val="00BE61A5"/>
    <w:rsid w:val="00BE630E"/>
    <w:rsid w:val="00BE67A9"/>
    <w:rsid w:val="00BF0033"/>
    <w:rsid w:val="00BF088F"/>
    <w:rsid w:val="00BF12E5"/>
    <w:rsid w:val="00BF2C65"/>
    <w:rsid w:val="00BF3F2F"/>
    <w:rsid w:val="00BF45CB"/>
    <w:rsid w:val="00BF4949"/>
    <w:rsid w:val="00BF4CF7"/>
    <w:rsid w:val="00BF5404"/>
    <w:rsid w:val="00BF5917"/>
    <w:rsid w:val="00BF593E"/>
    <w:rsid w:val="00BF6A3B"/>
    <w:rsid w:val="00C00013"/>
    <w:rsid w:val="00C004FD"/>
    <w:rsid w:val="00C006DE"/>
    <w:rsid w:val="00C0179A"/>
    <w:rsid w:val="00C02074"/>
    <w:rsid w:val="00C033DD"/>
    <w:rsid w:val="00C0443F"/>
    <w:rsid w:val="00C055A2"/>
    <w:rsid w:val="00C055AA"/>
    <w:rsid w:val="00C06190"/>
    <w:rsid w:val="00C11374"/>
    <w:rsid w:val="00C11EC1"/>
    <w:rsid w:val="00C12D00"/>
    <w:rsid w:val="00C131DE"/>
    <w:rsid w:val="00C13589"/>
    <w:rsid w:val="00C136AD"/>
    <w:rsid w:val="00C13A6A"/>
    <w:rsid w:val="00C14AD9"/>
    <w:rsid w:val="00C14B40"/>
    <w:rsid w:val="00C14E23"/>
    <w:rsid w:val="00C16194"/>
    <w:rsid w:val="00C17D9C"/>
    <w:rsid w:val="00C20258"/>
    <w:rsid w:val="00C20FC8"/>
    <w:rsid w:val="00C222DB"/>
    <w:rsid w:val="00C229FD"/>
    <w:rsid w:val="00C22A73"/>
    <w:rsid w:val="00C22CFA"/>
    <w:rsid w:val="00C243EE"/>
    <w:rsid w:val="00C25932"/>
    <w:rsid w:val="00C25968"/>
    <w:rsid w:val="00C25FD6"/>
    <w:rsid w:val="00C26DAA"/>
    <w:rsid w:val="00C31C63"/>
    <w:rsid w:val="00C32DDB"/>
    <w:rsid w:val="00C332C9"/>
    <w:rsid w:val="00C338D2"/>
    <w:rsid w:val="00C3397B"/>
    <w:rsid w:val="00C339E5"/>
    <w:rsid w:val="00C3487C"/>
    <w:rsid w:val="00C376F8"/>
    <w:rsid w:val="00C37A58"/>
    <w:rsid w:val="00C37F72"/>
    <w:rsid w:val="00C40599"/>
    <w:rsid w:val="00C4156E"/>
    <w:rsid w:val="00C42CBD"/>
    <w:rsid w:val="00C4315F"/>
    <w:rsid w:val="00C43164"/>
    <w:rsid w:val="00C438EA"/>
    <w:rsid w:val="00C445EC"/>
    <w:rsid w:val="00C44C69"/>
    <w:rsid w:val="00C44D81"/>
    <w:rsid w:val="00C4568E"/>
    <w:rsid w:val="00C46A45"/>
    <w:rsid w:val="00C47BBC"/>
    <w:rsid w:val="00C50CDE"/>
    <w:rsid w:val="00C523DF"/>
    <w:rsid w:val="00C53734"/>
    <w:rsid w:val="00C5373B"/>
    <w:rsid w:val="00C53C89"/>
    <w:rsid w:val="00C56B00"/>
    <w:rsid w:val="00C56CB5"/>
    <w:rsid w:val="00C56FEB"/>
    <w:rsid w:val="00C57716"/>
    <w:rsid w:val="00C57EC0"/>
    <w:rsid w:val="00C602E6"/>
    <w:rsid w:val="00C614BB"/>
    <w:rsid w:val="00C625C9"/>
    <w:rsid w:val="00C62E50"/>
    <w:rsid w:val="00C6326F"/>
    <w:rsid w:val="00C64078"/>
    <w:rsid w:val="00C6514E"/>
    <w:rsid w:val="00C652B2"/>
    <w:rsid w:val="00C6544A"/>
    <w:rsid w:val="00C6627A"/>
    <w:rsid w:val="00C66E1D"/>
    <w:rsid w:val="00C67B74"/>
    <w:rsid w:val="00C67F06"/>
    <w:rsid w:val="00C711B6"/>
    <w:rsid w:val="00C7135C"/>
    <w:rsid w:val="00C71B8A"/>
    <w:rsid w:val="00C72CE8"/>
    <w:rsid w:val="00C73CB1"/>
    <w:rsid w:val="00C74622"/>
    <w:rsid w:val="00C75780"/>
    <w:rsid w:val="00C7590B"/>
    <w:rsid w:val="00C77658"/>
    <w:rsid w:val="00C81755"/>
    <w:rsid w:val="00C81E12"/>
    <w:rsid w:val="00C824A4"/>
    <w:rsid w:val="00C85CC1"/>
    <w:rsid w:val="00C86803"/>
    <w:rsid w:val="00C86FD1"/>
    <w:rsid w:val="00C87358"/>
    <w:rsid w:val="00C878A5"/>
    <w:rsid w:val="00C90026"/>
    <w:rsid w:val="00C90E6B"/>
    <w:rsid w:val="00C918DC"/>
    <w:rsid w:val="00C91A01"/>
    <w:rsid w:val="00C92E6F"/>
    <w:rsid w:val="00C93231"/>
    <w:rsid w:val="00C93A6A"/>
    <w:rsid w:val="00C93D2C"/>
    <w:rsid w:val="00C943C1"/>
    <w:rsid w:val="00C94BD8"/>
    <w:rsid w:val="00C95593"/>
    <w:rsid w:val="00C96031"/>
    <w:rsid w:val="00C96587"/>
    <w:rsid w:val="00C96D2B"/>
    <w:rsid w:val="00C96DB5"/>
    <w:rsid w:val="00C9704A"/>
    <w:rsid w:val="00C97714"/>
    <w:rsid w:val="00CA025F"/>
    <w:rsid w:val="00CA2125"/>
    <w:rsid w:val="00CA2944"/>
    <w:rsid w:val="00CA3367"/>
    <w:rsid w:val="00CA3E5B"/>
    <w:rsid w:val="00CA4B6F"/>
    <w:rsid w:val="00CA53C0"/>
    <w:rsid w:val="00CA59F9"/>
    <w:rsid w:val="00CA657A"/>
    <w:rsid w:val="00CA7061"/>
    <w:rsid w:val="00CA71FE"/>
    <w:rsid w:val="00CB0235"/>
    <w:rsid w:val="00CB0736"/>
    <w:rsid w:val="00CB0746"/>
    <w:rsid w:val="00CB0EBE"/>
    <w:rsid w:val="00CB1824"/>
    <w:rsid w:val="00CB2E4E"/>
    <w:rsid w:val="00CB331A"/>
    <w:rsid w:val="00CB585E"/>
    <w:rsid w:val="00CB59D8"/>
    <w:rsid w:val="00CB629F"/>
    <w:rsid w:val="00CB6EEB"/>
    <w:rsid w:val="00CB6F7D"/>
    <w:rsid w:val="00CB7067"/>
    <w:rsid w:val="00CB7F53"/>
    <w:rsid w:val="00CC1260"/>
    <w:rsid w:val="00CC1305"/>
    <w:rsid w:val="00CC17B1"/>
    <w:rsid w:val="00CC19A6"/>
    <w:rsid w:val="00CC1EA5"/>
    <w:rsid w:val="00CC2CB3"/>
    <w:rsid w:val="00CC34D3"/>
    <w:rsid w:val="00CC4DFF"/>
    <w:rsid w:val="00CC64A3"/>
    <w:rsid w:val="00CC664B"/>
    <w:rsid w:val="00CC6A40"/>
    <w:rsid w:val="00CC7C51"/>
    <w:rsid w:val="00CD02CA"/>
    <w:rsid w:val="00CD0BFA"/>
    <w:rsid w:val="00CD1251"/>
    <w:rsid w:val="00CD196C"/>
    <w:rsid w:val="00CD2409"/>
    <w:rsid w:val="00CD28DE"/>
    <w:rsid w:val="00CD3B5D"/>
    <w:rsid w:val="00CD3E15"/>
    <w:rsid w:val="00CD3E16"/>
    <w:rsid w:val="00CD432D"/>
    <w:rsid w:val="00CD44CE"/>
    <w:rsid w:val="00CD51E0"/>
    <w:rsid w:val="00CD7936"/>
    <w:rsid w:val="00CE0059"/>
    <w:rsid w:val="00CE0BBA"/>
    <w:rsid w:val="00CE101F"/>
    <w:rsid w:val="00CE1E74"/>
    <w:rsid w:val="00CE2D63"/>
    <w:rsid w:val="00CE3C6C"/>
    <w:rsid w:val="00CE559C"/>
    <w:rsid w:val="00CE687E"/>
    <w:rsid w:val="00CE71B5"/>
    <w:rsid w:val="00CE737E"/>
    <w:rsid w:val="00CE742C"/>
    <w:rsid w:val="00CE7B1A"/>
    <w:rsid w:val="00CF0148"/>
    <w:rsid w:val="00CF0602"/>
    <w:rsid w:val="00CF06E8"/>
    <w:rsid w:val="00CF0F08"/>
    <w:rsid w:val="00CF1090"/>
    <w:rsid w:val="00CF27BE"/>
    <w:rsid w:val="00CF2D30"/>
    <w:rsid w:val="00CF4C1F"/>
    <w:rsid w:val="00CF67E6"/>
    <w:rsid w:val="00CF6BC7"/>
    <w:rsid w:val="00CF7633"/>
    <w:rsid w:val="00D004D0"/>
    <w:rsid w:val="00D0129B"/>
    <w:rsid w:val="00D016C8"/>
    <w:rsid w:val="00D024FD"/>
    <w:rsid w:val="00D02A90"/>
    <w:rsid w:val="00D0336A"/>
    <w:rsid w:val="00D0536A"/>
    <w:rsid w:val="00D0543B"/>
    <w:rsid w:val="00D0691A"/>
    <w:rsid w:val="00D104F4"/>
    <w:rsid w:val="00D10A9A"/>
    <w:rsid w:val="00D11285"/>
    <w:rsid w:val="00D11427"/>
    <w:rsid w:val="00D1172E"/>
    <w:rsid w:val="00D11933"/>
    <w:rsid w:val="00D122A5"/>
    <w:rsid w:val="00D12653"/>
    <w:rsid w:val="00D12BDA"/>
    <w:rsid w:val="00D142A3"/>
    <w:rsid w:val="00D14F80"/>
    <w:rsid w:val="00D15650"/>
    <w:rsid w:val="00D15CC7"/>
    <w:rsid w:val="00D16325"/>
    <w:rsid w:val="00D16417"/>
    <w:rsid w:val="00D17660"/>
    <w:rsid w:val="00D2020A"/>
    <w:rsid w:val="00D2412C"/>
    <w:rsid w:val="00D24931"/>
    <w:rsid w:val="00D2542F"/>
    <w:rsid w:val="00D259E5"/>
    <w:rsid w:val="00D25BC7"/>
    <w:rsid w:val="00D25FDB"/>
    <w:rsid w:val="00D3015C"/>
    <w:rsid w:val="00D307FA"/>
    <w:rsid w:val="00D30FA1"/>
    <w:rsid w:val="00D3188F"/>
    <w:rsid w:val="00D31959"/>
    <w:rsid w:val="00D34C6C"/>
    <w:rsid w:val="00D36487"/>
    <w:rsid w:val="00D37429"/>
    <w:rsid w:val="00D3786B"/>
    <w:rsid w:val="00D401EA"/>
    <w:rsid w:val="00D40D1A"/>
    <w:rsid w:val="00D434DA"/>
    <w:rsid w:val="00D43F53"/>
    <w:rsid w:val="00D443B8"/>
    <w:rsid w:val="00D45132"/>
    <w:rsid w:val="00D46992"/>
    <w:rsid w:val="00D469A5"/>
    <w:rsid w:val="00D47544"/>
    <w:rsid w:val="00D51502"/>
    <w:rsid w:val="00D51726"/>
    <w:rsid w:val="00D53FC9"/>
    <w:rsid w:val="00D55240"/>
    <w:rsid w:val="00D55706"/>
    <w:rsid w:val="00D56359"/>
    <w:rsid w:val="00D568CA"/>
    <w:rsid w:val="00D60E1C"/>
    <w:rsid w:val="00D61728"/>
    <w:rsid w:val="00D61BD5"/>
    <w:rsid w:val="00D621FA"/>
    <w:rsid w:val="00D63033"/>
    <w:rsid w:val="00D635C5"/>
    <w:rsid w:val="00D63E25"/>
    <w:rsid w:val="00D64073"/>
    <w:rsid w:val="00D66B5A"/>
    <w:rsid w:val="00D67D91"/>
    <w:rsid w:val="00D67DEA"/>
    <w:rsid w:val="00D70CB3"/>
    <w:rsid w:val="00D70D2C"/>
    <w:rsid w:val="00D7127D"/>
    <w:rsid w:val="00D71519"/>
    <w:rsid w:val="00D71F53"/>
    <w:rsid w:val="00D748D2"/>
    <w:rsid w:val="00D749AF"/>
    <w:rsid w:val="00D751E6"/>
    <w:rsid w:val="00D758C8"/>
    <w:rsid w:val="00D76753"/>
    <w:rsid w:val="00D769A4"/>
    <w:rsid w:val="00D7717C"/>
    <w:rsid w:val="00D77739"/>
    <w:rsid w:val="00D80022"/>
    <w:rsid w:val="00D800E2"/>
    <w:rsid w:val="00D80A5A"/>
    <w:rsid w:val="00D816C6"/>
    <w:rsid w:val="00D81E0E"/>
    <w:rsid w:val="00D828DF"/>
    <w:rsid w:val="00D82B51"/>
    <w:rsid w:val="00D83847"/>
    <w:rsid w:val="00D840D6"/>
    <w:rsid w:val="00D84456"/>
    <w:rsid w:val="00D848B4"/>
    <w:rsid w:val="00D84956"/>
    <w:rsid w:val="00D84D0A"/>
    <w:rsid w:val="00D869D2"/>
    <w:rsid w:val="00D86AE2"/>
    <w:rsid w:val="00D86EC0"/>
    <w:rsid w:val="00D872FE"/>
    <w:rsid w:val="00D878E6"/>
    <w:rsid w:val="00D9123B"/>
    <w:rsid w:val="00D916CC"/>
    <w:rsid w:val="00D91973"/>
    <w:rsid w:val="00D93050"/>
    <w:rsid w:val="00D9344E"/>
    <w:rsid w:val="00D94114"/>
    <w:rsid w:val="00D953C5"/>
    <w:rsid w:val="00D954E9"/>
    <w:rsid w:val="00D95915"/>
    <w:rsid w:val="00D9604F"/>
    <w:rsid w:val="00D9625C"/>
    <w:rsid w:val="00D9638C"/>
    <w:rsid w:val="00D97137"/>
    <w:rsid w:val="00DA04E5"/>
    <w:rsid w:val="00DA0DC2"/>
    <w:rsid w:val="00DA286C"/>
    <w:rsid w:val="00DA28F7"/>
    <w:rsid w:val="00DA2F8C"/>
    <w:rsid w:val="00DA3494"/>
    <w:rsid w:val="00DA35B5"/>
    <w:rsid w:val="00DA36C8"/>
    <w:rsid w:val="00DA3C0D"/>
    <w:rsid w:val="00DA3C8D"/>
    <w:rsid w:val="00DA43A5"/>
    <w:rsid w:val="00DA4BDA"/>
    <w:rsid w:val="00DA5075"/>
    <w:rsid w:val="00DA51B1"/>
    <w:rsid w:val="00DA7606"/>
    <w:rsid w:val="00DB0437"/>
    <w:rsid w:val="00DB04FD"/>
    <w:rsid w:val="00DB15D4"/>
    <w:rsid w:val="00DB2075"/>
    <w:rsid w:val="00DB252C"/>
    <w:rsid w:val="00DB289D"/>
    <w:rsid w:val="00DB28AF"/>
    <w:rsid w:val="00DB380A"/>
    <w:rsid w:val="00DB734B"/>
    <w:rsid w:val="00DB7ADA"/>
    <w:rsid w:val="00DB7BC8"/>
    <w:rsid w:val="00DC1B1D"/>
    <w:rsid w:val="00DC1E30"/>
    <w:rsid w:val="00DC201C"/>
    <w:rsid w:val="00DC21AF"/>
    <w:rsid w:val="00DC2365"/>
    <w:rsid w:val="00DC2785"/>
    <w:rsid w:val="00DC47FC"/>
    <w:rsid w:val="00DC4AB3"/>
    <w:rsid w:val="00DC6166"/>
    <w:rsid w:val="00DC6C31"/>
    <w:rsid w:val="00DC739C"/>
    <w:rsid w:val="00DC7520"/>
    <w:rsid w:val="00DC777F"/>
    <w:rsid w:val="00DC7A6D"/>
    <w:rsid w:val="00DC7FA2"/>
    <w:rsid w:val="00DD092C"/>
    <w:rsid w:val="00DD3302"/>
    <w:rsid w:val="00DD41B3"/>
    <w:rsid w:val="00DD4FB2"/>
    <w:rsid w:val="00DD66E3"/>
    <w:rsid w:val="00DE1732"/>
    <w:rsid w:val="00DE1DBA"/>
    <w:rsid w:val="00DE20EE"/>
    <w:rsid w:val="00DF0DE1"/>
    <w:rsid w:val="00DF2967"/>
    <w:rsid w:val="00DF4A6C"/>
    <w:rsid w:val="00DF5004"/>
    <w:rsid w:val="00DF5EB2"/>
    <w:rsid w:val="00DF76AB"/>
    <w:rsid w:val="00DF77E0"/>
    <w:rsid w:val="00E0006A"/>
    <w:rsid w:val="00E0039A"/>
    <w:rsid w:val="00E02CD9"/>
    <w:rsid w:val="00E035B5"/>
    <w:rsid w:val="00E051B4"/>
    <w:rsid w:val="00E06125"/>
    <w:rsid w:val="00E0660A"/>
    <w:rsid w:val="00E071B6"/>
    <w:rsid w:val="00E078BD"/>
    <w:rsid w:val="00E07F6A"/>
    <w:rsid w:val="00E11A6A"/>
    <w:rsid w:val="00E12D39"/>
    <w:rsid w:val="00E12D57"/>
    <w:rsid w:val="00E12F77"/>
    <w:rsid w:val="00E138C3"/>
    <w:rsid w:val="00E1424B"/>
    <w:rsid w:val="00E14C91"/>
    <w:rsid w:val="00E159D0"/>
    <w:rsid w:val="00E16D75"/>
    <w:rsid w:val="00E16F55"/>
    <w:rsid w:val="00E17773"/>
    <w:rsid w:val="00E21D2A"/>
    <w:rsid w:val="00E23318"/>
    <w:rsid w:val="00E24CD1"/>
    <w:rsid w:val="00E25EE1"/>
    <w:rsid w:val="00E26A1F"/>
    <w:rsid w:val="00E26CC0"/>
    <w:rsid w:val="00E27461"/>
    <w:rsid w:val="00E27821"/>
    <w:rsid w:val="00E27D1B"/>
    <w:rsid w:val="00E310BD"/>
    <w:rsid w:val="00E3116F"/>
    <w:rsid w:val="00E316A9"/>
    <w:rsid w:val="00E321A8"/>
    <w:rsid w:val="00E3313E"/>
    <w:rsid w:val="00E33EC5"/>
    <w:rsid w:val="00E349BB"/>
    <w:rsid w:val="00E34A9D"/>
    <w:rsid w:val="00E35815"/>
    <w:rsid w:val="00E40076"/>
    <w:rsid w:val="00E408B2"/>
    <w:rsid w:val="00E408B5"/>
    <w:rsid w:val="00E41221"/>
    <w:rsid w:val="00E4149C"/>
    <w:rsid w:val="00E42127"/>
    <w:rsid w:val="00E42599"/>
    <w:rsid w:val="00E428F0"/>
    <w:rsid w:val="00E42FCD"/>
    <w:rsid w:val="00E44969"/>
    <w:rsid w:val="00E477FA"/>
    <w:rsid w:val="00E47FD3"/>
    <w:rsid w:val="00E502A4"/>
    <w:rsid w:val="00E50415"/>
    <w:rsid w:val="00E5085E"/>
    <w:rsid w:val="00E510B0"/>
    <w:rsid w:val="00E52C43"/>
    <w:rsid w:val="00E53ED4"/>
    <w:rsid w:val="00E53F43"/>
    <w:rsid w:val="00E5460F"/>
    <w:rsid w:val="00E54BE6"/>
    <w:rsid w:val="00E61187"/>
    <w:rsid w:val="00E611BB"/>
    <w:rsid w:val="00E619D7"/>
    <w:rsid w:val="00E62403"/>
    <w:rsid w:val="00E6343D"/>
    <w:rsid w:val="00E63449"/>
    <w:rsid w:val="00E638B7"/>
    <w:rsid w:val="00E6443B"/>
    <w:rsid w:val="00E644BA"/>
    <w:rsid w:val="00E66DED"/>
    <w:rsid w:val="00E706AA"/>
    <w:rsid w:val="00E71619"/>
    <w:rsid w:val="00E71930"/>
    <w:rsid w:val="00E71FCD"/>
    <w:rsid w:val="00E72A8B"/>
    <w:rsid w:val="00E73FE4"/>
    <w:rsid w:val="00E74315"/>
    <w:rsid w:val="00E75634"/>
    <w:rsid w:val="00E76181"/>
    <w:rsid w:val="00E80208"/>
    <w:rsid w:val="00E809FE"/>
    <w:rsid w:val="00E81528"/>
    <w:rsid w:val="00E815E0"/>
    <w:rsid w:val="00E81C05"/>
    <w:rsid w:val="00E8379F"/>
    <w:rsid w:val="00E83921"/>
    <w:rsid w:val="00E84408"/>
    <w:rsid w:val="00E84918"/>
    <w:rsid w:val="00E84C44"/>
    <w:rsid w:val="00E85EC3"/>
    <w:rsid w:val="00E86599"/>
    <w:rsid w:val="00E876A9"/>
    <w:rsid w:val="00E87A62"/>
    <w:rsid w:val="00E908D3"/>
    <w:rsid w:val="00E91416"/>
    <w:rsid w:val="00E91470"/>
    <w:rsid w:val="00E914AA"/>
    <w:rsid w:val="00E917DC"/>
    <w:rsid w:val="00E91D42"/>
    <w:rsid w:val="00E922B2"/>
    <w:rsid w:val="00E93CB8"/>
    <w:rsid w:val="00E94658"/>
    <w:rsid w:val="00E95A54"/>
    <w:rsid w:val="00E95C8C"/>
    <w:rsid w:val="00E96261"/>
    <w:rsid w:val="00E964BE"/>
    <w:rsid w:val="00E967E3"/>
    <w:rsid w:val="00EA1113"/>
    <w:rsid w:val="00EA1B6C"/>
    <w:rsid w:val="00EA1B76"/>
    <w:rsid w:val="00EA2020"/>
    <w:rsid w:val="00EA225C"/>
    <w:rsid w:val="00EA228F"/>
    <w:rsid w:val="00EA2435"/>
    <w:rsid w:val="00EA4D70"/>
    <w:rsid w:val="00EA5AF6"/>
    <w:rsid w:val="00EA6595"/>
    <w:rsid w:val="00EA69C3"/>
    <w:rsid w:val="00EB0A55"/>
    <w:rsid w:val="00EB13A5"/>
    <w:rsid w:val="00EB1603"/>
    <w:rsid w:val="00EB26E1"/>
    <w:rsid w:val="00EB2CA7"/>
    <w:rsid w:val="00EB38E8"/>
    <w:rsid w:val="00EB4542"/>
    <w:rsid w:val="00EB4F71"/>
    <w:rsid w:val="00EB52F3"/>
    <w:rsid w:val="00EB5DC8"/>
    <w:rsid w:val="00EB626E"/>
    <w:rsid w:val="00EB6C59"/>
    <w:rsid w:val="00EB7007"/>
    <w:rsid w:val="00EB7D64"/>
    <w:rsid w:val="00EB7DE5"/>
    <w:rsid w:val="00EC1DC6"/>
    <w:rsid w:val="00EC2123"/>
    <w:rsid w:val="00EC22E5"/>
    <w:rsid w:val="00EC2A2E"/>
    <w:rsid w:val="00EC2DBC"/>
    <w:rsid w:val="00EC3700"/>
    <w:rsid w:val="00EC4986"/>
    <w:rsid w:val="00ED14CC"/>
    <w:rsid w:val="00ED1D40"/>
    <w:rsid w:val="00ED20E2"/>
    <w:rsid w:val="00ED4178"/>
    <w:rsid w:val="00ED4A5B"/>
    <w:rsid w:val="00ED5722"/>
    <w:rsid w:val="00ED5887"/>
    <w:rsid w:val="00ED5A30"/>
    <w:rsid w:val="00ED630D"/>
    <w:rsid w:val="00ED6BD3"/>
    <w:rsid w:val="00EE109C"/>
    <w:rsid w:val="00EE2403"/>
    <w:rsid w:val="00EE2BB4"/>
    <w:rsid w:val="00EE2D39"/>
    <w:rsid w:val="00EE3A82"/>
    <w:rsid w:val="00EE5B88"/>
    <w:rsid w:val="00EE7A40"/>
    <w:rsid w:val="00EE7C65"/>
    <w:rsid w:val="00EF0D2E"/>
    <w:rsid w:val="00EF0D47"/>
    <w:rsid w:val="00EF2E5F"/>
    <w:rsid w:val="00EF4B15"/>
    <w:rsid w:val="00EF51D0"/>
    <w:rsid w:val="00EF5228"/>
    <w:rsid w:val="00EF627C"/>
    <w:rsid w:val="00EF662C"/>
    <w:rsid w:val="00EF6ADB"/>
    <w:rsid w:val="00EF6CF5"/>
    <w:rsid w:val="00F001DF"/>
    <w:rsid w:val="00F00509"/>
    <w:rsid w:val="00F01532"/>
    <w:rsid w:val="00F01EF8"/>
    <w:rsid w:val="00F02F07"/>
    <w:rsid w:val="00F03971"/>
    <w:rsid w:val="00F043CA"/>
    <w:rsid w:val="00F0452A"/>
    <w:rsid w:val="00F05550"/>
    <w:rsid w:val="00F05ACD"/>
    <w:rsid w:val="00F0669D"/>
    <w:rsid w:val="00F066DF"/>
    <w:rsid w:val="00F06D06"/>
    <w:rsid w:val="00F074BF"/>
    <w:rsid w:val="00F07C10"/>
    <w:rsid w:val="00F07F0C"/>
    <w:rsid w:val="00F111FD"/>
    <w:rsid w:val="00F1208D"/>
    <w:rsid w:val="00F122B5"/>
    <w:rsid w:val="00F12322"/>
    <w:rsid w:val="00F12534"/>
    <w:rsid w:val="00F13676"/>
    <w:rsid w:val="00F13E25"/>
    <w:rsid w:val="00F155F2"/>
    <w:rsid w:val="00F15B8B"/>
    <w:rsid w:val="00F16852"/>
    <w:rsid w:val="00F16B98"/>
    <w:rsid w:val="00F16F4B"/>
    <w:rsid w:val="00F2006D"/>
    <w:rsid w:val="00F2030A"/>
    <w:rsid w:val="00F21F3A"/>
    <w:rsid w:val="00F222D2"/>
    <w:rsid w:val="00F22C12"/>
    <w:rsid w:val="00F22FCF"/>
    <w:rsid w:val="00F23659"/>
    <w:rsid w:val="00F23E35"/>
    <w:rsid w:val="00F24307"/>
    <w:rsid w:val="00F24836"/>
    <w:rsid w:val="00F2488C"/>
    <w:rsid w:val="00F25F81"/>
    <w:rsid w:val="00F3015F"/>
    <w:rsid w:val="00F30390"/>
    <w:rsid w:val="00F30A49"/>
    <w:rsid w:val="00F317F1"/>
    <w:rsid w:val="00F324AC"/>
    <w:rsid w:val="00F32502"/>
    <w:rsid w:val="00F33773"/>
    <w:rsid w:val="00F33A8B"/>
    <w:rsid w:val="00F33D5E"/>
    <w:rsid w:val="00F34EB3"/>
    <w:rsid w:val="00F354A7"/>
    <w:rsid w:val="00F36082"/>
    <w:rsid w:val="00F3702B"/>
    <w:rsid w:val="00F3740B"/>
    <w:rsid w:val="00F377DB"/>
    <w:rsid w:val="00F37916"/>
    <w:rsid w:val="00F37E25"/>
    <w:rsid w:val="00F40CCE"/>
    <w:rsid w:val="00F41002"/>
    <w:rsid w:val="00F41186"/>
    <w:rsid w:val="00F41ACA"/>
    <w:rsid w:val="00F43CF1"/>
    <w:rsid w:val="00F441AF"/>
    <w:rsid w:val="00F442F5"/>
    <w:rsid w:val="00F464F9"/>
    <w:rsid w:val="00F50328"/>
    <w:rsid w:val="00F50BF1"/>
    <w:rsid w:val="00F55678"/>
    <w:rsid w:val="00F56A85"/>
    <w:rsid w:val="00F56C63"/>
    <w:rsid w:val="00F619AD"/>
    <w:rsid w:val="00F61FD5"/>
    <w:rsid w:val="00F622E2"/>
    <w:rsid w:val="00F63895"/>
    <w:rsid w:val="00F64A30"/>
    <w:rsid w:val="00F64D3C"/>
    <w:rsid w:val="00F658AD"/>
    <w:rsid w:val="00F663C3"/>
    <w:rsid w:val="00F6656D"/>
    <w:rsid w:val="00F66E51"/>
    <w:rsid w:val="00F67A31"/>
    <w:rsid w:val="00F67D0D"/>
    <w:rsid w:val="00F709B7"/>
    <w:rsid w:val="00F72AA8"/>
    <w:rsid w:val="00F72D96"/>
    <w:rsid w:val="00F72E95"/>
    <w:rsid w:val="00F74FAB"/>
    <w:rsid w:val="00F75472"/>
    <w:rsid w:val="00F75476"/>
    <w:rsid w:val="00F75783"/>
    <w:rsid w:val="00F75C31"/>
    <w:rsid w:val="00F762C9"/>
    <w:rsid w:val="00F77BB1"/>
    <w:rsid w:val="00F77FCA"/>
    <w:rsid w:val="00F81D0D"/>
    <w:rsid w:val="00F81DE8"/>
    <w:rsid w:val="00F84B88"/>
    <w:rsid w:val="00F85078"/>
    <w:rsid w:val="00F8651B"/>
    <w:rsid w:val="00F8659F"/>
    <w:rsid w:val="00F873F4"/>
    <w:rsid w:val="00F9131F"/>
    <w:rsid w:val="00F91508"/>
    <w:rsid w:val="00F92391"/>
    <w:rsid w:val="00F92E3D"/>
    <w:rsid w:val="00F936E0"/>
    <w:rsid w:val="00F9375B"/>
    <w:rsid w:val="00F937A6"/>
    <w:rsid w:val="00F9398C"/>
    <w:rsid w:val="00F95624"/>
    <w:rsid w:val="00F95A39"/>
    <w:rsid w:val="00F9656A"/>
    <w:rsid w:val="00F96986"/>
    <w:rsid w:val="00F969E8"/>
    <w:rsid w:val="00F970A9"/>
    <w:rsid w:val="00F97492"/>
    <w:rsid w:val="00F975C8"/>
    <w:rsid w:val="00F97F7F"/>
    <w:rsid w:val="00FA07BA"/>
    <w:rsid w:val="00FA2C47"/>
    <w:rsid w:val="00FA34C2"/>
    <w:rsid w:val="00FA4364"/>
    <w:rsid w:val="00FA507A"/>
    <w:rsid w:val="00FA762F"/>
    <w:rsid w:val="00FA786D"/>
    <w:rsid w:val="00FB04AF"/>
    <w:rsid w:val="00FB1580"/>
    <w:rsid w:val="00FB1918"/>
    <w:rsid w:val="00FB1EB3"/>
    <w:rsid w:val="00FB1F5C"/>
    <w:rsid w:val="00FB2069"/>
    <w:rsid w:val="00FB29DD"/>
    <w:rsid w:val="00FB29E4"/>
    <w:rsid w:val="00FB319D"/>
    <w:rsid w:val="00FB36CA"/>
    <w:rsid w:val="00FB4219"/>
    <w:rsid w:val="00FB45E2"/>
    <w:rsid w:val="00FB5072"/>
    <w:rsid w:val="00FB5A67"/>
    <w:rsid w:val="00FC0571"/>
    <w:rsid w:val="00FC2839"/>
    <w:rsid w:val="00FC2E53"/>
    <w:rsid w:val="00FC399A"/>
    <w:rsid w:val="00FC3BB0"/>
    <w:rsid w:val="00FC3C9C"/>
    <w:rsid w:val="00FC518C"/>
    <w:rsid w:val="00FC6006"/>
    <w:rsid w:val="00FC764A"/>
    <w:rsid w:val="00FC7824"/>
    <w:rsid w:val="00FD08A2"/>
    <w:rsid w:val="00FD0C96"/>
    <w:rsid w:val="00FD1414"/>
    <w:rsid w:val="00FD2F0F"/>
    <w:rsid w:val="00FD373A"/>
    <w:rsid w:val="00FD4DE0"/>
    <w:rsid w:val="00FD5799"/>
    <w:rsid w:val="00FD6357"/>
    <w:rsid w:val="00FD66DE"/>
    <w:rsid w:val="00FD708C"/>
    <w:rsid w:val="00FD70CA"/>
    <w:rsid w:val="00FE048A"/>
    <w:rsid w:val="00FE05F7"/>
    <w:rsid w:val="00FE0673"/>
    <w:rsid w:val="00FE0D64"/>
    <w:rsid w:val="00FE1FCD"/>
    <w:rsid w:val="00FE2399"/>
    <w:rsid w:val="00FE5324"/>
    <w:rsid w:val="00FE54E8"/>
    <w:rsid w:val="00FE57F9"/>
    <w:rsid w:val="00FE622D"/>
    <w:rsid w:val="00FE6BDF"/>
    <w:rsid w:val="00FE70AB"/>
    <w:rsid w:val="00FF042A"/>
    <w:rsid w:val="00FF0F7D"/>
    <w:rsid w:val="00FF1637"/>
    <w:rsid w:val="00FF1CBC"/>
    <w:rsid w:val="00FF33D1"/>
    <w:rsid w:val="00FF39CD"/>
    <w:rsid w:val="00FF3EB0"/>
    <w:rsid w:val="00FF3FE5"/>
    <w:rsid w:val="00FF4677"/>
    <w:rsid w:val="00FF4821"/>
    <w:rsid w:val="00FF5303"/>
    <w:rsid w:val="00FF69F2"/>
    <w:rsid w:val="16476FC7"/>
    <w:rsid w:val="19037BFC"/>
    <w:rsid w:val="2B2F51AA"/>
    <w:rsid w:val="37E7200A"/>
    <w:rsid w:val="394F0EAC"/>
    <w:rsid w:val="3D635DDA"/>
    <w:rsid w:val="4401421E"/>
    <w:rsid w:val="45F301C2"/>
    <w:rsid w:val="56BB5D87"/>
    <w:rsid w:val="59271254"/>
    <w:rsid w:val="5FFA2BA8"/>
    <w:rsid w:val="9FBFB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200" w:firstLineChars="200"/>
      <w:jc w:val="both"/>
    </w:pPr>
    <w:rPr>
      <w:rFonts w:ascii="Times New Roman" w:hAnsi="Times New Roman" w:eastAsia="仿宋" w:cstheme="minorBidi"/>
      <w:kern w:val="2"/>
      <w:sz w:val="32"/>
      <w:szCs w:val="22"/>
      <w:lang w:val="en-US" w:eastAsia="zh-CN" w:bidi="ar-SA"/>
    </w:rPr>
  </w:style>
  <w:style w:type="paragraph" w:styleId="5">
    <w:name w:val="heading 1"/>
    <w:basedOn w:val="1"/>
    <w:next w:val="1"/>
    <w:link w:val="29"/>
    <w:qFormat/>
    <w:uiPriority w:val="9"/>
    <w:pPr>
      <w:keepNext/>
      <w:keepLines/>
      <w:spacing w:before="240" w:after="240"/>
      <w:ind w:firstLine="0" w:firstLineChars="0"/>
      <w:jc w:val="left"/>
      <w:outlineLvl w:val="0"/>
    </w:pPr>
    <w:rPr>
      <w:rFonts w:eastAsia="黑体" w:asciiTheme="minorHAnsi" w:hAnsiTheme="minorHAnsi"/>
      <w:b/>
      <w:bCs/>
      <w:kern w:val="44"/>
      <w:sz w:val="36"/>
      <w:szCs w:val="44"/>
    </w:rPr>
  </w:style>
  <w:style w:type="paragraph" w:styleId="6">
    <w:name w:val="heading 2"/>
    <w:basedOn w:val="1"/>
    <w:next w:val="1"/>
    <w:link w:val="30"/>
    <w:unhideWhenUsed/>
    <w:qFormat/>
    <w:uiPriority w:val="9"/>
    <w:pPr>
      <w:keepNext/>
      <w:keepLines/>
      <w:ind w:firstLine="150" w:firstLineChars="150"/>
      <w:outlineLvl w:val="1"/>
    </w:pPr>
    <w:rPr>
      <w:rFonts w:ascii="楷体" w:hAnsi="楷体" w:eastAsia="楷体" w:cstheme="majorBidi"/>
      <w:b/>
      <w:bCs/>
      <w:szCs w:val="32"/>
    </w:rPr>
  </w:style>
  <w:style w:type="paragraph" w:styleId="7">
    <w:name w:val="heading 3"/>
    <w:basedOn w:val="1"/>
    <w:next w:val="1"/>
    <w:link w:val="31"/>
    <w:unhideWhenUsed/>
    <w:qFormat/>
    <w:uiPriority w:val="9"/>
    <w:pPr>
      <w:keepNext/>
      <w:keepLines/>
      <w:spacing w:before="120" w:after="120"/>
      <w:outlineLvl w:val="2"/>
    </w:pPr>
    <w:rPr>
      <w:rFonts w:eastAsia="楷体"/>
      <w:b/>
      <w:bCs/>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4"/>
    <w:qFormat/>
    <w:uiPriority w:val="1"/>
    <w:rPr>
      <w:rFonts w:ascii="仿宋_GB2312" w:hAnsi="仿宋_GB2312" w:eastAsia="仿宋_GB2312" w:cs="仿宋_GB2312"/>
      <w:sz w:val="32"/>
      <w:szCs w:val="32"/>
      <w:lang w:val="zh-CN" w:eastAsia="zh-CN" w:bidi="zh-CN"/>
    </w:rPr>
  </w:style>
  <w:style w:type="paragraph" w:styleId="4">
    <w:name w:val="Body Text 2"/>
    <w:basedOn w:val="1"/>
    <w:next w:val="3"/>
    <w:unhideWhenUsed/>
    <w:qFormat/>
    <w:uiPriority w:val="99"/>
    <w:pPr>
      <w:spacing w:after="120" w:line="480" w:lineRule="auto"/>
    </w:pPr>
  </w:style>
  <w:style w:type="paragraph" w:styleId="8">
    <w:name w:val="caption"/>
    <w:basedOn w:val="1"/>
    <w:next w:val="1"/>
    <w:unhideWhenUsed/>
    <w:qFormat/>
    <w:uiPriority w:val="35"/>
    <w:rPr>
      <w:rFonts w:eastAsia="黑体" w:asciiTheme="majorHAnsi" w:hAnsiTheme="majorHAnsi" w:cstheme="majorBidi"/>
      <w:sz w:val="20"/>
      <w:szCs w:val="20"/>
    </w:rPr>
  </w:style>
  <w:style w:type="paragraph" w:styleId="9">
    <w:name w:val="annotation text"/>
    <w:basedOn w:val="1"/>
    <w:link w:val="38"/>
    <w:unhideWhenUsed/>
    <w:qFormat/>
    <w:uiPriority w:val="99"/>
    <w:pPr>
      <w:jc w:val="left"/>
    </w:pPr>
  </w:style>
  <w:style w:type="paragraph" w:styleId="10">
    <w:name w:val="toc 3"/>
    <w:basedOn w:val="1"/>
    <w:next w:val="1"/>
    <w:unhideWhenUsed/>
    <w:qFormat/>
    <w:uiPriority w:val="39"/>
    <w:pPr>
      <w:tabs>
        <w:tab w:val="left" w:pos="1950"/>
        <w:tab w:val="right" w:leader="dot" w:pos="8296"/>
      </w:tabs>
      <w:ind w:left="600" w:leftChars="200" w:firstLine="600"/>
    </w:pPr>
  </w:style>
  <w:style w:type="paragraph" w:styleId="11">
    <w:name w:val="Balloon Text"/>
    <w:basedOn w:val="1"/>
    <w:link w:val="40"/>
    <w:semiHidden/>
    <w:unhideWhenUsed/>
    <w:qFormat/>
    <w:uiPriority w:val="99"/>
    <w:pPr>
      <w:spacing w:line="240" w:lineRule="auto"/>
    </w:pPr>
    <w:rPr>
      <w:sz w:val="18"/>
      <w:szCs w:val="18"/>
    </w:rPr>
  </w:style>
  <w:style w:type="paragraph" w:styleId="12">
    <w:name w:val="footer"/>
    <w:basedOn w:val="1"/>
    <w:link w:val="27"/>
    <w:unhideWhenUsed/>
    <w:qFormat/>
    <w:uiPriority w:val="99"/>
    <w:pPr>
      <w:tabs>
        <w:tab w:val="center" w:pos="4153"/>
        <w:tab w:val="right" w:pos="8306"/>
      </w:tabs>
      <w:jc w:val="left"/>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unhideWhenUsed/>
    <w:qFormat/>
    <w:uiPriority w:val="39"/>
    <w:pPr>
      <w:tabs>
        <w:tab w:val="right" w:leader="dot" w:pos="8296"/>
      </w:tabs>
      <w:ind w:firstLine="0" w:firstLineChars="0"/>
    </w:pPr>
    <w:rPr>
      <w:rFonts w:eastAsia="黑体"/>
      <w:bCs/>
    </w:rPr>
  </w:style>
  <w:style w:type="paragraph" w:styleId="15">
    <w:name w:val="footnote text"/>
    <w:basedOn w:val="1"/>
    <w:link w:val="43"/>
    <w:semiHidden/>
    <w:unhideWhenUsed/>
    <w:qFormat/>
    <w:uiPriority w:val="99"/>
    <w:pPr>
      <w:snapToGrid w:val="0"/>
      <w:jc w:val="left"/>
    </w:pPr>
    <w:rPr>
      <w:sz w:val="18"/>
      <w:szCs w:val="18"/>
    </w:rPr>
  </w:style>
  <w:style w:type="paragraph" w:styleId="16">
    <w:name w:val="toc 2"/>
    <w:basedOn w:val="1"/>
    <w:next w:val="1"/>
    <w:unhideWhenUsed/>
    <w:qFormat/>
    <w:uiPriority w:val="39"/>
    <w:pPr>
      <w:ind w:left="200" w:leftChars="200" w:firstLine="0" w:firstLineChars="0"/>
    </w:pPr>
    <w:rPr>
      <w:rFonts w:eastAsia="楷体"/>
    </w:rPr>
  </w:style>
  <w:style w:type="paragraph" w:styleId="1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8">
    <w:name w:val="Title"/>
    <w:basedOn w:val="1"/>
    <w:next w:val="1"/>
    <w:link w:val="28"/>
    <w:qFormat/>
    <w:uiPriority w:val="10"/>
    <w:pPr>
      <w:spacing w:before="240" w:after="60"/>
      <w:ind w:firstLine="803"/>
      <w:jc w:val="center"/>
      <w:outlineLvl w:val="0"/>
    </w:pPr>
    <w:rPr>
      <w:rFonts w:ascii="黑体" w:hAnsi="黑体" w:eastAsia="黑体" w:cstheme="majorBidi"/>
      <w:b/>
      <w:bCs/>
      <w:sz w:val="40"/>
      <w:szCs w:val="32"/>
    </w:rPr>
  </w:style>
  <w:style w:type="paragraph" w:styleId="19">
    <w:name w:val="annotation subject"/>
    <w:basedOn w:val="9"/>
    <w:next w:val="9"/>
    <w:link w:val="39"/>
    <w:semiHidden/>
    <w:unhideWhenUsed/>
    <w:qFormat/>
    <w:uiPriority w:val="99"/>
    <w:rPr>
      <w:b/>
      <w:bCs/>
    </w:rPr>
  </w:style>
  <w:style w:type="table" w:styleId="21">
    <w:name w:val="Table Grid"/>
    <w:basedOn w:val="2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0563C1" w:themeColor="hyperlink"/>
      <w:u w:val="single"/>
      <w14:textFill>
        <w14:solidFill>
          <w14:schemeClr w14:val="hlink"/>
        </w14:solidFill>
      </w14:textFill>
    </w:rPr>
  </w:style>
  <w:style w:type="character" w:styleId="24">
    <w:name w:val="annotation reference"/>
    <w:basedOn w:val="22"/>
    <w:semiHidden/>
    <w:unhideWhenUsed/>
    <w:qFormat/>
    <w:uiPriority w:val="99"/>
    <w:rPr>
      <w:sz w:val="21"/>
      <w:szCs w:val="21"/>
    </w:rPr>
  </w:style>
  <w:style w:type="character" w:styleId="25">
    <w:name w:val="footnote reference"/>
    <w:basedOn w:val="22"/>
    <w:semiHidden/>
    <w:unhideWhenUsed/>
    <w:qFormat/>
    <w:uiPriority w:val="99"/>
    <w:rPr>
      <w:vertAlign w:val="superscript"/>
    </w:rPr>
  </w:style>
  <w:style w:type="character" w:customStyle="1" w:styleId="26">
    <w:name w:val="页眉 字符"/>
    <w:basedOn w:val="22"/>
    <w:link w:val="13"/>
    <w:qFormat/>
    <w:uiPriority w:val="99"/>
    <w:rPr>
      <w:sz w:val="18"/>
      <w:szCs w:val="18"/>
    </w:rPr>
  </w:style>
  <w:style w:type="character" w:customStyle="1" w:styleId="27">
    <w:name w:val="页脚 字符"/>
    <w:basedOn w:val="22"/>
    <w:link w:val="12"/>
    <w:qFormat/>
    <w:uiPriority w:val="99"/>
    <w:rPr>
      <w:sz w:val="18"/>
      <w:szCs w:val="18"/>
    </w:rPr>
  </w:style>
  <w:style w:type="character" w:customStyle="1" w:styleId="28">
    <w:name w:val="标题 字符"/>
    <w:basedOn w:val="22"/>
    <w:link w:val="18"/>
    <w:qFormat/>
    <w:uiPriority w:val="10"/>
    <w:rPr>
      <w:rFonts w:ascii="黑体" w:hAnsi="黑体" w:eastAsia="黑体" w:cstheme="majorBidi"/>
      <w:b/>
      <w:bCs/>
      <w:sz w:val="40"/>
      <w:szCs w:val="32"/>
    </w:rPr>
  </w:style>
  <w:style w:type="character" w:customStyle="1" w:styleId="29">
    <w:name w:val="标题 1 字符"/>
    <w:basedOn w:val="22"/>
    <w:link w:val="5"/>
    <w:qFormat/>
    <w:uiPriority w:val="9"/>
    <w:rPr>
      <w:rFonts w:eastAsia="黑体"/>
      <w:b/>
      <w:bCs/>
      <w:kern w:val="44"/>
      <w:sz w:val="36"/>
      <w:szCs w:val="44"/>
    </w:rPr>
  </w:style>
  <w:style w:type="character" w:customStyle="1" w:styleId="30">
    <w:name w:val="标题 2 字符"/>
    <w:basedOn w:val="22"/>
    <w:link w:val="6"/>
    <w:qFormat/>
    <w:uiPriority w:val="9"/>
    <w:rPr>
      <w:rFonts w:ascii="楷体" w:hAnsi="楷体" w:eastAsia="楷体" w:cstheme="majorBidi"/>
      <w:b/>
      <w:bCs/>
      <w:sz w:val="32"/>
      <w:szCs w:val="32"/>
    </w:rPr>
  </w:style>
  <w:style w:type="character" w:customStyle="1" w:styleId="31">
    <w:name w:val="标题 3 字符"/>
    <w:basedOn w:val="22"/>
    <w:link w:val="7"/>
    <w:qFormat/>
    <w:uiPriority w:val="9"/>
    <w:rPr>
      <w:rFonts w:ascii="仿宋_GB2312" w:hAnsi="仿宋_GB2312" w:eastAsia="楷体"/>
      <w:b/>
      <w:bCs/>
      <w:sz w:val="32"/>
      <w:szCs w:val="32"/>
    </w:rPr>
  </w:style>
  <w:style w:type="paragraph" w:customStyle="1" w:styleId="32">
    <w:name w:val="TOC Heading"/>
    <w:basedOn w:val="5"/>
    <w:next w:val="1"/>
    <w:unhideWhenUsed/>
    <w:qFormat/>
    <w:uiPriority w:val="39"/>
    <w:pPr>
      <w:widowControl/>
      <w:spacing w:after="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3">
    <w:name w:val="Default"/>
    <w:qForma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 w:type="paragraph" w:customStyle="1" w:styleId="34">
    <w:name w:val="10正文"/>
    <w:basedOn w:val="1"/>
    <w:link w:val="35"/>
    <w:qFormat/>
    <w:uiPriority w:val="0"/>
    <w:pPr>
      <w:spacing w:line="240" w:lineRule="auto"/>
      <w:ind w:firstLine="624"/>
    </w:pPr>
    <w:rPr>
      <w:rFonts w:cs="Times New Roman"/>
      <w:szCs w:val="32"/>
    </w:rPr>
  </w:style>
  <w:style w:type="character" w:customStyle="1" w:styleId="35">
    <w:name w:val="10正文 Char"/>
    <w:link w:val="34"/>
    <w:qFormat/>
    <w:uiPriority w:val="0"/>
    <w:rPr>
      <w:rFonts w:ascii="Times New Roman" w:hAnsi="Times New Roman" w:eastAsia="仿宋_GB2312" w:cs="Times New Roman"/>
      <w:sz w:val="32"/>
      <w:szCs w:val="32"/>
    </w:rPr>
  </w:style>
  <w:style w:type="paragraph" w:styleId="36">
    <w:name w:val="List Paragraph"/>
    <w:basedOn w:val="1"/>
    <w:link w:val="42"/>
    <w:qFormat/>
    <w:uiPriority w:val="34"/>
    <w:pPr>
      <w:ind w:firstLine="420"/>
    </w:pPr>
    <w:rPr>
      <w:rFonts w:eastAsia="楷体"/>
    </w:rPr>
  </w:style>
  <w:style w:type="paragraph" w:customStyle="1" w:styleId="37">
    <w:name w:val="_Style 25"/>
    <w:basedOn w:val="1"/>
    <w:next w:val="36"/>
    <w:qFormat/>
    <w:uiPriority w:val="34"/>
    <w:pPr>
      <w:spacing w:line="240" w:lineRule="auto"/>
      <w:ind w:firstLine="420"/>
    </w:pPr>
    <w:rPr>
      <w:rFonts w:ascii="Calibri" w:hAnsi="Calibri" w:eastAsia="宋体" w:cs="Times New Roman"/>
      <w:sz w:val="21"/>
    </w:rPr>
  </w:style>
  <w:style w:type="character" w:customStyle="1" w:styleId="38">
    <w:name w:val="批注文字 字符"/>
    <w:basedOn w:val="22"/>
    <w:link w:val="9"/>
    <w:qFormat/>
    <w:uiPriority w:val="99"/>
    <w:rPr>
      <w:rFonts w:ascii="仿宋_GB2312" w:hAnsi="仿宋_GB2312" w:eastAsia="仿宋_GB2312"/>
      <w:sz w:val="30"/>
    </w:rPr>
  </w:style>
  <w:style w:type="character" w:customStyle="1" w:styleId="39">
    <w:name w:val="批注主题 字符"/>
    <w:basedOn w:val="38"/>
    <w:link w:val="19"/>
    <w:semiHidden/>
    <w:qFormat/>
    <w:uiPriority w:val="99"/>
    <w:rPr>
      <w:rFonts w:ascii="仿宋_GB2312" w:hAnsi="仿宋_GB2312" w:eastAsia="仿宋_GB2312"/>
      <w:b/>
      <w:bCs/>
      <w:sz w:val="30"/>
    </w:rPr>
  </w:style>
  <w:style w:type="character" w:customStyle="1" w:styleId="40">
    <w:name w:val="批注框文本 字符"/>
    <w:basedOn w:val="22"/>
    <w:link w:val="11"/>
    <w:semiHidden/>
    <w:qFormat/>
    <w:uiPriority w:val="99"/>
    <w:rPr>
      <w:rFonts w:ascii="仿宋_GB2312" w:hAnsi="仿宋_GB2312" w:eastAsia="仿宋_GB2312"/>
      <w:sz w:val="18"/>
      <w:szCs w:val="18"/>
    </w:rPr>
  </w:style>
  <w:style w:type="paragraph" w:customStyle="1" w:styleId="41">
    <w:name w:val="Char Char Char Char Char Char Char Char Char Char"/>
    <w:basedOn w:val="5"/>
    <w:next w:val="1"/>
    <w:qFormat/>
    <w:uiPriority w:val="0"/>
    <w:pPr>
      <w:spacing w:line="348" w:lineRule="auto"/>
      <w:jc w:val="both"/>
    </w:pPr>
    <w:rPr>
      <w:rFonts w:ascii="Tahoma" w:hAnsi="Tahoma" w:eastAsia="宋体" w:cs="Times New Roman"/>
      <w:bCs w:val="0"/>
      <w:kern w:val="2"/>
      <w:sz w:val="24"/>
      <w:szCs w:val="20"/>
    </w:rPr>
  </w:style>
  <w:style w:type="character" w:customStyle="1" w:styleId="42">
    <w:name w:val="列表段落 字符"/>
    <w:link w:val="36"/>
    <w:qFormat/>
    <w:uiPriority w:val="34"/>
    <w:rPr>
      <w:rFonts w:ascii="Times New Roman" w:hAnsi="Times New Roman" w:eastAsia="楷体"/>
      <w:sz w:val="32"/>
    </w:rPr>
  </w:style>
  <w:style w:type="character" w:customStyle="1" w:styleId="43">
    <w:name w:val="脚注文本 字符"/>
    <w:basedOn w:val="22"/>
    <w:link w:val="15"/>
    <w:semiHidden/>
    <w:qFormat/>
    <w:uiPriority w:val="99"/>
    <w:rPr>
      <w:rFonts w:ascii="仿宋_GB2312" w:hAnsi="仿宋_GB2312" w:eastAsia="仿宋_GB2312"/>
      <w:sz w:val="18"/>
      <w:szCs w:val="18"/>
    </w:rPr>
  </w:style>
  <w:style w:type="paragraph" w:customStyle="1" w:styleId="44">
    <w:name w:val="Revision"/>
    <w:hidden/>
    <w:semiHidden/>
    <w:qFormat/>
    <w:uiPriority w:val="99"/>
    <w:rPr>
      <w:rFonts w:ascii="仿宋_GB2312" w:hAnsi="仿宋_GB2312" w:eastAsia="仿宋_GB2312" w:cstheme="minorBidi"/>
      <w:kern w:val="2"/>
      <w:sz w:val="32"/>
      <w:szCs w:val="22"/>
      <w:lang w:val="en-US" w:eastAsia="zh-CN" w:bidi="ar-SA"/>
    </w:rPr>
  </w:style>
  <w:style w:type="character" w:customStyle="1" w:styleId="45">
    <w:name w:val="Unresolved Mention"/>
    <w:basedOn w:val="22"/>
    <w:semiHidden/>
    <w:unhideWhenUsed/>
    <w:qFormat/>
    <w:uiPriority w:val="99"/>
    <w:rPr>
      <w:color w:val="605E5C"/>
      <w:shd w:val="clear" w:color="auto" w:fill="E1DFDD"/>
    </w:rPr>
  </w:style>
  <w:style w:type="paragraph" w:customStyle="1" w:styleId="46">
    <w:name w:val="WPSOffice手动目录 1"/>
    <w:qFormat/>
    <w:uiPriority w:val="0"/>
    <w:pPr>
      <w:ind w:leftChars="0"/>
    </w:pPr>
    <w:rPr>
      <w:rFonts w:asciiTheme="minorHAnsi" w:hAnsiTheme="minorHAnsi" w:eastAsiaTheme="minorEastAsia" w:cstheme="minorBidi"/>
      <w:sz w:val="20"/>
      <w:szCs w:val="20"/>
    </w:rPr>
  </w:style>
  <w:style w:type="paragraph" w:customStyle="1" w:styleId="47">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35945</Words>
  <Characters>38099</Characters>
  <Lines>300</Lines>
  <Paragraphs>84</Paragraphs>
  <TotalTime>14</TotalTime>
  <ScaleCrop>false</ScaleCrop>
  <LinksUpToDate>false</LinksUpToDate>
  <CharactersWithSpaces>38974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2022-01-10T17:13:00Z</dcterms:created>
  <dc:creator>邱阳</dc:creator>
  <cp:lastModifiedBy>Administrator</cp:lastModifiedBy>
  <cp:lastPrinted>2022-01-27T16:54:00Z</cp:lastPrinted>
  <dcterms:modified xsi:type="dcterms:W3CDTF">2022-04-12T12:42:22Z</dcterms:modified>
  <cp:revision>150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97EC4656F2E54BD7B478B481039A8D33</vt:lpwstr>
  </property>
</Properties>
</file>