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焦作市交通运输局执法处</w:t>
      </w: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highlight w:val="yellow"/>
        </w:r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highlight w:val="none"/>
        </w:rPr>
        <w:t>年九月</w:t>
      </w:r>
    </w:p>
    <w:p>
      <w:pPr>
        <w:jc w:val="center"/>
        <w:rPr>
          <w:rFonts w:hint="eastAsia" w:ascii="黑体" w:hAnsi="黑体" w:eastAsia="黑体" w:cs="黑体"/>
          <w:sz w:val="32"/>
          <w:szCs w:val="32"/>
          <w:highlight w:val="yellow"/>
        </w:rPr>
      </w:pPr>
    </w:p>
    <w:p>
      <w:pPr>
        <w:jc w:val="both"/>
        <w:rPr>
          <w:rFonts w:hint="eastAsia" w:ascii="黑体" w:hAnsi="黑体" w:eastAsia="黑体" w:cs="黑体"/>
          <w:sz w:val="32"/>
          <w:szCs w:val="32"/>
          <w:highlight w:val="yellow"/>
        </w:rPr>
      </w:pPr>
    </w:p>
    <w:p>
      <w:pPr>
        <w:jc w:val="center"/>
        <w:rPr>
          <w:rFonts w:hint="eastAsia" w:ascii="黑体" w:hAnsi="黑体" w:eastAsia="黑体" w:cs="黑体"/>
          <w:sz w:val="32"/>
          <w:szCs w:val="32"/>
          <w:highlight w:val="yellow"/>
        </w:rPr>
        <w:sectPr>
          <w:pgSz w:w="11906" w:h="16838"/>
          <w:pgMar w:top="1440" w:right="1531" w:bottom="1440" w:left="1587" w:header="850" w:footer="992" w:gutter="0"/>
          <w:pgNumType w:fmt="numberInDash"/>
          <w:cols w:space="720" w:num="1"/>
          <w:docGrid w:type="lines" w:linePitch="317"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焦作市交通运输局执法处概况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spacing w:line="560" w:lineRule="exact"/>
        <w:ind w:firstLine="640" w:firstLineChars="200"/>
        <w:rPr>
          <w:rFonts w:hint="eastAsia" w:ascii="宋体" w:hAnsi="宋体" w:cs="宋体"/>
          <w:sz w:val="32"/>
          <w:szCs w:val="32"/>
        </w:rPr>
      </w:pPr>
      <w:r>
        <w:rPr>
          <w:rFonts w:hint="eastAsia" w:ascii="仿宋_GB2312" w:hAnsi="仿宋_GB2312"/>
          <w:kern w:val="2"/>
          <w:sz w:val="32"/>
          <w:szCs w:val="24"/>
          <w:lang w:val="zh-CN"/>
        </w:rPr>
        <w:t>九、国有资本经营预算财政拨款收入支出决算表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tabs>
          <w:tab w:val="left" w:pos="3460"/>
        </w:tabs>
        <w:spacing w:line="560" w:lineRule="exact"/>
        <w:ind w:firstLine="640" w:firstLineChars="200"/>
        <w:rPr>
          <w:rFonts w:hint="eastAsia" w:ascii="宋体" w:hAnsi="宋体" w:cs="宋体"/>
          <w:sz w:val="32"/>
          <w:szCs w:val="32"/>
        </w:rPr>
      </w:pPr>
      <w:r>
        <w:rPr>
          <w:rFonts w:hint="eastAsia" w:ascii="仿宋_GB2312" w:hAnsi="仿宋_GB2312"/>
          <w:kern w:val="2"/>
          <w:sz w:val="32"/>
          <w:szCs w:val="24"/>
          <w:lang w:val="zh-CN"/>
        </w:rPr>
        <w:t>十、国有资本经营预算财政拨款支出决算情况说明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lang w:eastAsia="zh-CN"/>
        </w:rPr>
        <w:t>十三、</w:t>
      </w:r>
      <w:r>
        <w:rPr>
          <w:rFonts w:hint="eastAsia" w:ascii="宋体" w:hAnsi="宋体" w:cs="宋体"/>
          <w:sz w:val="32"/>
          <w:szCs w:val="32"/>
        </w:rPr>
        <w:t>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pP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numPr>
          <w:ilvl w:val="0"/>
          <w:numId w:val="2"/>
        </w:numPr>
        <w:jc w:val="center"/>
        <w:outlineLvl w:val="0"/>
        <w:rPr>
          <w:rFonts w:hint="eastAsia" w:ascii="黑体" w:hAnsi="黑体" w:eastAsia="黑体" w:cs="黑体"/>
          <w:sz w:val="48"/>
          <w:szCs w:val="48"/>
          <w:lang w:eastAsia="zh-CN"/>
        </w:rPr>
      </w:pPr>
      <w:r>
        <w:rPr>
          <w:rFonts w:hint="eastAsia" w:ascii="黑体" w:hAnsi="黑体" w:eastAsia="黑体" w:cs="黑体"/>
          <w:sz w:val="48"/>
          <w:szCs w:val="48"/>
        </w:rPr>
        <w:t xml:space="preserve"> </w:t>
      </w:r>
      <w:r>
        <w:rPr>
          <w:rFonts w:hint="eastAsia" w:ascii="黑体" w:hAnsi="黑体" w:eastAsia="黑体" w:cs="黑体"/>
          <w:sz w:val="48"/>
          <w:szCs w:val="48"/>
          <w:lang w:eastAsia="zh-CN"/>
        </w:rPr>
        <w:t>焦作市交通运输局执法处</w:t>
      </w:r>
    </w:p>
    <w:p>
      <w:pPr>
        <w:widowControl/>
        <w:numPr>
          <w:ilvl w:val="0"/>
          <w:numId w:val="0"/>
        </w:numPr>
        <w:ind w:firstLine="2880" w:firstLineChars="600"/>
        <w:jc w:val="both"/>
        <w:outlineLvl w:val="0"/>
        <w:rPr>
          <w:rFonts w:hint="eastAsia" w:ascii="黑体" w:hAnsi="宋体" w:eastAsia="黑体" w:cs="宋体"/>
          <w:kern w:val="0"/>
          <w:sz w:val="28"/>
          <w:szCs w:val="28"/>
        </w:rPr>
      </w:pP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主要职责是根据</w:t>
      </w:r>
      <w:r>
        <w:rPr>
          <w:rFonts w:hint="eastAsia" w:ascii="仿宋_GB2312" w:eastAsia="仿宋_GB2312"/>
          <w:sz w:val="32"/>
          <w:szCs w:val="32"/>
          <w:lang w:eastAsia="zh-CN"/>
        </w:rPr>
        <w:t>交通运输管理</w:t>
      </w:r>
      <w:r>
        <w:rPr>
          <w:rFonts w:hint="eastAsia" w:ascii="仿宋_GB2312" w:eastAsia="仿宋_GB2312"/>
          <w:sz w:val="32"/>
          <w:szCs w:val="32"/>
        </w:rPr>
        <w:t>法律法规，指导、监督全市道路交通</w:t>
      </w:r>
      <w:r>
        <w:rPr>
          <w:rFonts w:hint="eastAsia" w:ascii="仿宋_GB2312" w:eastAsia="仿宋_GB2312"/>
          <w:sz w:val="32"/>
          <w:szCs w:val="32"/>
          <w:lang w:eastAsia="zh-CN"/>
        </w:rPr>
        <w:t>运输</w:t>
      </w:r>
      <w:r>
        <w:rPr>
          <w:rFonts w:hint="eastAsia" w:ascii="仿宋_GB2312" w:eastAsia="仿宋_GB2312"/>
          <w:sz w:val="32"/>
          <w:szCs w:val="32"/>
        </w:rPr>
        <w:t>执法工作，负责辖区内高速公路和城区</w:t>
      </w:r>
      <w:r>
        <w:rPr>
          <w:rFonts w:hint="eastAsia" w:ascii="仿宋_GB2312" w:eastAsia="仿宋_GB2312"/>
          <w:sz w:val="32"/>
          <w:szCs w:val="32"/>
          <w:lang w:eastAsia="zh-CN"/>
        </w:rPr>
        <w:t>内</w:t>
      </w:r>
      <w:r>
        <w:rPr>
          <w:rFonts w:hint="eastAsia" w:ascii="仿宋_GB2312" w:eastAsia="仿宋_GB2312"/>
          <w:sz w:val="32"/>
          <w:szCs w:val="32"/>
        </w:rPr>
        <w:t>道路</w:t>
      </w:r>
      <w:r>
        <w:rPr>
          <w:rFonts w:hint="eastAsia" w:ascii="仿宋_GB2312" w:eastAsia="仿宋_GB2312"/>
          <w:sz w:val="32"/>
          <w:szCs w:val="32"/>
          <w:lang w:eastAsia="zh-CN"/>
        </w:rPr>
        <w:t>交通运输执法</w:t>
      </w:r>
      <w:r>
        <w:rPr>
          <w:rFonts w:hint="eastAsia" w:ascii="仿宋_GB2312" w:eastAsia="仿宋_GB2312"/>
          <w:sz w:val="32"/>
          <w:szCs w:val="32"/>
        </w:rPr>
        <w:t>及城区内货运源头治超工作，组织协调辖区重大执法任务及跨县（市）域执法工作</w:t>
      </w:r>
      <w:r>
        <w:rPr>
          <w:rFonts w:hint="eastAsia" w:ascii="仿宋_GB2312" w:eastAsia="仿宋_GB2312"/>
          <w:sz w:val="32"/>
          <w:szCs w:val="32"/>
          <w:lang w:eastAsia="zh-CN"/>
        </w:rPr>
        <w:t>，负责五城区客运市场整治和巡游出租车、网约出租车违规运输查处等工作。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焦作市交通运输局执法处（支队）于2015年6月正式挂牌正式组建，事业性质，隶属市交通运输局领导，机构规格副处级。</w:t>
      </w:r>
      <w:r>
        <w:rPr>
          <w:rFonts w:hint="eastAsia" w:ascii="仿宋_GB2312" w:eastAsia="仿宋_GB2312"/>
          <w:sz w:val="32"/>
          <w:szCs w:val="32"/>
        </w:rPr>
        <w:t>内设办公室、执法管理科</w:t>
      </w:r>
      <w:r>
        <w:rPr>
          <w:rFonts w:hint="eastAsia" w:ascii="仿宋_GB2312" w:eastAsia="仿宋_GB2312"/>
          <w:sz w:val="32"/>
          <w:szCs w:val="32"/>
          <w:lang w:eastAsia="zh-CN"/>
        </w:rPr>
        <w:t>、</w:t>
      </w:r>
      <w:r>
        <w:rPr>
          <w:rFonts w:hint="eastAsia" w:ascii="仿宋_GB2312" w:eastAsia="仿宋_GB2312"/>
          <w:sz w:val="32"/>
          <w:szCs w:val="32"/>
        </w:rPr>
        <w:t>法制监察科、财务装备科</w:t>
      </w:r>
      <w:r>
        <w:rPr>
          <w:rFonts w:hint="eastAsia" w:ascii="仿宋_GB2312" w:eastAsia="仿宋_GB2312"/>
          <w:sz w:val="32"/>
          <w:szCs w:val="32"/>
          <w:lang w:val="en-US" w:eastAsia="zh-CN"/>
        </w:rPr>
        <w:t>4个科室</w:t>
      </w:r>
      <w:r>
        <w:rPr>
          <w:rFonts w:hint="eastAsia" w:ascii="仿宋_GB2312" w:eastAsia="仿宋_GB2312"/>
          <w:sz w:val="32"/>
          <w:szCs w:val="32"/>
        </w:rPr>
        <w:t>和5个执法大队。</w:t>
      </w:r>
    </w:p>
    <w:p>
      <w:pPr>
        <w:widowControl/>
        <w:ind w:firstLine="640" w:firstLineChars="200"/>
        <w:jc w:val="left"/>
        <w:rPr>
          <w:rFonts w:hint="eastAsia" w:ascii="黑体" w:hAnsi="宋体" w:eastAsia="仿宋_GB2312" w:cs="宋体"/>
          <w:kern w:val="0"/>
          <w:sz w:val="28"/>
          <w:szCs w:val="28"/>
          <w:lang w:eastAsia="zh-CN"/>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sz w:val="32"/>
          <w:szCs w:val="32"/>
        </w:rPr>
        <w:t>焦作市交通运输局执法处</w:t>
      </w:r>
      <w:r>
        <w:rPr>
          <w:rFonts w:hint="eastAsia" w:ascii="仿宋_GB2312" w:hAnsi="仿宋_GB2312" w:eastAsia="仿宋_GB2312" w:cs="仿宋_GB2312"/>
          <w:kern w:val="0"/>
          <w:sz w:val="32"/>
          <w:szCs w:val="32"/>
        </w:rPr>
        <w:t>部门决算</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本级决算</w:t>
      </w:r>
      <w:r>
        <w:rPr>
          <w:rFonts w:hint="eastAsia" w:ascii="仿宋_GB2312" w:hAnsi="仿宋_GB2312" w:eastAsia="仿宋_GB2312" w:cs="仿宋_GB2312"/>
          <w:kern w:val="0"/>
          <w:sz w:val="32"/>
          <w:szCs w:val="32"/>
          <w:lang w:eastAsia="zh-CN"/>
        </w:rPr>
        <w:t>。</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4040" w:type="dxa"/>
        <w:tblInd w:w="93" w:type="dxa"/>
        <w:shd w:val="clear" w:color="auto" w:fill="auto"/>
        <w:tblLayout w:type="autofit"/>
        <w:tblCellMar>
          <w:top w:w="0" w:type="dxa"/>
          <w:left w:w="108" w:type="dxa"/>
          <w:bottom w:w="0" w:type="dxa"/>
          <w:right w:w="108" w:type="dxa"/>
        </w:tblCellMar>
      </w:tblPr>
      <w:tblGrid>
        <w:gridCol w:w="4203"/>
        <w:gridCol w:w="854"/>
        <w:gridCol w:w="1712"/>
        <w:gridCol w:w="4452"/>
        <w:gridCol w:w="616"/>
        <w:gridCol w:w="2244"/>
      </w:tblGrid>
      <w:tr>
        <w:tblPrEx>
          <w:shd w:val="clear" w:color="auto" w:fill="auto"/>
          <w:tblCellMar>
            <w:top w:w="0" w:type="dxa"/>
            <w:left w:w="108" w:type="dxa"/>
            <w:bottom w:w="0" w:type="dxa"/>
            <w:right w:w="108" w:type="dxa"/>
          </w:tblCellMar>
        </w:tblPrEx>
        <w:trPr>
          <w:trHeight w:val="375" w:hRule="atLeast"/>
        </w:trPr>
        <w:tc>
          <w:tcPr>
            <w:tcW w:w="420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02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56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1,783.66</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1,783.66</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623.16</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2,406.82</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single" w:color="808080" w:sz="4" w:space="0"/>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275" w:type="dxa"/>
        <w:tblInd w:w="93" w:type="dxa"/>
        <w:shd w:val="clear" w:color="auto" w:fill="auto"/>
        <w:tblLayout w:type="autofit"/>
        <w:tblCellMar>
          <w:top w:w="0" w:type="dxa"/>
          <w:left w:w="108" w:type="dxa"/>
          <w:bottom w:w="0" w:type="dxa"/>
          <w:right w:w="108" w:type="dxa"/>
        </w:tblCellMar>
      </w:tblPr>
      <w:tblGrid>
        <w:gridCol w:w="329"/>
        <w:gridCol w:w="329"/>
        <w:gridCol w:w="329"/>
        <w:gridCol w:w="3616"/>
        <w:gridCol w:w="1305"/>
        <w:gridCol w:w="1305"/>
        <w:gridCol w:w="1110"/>
        <w:gridCol w:w="1110"/>
        <w:gridCol w:w="1110"/>
        <w:gridCol w:w="1110"/>
        <w:gridCol w:w="1756"/>
      </w:tblGrid>
      <w:tr>
        <w:tblPrEx>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55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720"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11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695" w:type="dxa"/>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1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1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1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1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9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1.59</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1.59</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1.59</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取消政府还贷二级公路收费专项支出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425" w:type="dxa"/>
        <w:tblInd w:w="93" w:type="dxa"/>
        <w:shd w:val="clear" w:color="auto" w:fill="auto"/>
        <w:tblLayout w:type="autofit"/>
        <w:tblCellMar>
          <w:top w:w="0" w:type="dxa"/>
          <w:left w:w="108" w:type="dxa"/>
          <w:bottom w:w="0" w:type="dxa"/>
          <w:right w:w="108" w:type="dxa"/>
        </w:tblCellMar>
      </w:tblPr>
      <w:tblGrid>
        <w:gridCol w:w="329"/>
        <w:gridCol w:w="329"/>
        <w:gridCol w:w="329"/>
        <w:gridCol w:w="3780"/>
        <w:gridCol w:w="1380"/>
        <w:gridCol w:w="1380"/>
        <w:gridCol w:w="1320"/>
        <w:gridCol w:w="1320"/>
        <w:gridCol w:w="1320"/>
        <w:gridCol w:w="1950"/>
      </w:tblGrid>
      <w:tr>
        <w:tblPrEx>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7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76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13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950" w:type="dxa"/>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gridSpan w:val="2"/>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3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3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3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3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9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取消政府还贷二级公路收费专项支出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710" w:type="dxa"/>
        <w:tblInd w:w="93" w:type="dxa"/>
        <w:shd w:val="clear" w:color="auto" w:fill="auto"/>
        <w:tblLayout w:type="autofit"/>
        <w:tblCellMar>
          <w:top w:w="0" w:type="dxa"/>
          <w:left w:w="108" w:type="dxa"/>
          <w:bottom w:w="0" w:type="dxa"/>
          <w:right w:w="108" w:type="dxa"/>
        </w:tblCellMar>
      </w:tblPr>
      <w:tblGrid>
        <w:gridCol w:w="2816"/>
        <w:gridCol w:w="569"/>
        <w:gridCol w:w="1215"/>
        <w:gridCol w:w="3216"/>
        <w:gridCol w:w="569"/>
        <w:gridCol w:w="1254"/>
        <w:gridCol w:w="1335"/>
        <w:gridCol w:w="1335"/>
        <w:gridCol w:w="1515"/>
      </w:tblGrid>
      <w:tr>
        <w:tblPrEx>
          <w:shd w:val="clear" w:color="auto" w:fill="auto"/>
          <w:tblCellMar>
            <w:top w:w="0" w:type="dxa"/>
            <w:left w:w="108" w:type="dxa"/>
            <w:bottom w:w="0" w:type="dxa"/>
            <w:right w:w="108" w:type="dxa"/>
          </w:tblCellMar>
        </w:tblPrEx>
        <w:trPr>
          <w:trHeight w:val="375" w:hRule="atLeast"/>
        </w:trPr>
        <w:tc>
          <w:tcPr>
            <w:tcW w:w="271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5039"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133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515" w:type="dxa"/>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gridSpan w:val="3"/>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shd w:val="clear" w:color="auto" w:fill="auto"/>
          <w:tblCellMar>
            <w:top w:w="0" w:type="dxa"/>
            <w:left w:w="108" w:type="dxa"/>
            <w:bottom w:w="0" w:type="dxa"/>
            <w:right w:w="108" w:type="dxa"/>
          </w:tblCellMar>
        </w:tblPrEx>
        <w:trPr>
          <w:trHeight w:val="285" w:hRule="atLeast"/>
        </w:trPr>
        <w:tc>
          <w:tcPr>
            <w:tcW w:w="27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2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135"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3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600" w:hRule="atLeast"/>
        </w:trPr>
        <w:tc>
          <w:tcPr>
            <w:tcW w:w="271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35" w:type="dxa"/>
            <w:vMerge w:val="continue"/>
            <w:tcBorders>
              <w:top w:val="nil"/>
              <w:left w:val="nil"/>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1674.03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2780" w:type="dxa"/>
        <w:tblInd w:w="93" w:type="dxa"/>
        <w:shd w:val="clear" w:color="auto" w:fill="auto"/>
        <w:tblLayout w:type="autofit"/>
        <w:tblCellMar>
          <w:top w:w="0" w:type="dxa"/>
          <w:left w:w="108" w:type="dxa"/>
          <w:bottom w:w="0" w:type="dxa"/>
          <w:right w:w="108" w:type="dxa"/>
        </w:tblCellMar>
      </w:tblPr>
      <w:tblGrid>
        <w:gridCol w:w="306"/>
        <w:gridCol w:w="306"/>
        <w:gridCol w:w="306"/>
        <w:gridCol w:w="4539"/>
        <w:gridCol w:w="2370"/>
        <w:gridCol w:w="2289"/>
        <w:gridCol w:w="2749"/>
      </w:tblGrid>
      <w:tr>
        <w:tblPrEx>
          <w:shd w:val="clear" w:color="auto" w:fill="auto"/>
          <w:tblCellMar>
            <w:top w:w="0" w:type="dxa"/>
            <w:left w:w="108" w:type="dxa"/>
            <w:bottom w:w="0" w:type="dxa"/>
            <w:right w:w="108" w:type="dxa"/>
          </w:tblCellMar>
        </w:tblPrEx>
        <w:trPr>
          <w:trHeight w:val="375" w:hRule="atLeast"/>
        </w:trPr>
        <w:tc>
          <w:tcPr>
            <w:tcW w:w="12784" w:type="dxa"/>
            <w:gridSpan w:val="7"/>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87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6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378.70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378.70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378.70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取消政府还贷二级公路收费专项支出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378.70</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700" w:type="dxa"/>
        <w:tblInd w:w="93" w:type="dxa"/>
        <w:shd w:val="clear" w:color="auto" w:fill="auto"/>
        <w:tblLayout w:type="autofit"/>
        <w:tblCellMar>
          <w:top w:w="0" w:type="dxa"/>
          <w:left w:w="108" w:type="dxa"/>
          <w:bottom w:w="0" w:type="dxa"/>
          <w:right w:w="108" w:type="dxa"/>
        </w:tblCellMar>
      </w:tblPr>
      <w:tblGrid>
        <w:gridCol w:w="733"/>
        <w:gridCol w:w="3216"/>
        <w:gridCol w:w="1102"/>
        <w:gridCol w:w="733"/>
        <w:gridCol w:w="2280"/>
        <w:gridCol w:w="786"/>
        <w:gridCol w:w="733"/>
        <w:gridCol w:w="4016"/>
        <w:gridCol w:w="1110"/>
      </w:tblGrid>
      <w:tr>
        <w:tblPrEx>
          <w:shd w:val="clear" w:color="auto" w:fill="auto"/>
          <w:tblCellMar>
            <w:top w:w="0" w:type="dxa"/>
            <w:left w:w="108" w:type="dxa"/>
            <w:bottom w:w="0" w:type="dxa"/>
            <w:right w:w="108" w:type="dxa"/>
          </w:tblCellMar>
        </w:tblPrEx>
        <w:trPr>
          <w:trHeight w:val="375" w:hRule="atLeast"/>
        </w:trPr>
        <w:tc>
          <w:tcPr>
            <w:tcW w:w="14709" w:type="dxa"/>
            <w:gridSpan w:val="9"/>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部门：焦作市交通运输局执法处</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shd w:val="clear" w:color="auto" w:fill="auto"/>
          <w:tblCellMar>
            <w:top w:w="0" w:type="dxa"/>
            <w:left w:w="108" w:type="dxa"/>
            <w:bottom w:w="0" w:type="dxa"/>
            <w:right w:w="108" w:type="dxa"/>
          </w:tblCellMar>
        </w:tblPrEx>
        <w:trPr>
          <w:trHeight w:val="300" w:hRule="atLeast"/>
        </w:trPr>
        <w:tc>
          <w:tcPr>
            <w:tcW w:w="73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1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8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300" w:hRule="atLeast"/>
        </w:trPr>
        <w:tc>
          <w:tcPr>
            <w:tcW w:w="73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8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8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1,372.52</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30.85</w:t>
            </w:r>
          </w:p>
        </w:tc>
      </w:tr>
      <w:tr>
        <w:tblPrEx>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CellMar>
            <w:top w:w="0" w:type="dxa"/>
            <w:left w:w="108" w:type="dxa"/>
            <w:bottom w:w="0" w:type="dxa"/>
            <w:right w:w="108" w:type="dxa"/>
          </w:tblCellMar>
        </w:tblPrEx>
        <w:trPr>
          <w:trHeight w:val="300" w:hRule="atLeast"/>
        </w:trPr>
        <w:tc>
          <w:tcPr>
            <w:tcW w:w="0" w:type="auto"/>
            <w:gridSpan w:val="9"/>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400" w:type="dxa"/>
        <w:tblInd w:w="93" w:type="dxa"/>
        <w:shd w:val="clear" w:color="auto" w:fill="auto"/>
        <w:tblLayout w:type="autofit"/>
        <w:tblCellMar>
          <w:top w:w="0" w:type="dxa"/>
          <w:left w:w="108" w:type="dxa"/>
          <w:bottom w:w="0" w:type="dxa"/>
          <w:right w:w="108" w:type="dxa"/>
        </w:tblCellMar>
      </w:tblPr>
      <w:tblGrid>
        <w:gridCol w:w="1200"/>
        <w:gridCol w:w="1200"/>
        <w:gridCol w:w="1200"/>
        <w:gridCol w:w="1198"/>
        <w:gridCol w:w="1200"/>
        <w:gridCol w:w="1198"/>
        <w:gridCol w:w="1200"/>
        <w:gridCol w:w="1200"/>
        <w:gridCol w:w="1200"/>
        <w:gridCol w:w="1198"/>
        <w:gridCol w:w="1200"/>
        <w:gridCol w:w="1206"/>
      </w:tblGrid>
      <w:tr>
        <w:tblPrEx>
          <w:shd w:val="clear" w:color="auto" w:fill="auto"/>
          <w:tblCellMar>
            <w:top w:w="0" w:type="dxa"/>
            <w:left w:w="108" w:type="dxa"/>
            <w:bottom w:w="0" w:type="dxa"/>
            <w:right w:w="108" w:type="dxa"/>
          </w:tblCellMar>
        </w:tblPrEx>
        <w:trPr>
          <w:trHeight w:val="555" w:hRule="atLeast"/>
        </w:trPr>
        <w:tc>
          <w:tcPr>
            <w:tcW w:w="14400" w:type="dxa"/>
            <w:gridSpan w:val="12"/>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预算代码：607005</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gridSpan w:val="3"/>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7200"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200"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300" w:hRule="atLeast"/>
        </w:trPr>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6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6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shd w:val="clear" w:color="auto" w:fill="auto"/>
          <w:tblCellMar>
            <w:top w:w="0" w:type="dxa"/>
            <w:left w:w="108" w:type="dxa"/>
            <w:bottom w:w="0" w:type="dxa"/>
            <w:right w:w="108" w:type="dxa"/>
          </w:tblCellMar>
        </w:tblPrEx>
        <w:trPr>
          <w:trHeight w:val="600" w:hRule="atLeast"/>
        </w:trPr>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600" w:hRule="atLeast"/>
        </w:trPr>
        <w:tc>
          <w:tcPr>
            <w:tcW w:w="14400"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710" w:type="dxa"/>
        <w:tblInd w:w="93" w:type="dxa"/>
        <w:shd w:val="clear" w:color="auto" w:fill="auto"/>
        <w:tblLayout w:type="autofit"/>
        <w:tblCellMar>
          <w:top w:w="0" w:type="dxa"/>
          <w:left w:w="108" w:type="dxa"/>
          <w:bottom w:w="0" w:type="dxa"/>
          <w:right w:w="108" w:type="dxa"/>
        </w:tblCellMar>
      </w:tblPr>
      <w:tblGrid>
        <w:gridCol w:w="435"/>
        <w:gridCol w:w="435"/>
        <w:gridCol w:w="435"/>
        <w:gridCol w:w="1988"/>
        <w:gridCol w:w="1684"/>
        <w:gridCol w:w="1684"/>
        <w:gridCol w:w="1684"/>
        <w:gridCol w:w="1684"/>
        <w:gridCol w:w="1684"/>
        <w:gridCol w:w="2368"/>
      </w:tblGrid>
      <w:tr>
        <w:tblPrEx>
          <w:shd w:val="clear" w:color="auto" w:fill="auto"/>
          <w:tblCellMar>
            <w:top w:w="0" w:type="dxa"/>
            <w:left w:w="108" w:type="dxa"/>
            <w:bottom w:w="0" w:type="dxa"/>
            <w:right w:w="108" w:type="dxa"/>
          </w:tblCellMar>
        </w:tblPrEx>
        <w:trPr>
          <w:trHeight w:val="375" w:hRule="atLeast"/>
        </w:trPr>
        <w:tc>
          <w:tcPr>
            <w:tcW w:w="13722" w:type="dxa"/>
            <w:gridSpan w:val="10"/>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59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jc w:val="both"/>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sz w:val="32"/>
          <w:szCs w:val="32"/>
          <w:highlight w:val="none"/>
        </w:rPr>
      </w:pPr>
    </w:p>
    <w:tbl>
      <w:tblPr>
        <w:tblStyle w:val="5"/>
        <w:tblW w:w="12555" w:type="dxa"/>
        <w:tblInd w:w="93" w:type="dxa"/>
        <w:shd w:val="clear" w:color="auto" w:fill="auto"/>
        <w:tblLayout w:type="autofit"/>
        <w:tblCellMar>
          <w:top w:w="0" w:type="dxa"/>
          <w:left w:w="108" w:type="dxa"/>
          <w:bottom w:w="0" w:type="dxa"/>
          <w:right w:w="108" w:type="dxa"/>
        </w:tblCellMar>
      </w:tblPr>
      <w:tblGrid>
        <w:gridCol w:w="435"/>
        <w:gridCol w:w="435"/>
        <w:gridCol w:w="435"/>
        <w:gridCol w:w="1991"/>
        <w:gridCol w:w="2739"/>
        <w:gridCol w:w="2739"/>
        <w:gridCol w:w="3975"/>
      </w:tblGrid>
      <w:tr>
        <w:tblPrEx>
          <w:shd w:val="clear" w:color="auto" w:fill="auto"/>
          <w:tblCellMar>
            <w:top w:w="0" w:type="dxa"/>
            <w:left w:w="108" w:type="dxa"/>
            <w:bottom w:w="0" w:type="dxa"/>
            <w:right w:w="108" w:type="dxa"/>
          </w:tblCellMar>
        </w:tblPrEx>
        <w:trPr>
          <w:trHeight w:val="375" w:hRule="atLeast"/>
        </w:trPr>
        <w:tc>
          <w:tcPr>
            <w:tcW w:w="12559" w:type="dxa"/>
            <w:gridSpan w:val="7"/>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部门：焦作市交通运输局执法处</w:t>
            </w:r>
          </w:p>
        </w:tc>
        <w:tc>
          <w:tcPr>
            <w:tcW w:w="0" w:type="auto"/>
            <w:gridSpan w:val="2"/>
            <w:tcBorders>
              <w:top w:val="nil"/>
              <w:left w:val="nil"/>
              <w:bottom w:val="single" w:color="80808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65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pPr>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说明：我部门</w:t>
      </w:r>
      <w:r>
        <w:rPr>
          <w:rFonts w:hint="eastAsia" w:ascii="仿宋_GB2312" w:hAnsi="仿宋_GB2312" w:eastAsia="仿宋_GB2312" w:cs="仿宋_GB2312"/>
          <w:sz w:val="32"/>
          <w:szCs w:val="32"/>
          <w:highlight w:val="none"/>
          <w:lang w:eastAsia="zh-CN"/>
        </w:rPr>
        <w:t>国有资本经营</w:t>
      </w:r>
      <w:r>
        <w:rPr>
          <w:rFonts w:hint="eastAsia" w:ascii="仿宋_GB2312" w:hAnsi="仿宋_GB2312" w:eastAsia="仿宋_GB2312" w:cs="仿宋_GB2312"/>
          <w:sz w:val="32"/>
          <w:szCs w:val="32"/>
          <w:highlight w:val="none"/>
        </w:rPr>
        <w:t>收入，也没有使用</w:t>
      </w:r>
      <w:r>
        <w:rPr>
          <w:rFonts w:hint="eastAsia" w:ascii="仿宋_GB2312" w:hAnsi="仿宋_GB2312" w:eastAsia="仿宋_GB2312" w:cs="仿宋_GB2312"/>
          <w:sz w:val="32"/>
          <w:szCs w:val="32"/>
          <w:highlight w:val="none"/>
          <w:lang w:eastAsia="zh-CN"/>
        </w:rPr>
        <w:t>国有资本经营</w:t>
      </w:r>
      <w:r>
        <w:rPr>
          <w:rFonts w:hint="eastAsia" w:ascii="仿宋_GB2312" w:hAnsi="仿宋_GB2312" w:eastAsia="仿宋_GB2312" w:cs="仿宋_GB2312"/>
          <w:sz w:val="32"/>
          <w:szCs w:val="32"/>
          <w:highlight w:val="none"/>
        </w:rPr>
        <w:t>安排的支出，故本表无数据。</w:t>
      </w:r>
    </w:p>
    <w:p>
      <w:pPr>
        <w:jc w:val="center"/>
        <w:rPr>
          <w:rFonts w:hint="eastAsia"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年度收、支总计均为2,406.82万元。与上年度相比，收、支总计各减少24.24万元，下降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kern w:val="2"/>
          <w:sz w:val="32"/>
          <w:szCs w:val="32"/>
          <w:lang w:val="en-US" w:eastAsia="zh-CN" w:bidi="ar-SA"/>
        </w:rPr>
        <w:t>本单位认真落实中央、省、市关于厉行节约的各项要求，采取诸多措施，从严控制“三公”经费开支。</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年度收入合计1,675.95万元，其中：财政拨款收入1,674.36万元，占99.91%；其他收入1.59万元，占</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年度支出合计1,783.66万元，其中：基本支出1,404.96万元，占78.77%；项目支出378.70万元，占21.23%</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年度财政拨款收、支总计均为2,405.23万元。与上年度相比，财政拨款收、支总计各减少24.07万元，下降0.99%。主要原因是</w:t>
      </w:r>
      <w:r>
        <w:rPr>
          <w:rFonts w:hint="eastAsia" w:ascii="仿宋_GB2312" w:hAnsi="仿宋_GB2312" w:eastAsia="仿宋_GB2312" w:cs="仿宋_GB2312"/>
          <w:sz w:val="32"/>
          <w:szCs w:val="32"/>
          <w:lang w:val="en-US" w:eastAsia="zh-CN"/>
        </w:rPr>
        <w:t>本单位认真落实中央、省、市关于厉行节约的各项要求，采取诸多措施，从严控制“三公”经费开支。</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1782.07</w:t>
      </w:r>
      <w:r>
        <w:rPr>
          <w:rFonts w:hint="eastAsia" w:ascii="仿宋_GB2312" w:hAnsi="仿宋_GB2312" w:eastAsia="仿宋_GB2312" w:cs="仿宋_GB2312"/>
          <w:sz w:val="32"/>
          <w:szCs w:val="32"/>
        </w:rPr>
        <w:t>万元，占本年支出合计的99.91%。与上年度相比，一般公共预算财政拨款支出增加107.57万元，增长）6.42%。主要原因</w:t>
      </w:r>
      <w:r>
        <w:rPr>
          <w:rFonts w:hint="eastAsia" w:ascii="仿宋_GB2312" w:hAnsi="仿宋_GB2312" w:eastAsia="仿宋_GB2312" w:cs="仿宋_GB2312"/>
          <w:sz w:val="32"/>
          <w:szCs w:val="32"/>
          <w:lang w:val="en-US" w:eastAsia="zh-CN"/>
        </w:rPr>
        <w:t>一是人员支出政策性增长；二是加强路域环境整治,持续</w:t>
      </w:r>
      <w:r>
        <w:rPr>
          <w:rFonts w:hint="eastAsia" w:ascii="仿宋_GB2312" w:hAnsi="仿宋_GB2312" w:eastAsia="仿宋_GB2312" w:cs="仿宋_GB2312"/>
          <w:sz w:val="32"/>
          <w:szCs w:val="32"/>
          <w:lang w:eastAsia="zh-CN"/>
        </w:rPr>
        <w:t>五城区客运市场整治和巡游出租车、网约出租车违规运输查处</w:t>
      </w:r>
      <w:r>
        <w:rPr>
          <w:rFonts w:hint="eastAsia" w:ascii="仿宋_GB2312" w:hAnsi="仿宋_GB2312" w:eastAsia="仿宋_GB2312" w:cs="仿宋_GB2312"/>
          <w:sz w:val="32"/>
          <w:szCs w:val="32"/>
          <w:lang w:val="en-US" w:eastAsia="zh-CN"/>
        </w:rPr>
        <w:t>等执法经费支出增长。</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年度一般公共预算财政拨款支出1,782.07万元，主要用于以下方面：</w:t>
      </w:r>
      <w:r>
        <w:rPr>
          <w:rFonts w:hint="eastAsia" w:ascii="仿宋_GB2312" w:hAnsi="仿宋_GB2312" w:eastAsia="仿宋_GB2312" w:cs="仿宋_GB2312"/>
          <w:sz w:val="32"/>
          <w:szCs w:val="32"/>
          <w:lang w:val="en-US" w:eastAsia="zh-CN"/>
        </w:rPr>
        <w:t>交通运输（类）支出</w:t>
      </w:r>
      <w:r>
        <w:rPr>
          <w:rFonts w:hint="eastAsia" w:ascii="仿宋_GB2312" w:hAnsi="仿宋_GB2312" w:eastAsia="仿宋_GB2312" w:cs="仿宋_GB2312"/>
          <w:sz w:val="32"/>
          <w:szCs w:val="32"/>
        </w:rPr>
        <w:t>1,782.07</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kern w:val="2"/>
          <w:sz w:val="32"/>
          <w:szCs w:val="32"/>
          <w:lang w:val="en-US" w:eastAsia="zh-CN" w:bidi="ar-SA"/>
        </w:rPr>
        <w:t>，占100%。</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年度一般公共预算财政拨款支出年初预算为1,782.0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万元，支出决算为1,782.07万元，完成年初预算的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交通运输（类）公路水路运输（款）取消政府还贷二级公路收费专项支出（项）。年初预算为1782.07万元，支出决算为1,782.07万元，完成年初预算的100%。</w:t>
      </w:r>
      <w:r>
        <w:rPr>
          <w:rFonts w:hint="eastAsia" w:ascii="仿宋_GB2312" w:hAnsi="仿宋_GB2312" w:eastAsia="仿宋_GB2312" w:cs="仿宋_GB2312"/>
          <w:kern w:val="2"/>
          <w:sz w:val="32"/>
          <w:szCs w:val="32"/>
          <w:lang w:val="en-US" w:eastAsia="zh-CN" w:bidi="ar-SA"/>
        </w:rPr>
        <w:t>决算数与年初预算数持平。</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年度一般公共预算财政拨款基本支出1,403.37万元。与上年度相比，减少64.36万元，下降4.3</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本单位认真落实中央、省、市关于厉行节约的各项要</w:t>
      </w:r>
      <w:r>
        <w:rPr>
          <w:rFonts w:hint="eastAsia" w:ascii="仿宋_GB2312" w:hAnsi="仿宋_GB2312" w:eastAsia="仿宋_GB2312" w:cs="仿宋_GB2312"/>
          <w:kern w:val="2"/>
          <w:sz w:val="32"/>
          <w:szCs w:val="32"/>
          <w:lang w:val="en-US" w:eastAsia="zh-CN" w:bidi="ar-SA"/>
        </w:rPr>
        <w:t>求，采取诸多措施，从严控制“三公”经费开支。</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kern w:val="2"/>
          <w:sz w:val="32"/>
          <w:szCs w:val="32"/>
          <w:lang w:val="en-US" w:eastAsia="zh-CN" w:bidi="ar-SA"/>
        </w:rPr>
        <w:t>1,372.52万元</w:t>
      </w:r>
      <w:r>
        <w:rPr>
          <w:rFonts w:hint="eastAsia" w:ascii="仿宋_GB2312" w:hAnsi="仿宋_GB2312" w:eastAsia="仿宋_GB2312" w:cs="仿宋_GB2312"/>
          <w:sz w:val="32"/>
          <w:szCs w:val="32"/>
        </w:rPr>
        <w:t>，主要包括：基本工资、津贴补贴、奖金、绩效工资、机关事业单位基本养老保险缴费、职业年金缴费、职工基本医疗保险缴费、公务员医疗补助缴费、其他社会保障缴费、住房公积金、医疗费、其他工资福利支出、退休费、生活补助、奖励金、其他对个人和家庭的补助支出；公用经费30.85万元，主要包括：</w:t>
      </w:r>
      <w:r>
        <w:rPr>
          <w:rFonts w:hint="eastAsia" w:ascii="仿宋_GB2312" w:hAnsi="仿宋_GB2312" w:eastAsia="仿宋_GB2312" w:cs="仿宋_GB2312"/>
          <w:kern w:val="2"/>
          <w:sz w:val="32"/>
          <w:szCs w:val="32"/>
          <w:lang w:val="en-US" w:eastAsia="zh-CN" w:bidi="ar-SA"/>
        </w:rPr>
        <w:t>办公费、水费、电费、邮电费、差旅费、维修（护）费、劳务费、工会经费、福利费。</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年度“三公”经费财政拨款支出预算为62.20万元，支出决算为49.27万元，完成预算的79.22%。</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年度“三公”经费支出决算数与预算数存在差异的主要原因是</w:t>
      </w:r>
      <w:r>
        <w:rPr>
          <w:rFonts w:hint="eastAsia" w:ascii="仿宋_GB2312" w:hAnsi="仿宋_GB2312" w:eastAsia="仿宋_GB2312" w:cs="仿宋_GB2312"/>
          <w:sz w:val="32"/>
          <w:szCs w:val="32"/>
          <w:lang w:val="en-US" w:eastAsia="zh-CN"/>
        </w:rPr>
        <w:t>本单位认真落实中央、省、市关于厉行节约的各项要求，采取诸多措施，从严控制“三公”经费开支。</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w:t>
      </w:r>
      <w:r>
        <w:rPr>
          <w:rFonts w:hint="eastAsia" w:ascii="仿宋_GB2312" w:hAnsi="仿宋_GB2312" w:eastAsia="仿宋_GB2312" w:cs="仿宋_GB2312"/>
          <w:sz w:val="32"/>
          <w:szCs w:val="32"/>
          <w:lang w:val="en-US" w:eastAsia="zh-CN"/>
        </w:rPr>
        <w:t>算49.27万</w:t>
      </w:r>
      <w:r>
        <w:rPr>
          <w:rFonts w:hint="eastAsia" w:ascii="仿宋_GB2312" w:hAnsi="仿宋_GB2312" w:eastAsia="仿宋_GB2312" w:cs="仿宋_GB2312"/>
          <w:sz w:val="32"/>
          <w:szCs w:val="32"/>
        </w:rPr>
        <w:t>元，完成预算的82.12%，占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%。全年因公出国（境）团组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2019年、2020年没有因公出国（境）事项。</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2．公务用车购置及运行费预算为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万元，支出决算为49.27万元，完成预算的82.12%。决算数与预算数存在差异的主要原因是</w:t>
      </w:r>
      <w:r>
        <w:rPr>
          <w:rFonts w:hint="eastAsia" w:ascii="仿宋_GB2312" w:hAnsi="仿宋_GB2312" w:eastAsia="仿宋_GB2312" w:cs="仿宋_GB2312"/>
          <w:sz w:val="32"/>
          <w:szCs w:val="32"/>
          <w:lang w:val="en-US" w:eastAsia="zh-CN"/>
        </w:rPr>
        <w:t>本单位认真落实中央、省、市关于厉行节约的各项要求，采取诸多措施，从严控制“三公”经费开支。</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公务用车运行支出49.27万元。主要用于主要用于</w:t>
      </w:r>
      <w:r>
        <w:rPr>
          <w:rFonts w:hint="eastAsia" w:ascii="仿宋_GB2312" w:hAnsi="仿宋_GB2312" w:eastAsia="仿宋_GB2312" w:cs="仿宋_GB2312"/>
          <w:kern w:val="2"/>
          <w:sz w:val="32"/>
          <w:szCs w:val="32"/>
          <w:lang w:val="en-US" w:eastAsia="zh-CN" w:bidi="ar-SA"/>
        </w:rPr>
        <w:t>执法执勤车辆燃油维修等支出。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年期末，部门开支财政拨款的公务用车保有量为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2020年没有公务接待事项。</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楷体_GB2312" w:hAnsi="楷体_GB2312" w:eastAsia="楷体_GB2312" w:cs="楷体_GB2312"/>
          <w:b/>
          <w:bCs/>
          <w:sz w:val="32"/>
          <w:szCs w:val="32"/>
          <w:highlight w:val="none"/>
        </w:rPr>
      </w:pPr>
      <w:r>
        <w:rPr>
          <w:rFonts w:hint="eastAsia" w:ascii="仿宋_GB2312" w:hAnsi="仿宋_GB2312" w:eastAsia="仿宋_GB2312" w:cs="仿宋_GB2312"/>
          <w:sz w:val="32"/>
          <w:szCs w:val="32"/>
        </w:rPr>
        <w:t>2020年,我单位纳入预算绩效管理的支出总额为</w:t>
      </w:r>
      <w:r>
        <w:rPr>
          <w:rFonts w:hint="eastAsia" w:ascii="仿宋_GB2312" w:hAnsi="仿宋_GB2312" w:eastAsia="仿宋_GB2312" w:cs="仿宋_GB2312"/>
          <w:sz w:val="32"/>
          <w:szCs w:val="32"/>
          <w:lang w:val="en-US" w:eastAsia="zh-CN"/>
        </w:rPr>
        <w:t>1474.96</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1198.96</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30.85</w:t>
      </w:r>
      <w:r>
        <w:rPr>
          <w:rFonts w:hint="eastAsia" w:ascii="仿宋_GB2312" w:hAnsi="仿宋_GB2312" w:eastAsia="仿宋_GB2312" w:cs="仿宋_GB2312"/>
          <w:sz w:val="32"/>
          <w:szCs w:val="32"/>
        </w:rPr>
        <w:t>万元;支出项目共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个,支出金额</w:t>
      </w:r>
      <w:r>
        <w:rPr>
          <w:rFonts w:hint="eastAsia" w:ascii="仿宋_GB2312" w:hAnsi="仿宋_GB2312" w:eastAsia="仿宋_GB2312" w:cs="仿宋_GB2312"/>
          <w:sz w:val="32"/>
          <w:szCs w:val="32"/>
          <w:lang w:val="en-US" w:eastAsia="zh-CN"/>
        </w:rPr>
        <w:t>768.5</w:t>
      </w:r>
      <w:r>
        <w:rPr>
          <w:rFonts w:hint="eastAsia" w:ascii="仿宋_GB2312" w:hAnsi="仿宋_GB2312" w:eastAsia="仿宋_GB2312" w:cs="仿宋_GB2312"/>
          <w:sz w:val="32"/>
          <w:szCs w:val="32"/>
        </w:rPr>
        <w:t>万元。其中,进行项目绩效自评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个,自评金额</w:t>
      </w:r>
      <w:r>
        <w:rPr>
          <w:rFonts w:hint="eastAsia" w:ascii="仿宋_GB2312" w:hAnsi="仿宋_GB2312" w:eastAsia="仿宋_GB2312" w:cs="仿宋_GB2312"/>
          <w:sz w:val="32"/>
          <w:szCs w:val="32"/>
          <w:lang w:val="en-US" w:eastAsia="zh-CN"/>
        </w:rPr>
        <w:t>768.5</w:t>
      </w:r>
      <w:r>
        <w:rPr>
          <w:rFonts w:hint="eastAsia" w:ascii="仿宋_GB2312" w:hAnsi="仿宋_GB2312" w:eastAsia="仿宋_GB2312" w:cs="仿宋_GB2312"/>
          <w:sz w:val="32"/>
          <w:szCs w:val="32"/>
        </w:rPr>
        <w:t>万元；纳入重点绩效评价(部门评价或财政评价)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（二）部门</w:t>
      </w:r>
      <w:r>
        <w:rPr>
          <w:rFonts w:hint="eastAsia" w:ascii="楷体_GB2312" w:hAnsi="楷体_GB2312" w:eastAsia="楷体_GB2312" w:cs="楷体_GB2312"/>
          <w:b/>
          <w:bCs/>
          <w:sz w:val="32"/>
          <w:szCs w:val="32"/>
          <w:highlight w:val="none"/>
          <w:lang w:eastAsia="zh-CN"/>
        </w:rPr>
        <w:t>（单位）</w:t>
      </w:r>
      <w:r>
        <w:rPr>
          <w:rFonts w:hint="eastAsia" w:ascii="楷体_GB2312" w:hAnsi="楷体_GB2312" w:eastAsia="楷体_GB2312" w:cs="楷体_GB2312"/>
          <w:b/>
          <w:bCs/>
          <w:sz w:val="32"/>
          <w:szCs w:val="32"/>
          <w:highlight w:val="none"/>
        </w:rPr>
        <w:t>整体和项目绩效自评结果。</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2020年度预期目标：维护执法队伍稳定，进一步加强路域监管，确保公路安全、畅通促进我市运输市场秩序稳定，规范道路客货运市场秩序，打击道路客运违法违规行为，保护广大乘客、合法经营者的权益，保障群众出行安全，提升我市窗口形象。</w:t>
      </w:r>
      <w:r>
        <w:rPr>
          <w:rFonts w:hint="eastAsia" w:ascii="仿宋_GB2312" w:eastAsia="仿宋_GB2312"/>
          <w:sz w:val="32"/>
          <w:szCs w:val="32"/>
          <w:lang w:val="en-US" w:eastAsia="zh-CN"/>
        </w:rPr>
        <w:tab/>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eastAsia="仿宋_GB2312"/>
          <w:sz w:val="32"/>
          <w:szCs w:val="32"/>
          <w:lang w:val="en-US" w:eastAsia="zh-CN"/>
        </w:rPr>
        <w:t>目标实际完成情况：</w:t>
      </w:r>
      <w:r>
        <w:rPr>
          <w:rFonts w:hint="eastAsia" w:ascii="仿宋_GB2312" w:hAnsi="仿宋_GB2312" w:eastAsia="仿宋_GB2312" w:cs="仿宋_GB2312"/>
          <w:sz w:val="32"/>
          <w:szCs w:val="32"/>
        </w:rPr>
        <w:t>市执法处领导班子在市委、市政府和市交通运输局党组的坚强领导下，以习近平新时代中国特色社会主义思想为引领，以“改革、规范、创新、提升”为主题，围绕全市疫情防控、“四城联创” 大气污染防治中心任务和交通运输执法工作，认真履行职能职责，不断提升治理能力，</w:t>
      </w:r>
      <w:r>
        <w:rPr>
          <w:rFonts w:hint="eastAsia" w:ascii="仿宋_GB2312" w:hAnsi="仿宋_GB2312" w:eastAsia="仿宋_GB2312" w:cs="仿宋_GB2312"/>
          <w:kern w:val="2"/>
          <w:sz w:val="32"/>
          <w:szCs w:val="32"/>
        </w:rPr>
        <w:t>带领全处干部职工圆满完成了年度工作目标任务，先后</w:t>
      </w:r>
      <w:r>
        <w:rPr>
          <w:rFonts w:hint="eastAsia" w:ascii="仿宋_GB2312" w:hAnsi="仿宋_GB2312" w:eastAsia="仿宋_GB2312" w:cs="仿宋_GB2312"/>
          <w:kern w:val="2"/>
          <w:sz w:val="32"/>
          <w:szCs w:val="32"/>
          <w:lang w:eastAsia="zh-CN"/>
        </w:rPr>
        <w:t>被省委省政府授予</w:t>
      </w:r>
      <w:r>
        <w:rPr>
          <w:rFonts w:hint="eastAsia" w:ascii="仿宋_GB2312" w:hAnsi="仿宋_GB2312" w:eastAsia="仿宋_GB2312" w:cs="仿宋_GB2312"/>
          <w:kern w:val="2"/>
          <w:sz w:val="32"/>
          <w:szCs w:val="32"/>
        </w:rPr>
        <w:t>省级文明单位</w:t>
      </w:r>
      <w:r>
        <w:rPr>
          <w:rFonts w:hint="eastAsia" w:ascii="仿宋_GB2312" w:hAnsi="仿宋_GB2312" w:eastAsia="仿宋_GB2312" w:cs="仿宋_GB2312"/>
          <w:kern w:val="2"/>
          <w:sz w:val="32"/>
          <w:szCs w:val="32"/>
          <w:lang w:eastAsia="zh-CN"/>
        </w:rPr>
        <w:t>，被省交通运输厅执法局执授予省交通运输执法系统“安全生产先进单位”；被市交通运输局评为交通运输系统“疫情防控先进单位”和“全国文明城市创建先进单位”。</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通过科学、规范的方法,基于预期目标的实现程度,评价</w:t>
      </w:r>
      <w:r>
        <w:rPr>
          <w:rFonts w:hint="eastAsia" w:ascii="仿宋_GB2312" w:hAnsi="仿宋_GB2312" w:eastAsia="仿宋_GB2312" w:cs="仿宋_GB2312"/>
          <w:sz w:val="32"/>
          <w:szCs w:val="32"/>
          <w:highlight w:val="none"/>
          <w:lang w:val="en-US" w:eastAsia="zh-CN"/>
        </w:rPr>
        <w:t>2020年度</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预算绩效目标的完成情况,</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整体绩效自评得分为</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分。</w:t>
      </w: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rPr>
          <w:rFonts w:hint="eastAsia" w:ascii="仿宋_GB2312" w:hAnsi="仿宋_GB2312" w:eastAsia="仿宋_GB2312" w:cs="仿宋_GB2312"/>
          <w:sz w:val="32"/>
          <w:szCs w:val="32"/>
          <w:highlight w:val="none"/>
        </w:rPr>
      </w:pPr>
    </w:p>
    <w:p>
      <w:pPr>
        <w:widowControl/>
        <w:spacing w:line="590" w:lineRule="exact"/>
        <w:rPr>
          <w:rFonts w:hint="default" w:ascii="仿宋_GB2312" w:hAnsi="仿宋_GB2312" w:eastAsia="仿宋_GB2312" w:cs="仿宋_GB2312"/>
          <w:sz w:val="32"/>
          <w:szCs w:val="32"/>
          <w:highlight w:val="none"/>
          <w:lang w:val="en-US" w:eastAsia="zh-CN"/>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ind w:firstLine="640" w:firstLineChars="200"/>
        <w:rPr>
          <w:rFonts w:hint="eastAsia" w:ascii="仿宋_GB2312" w:hAnsi="仿宋_GB2312" w:eastAsia="仿宋_GB2312" w:cs="仿宋_GB2312"/>
          <w:sz w:val="32"/>
          <w:szCs w:val="32"/>
          <w:highlight w:val="none"/>
        </w:rPr>
      </w:pPr>
    </w:p>
    <w:p>
      <w:pPr>
        <w:widowControl/>
        <w:spacing w:line="590" w:lineRule="exact"/>
        <w:rPr>
          <w:rFonts w:hint="eastAsia" w:ascii="仿宋_GB2312" w:hAnsi="仿宋_GB2312" w:eastAsia="仿宋_GB2312" w:cs="仿宋_GB2312"/>
          <w:sz w:val="32"/>
          <w:szCs w:val="32"/>
          <w:highlight w:val="none"/>
          <w:lang w:val="en-US" w:eastAsia="zh-CN"/>
        </w:rPr>
        <w:sectPr>
          <w:pgSz w:w="11906" w:h="16838"/>
          <w:pgMar w:top="1440" w:right="1531" w:bottom="1440" w:left="1587" w:header="850" w:footer="992" w:gutter="0"/>
          <w:pgNumType w:fmt="numberInDash"/>
          <w:cols w:space="720" w:num="1"/>
          <w:docGrid w:type="lines" w:linePitch="317" w:charSpace="0"/>
        </w:sectPr>
      </w:pPr>
    </w:p>
    <w:tbl>
      <w:tblPr>
        <w:tblStyle w:val="5"/>
        <w:tblW w:w="10050" w:type="dxa"/>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899"/>
        <w:gridCol w:w="1378"/>
        <w:gridCol w:w="2032"/>
        <w:gridCol w:w="1459"/>
        <w:gridCol w:w="1091"/>
        <w:gridCol w:w="777"/>
        <w:gridCol w:w="860"/>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05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005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12"/>
                <w:rFonts w:eastAsia="宋体"/>
                <w:lang w:val="en-US" w:eastAsia="zh-CN" w:bidi="ar"/>
              </w:rPr>
              <w:t xml:space="preserve">  2020      </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0050"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3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70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焦作市交通运输局执法处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情况</w:t>
            </w:r>
          </w:p>
        </w:tc>
        <w:tc>
          <w:tcPr>
            <w:tcW w:w="227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34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7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7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其中：本级财政资金</w:t>
            </w: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其中：本级财政资金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1着力构建执法“新机制”</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综合执法体制改革已完成，梳理细化权责清单，建立健全顺畅高效的执法工作运行机制，保障工作有效运转。</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2消灭“百吨王”，清剿“黑客车”，实现路域治理“六个无”</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打击“百吨王”，清剿“黑客车”，实现公路路域环境治理“六个无”目标，进一步改善和提升公路路域环境。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7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金额合计（万元）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情况</w:t>
            </w:r>
          </w:p>
        </w:tc>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4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快改革步伐，高质量完成综合执法改革任务，着力构建执法“新机制”；统筹协调推进，全面抓好超限超载治理，集中力量消灭“百吨王”；强化协调监管，推动客运市场健康有序发展，突出重点清剿“黑客车”；开展综合治理，实现路域治理“六个无”。</w:t>
            </w:r>
          </w:p>
        </w:tc>
        <w:tc>
          <w:tcPr>
            <w:tcW w:w="499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综合执法体制改革已完成，客货运市场健康有序发展，实现路域治理“六个无”。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况</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指标内容</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检查车辆数量</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4万余次</w:t>
            </w: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4.2万余次</w:t>
            </w:r>
          </w:p>
        </w:tc>
        <w:tc>
          <w:tcPr>
            <w:tcW w:w="777" w:type="dxa"/>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6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行政处罚数量</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0.2万余件</w:t>
            </w: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0.21万件</w:t>
            </w:r>
          </w:p>
        </w:tc>
        <w:tc>
          <w:tcPr>
            <w:tcW w:w="777" w:type="dxa"/>
            <w:vMerge w:val="continue"/>
            <w:tcBorders>
              <w:left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3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全年持续进行</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持续进行</w:t>
            </w: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777" w:type="dxa"/>
            <w:vMerge w:val="continue"/>
            <w:tcBorders>
              <w:left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在预算内完成计划</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年底完成</w:t>
            </w: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777" w:type="dxa"/>
            <w:vMerge w:val="continue"/>
            <w:tcBorders>
              <w:left w:val="single" w:color="000000" w:sz="4" w:space="0"/>
              <w:bottom w:val="nil"/>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3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各项工作完成率</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7"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6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促进社会秩序稳定</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秩序稳定</w:t>
            </w: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77" w:type="dxa"/>
            <w:tcBorders>
              <w:top w:val="nil"/>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77"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提升交通形象</w:t>
            </w:r>
          </w:p>
        </w:tc>
        <w:tc>
          <w:tcPr>
            <w:tcW w:w="1459" w:type="dxa"/>
            <w:tcBorders>
              <w:top w:val="single" w:color="000000" w:sz="4" w:space="0"/>
              <w:left w:val="single" w:color="000000" w:sz="4" w:space="0"/>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提升形象</w:t>
            </w:r>
          </w:p>
        </w:tc>
        <w:tc>
          <w:tcPr>
            <w:tcW w:w="109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明显提升</w:t>
            </w:r>
          </w:p>
        </w:tc>
        <w:tc>
          <w:tcPr>
            <w:tcW w:w="77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4"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车主及相关人员满意度</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91"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77"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4" w:type="dxa"/>
            <w:gridSpan w:val="2"/>
            <w:tcBorders>
              <w:top w:val="single" w:color="auto"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bl>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共有</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个项目批复了绩效目标。基于</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预期目标的实现程度,对2020年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项目支出绩效进行自评,绩效自评平均</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分为</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分。</w:t>
      </w:r>
    </w:p>
    <w:p>
      <w:pPr>
        <w:spacing w:line="60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eastAsia="zh-CN"/>
        </w:rPr>
        <w:t>绩效指标均已完成。设立</w:t>
      </w:r>
      <w:r>
        <w:rPr>
          <w:rFonts w:hint="eastAsia" w:ascii="仿宋_GB2312" w:hAnsi="仿宋_GB2312" w:eastAsia="仿宋_GB2312" w:cs="仿宋_GB2312"/>
          <w:kern w:val="2"/>
          <w:sz w:val="32"/>
          <w:szCs w:val="32"/>
          <w:lang w:val="en-US" w:eastAsia="zh-CN"/>
        </w:rPr>
        <w:t>5万元</w:t>
      </w:r>
      <w:r>
        <w:rPr>
          <w:rFonts w:hint="eastAsia" w:ascii="仿宋_GB2312" w:hAnsi="仿宋_GB2312" w:eastAsia="仿宋_GB2312" w:cs="仿宋_GB2312"/>
          <w:kern w:val="2"/>
          <w:sz w:val="32"/>
          <w:szCs w:val="32"/>
          <w:lang w:eastAsia="zh-CN"/>
        </w:rPr>
        <w:t>举报奖励金，有效打击了交通违法行为，提升了执法服务水平。设立</w:t>
      </w:r>
      <w:r>
        <w:rPr>
          <w:rFonts w:hint="eastAsia" w:ascii="仿宋_GB2312" w:hAnsi="Times New Roman" w:eastAsia="仿宋_GB2312" w:cs="Times New Roman"/>
          <w:sz w:val="32"/>
          <w:szCs w:val="32"/>
          <w:lang w:val="en-US" w:eastAsia="zh-CN"/>
        </w:rPr>
        <w:t>执法工作经费256.12万元，</w:t>
      </w:r>
      <w:r>
        <w:rPr>
          <w:rFonts w:hint="eastAsia" w:ascii="仿宋_GB2312" w:hAnsi="仿宋_GB2312" w:eastAsia="仿宋_GB2312" w:cs="宋体"/>
          <w:kern w:val="1"/>
          <w:sz w:val="32"/>
          <w:szCs w:val="32"/>
        </w:rPr>
        <w:t>客货运市场秩序稳定，群众安全出行</w:t>
      </w:r>
      <w:r>
        <w:rPr>
          <w:rFonts w:hint="eastAsia" w:ascii="仿宋_GB2312" w:hAnsi="仿宋_GB2312" w:eastAsia="仿宋_GB2312" w:cs="宋体"/>
          <w:kern w:val="1"/>
          <w:sz w:val="32"/>
          <w:szCs w:val="32"/>
          <w:lang w:eastAsia="zh-CN"/>
        </w:rPr>
        <w:t>得到保障</w:t>
      </w:r>
      <w:r>
        <w:rPr>
          <w:rFonts w:hint="eastAsia" w:ascii="仿宋_GB2312" w:hAnsi="仿宋_GB2312" w:eastAsia="仿宋_GB2312" w:cs="宋体"/>
          <w:kern w:val="1"/>
          <w:sz w:val="32"/>
          <w:szCs w:val="32"/>
        </w:rPr>
        <w:t>，我市窗口形象得到提升。</w:t>
      </w:r>
      <w:r>
        <w:rPr>
          <w:rFonts w:hint="eastAsia" w:ascii="仿宋_GB2312" w:hAnsi="仿宋_GB2312" w:eastAsia="仿宋_GB2312" w:cs="宋体"/>
          <w:kern w:val="1"/>
          <w:sz w:val="32"/>
          <w:szCs w:val="32"/>
          <w:lang w:eastAsia="zh-CN"/>
        </w:rPr>
        <w:t>设立</w:t>
      </w:r>
      <w:r>
        <w:rPr>
          <w:rFonts w:hint="eastAsia" w:ascii="仿宋_GB2312" w:hAnsi="Times New Roman" w:eastAsia="仿宋_GB2312" w:cs="Times New Roman"/>
          <w:sz w:val="32"/>
          <w:szCs w:val="32"/>
          <w:lang w:val="en-US" w:eastAsia="zh-CN"/>
        </w:rPr>
        <w:t>精神文明及职工文化建设5万元，人员意外保险及体检费9.88万元，人员工资福利经费440万元，弥补人员经费52.5万元，提升了单位的凝聚力，</w:t>
      </w:r>
      <w:r>
        <w:rPr>
          <w:rFonts w:hint="eastAsia" w:ascii="仿宋_GB2312" w:eastAsia="仿宋_GB2312"/>
          <w:sz w:val="32"/>
          <w:szCs w:val="32"/>
          <w:lang w:val="en-US" w:eastAsia="zh-CN"/>
        </w:rPr>
        <w:t>执法队伍稳定，无一起上访案件发生。</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（三）重点绩效评价结果。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red"/>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无重点绩效</w:t>
      </w:r>
      <w:r>
        <w:rPr>
          <w:rFonts w:hint="eastAsia" w:ascii="仿宋_GB2312" w:hAnsi="仿宋_GB2312" w:eastAsia="仿宋_GB2312" w:cs="仿宋_GB2312"/>
          <w:sz w:val="32"/>
          <w:szCs w:val="32"/>
        </w:rPr>
        <w:t>部门评价</w:t>
      </w:r>
      <w:r>
        <w:rPr>
          <w:rFonts w:hint="eastAsia" w:ascii="仿宋_GB2312" w:hAnsi="仿宋_GB2312" w:eastAsia="仿宋_GB2312" w:cs="仿宋_GB2312"/>
          <w:sz w:val="32"/>
          <w:szCs w:val="32"/>
          <w:lang w:val="en-US" w:eastAsia="zh-CN"/>
        </w:rPr>
        <w:t>项目和财政评价项目。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rPr>
        <w:t>2020年度没有</w:t>
      </w:r>
      <w:r>
        <w:rPr>
          <w:rFonts w:hint="eastAsia" w:ascii="仿宋_GB2312" w:hAnsi="仿宋_GB2312" w:eastAsia="仿宋_GB2312" w:cs="仿宋_GB2312"/>
          <w:sz w:val="32"/>
          <w:szCs w:val="32"/>
          <w:lang w:val="en-US" w:eastAsia="zh-CN"/>
        </w:rPr>
        <w:t>政府性基金</w:t>
      </w:r>
      <w:r>
        <w:rPr>
          <w:rFonts w:hint="eastAsia" w:ascii="仿宋_GB2312" w:hAnsi="仿宋_GB2312" w:eastAsia="仿宋_GB2312" w:cs="仿宋_GB2312"/>
          <w:sz w:val="32"/>
          <w:szCs w:val="32"/>
          <w:lang w:val="en-US"/>
        </w:rPr>
        <w:t>收入，也没有使用</w:t>
      </w:r>
      <w:r>
        <w:rPr>
          <w:rFonts w:hint="eastAsia" w:ascii="仿宋_GB2312" w:hAnsi="仿宋_GB2312" w:eastAsia="仿宋_GB2312" w:cs="仿宋_GB2312"/>
          <w:sz w:val="32"/>
          <w:szCs w:val="32"/>
          <w:lang w:val="en-US" w:eastAsia="zh-CN"/>
        </w:rPr>
        <w:t>政府性基金安排的</w:t>
      </w:r>
      <w:r>
        <w:rPr>
          <w:rFonts w:hint="eastAsia" w:ascii="仿宋_GB2312" w:hAnsi="仿宋_GB2312" w:eastAsia="仿宋_GB2312" w:cs="仿宋_GB2312"/>
          <w:sz w:val="32"/>
          <w:szCs w:val="32"/>
          <w:lang w:val="en-US"/>
        </w:rPr>
        <w:t>支出。</w:t>
      </w:r>
    </w:p>
    <w:p>
      <w:pPr>
        <w:widowControl/>
        <w:numPr>
          <w:ilvl w:val="0"/>
          <w:numId w:val="3"/>
        </w:numPr>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国有资本经营预算财政拨款支出决算情况说明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rPr>
        <w:t>2020年度国有资本经营预算财政拨款支出年初预算为0万元，支出决算为0万元。主要原因：我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rPr>
        <w:t>2020年度没有国有资本经营收入，也没有使用国有资本经营安排的支出。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020</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highlight w:val="none"/>
        </w:rPr>
        <w:t>万元，较上年度增加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我单位不是行政机关，也不是参照公务员管理事业单位，故没有机关运行经费支出。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十二、政府采购支出情况说明</w:t>
      </w:r>
    </w:p>
    <w:p>
      <w:pPr>
        <w:pStyle w:val="4"/>
        <w:keepNext w:val="0"/>
        <w:keepLines w:val="0"/>
        <w:widowControl/>
        <w:suppressLineNumbers w:val="0"/>
        <w:spacing w:before="0" w:beforeAutospacing="0"/>
        <w:ind w:lef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2020年度政府采购支出总额0万元。我单位年初预算未申报政府采购资金，故决算数据为0万元。但在实际发生采购业务中，均按政府采购相关流程进行采购。</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、国有资产占用情况说明</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2020年期末，我单位共有车辆21辆，其中：执法执勤用车17辆、其他用车4辆；单位价值50万元以上通用设备0台（套），单位价值100万元以上专用设备0台（套）。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5423F"/>
    <w:multiLevelType w:val="singleLevel"/>
    <w:tmpl w:val="FE45423F"/>
    <w:lvl w:ilvl="0" w:tentative="0">
      <w:start w:val="1"/>
      <w:numFmt w:val="chineseCounting"/>
      <w:suff w:val="space"/>
      <w:lvlText w:val="第%1部分"/>
      <w:lvlJc w:val="left"/>
      <w:rPr>
        <w:rFonts w:hint="eastAsia"/>
      </w:rPr>
    </w:lvl>
  </w:abstractNum>
  <w:abstractNum w:abstractNumId="1">
    <w:nsid w:val="2C082B96"/>
    <w:multiLevelType w:val="singleLevel"/>
    <w:tmpl w:val="2C082B96"/>
    <w:lvl w:ilvl="0" w:tentative="0">
      <w:start w:val="10"/>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TNiNDVkNWU3YWUzM2YwMmZlODk5ODg2MTkyMWMifQ=="/>
  </w:docVars>
  <w:rsids>
    <w:rsidRoot w:val="00000000"/>
    <w:rsid w:val="011218C5"/>
    <w:rsid w:val="03106797"/>
    <w:rsid w:val="032B04D4"/>
    <w:rsid w:val="03AA670D"/>
    <w:rsid w:val="03DD1147"/>
    <w:rsid w:val="04431134"/>
    <w:rsid w:val="04470D4E"/>
    <w:rsid w:val="0C346773"/>
    <w:rsid w:val="0C537908"/>
    <w:rsid w:val="0D271403"/>
    <w:rsid w:val="0F7A664B"/>
    <w:rsid w:val="0F9314B7"/>
    <w:rsid w:val="10F8340A"/>
    <w:rsid w:val="11297524"/>
    <w:rsid w:val="12F85556"/>
    <w:rsid w:val="13A70901"/>
    <w:rsid w:val="14B14542"/>
    <w:rsid w:val="158B1EBE"/>
    <w:rsid w:val="158E2020"/>
    <w:rsid w:val="18352400"/>
    <w:rsid w:val="19683097"/>
    <w:rsid w:val="199B59F9"/>
    <w:rsid w:val="19B175FA"/>
    <w:rsid w:val="19B7638D"/>
    <w:rsid w:val="19D706E2"/>
    <w:rsid w:val="19EC5ED3"/>
    <w:rsid w:val="1A0D3AC7"/>
    <w:rsid w:val="1B187D8C"/>
    <w:rsid w:val="1C1152B5"/>
    <w:rsid w:val="1D131F40"/>
    <w:rsid w:val="1D341A14"/>
    <w:rsid w:val="1E5700CB"/>
    <w:rsid w:val="1E8B53C7"/>
    <w:rsid w:val="1F3E7B00"/>
    <w:rsid w:val="1FA06EAC"/>
    <w:rsid w:val="21454913"/>
    <w:rsid w:val="21896423"/>
    <w:rsid w:val="21DC286A"/>
    <w:rsid w:val="2278340C"/>
    <w:rsid w:val="227A0E3C"/>
    <w:rsid w:val="23175167"/>
    <w:rsid w:val="23213300"/>
    <w:rsid w:val="240E06F2"/>
    <w:rsid w:val="24E37260"/>
    <w:rsid w:val="28615A1C"/>
    <w:rsid w:val="2CD82D18"/>
    <w:rsid w:val="2D5347F6"/>
    <w:rsid w:val="324A2110"/>
    <w:rsid w:val="330F1636"/>
    <w:rsid w:val="331E58E9"/>
    <w:rsid w:val="335235E2"/>
    <w:rsid w:val="33603770"/>
    <w:rsid w:val="33D35DC8"/>
    <w:rsid w:val="35353028"/>
    <w:rsid w:val="3693186C"/>
    <w:rsid w:val="37274FE9"/>
    <w:rsid w:val="37C01B36"/>
    <w:rsid w:val="39C14DFC"/>
    <w:rsid w:val="3A9406C4"/>
    <w:rsid w:val="3E4A678D"/>
    <w:rsid w:val="3E4C25CA"/>
    <w:rsid w:val="3F843EE9"/>
    <w:rsid w:val="433C1402"/>
    <w:rsid w:val="43A45A65"/>
    <w:rsid w:val="43CD37E2"/>
    <w:rsid w:val="44024EEA"/>
    <w:rsid w:val="443361F4"/>
    <w:rsid w:val="4547581A"/>
    <w:rsid w:val="45977AFF"/>
    <w:rsid w:val="45DE777E"/>
    <w:rsid w:val="46203E4C"/>
    <w:rsid w:val="46B2209A"/>
    <w:rsid w:val="4701142B"/>
    <w:rsid w:val="47860D58"/>
    <w:rsid w:val="47BC72C6"/>
    <w:rsid w:val="49742107"/>
    <w:rsid w:val="497A2108"/>
    <w:rsid w:val="4B894828"/>
    <w:rsid w:val="4BF60B53"/>
    <w:rsid w:val="4C84442E"/>
    <w:rsid w:val="4E151470"/>
    <w:rsid w:val="4EFC09E4"/>
    <w:rsid w:val="4F190325"/>
    <w:rsid w:val="53CA4699"/>
    <w:rsid w:val="5405748B"/>
    <w:rsid w:val="54125896"/>
    <w:rsid w:val="54705933"/>
    <w:rsid w:val="555F6688"/>
    <w:rsid w:val="556D24C9"/>
    <w:rsid w:val="563B7249"/>
    <w:rsid w:val="587F2E51"/>
    <w:rsid w:val="5954766A"/>
    <w:rsid w:val="5BBE5672"/>
    <w:rsid w:val="5D0B7894"/>
    <w:rsid w:val="5DEF023A"/>
    <w:rsid w:val="5DFB1AA1"/>
    <w:rsid w:val="5EB86B61"/>
    <w:rsid w:val="5F324EAD"/>
    <w:rsid w:val="6210025F"/>
    <w:rsid w:val="621F28F0"/>
    <w:rsid w:val="62877763"/>
    <w:rsid w:val="62BD49B5"/>
    <w:rsid w:val="63E36A65"/>
    <w:rsid w:val="64437A22"/>
    <w:rsid w:val="6571565B"/>
    <w:rsid w:val="66454817"/>
    <w:rsid w:val="66A239F9"/>
    <w:rsid w:val="676A67F3"/>
    <w:rsid w:val="6CF026EF"/>
    <w:rsid w:val="6D45297A"/>
    <w:rsid w:val="6E3E4D13"/>
    <w:rsid w:val="6F0C5734"/>
    <w:rsid w:val="70597390"/>
    <w:rsid w:val="72290D35"/>
    <w:rsid w:val="73255D90"/>
    <w:rsid w:val="761D2EFD"/>
    <w:rsid w:val="7781487F"/>
    <w:rsid w:val="795B4501"/>
    <w:rsid w:val="7A8D3BEF"/>
    <w:rsid w:val="7B07617A"/>
    <w:rsid w:val="7C2932B3"/>
    <w:rsid w:val="7F0A5B87"/>
    <w:rsid w:val="7F7E3C52"/>
    <w:rsid w:val="7FD57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annotation reference"/>
    <w:basedOn w:val="6"/>
    <w:qFormat/>
    <w:uiPriority w:val="0"/>
    <w:rPr>
      <w:sz w:val="21"/>
      <w:szCs w:val="21"/>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 w:type="character" w:customStyle="1" w:styleId="12">
    <w:name w:val="font21"/>
    <w:basedOn w:val="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8388</Words>
  <Characters>10528</Characters>
  <Lines>0</Lines>
  <Paragraphs>0</Paragraphs>
  <TotalTime>24</TotalTime>
  <ScaleCrop>false</ScaleCrop>
  <LinksUpToDate>false</LinksUpToDate>
  <CharactersWithSpaces>10726</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2021-09-02T00:45:00Z</cp:lastPrinted>
  <dcterms:modified xsi:type="dcterms:W3CDTF">2022-08-26T10:44:21Z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0ECD7B9DC4D44974A6F4768730861542</vt:lpwstr>
  </property>
</Properties>
</file>