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jc w:val="center"/>
        <w:rPr>
          <w:b/>
          <w:bCs/>
          <w:i w:val="0"/>
          <w:sz w:val="44"/>
          <w:szCs w:val="44"/>
        </w:rPr>
      </w:pPr>
      <w:r>
        <w:rPr>
          <w:rFonts w:hint="eastAsia" w:ascii="宋体" w:hAnsi="宋体" w:eastAsia="宋体" w:cs="宋体"/>
          <w:b/>
          <w:bCs/>
          <w:i w:val="0"/>
          <w:color w:val="000000"/>
          <w:kern w:val="0"/>
          <w:sz w:val="44"/>
          <w:szCs w:val="44"/>
          <w:lang w:val="en-US" w:eastAsia="zh-CN" w:bidi="ar"/>
        </w:rPr>
        <w:t>焦作市教育局</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jc w:val="center"/>
        <w:rPr>
          <w:b/>
          <w:bCs/>
          <w:i w:val="0"/>
          <w:sz w:val="44"/>
          <w:szCs w:val="44"/>
        </w:rPr>
      </w:pPr>
      <w:r>
        <w:rPr>
          <w:rFonts w:hint="eastAsia" w:ascii="宋体" w:hAnsi="宋体" w:eastAsia="宋体" w:cs="宋体"/>
          <w:b/>
          <w:bCs/>
          <w:i w:val="0"/>
          <w:color w:val="000000"/>
          <w:kern w:val="0"/>
          <w:sz w:val="44"/>
          <w:szCs w:val="44"/>
          <w:lang w:val="en-US" w:eastAsia="zh-CN" w:bidi="ar"/>
        </w:rPr>
        <w:t>关于招聘法律顾问的公告</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40"/>
        <w:jc w:val="left"/>
        <w:rPr>
          <w:rFonts w:hint="eastAsia" w:ascii="宋体" w:hAnsi="宋体" w:eastAsia="宋体" w:cs="宋体"/>
          <w:b w:val="0"/>
          <w:i w:val="0"/>
          <w:color w:val="000000"/>
          <w:kern w:val="0"/>
          <w:sz w:val="24"/>
          <w:szCs w:val="24"/>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b w:val="0"/>
          <w:i w:val="0"/>
          <w:color w:val="000000"/>
          <w:kern w:val="0"/>
          <w:sz w:val="32"/>
          <w:szCs w:val="32"/>
          <w:lang w:val="en-US" w:eastAsia="zh-CN" w:bidi="ar"/>
        </w:rPr>
        <w:t>为进一步完善我局法律顾问工作机制，充分发挥法律顾问在推进依法行政、依法治教工作中的作用，根据《焦作市政府法律顾问工作暂行规定》的有关规定，现就2020年焦作市教育局及直属学校法律顾问招聘事项公告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黑体" w:hAnsi="黑体" w:eastAsia="黑体" w:cs="黑体"/>
          <w:b w:val="0"/>
          <w:i w:val="0"/>
          <w:sz w:val="32"/>
          <w:szCs w:val="32"/>
        </w:rPr>
      </w:pPr>
      <w:r>
        <w:rPr>
          <w:rFonts w:hint="eastAsia" w:ascii="黑体" w:hAnsi="黑体" w:eastAsia="黑体" w:cs="黑体"/>
          <w:b w:val="0"/>
          <w:i w:val="0"/>
          <w:color w:val="000000"/>
          <w:kern w:val="0"/>
          <w:sz w:val="32"/>
          <w:szCs w:val="32"/>
          <w:lang w:val="en-US" w:eastAsia="zh-CN" w:bidi="ar"/>
        </w:rPr>
        <w:t>一、招聘数量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b w:val="0"/>
          <w:i w:val="0"/>
          <w:color w:val="000000"/>
          <w:kern w:val="0"/>
          <w:sz w:val="32"/>
          <w:szCs w:val="32"/>
          <w:lang w:val="en-US" w:eastAsia="zh-CN" w:bidi="ar"/>
        </w:rPr>
        <w:t>签约律师事务所一家，事务所签约专业律师不低于5名。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643" w:right="0"/>
        <w:jc w:val="left"/>
        <w:textAlignment w:val="auto"/>
        <w:rPr>
          <w:rFonts w:hint="eastAsia" w:ascii="黑体" w:hAnsi="黑体" w:eastAsia="黑体" w:cs="黑体"/>
          <w:b w:val="0"/>
          <w:i w:val="0"/>
          <w:sz w:val="32"/>
          <w:szCs w:val="32"/>
        </w:rPr>
      </w:pPr>
      <w:r>
        <w:rPr>
          <w:rFonts w:hint="eastAsia" w:ascii="黑体" w:hAnsi="黑体" w:eastAsia="黑体" w:cs="黑体"/>
          <w:b w:val="0"/>
          <w:i w:val="0"/>
          <w:color w:val="000000"/>
          <w:kern w:val="0"/>
          <w:sz w:val="32"/>
          <w:szCs w:val="32"/>
          <w:lang w:val="en-US" w:eastAsia="zh-CN" w:bidi="ar"/>
        </w:rPr>
        <w:t>二、聘任条件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color w:val="000000"/>
          <w:kern w:val="0"/>
          <w:sz w:val="32"/>
          <w:szCs w:val="32"/>
          <w:lang w:val="en-US" w:eastAsia="zh-CN" w:bidi="ar"/>
        </w:rPr>
      </w:pPr>
      <w:r>
        <w:rPr>
          <w:rFonts w:hint="eastAsia" w:ascii="仿宋_GB2312" w:hAnsi="仿宋_GB2312" w:eastAsia="仿宋_GB2312" w:cs="仿宋_GB2312"/>
          <w:b w:val="0"/>
          <w:i w:val="0"/>
          <w:color w:val="000000"/>
          <w:kern w:val="0"/>
          <w:sz w:val="32"/>
          <w:szCs w:val="32"/>
          <w:lang w:val="en-US" w:eastAsia="zh-CN" w:bidi="ar"/>
        </w:rPr>
        <w:t>1.律师事务所要求在焦作地区依法成立5年以上，有20名（含20名）以上专职执业律师，律所签约律师应具有10年以上执业经历，专业能力强，在业界享有良好声誉，近3年未受到司法行政机关的行政处罚或律师协会的行业处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color w:val="000000"/>
          <w:kern w:val="0"/>
          <w:sz w:val="32"/>
          <w:szCs w:val="32"/>
          <w:lang w:val="en-US" w:eastAsia="zh-CN" w:bidi="ar"/>
        </w:rPr>
      </w:pPr>
      <w:r>
        <w:rPr>
          <w:rFonts w:hint="eastAsia" w:ascii="仿宋_GB2312" w:hAnsi="仿宋_GB2312" w:eastAsia="仿宋_GB2312" w:cs="仿宋_GB2312"/>
          <w:b w:val="0"/>
          <w:i w:val="0"/>
          <w:color w:val="000000"/>
          <w:kern w:val="0"/>
          <w:sz w:val="32"/>
          <w:szCs w:val="32"/>
          <w:lang w:val="en-US" w:eastAsia="zh-CN" w:bidi="ar"/>
        </w:rPr>
        <w:t>2.签约律师忠于宪法，遵守法律，政治素质高，具有良好职业道德和社会责任感；</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color w:val="000000"/>
          <w:kern w:val="0"/>
          <w:sz w:val="32"/>
          <w:szCs w:val="32"/>
          <w:lang w:val="en-US" w:eastAsia="zh-CN" w:bidi="ar"/>
        </w:rPr>
      </w:pPr>
      <w:r>
        <w:rPr>
          <w:rFonts w:hint="eastAsia" w:ascii="仿宋_GB2312" w:hAnsi="仿宋_GB2312" w:eastAsia="仿宋_GB2312" w:cs="仿宋_GB2312"/>
          <w:b w:val="0"/>
          <w:i w:val="0"/>
          <w:color w:val="000000"/>
          <w:kern w:val="0"/>
          <w:sz w:val="32"/>
          <w:szCs w:val="32"/>
          <w:lang w:val="en-US" w:eastAsia="zh-CN" w:bidi="ar"/>
        </w:rPr>
        <w:t>3.具有律师资格或者通过国家司法考试；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b w:val="0"/>
          <w:i w:val="0"/>
          <w:color w:val="000000"/>
          <w:kern w:val="0"/>
          <w:sz w:val="32"/>
          <w:szCs w:val="32"/>
          <w:lang w:val="en-US" w:eastAsia="zh-CN" w:bidi="ar"/>
        </w:rPr>
        <w:t>4.未在5个以上（含5个）单位兼任法律顾问；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b w:val="0"/>
          <w:i w:val="0"/>
          <w:color w:val="000000"/>
          <w:kern w:val="0"/>
          <w:sz w:val="32"/>
          <w:szCs w:val="32"/>
          <w:lang w:val="en-US" w:eastAsia="zh-CN" w:bidi="ar"/>
        </w:rPr>
        <w:t>5.</w:t>
      </w:r>
      <w:r>
        <w:rPr>
          <w:rFonts w:hint="eastAsia" w:ascii="仿宋_GB2312" w:hAnsi="仿宋_GB2312" w:eastAsia="仿宋_GB2312" w:cs="仿宋_GB2312"/>
          <w:b w:val="0"/>
          <w:i w:val="0"/>
          <w:color w:val="000000"/>
          <w:kern w:val="0"/>
          <w:sz w:val="32"/>
          <w:szCs w:val="32"/>
          <w:lang w:val="en-US" w:eastAsia="zh-CN" w:bidi="ar"/>
        </w:rPr>
        <w:t>熟悉教育行业法律法规、工作规则，有较强的分析和处理实际法律问题的能力。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黑体" w:hAnsi="黑体" w:eastAsia="黑体" w:cs="黑体"/>
          <w:b w:val="0"/>
          <w:i w:val="0"/>
          <w:sz w:val="32"/>
          <w:szCs w:val="32"/>
        </w:rPr>
      </w:pPr>
      <w:r>
        <w:rPr>
          <w:rFonts w:hint="eastAsia" w:ascii="黑体" w:hAnsi="黑体" w:eastAsia="黑体" w:cs="黑体"/>
          <w:b w:val="0"/>
          <w:i w:val="0"/>
          <w:color w:val="000000"/>
          <w:kern w:val="0"/>
          <w:sz w:val="32"/>
          <w:szCs w:val="32"/>
          <w:lang w:val="en-US" w:eastAsia="zh-CN" w:bidi="ar"/>
        </w:rPr>
        <w:t>三、服务内容</w:t>
      </w:r>
      <w:bookmarkStart w:id="0" w:name="_GoBack"/>
      <w:bookmarkEnd w:id="0"/>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i w:val="0"/>
          <w:color w:val="000000"/>
          <w:kern w:val="0"/>
          <w:sz w:val="32"/>
          <w:szCs w:val="32"/>
          <w:lang w:val="en-US" w:eastAsia="zh-CN" w:bidi="ar"/>
        </w:rPr>
        <w:t>1.为</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b w:val="0"/>
          <w:i w:val="0"/>
          <w:color w:val="000000"/>
          <w:kern w:val="0"/>
          <w:sz w:val="32"/>
          <w:szCs w:val="32"/>
          <w:lang w:val="en-US" w:eastAsia="zh-CN" w:bidi="ar"/>
        </w:rPr>
        <w:t>提供日常法律服务，</w:t>
      </w:r>
      <w:r>
        <w:rPr>
          <w:rFonts w:hint="eastAsia" w:ascii="仿宋_GB2312" w:hAnsi="仿宋_GB2312" w:eastAsia="仿宋_GB2312" w:cs="仿宋_GB2312"/>
          <w:sz w:val="32"/>
          <w:szCs w:val="32"/>
        </w:rPr>
        <w:t>就业务上的法律问题提供意见</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为</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sz w:val="32"/>
          <w:szCs w:val="32"/>
        </w:rPr>
        <w:t>草拟、审查法律事务文书(包括合同、协议、章程、规则、</w:t>
      </w:r>
      <w:r>
        <w:rPr>
          <w:rFonts w:hint="eastAsia" w:ascii="仿宋_GB2312" w:hAnsi="仿宋_GB2312" w:eastAsia="仿宋_GB2312" w:cs="仿宋_GB2312"/>
          <w:sz w:val="32"/>
          <w:szCs w:val="32"/>
          <w:lang w:eastAsia="zh-CN"/>
        </w:rPr>
        <w:t>规范</w:t>
      </w:r>
      <w:r>
        <w:rPr>
          <w:rFonts w:hint="eastAsia" w:ascii="仿宋_GB2312" w:hAnsi="仿宋_GB2312" w:eastAsia="仿宋_GB2312" w:cs="仿宋_GB2312"/>
          <w:sz w:val="32"/>
          <w:szCs w:val="32"/>
        </w:rPr>
        <w:t>性文件、声明、命令、决定、指示以及诉讼文书等)</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参加涉外的或标的较大或条款复杂的经济合同谈判及其它重大经济合同的谈判</w:t>
      </w:r>
      <w:r>
        <w:rPr>
          <w:rFonts w:hint="eastAsia" w:ascii="仿宋_GB2312" w:hAnsi="仿宋_GB2312" w:eastAsia="仿宋_GB2312" w:cs="仿宋_GB2312"/>
          <w:sz w:val="32"/>
          <w:szCs w:val="32"/>
          <w:lang w:eastAsia="zh-CN"/>
        </w:rPr>
        <w:t>；参与甲方纠纷调解。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根据</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sz w:val="32"/>
          <w:szCs w:val="32"/>
        </w:rPr>
        <w:t>授权，协助或代理</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sz w:val="32"/>
          <w:szCs w:val="32"/>
          <w:lang w:eastAsia="zh-CN"/>
        </w:rPr>
        <w:t>有关</w:t>
      </w:r>
      <w:r>
        <w:rPr>
          <w:rFonts w:hint="eastAsia" w:ascii="仿宋_GB2312" w:hAnsi="仿宋_GB2312" w:eastAsia="仿宋_GB2312" w:cs="仿宋_GB2312"/>
          <w:sz w:val="32"/>
          <w:szCs w:val="32"/>
        </w:rPr>
        <w:t>起诉或应诉活动</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帮助</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sz w:val="32"/>
          <w:szCs w:val="32"/>
        </w:rPr>
        <w:t>建立健全各项规章制度</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协助</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sz w:val="32"/>
          <w:szCs w:val="32"/>
        </w:rPr>
        <w:t>建立法律事务机构并指导工作</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val="en-US" w:eastAsia="zh-CN"/>
        </w:rPr>
        <w:t>.为</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sz w:val="32"/>
          <w:szCs w:val="32"/>
        </w:rPr>
        <w:t>提</w:t>
      </w:r>
      <w:r>
        <w:rPr>
          <w:rFonts w:hint="eastAsia" w:ascii="仿宋_GB2312" w:hAnsi="仿宋_GB2312" w:eastAsia="仿宋_GB2312" w:cs="仿宋_GB2312"/>
          <w:sz w:val="32"/>
          <w:szCs w:val="32"/>
          <w:lang w:eastAsia="zh-CN"/>
        </w:rPr>
        <w:t>供</w:t>
      </w:r>
      <w:r>
        <w:rPr>
          <w:rFonts w:hint="eastAsia" w:ascii="仿宋_GB2312" w:hAnsi="仿宋_GB2312" w:eastAsia="仿宋_GB2312" w:cs="仿宋_GB2312"/>
          <w:sz w:val="32"/>
          <w:szCs w:val="32"/>
        </w:rPr>
        <w:t>的有关法律方面的咨询</w:t>
      </w:r>
      <w:r>
        <w:rPr>
          <w:rFonts w:hint="eastAsia" w:ascii="仿宋_GB2312" w:hAnsi="仿宋_GB2312" w:eastAsia="仿宋_GB2312" w:cs="仿宋_GB2312"/>
          <w:sz w:val="32"/>
          <w:szCs w:val="32"/>
          <w:lang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对</w:t>
      </w:r>
      <w:r>
        <w:rPr>
          <w:rFonts w:hint="eastAsia" w:ascii="仿宋_GB2312" w:hAnsi="仿宋_GB2312" w:eastAsia="仿宋_GB2312" w:cs="仿宋_GB2312"/>
          <w:b w:val="0"/>
          <w:i w:val="0"/>
          <w:color w:val="000000"/>
          <w:kern w:val="0"/>
          <w:sz w:val="32"/>
          <w:szCs w:val="32"/>
          <w:lang w:val="en-US" w:eastAsia="zh-CN" w:bidi="ar"/>
        </w:rPr>
        <w:t>服务单位</w:t>
      </w:r>
      <w:r>
        <w:rPr>
          <w:rFonts w:hint="eastAsia" w:ascii="仿宋_GB2312" w:hAnsi="仿宋_GB2312" w:eastAsia="仿宋_GB2312" w:cs="仿宋_GB2312"/>
          <w:sz w:val="32"/>
          <w:szCs w:val="32"/>
        </w:rPr>
        <w:t>干部、职工开展法制宣传和法律培训。</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b w:val="0"/>
          <w:i w:val="0"/>
          <w:color w:val="000000"/>
          <w:kern w:val="0"/>
          <w:sz w:val="32"/>
          <w:szCs w:val="32"/>
          <w:lang w:val="en-US" w:eastAsia="zh-CN" w:bidi="ar"/>
        </w:rPr>
        <w:t>9.办理服务单位交办或委托的其他法律事务。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黑体" w:hAnsi="黑体" w:eastAsia="黑体" w:cs="黑体"/>
          <w:b w:val="0"/>
          <w:i w:val="0"/>
          <w:sz w:val="32"/>
          <w:szCs w:val="32"/>
        </w:rPr>
      </w:pPr>
      <w:r>
        <w:rPr>
          <w:rFonts w:hint="eastAsia" w:ascii="黑体" w:hAnsi="黑体" w:eastAsia="黑体" w:cs="黑体"/>
          <w:b w:val="0"/>
          <w:i w:val="0"/>
          <w:color w:val="000000"/>
          <w:kern w:val="0"/>
          <w:sz w:val="32"/>
          <w:szCs w:val="32"/>
          <w:lang w:val="en-US" w:eastAsia="zh-CN" w:bidi="ar"/>
        </w:rPr>
        <w:t>四、报名材料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b w:val="0"/>
          <w:i w:val="0"/>
          <w:color w:val="000000"/>
          <w:kern w:val="0"/>
          <w:sz w:val="32"/>
          <w:szCs w:val="32"/>
          <w:lang w:val="en-US" w:eastAsia="zh-CN" w:bidi="ar"/>
        </w:rPr>
        <w:t>1.</w:t>
      </w:r>
      <w:r>
        <w:rPr>
          <w:rFonts w:hint="eastAsia" w:ascii="仿宋_GB2312" w:hAnsi="仿宋_GB2312" w:eastAsia="仿宋_GB2312" w:cs="仿宋_GB2312"/>
          <w:b w:val="0"/>
          <w:i w:val="0"/>
          <w:color w:val="000000"/>
          <w:kern w:val="0"/>
          <w:sz w:val="32"/>
          <w:szCs w:val="32"/>
          <w:lang w:val="en-US" w:eastAsia="zh-CN" w:bidi="ar"/>
        </w:rPr>
        <w:t>律师事务所资质文件及情况说明。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b w:val="0"/>
          <w:i w:val="0"/>
          <w:color w:val="000000"/>
          <w:kern w:val="0"/>
          <w:sz w:val="32"/>
          <w:szCs w:val="32"/>
          <w:lang w:val="en-US" w:eastAsia="zh-CN" w:bidi="ar"/>
        </w:rPr>
      </w:pPr>
      <w:r>
        <w:rPr>
          <w:rFonts w:hint="eastAsia" w:ascii="仿宋_GB2312" w:hAnsi="仿宋_GB2312" w:eastAsia="仿宋_GB2312" w:cs="仿宋_GB2312"/>
          <w:b w:val="0"/>
          <w:i w:val="0"/>
          <w:color w:val="000000"/>
          <w:kern w:val="0"/>
          <w:sz w:val="32"/>
          <w:szCs w:val="32"/>
          <w:lang w:val="en-US" w:eastAsia="zh-CN" w:bidi="ar"/>
        </w:rPr>
        <w:t>2.有关律师资格证书、情况介绍。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default" w:ascii="仿宋_GB2312" w:hAnsi="仿宋_GB2312" w:eastAsia="仿宋_GB2312" w:cs="仿宋_GB2312"/>
          <w:b w:val="0"/>
          <w:i w:val="0"/>
          <w:color w:val="000000"/>
          <w:kern w:val="0"/>
          <w:sz w:val="32"/>
          <w:szCs w:val="32"/>
          <w:lang w:val="en-US" w:eastAsia="zh-CN" w:bidi="ar"/>
        </w:rPr>
      </w:pPr>
      <w:r>
        <w:rPr>
          <w:rFonts w:hint="eastAsia" w:ascii="仿宋_GB2312" w:hAnsi="仿宋_GB2312" w:eastAsia="仿宋_GB2312" w:cs="仿宋_GB2312"/>
          <w:b w:val="0"/>
          <w:i w:val="0"/>
          <w:color w:val="000000"/>
          <w:kern w:val="0"/>
          <w:sz w:val="32"/>
          <w:szCs w:val="32"/>
          <w:lang w:val="en-US" w:eastAsia="zh-CN" w:bidi="ar"/>
        </w:rPr>
        <w:t>3.法律顾问年费用及</w:t>
      </w:r>
      <w:r>
        <w:rPr>
          <w:rFonts w:hint="eastAsia" w:ascii="仿宋_GB2312" w:hAnsi="仿宋_GB2312" w:eastAsia="仿宋_GB2312" w:cs="仿宋_GB2312"/>
          <w:sz w:val="32"/>
          <w:szCs w:val="32"/>
        </w:rPr>
        <w:t>起诉或应诉</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活动</w:t>
      </w:r>
      <w:r>
        <w:rPr>
          <w:rFonts w:hint="eastAsia" w:ascii="仿宋_GB2312" w:hAnsi="仿宋_GB2312" w:eastAsia="仿宋_GB2312" w:cs="仿宋_GB2312"/>
          <w:b w:val="0"/>
          <w:i w:val="0"/>
          <w:color w:val="000000"/>
          <w:kern w:val="0"/>
          <w:sz w:val="32"/>
          <w:szCs w:val="32"/>
          <w:lang w:val="en-US" w:eastAsia="zh-CN" w:bidi="ar"/>
        </w:rPr>
        <w:t>收费标准。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555"/>
        <w:jc w:val="left"/>
        <w:textAlignment w:val="auto"/>
        <w:rPr>
          <w:rFonts w:hint="eastAsia" w:ascii="黑体" w:hAnsi="黑体" w:eastAsia="黑体" w:cs="黑体"/>
          <w:b w:val="0"/>
          <w:i w:val="0"/>
          <w:sz w:val="32"/>
          <w:szCs w:val="32"/>
        </w:rPr>
      </w:pPr>
      <w:r>
        <w:rPr>
          <w:rFonts w:hint="eastAsia" w:ascii="黑体" w:hAnsi="黑体" w:eastAsia="黑体" w:cs="黑体"/>
          <w:b w:val="0"/>
          <w:i w:val="0"/>
          <w:color w:val="000000"/>
          <w:sz w:val="32"/>
          <w:szCs w:val="32"/>
          <w:shd w:val="clear" w:fill="FFFFFF"/>
        </w:rPr>
        <w:t>五、报名时间及地址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555"/>
        <w:jc w:val="left"/>
        <w:textAlignment w:val="auto"/>
        <w:rPr>
          <w:rFonts w:hint="eastAsia" w:ascii="仿宋_GB2312" w:hAnsi="仿宋_GB2312" w:eastAsia="仿宋_GB2312" w:cs="仿宋_GB2312"/>
          <w:b w:val="0"/>
          <w:i w:val="0"/>
          <w:sz w:val="32"/>
          <w:szCs w:val="32"/>
        </w:rPr>
      </w:pPr>
      <w:r>
        <w:rPr>
          <w:rFonts w:hint="eastAsia" w:ascii="仿宋_GB2312" w:hAnsi="仿宋_GB2312" w:eastAsia="仿宋_GB2312" w:cs="仿宋_GB2312"/>
          <w:b w:val="0"/>
          <w:i w:val="0"/>
          <w:color w:val="000000"/>
          <w:sz w:val="32"/>
          <w:szCs w:val="32"/>
          <w:shd w:val="clear" w:fill="FFFFFF"/>
        </w:rPr>
        <w:t>1、时间：2020年</w:t>
      </w:r>
      <w:r>
        <w:rPr>
          <w:rFonts w:hint="eastAsia" w:ascii="仿宋_GB2312" w:hAnsi="仿宋_GB2312" w:eastAsia="仿宋_GB2312" w:cs="仿宋_GB2312"/>
          <w:b w:val="0"/>
          <w:i w:val="0"/>
          <w:color w:val="000000"/>
          <w:sz w:val="32"/>
          <w:szCs w:val="32"/>
          <w:shd w:val="clear" w:fill="FFFFFF"/>
          <w:lang w:val="en-US" w:eastAsia="zh-CN"/>
        </w:rPr>
        <w:t>8</w:t>
      </w:r>
      <w:r>
        <w:rPr>
          <w:rFonts w:hint="eastAsia" w:ascii="仿宋_GB2312" w:hAnsi="仿宋_GB2312" w:eastAsia="仿宋_GB2312" w:cs="仿宋_GB2312"/>
          <w:b w:val="0"/>
          <w:i w:val="0"/>
          <w:color w:val="000000"/>
          <w:sz w:val="32"/>
          <w:szCs w:val="32"/>
          <w:shd w:val="clear" w:fill="FFFFFF"/>
        </w:rPr>
        <w:t>月1</w:t>
      </w:r>
      <w:r>
        <w:rPr>
          <w:rFonts w:hint="eastAsia" w:ascii="仿宋_GB2312" w:hAnsi="仿宋_GB2312" w:eastAsia="仿宋_GB2312" w:cs="仿宋_GB2312"/>
          <w:b w:val="0"/>
          <w:i w:val="0"/>
          <w:color w:val="000000"/>
          <w:sz w:val="32"/>
          <w:szCs w:val="32"/>
          <w:shd w:val="clear" w:fill="FFFFFF"/>
          <w:lang w:val="en-US" w:eastAsia="zh-CN"/>
        </w:rPr>
        <w:t>0</w:t>
      </w:r>
      <w:r>
        <w:rPr>
          <w:rFonts w:hint="eastAsia" w:ascii="仿宋_GB2312" w:hAnsi="仿宋_GB2312" w:eastAsia="仿宋_GB2312" w:cs="仿宋_GB2312"/>
          <w:b w:val="0"/>
          <w:i w:val="0"/>
          <w:color w:val="000000"/>
          <w:sz w:val="32"/>
          <w:szCs w:val="32"/>
          <w:shd w:val="clear" w:fill="FFFFFF"/>
        </w:rPr>
        <w:t>日起至2020年</w:t>
      </w:r>
      <w:r>
        <w:rPr>
          <w:rFonts w:hint="eastAsia" w:ascii="仿宋_GB2312" w:hAnsi="仿宋_GB2312" w:eastAsia="仿宋_GB2312" w:cs="仿宋_GB2312"/>
          <w:b w:val="0"/>
          <w:i w:val="0"/>
          <w:color w:val="000000"/>
          <w:sz w:val="32"/>
          <w:szCs w:val="32"/>
          <w:shd w:val="clear" w:fill="FFFFFF"/>
          <w:lang w:val="en-US" w:eastAsia="zh-CN"/>
        </w:rPr>
        <w:t>8</w:t>
      </w:r>
      <w:r>
        <w:rPr>
          <w:rFonts w:hint="eastAsia" w:ascii="仿宋_GB2312" w:hAnsi="仿宋_GB2312" w:eastAsia="仿宋_GB2312" w:cs="仿宋_GB2312"/>
          <w:b w:val="0"/>
          <w:i w:val="0"/>
          <w:color w:val="000000"/>
          <w:sz w:val="32"/>
          <w:szCs w:val="32"/>
          <w:shd w:val="clear" w:fill="FFFFFF"/>
        </w:rPr>
        <w:t>月</w:t>
      </w:r>
      <w:r>
        <w:rPr>
          <w:rFonts w:hint="eastAsia" w:ascii="仿宋_GB2312" w:hAnsi="仿宋_GB2312" w:eastAsia="仿宋_GB2312" w:cs="仿宋_GB2312"/>
          <w:b w:val="0"/>
          <w:i w:val="0"/>
          <w:color w:val="000000"/>
          <w:sz w:val="32"/>
          <w:szCs w:val="32"/>
          <w:shd w:val="clear" w:fill="FFFFFF"/>
          <w:lang w:val="en-US" w:eastAsia="zh-CN"/>
        </w:rPr>
        <w:t>14</w:t>
      </w:r>
      <w:r>
        <w:rPr>
          <w:rFonts w:hint="eastAsia" w:ascii="仿宋_GB2312" w:hAnsi="仿宋_GB2312" w:eastAsia="仿宋_GB2312" w:cs="仿宋_GB2312"/>
          <w:b w:val="0"/>
          <w:i w:val="0"/>
          <w:color w:val="000000"/>
          <w:sz w:val="32"/>
          <w:szCs w:val="32"/>
          <w:shd w:val="clear" w:fill="FFFFFF"/>
        </w:rPr>
        <w:t>日止。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555"/>
        <w:jc w:val="left"/>
        <w:textAlignment w:val="auto"/>
        <w:rPr>
          <w:rFonts w:hint="default" w:ascii="仿宋_GB2312" w:hAnsi="仿宋_GB2312" w:eastAsia="仿宋_GB2312" w:cs="仿宋_GB2312"/>
          <w:b w:val="0"/>
          <w:i w:val="0"/>
          <w:sz w:val="32"/>
          <w:szCs w:val="32"/>
          <w:lang w:val="en-US" w:eastAsia="zh-CN"/>
        </w:rPr>
      </w:pPr>
      <w:r>
        <w:rPr>
          <w:rFonts w:hint="eastAsia" w:ascii="仿宋_GB2312" w:hAnsi="仿宋_GB2312" w:eastAsia="仿宋_GB2312" w:cs="仿宋_GB2312"/>
          <w:b w:val="0"/>
          <w:i w:val="0"/>
          <w:color w:val="000000"/>
          <w:sz w:val="32"/>
          <w:szCs w:val="32"/>
          <w:shd w:val="clear" w:fill="FFFFFF"/>
        </w:rPr>
        <w:t>2、地址：焦作市</w:t>
      </w:r>
      <w:r>
        <w:rPr>
          <w:rFonts w:hint="eastAsia" w:ascii="仿宋_GB2312" w:hAnsi="仿宋_GB2312" w:eastAsia="仿宋_GB2312" w:cs="仿宋_GB2312"/>
          <w:b w:val="0"/>
          <w:i w:val="0"/>
          <w:color w:val="000000"/>
          <w:sz w:val="32"/>
          <w:szCs w:val="32"/>
          <w:shd w:val="clear" w:fill="FFFFFF"/>
          <w:lang w:eastAsia="zh-CN"/>
        </w:rPr>
        <w:t>教育局办公室</w:t>
      </w:r>
      <w:r>
        <w:rPr>
          <w:rFonts w:hint="eastAsia" w:ascii="仿宋_GB2312" w:hAnsi="仿宋_GB2312" w:eastAsia="仿宋_GB2312" w:cs="仿宋_GB2312"/>
          <w:b w:val="0"/>
          <w:i w:val="0"/>
          <w:color w:val="000000"/>
          <w:sz w:val="32"/>
          <w:szCs w:val="32"/>
          <w:shd w:val="clear" w:fill="FFFFFF"/>
          <w:lang w:val="en-US" w:eastAsia="zh-CN"/>
        </w:rPr>
        <w:t>108房间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1120"/>
        <w:jc w:val="left"/>
        <w:textAlignment w:val="auto"/>
        <w:rPr>
          <w:rFonts w:hint="default" w:ascii="仿宋_GB2312" w:hAnsi="仿宋_GB2312" w:eastAsia="仿宋_GB2312" w:cs="仿宋_GB2312"/>
          <w:b w:val="0"/>
          <w:i w:val="0"/>
          <w:sz w:val="32"/>
          <w:szCs w:val="32"/>
          <w:lang w:val="en-US" w:eastAsia="zh-CN"/>
        </w:rPr>
      </w:pPr>
      <w:r>
        <w:rPr>
          <w:rFonts w:hint="eastAsia" w:ascii="仿宋_GB2312" w:hAnsi="仿宋_GB2312" w:eastAsia="仿宋_GB2312" w:cs="仿宋_GB2312"/>
          <w:b w:val="0"/>
          <w:i w:val="0"/>
          <w:color w:val="000000"/>
          <w:sz w:val="32"/>
          <w:szCs w:val="32"/>
          <w:shd w:val="clear" w:fill="FFFFFF"/>
        </w:rPr>
        <w:t>联系人：</w:t>
      </w:r>
      <w:r>
        <w:rPr>
          <w:rFonts w:hint="eastAsia" w:ascii="仿宋_GB2312" w:hAnsi="仿宋_GB2312" w:eastAsia="仿宋_GB2312" w:cs="仿宋_GB2312"/>
          <w:b w:val="0"/>
          <w:i w:val="0"/>
          <w:color w:val="000000"/>
          <w:sz w:val="32"/>
          <w:szCs w:val="32"/>
          <w:shd w:val="clear" w:fill="FFFFFF"/>
          <w:lang w:eastAsia="zh-CN"/>
        </w:rPr>
        <w:t>申群旺</w:t>
      </w:r>
      <w:r>
        <w:rPr>
          <w:rFonts w:hint="eastAsia" w:ascii="仿宋_GB2312" w:hAnsi="仿宋_GB2312" w:eastAsia="仿宋_GB2312" w:cs="仿宋_GB2312"/>
          <w:b w:val="0"/>
          <w:i w:val="0"/>
          <w:color w:val="000000"/>
          <w:sz w:val="32"/>
          <w:szCs w:val="32"/>
          <w:shd w:val="clear" w:fill="FFFFFF"/>
          <w:lang w:val="en-US" w:eastAsia="zh-CN"/>
        </w:rPr>
        <w:t xml:space="preserve">  </w:t>
      </w:r>
      <w:r>
        <w:rPr>
          <w:rFonts w:hint="eastAsia" w:ascii="仿宋_GB2312" w:hAnsi="仿宋_GB2312" w:eastAsia="仿宋_GB2312" w:cs="仿宋_GB2312"/>
          <w:b w:val="0"/>
          <w:i w:val="0"/>
          <w:color w:val="000000"/>
          <w:sz w:val="32"/>
          <w:szCs w:val="32"/>
          <w:shd w:val="clear" w:fill="FFFFFF"/>
        </w:rPr>
        <w:t xml:space="preserve"> 联系电话：</w:t>
      </w:r>
      <w:r>
        <w:rPr>
          <w:rFonts w:hint="eastAsia" w:ascii="仿宋_GB2312" w:hAnsi="仿宋_GB2312" w:eastAsia="仿宋_GB2312" w:cs="仿宋_GB2312"/>
          <w:b w:val="0"/>
          <w:i w:val="0"/>
          <w:color w:val="000000"/>
          <w:sz w:val="32"/>
          <w:szCs w:val="32"/>
          <w:shd w:val="clear" w:fill="FFFFFF"/>
          <w:lang w:val="en-US" w:eastAsia="zh-CN"/>
        </w:rPr>
        <w:t>0391-2992911</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555"/>
        <w:jc w:val="left"/>
        <w:textAlignment w:val="auto"/>
        <w:rPr>
          <w:rFonts w:hint="eastAsia" w:ascii="仿宋_GB2312" w:hAnsi="仿宋_GB2312" w:eastAsia="仿宋_GB2312" w:cs="仿宋_GB2312"/>
          <w:b w:val="0"/>
          <w:i w:val="0"/>
          <w:color w:val="000000"/>
          <w:sz w:val="32"/>
          <w:szCs w:val="32"/>
          <w:shd w:val="clear" w:fill="FFFFFF"/>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555"/>
        <w:jc w:val="left"/>
        <w:textAlignment w:val="auto"/>
        <w:rPr>
          <w:rFonts w:hint="default" w:ascii="仿宋_GB2312" w:hAnsi="仿宋_GB2312" w:eastAsia="仿宋_GB2312" w:cs="仿宋_GB2312"/>
          <w:b w:val="0"/>
          <w:i w:val="0"/>
          <w:color w:val="000000"/>
          <w:sz w:val="32"/>
          <w:szCs w:val="32"/>
          <w:shd w:val="clear" w:fill="FFFFFF"/>
          <w:lang w:val="en-US" w:eastAsia="zh-CN"/>
        </w:rPr>
      </w:pPr>
      <w:r>
        <w:rPr>
          <w:rFonts w:hint="eastAsia" w:ascii="仿宋_GB2312" w:hAnsi="仿宋_GB2312" w:eastAsia="仿宋_GB2312" w:cs="仿宋_GB2312"/>
          <w:b w:val="0"/>
          <w:i w:val="0"/>
          <w:color w:val="000000"/>
          <w:sz w:val="32"/>
          <w:szCs w:val="32"/>
          <w:shd w:val="clear" w:fill="FFFFFF"/>
          <w:lang w:val="en-US" w:eastAsia="zh-CN"/>
        </w:rPr>
        <w:t xml:space="preserve">                           2020年8月5日</w:t>
      </w:r>
    </w:p>
    <w:p>
      <w:pPr>
        <w:rPr>
          <w:rFonts w:hint="eastAsia" w:ascii="仿宋_GB2312" w:hAnsi="仿宋_GB2312" w:eastAsia="仿宋_GB2312" w:cs="仿宋_GB2312"/>
          <w:sz w:val="32"/>
          <w:szCs w:val="32"/>
        </w:rPr>
      </w:pPr>
    </w:p>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BA6F58"/>
    <w:rsid w:val="21BA6F58"/>
    <w:rsid w:val="359E2C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szCs w:val="24"/>
      <w:lang w:val="en-US" w:eastAsia="zh-CN" w:bidi="ar"/>
    </w:rPr>
  </w:style>
  <w:style w:type="character" w:styleId="5">
    <w:name w:val="FollowedHyperlink"/>
    <w:basedOn w:val="4"/>
    <w:uiPriority w:val="0"/>
    <w:rPr>
      <w:color w:val="333333"/>
      <w:sz w:val="24"/>
      <w:szCs w:val="24"/>
      <w:u w:val="none"/>
    </w:rPr>
  </w:style>
  <w:style w:type="character" w:styleId="6">
    <w:name w:val="Hyperlink"/>
    <w:basedOn w:val="4"/>
    <w:uiPriority w:val="0"/>
    <w:rPr>
      <w:color w:val="333333"/>
      <w:sz w:val="24"/>
      <w:szCs w:val="24"/>
      <w:u w:val="none"/>
    </w:rPr>
  </w:style>
  <w:style w:type="character" w:customStyle="1" w:styleId="7">
    <w:name w:val="hover102"/>
    <w:basedOn w:val="4"/>
    <w:uiPriority w:val="0"/>
    <w:rPr>
      <w:color w:val="FFFFFF"/>
      <w:bdr w:val="single" w:color="C9100E" w:sz="6" w:space="0"/>
      <w:shd w:val="clear" w:fill="C9100E"/>
    </w:rPr>
  </w:style>
  <w:style w:type="character" w:customStyle="1" w:styleId="8">
    <w:name w:val="hover103"/>
    <w:basedOn w:val="4"/>
    <w:uiPriority w:val="0"/>
    <w:rPr>
      <w:color w:val="FFFFFF"/>
      <w:shd w:val="clear" w:fill="237EC7"/>
    </w:rPr>
  </w:style>
  <w:style w:type="character" w:customStyle="1" w:styleId="9">
    <w:name w:val="hidepass"/>
    <w:basedOn w:val="4"/>
    <w:uiPriority w:val="0"/>
  </w:style>
  <w:style w:type="character" w:customStyle="1" w:styleId="10">
    <w:name w:val="openeye"/>
    <w:basedOn w:val="4"/>
    <w:uiPriority w:val="0"/>
  </w:style>
  <w:style w:type="character" w:customStyle="1" w:styleId="11">
    <w:name w:val="on8"/>
    <w:basedOn w:val="4"/>
    <w:uiPriority w:val="0"/>
    <w:rPr>
      <w:color w:val="FFFFFF"/>
      <w:bdr w:val="single" w:color="C9100E" w:sz="6" w:space="0"/>
      <w:shd w:val="clear" w:fill="C9100E"/>
    </w:rPr>
  </w:style>
  <w:style w:type="character" w:customStyle="1" w:styleId="12">
    <w:name w:val="closeeye"/>
    <w:basedOn w:val="4"/>
    <w:uiPriority w:val="0"/>
  </w:style>
  <w:style w:type="character" w:customStyle="1" w:styleId="13">
    <w:name w:val="eyespan"/>
    <w:basedOn w:val="4"/>
    <w:uiPriority w:val="0"/>
  </w:style>
  <w:style w:type="character" w:customStyle="1" w:styleId="14">
    <w:name w:val="seepass"/>
    <w:basedOn w:val="4"/>
    <w:uiPriority w:val="0"/>
  </w:style>
  <w:style w:type="character" w:customStyle="1" w:styleId="15">
    <w:name w:val="remaintime"/>
    <w:basedOn w:val="4"/>
    <w:uiPriority w:val="0"/>
    <w:rPr>
      <w:color w:val="000000"/>
      <w:shd w:val="clear" w:fill="CACAC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2020-08-05T08:28:00Z</dcterms:created>
  <dc:creator>申群旺</dc:creator>
  <cp:lastModifiedBy>申群旺</cp:lastModifiedBy>
  <dcterms:modified xsi:type="dcterms:W3CDTF">2020-08-07T02:04:16Z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