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焦作市马村区发展和改革委员会</w:t>
      </w:r>
    </w:p>
    <w:p>
      <w:pPr>
        <w:jc w:val="center"/>
        <w:rPr>
          <w:rFonts w:hint="eastAsia" w:ascii="黑体" w:hAnsi="黑体" w:eastAsia="黑体" w:cs="黑体"/>
          <w:sz w:val="52"/>
          <w:szCs w:val="52"/>
        </w:rPr>
      </w:pPr>
      <w:r>
        <w:rPr>
          <w:rFonts w:hint="eastAsia" w:ascii="黑体" w:hAnsi="黑体" w:eastAsia="黑体" w:cs="黑体"/>
          <w:sz w:val="52"/>
          <w:szCs w:val="52"/>
        </w:rPr>
        <w:t>20</w:t>
      </w:r>
      <w:r>
        <w:rPr>
          <w:rFonts w:hint="eastAsia" w:ascii="黑体" w:hAnsi="黑体" w:eastAsia="黑体" w:cs="黑体"/>
          <w:sz w:val="52"/>
          <w:szCs w:val="52"/>
          <w:lang w:val="en-US" w:eastAsia="zh-CN"/>
        </w:rPr>
        <w:t>20</w:t>
      </w:r>
      <w:r>
        <w:rPr>
          <w:rFonts w:hint="eastAsia" w:ascii="黑体" w:hAnsi="黑体" w:eastAsia="黑体" w:cs="黑体"/>
          <w:sz w:val="52"/>
          <w:szCs w:val="52"/>
        </w:rPr>
        <w:t>年度部门</w:t>
      </w:r>
      <w:r>
        <w:rPr>
          <w:rFonts w:hint="eastAsia" w:ascii="黑体" w:hAnsi="黑体" w:eastAsia="黑体" w:cs="黑体"/>
          <w:sz w:val="52"/>
          <w:szCs w:val="52"/>
          <w:lang w:eastAsia="zh-CN"/>
        </w:rPr>
        <w:t>预</w:t>
      </w:r>
      <w:r>
        <w:rPr>
          <w:rFonts w:hint="eastAsia" w:ascii="黑体" w:hAnsi="黑体" w:eastAsia="黑体" w:cs="黑体"/>
          <w:sz w:val="52"/>
          <w:szCs w:val="52"/>
        </w:rPr>
        <w:t>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adjustRightInd w:val="0"/>
        <w:snapToGrid w:val="0"/>
        <w:spacing w:line="360" w:lineRule="auto"/>
        <w:jc w:val="center"/>
        <w:rPr>
          <w:rFonts w:hint="eastAsia" w:ascii="方正小标宋简体" w:hAnsi="方正小标宋简体" w:eastAsia="方正小标宋简体" w:cs="方正小标宋简体"/>
          <w:sz w:val="44"/>
          <w:szCs w:val="44"/>
          <w:lang w:val="en-US" w:eastAsia="zh-CN"/>
        </w:rPr>
      </w:pPr>
    </w:p>
    <w:p>
      <w:pPr>
        <w:adjustRightInd w:val="0"/>
        <w:snapToGrid w:val="0"/>
        <w:spacing w:line="360" w:lineRule="auto"/>
        <w:jc w:val="both"/>
        <w:rPr>
          <w:rFonts w:hint="eastAsia" w:ascii="方正小标宋简体" w:hAnsi="方正小标宋简体" w:eastAsia="方正小标宋简体" w:cs="方正小标宋简体"/>
          <w:sz w:val="44"/>
          <w:szCs w:val="44"/>
        </w:rPr>
      </w:pP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3"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b/>
          <w:bCs/>
          <w:sz w:val="32"/>
          <w:szCs w:val="32"/>
        </w:rPr>
        <w:t xml:space="preserve">第一部分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第二部门 2020年部门预算情况说明</w:t>
      </w:r>
    </w:p>
    <w:p>
      <w:pPr>
        <w:kinsoku w:val="0"/>
        <w:overflowPunct w:val="0"/>
        <w:adjustRightInd w:val="0"/>
        <w:snapToGrid w:val="0"/>
        <w:spacing w:line="360" w:lineRule="auto"/>
        <w:ind w:right="521"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第三部分 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焦作市马村区发展和改革委员会</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pacing w:val="-116"/>
          <w:sz w:val="32"/>
          <w:szCs w:val="32"/>
        </w:rPr>
        <w:t xml:space="preserve"> </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七、一般公共预算“三公”经费支出情况表</w:t>
      </w:r>
    </w:p>
    <w:p>
      <w:pPr>
        <w:kinsoku w:val="0"/>
        <w:overflowPunct w:val="0"/>
        <w:adjustRightInd w:val="0"/>
        <w:snapToGrid w:val="0"/>
        <w:spacing w:line="360" w:lineRule="auto"/>
        <w:ind w:right="51"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1920" w:firstLineChars="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九、国有资本经营预算收支情况表</w:t>
      </w:r>
    </w:p>
    <w:p>
      <w:pPr>
        <w:kinsoku w:val="0"/>
        <w:overflowPunct w:val="0"/>
        <w:adjustRightInd w:val="0"/>
        <w:snapToGrid w:val="0"/>
        <w:spacing w:line="360" w:lineRule="auto"/>
        <w:ind w:right="51" w:firstLine="1920" w:firstLineChars="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w:t>
      </w:r>
    </w:p>
    <w:p>
      <w:pPr>
        <w:kinsoku w:val="0"/>
        <w:overflowPunct w:val="0"/>
        <w:adjustRightInd w:val="0"/>
        <w:snapToGrid w:val="0"/>
        <w:spacing w:line="360" w:lineRule="auto"/>
        <w:ind w:right="51" w:firstLine="1920" w:firstLineChars="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十一、预算项目支出绩效目标表</w:t>
      </w:r>
    </w:p>
    <w:p>
      <w:pPr>
        <w:adjustRightInd w:val="0"/>
        <w:snapToGrid w:val="0"/>
        <w:spacing w:line="360" w:lineRule="auto"/>
        <w:ind w:firstLine="3840" w:firstLineChars="1200"/>
        <w:jc w:val="both"/>
        <w:rPr>
          <w:rFonts w:hint="eastAsia" w:ascii="仿宋_GB2312" w:hAnsi="仿宋_GB2312" w:eastAsia="仿宋_GB2312" w:cs="仿宋_GB2312"/>
          <w:sz w:val="32"/>
          <w:szCs w:val="32"/>
        </w:rPr>
      </w:pPr>
    </w:p>
    <w:p>
      <w:pPr>
        <w:adjustRightInd w:val="0"/>
        <w:snapToGrid w:val="0"/>
        <w:spacing w:line="360" w:lineRule="auto"/>
        <w:ind w:firstLine="3855" w:firstLineChars="1200"/>
        <w:jc w:val="both"/>
        <w:rPr>
          <w:rFonts w:hint="eastAsia" w:ascii="仿宋_GB2312" w:hAnsi="仿宋_GB2312" w:eastAsia="仿宋_GB2312" w:cs="仿宋_GB2312"/>
          <w:b/>
          <w:bCs/>
          <w:sz w:val="32"/>
          <w:szCs w:val="32"/>
        </w:rPr>
      </w:pPr>
    </w:p>
    <w:p>
      <w:pPr>
        <w:adjustRightInd w:val="0"/>
        <w:snapToGrid w:val="0"/>
        <w:spacing w:line="360" w:lineRule="auto"/>
        <w:ind w:firstLine="3855" w:firstLineChars="1200"/>
        <w:jc w:val="both"/>
        <w:rPr>
          <w:rFonts w:hint="eastAsia" w:ascii="仿宋_GB2312" w:hAnsi="仿宋_GB2312" w:eastAsia="仿宋_GB2312" w:cs="仿宋_GB2312"/>
          <w:b/>
          <w:bCs/>
          <w:sz w:val="32"/>
          <w:szCs w:val="32"/>
        </w:rPr>
      </w:pPr>
    </w:p>
    <w:p>
      <w:pPr>
        <w:adjustRightInd w:val="0"/>
        <w:snapToGrid w:val="0"/>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w:t>
      </w:r>
    </w:p>
    <w:p>
      <w:pPr>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马村区发展和改革委员会</w:t>
      </w:r>
      <w:r>
        <w:rPr>
          <w:rFonts w:hint="eastAsia" w:ascii="仿宋_GB2312" w:hAnsi="仿宋_GB2312" w:eastAsia="仿宋_GB2312" w:cs="仿宋_GB2312"/>
          <w:b/>
          <w:bCs/>
          <w:sz w:val="32"/>
          <w:szCs w:val="32"/>
        </w:rPr>
        <w:t>概况</w:t>
      </w:r>
    </w:p>
    <w:p>
      <w:pPr>
        <w:adjustRightInd w:val="0"/>
        <w:snapToGrid w:val="0"/>
        <w:spacing w:line="360" w:lineRule="auto"/>
        <w:ind w:firstLine="640" w:firstLineChars="200"/>
        <w:jc w:val="center"/>
        <w:rPr>
          <w:rFonts w:hint="eastAsia" w:ascii="仿宋_GB2312" w:hAnsi="仿宋_GB2312" w:eastAsia="仿宋_GB2312" w:cs="仿宋_GB2312"/>
          <w:sz w:val="32"/>
          <w:szCs w:val="32"/>
        </w:rPr>
      </w:pPr>
    </w:p>
    <w:p>
      <w:pPr>
        <w:numPr>
          <w:ilvl w:val="0"/>
          <w:numId w:val="1"/>
        </w:numPr>
        <w:adjustRightInd w:val="0"/>
        <w:snapToGrid w:val="0"/>
        <w:spacing w:line="360" w:lineRule="auto"/>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主要职能</w:t>
      </w:r>
    </w:p>
    <w:p>
      <w:pPr>
        <w:numPr>
          <w:ilvl w:val="0"/>
          <w:numId w:val="2"/>
        </w:numPr>
        <w:kinsoku w:val="0"/>
        <w:overflowPunct w:val="0"/>
        <w:adjustRightInd w:val="0"/>
        <w:snapToGrid w:val="0"/>
        <w:spacing w:line="360" w:lineRule="auto"/>
        <w:ind w:right="3569"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w:t>
      </w:r>
    </w:p>
    <w:p>
      <w:pPr>
        <w:keepNext w:val="0"/>
        <w:keepLines w:val="0"/>
        <w:pageBreakBefore w:val="0"/>
        <w:wordWrap/>
        <w:topLinePunct w:val="0"/>
        <w:bidi w:val="0"/>
        <w:spacing w:line="560" w:lineRule="atLeast"/>
        <w:ind w:firstLineChars="200"/>
        <w:textAlignment w:val="auto"/>
        <w:rPr>
          <w:rFonts w:hint="eastAsia" w:ascii="仿宋_GB2312" w:hAnsi="仿宋_GB2312" w:eastAsia="仿宋_GB2312" w:cs="仿宋_GB2312"/>
          <w:sz w:val="32"/>
          <w:szCs w:val="32"/>
          <w:lang w:val="en-US" w:eastAsia="zh-CN"/>
        </w:rPr>
      </w:pPr>
      <w:r>
        <w:rPr>
          <w:rFonts w:hint="default" w:ascii="Calibri" w:hAnsi="Calibri" w:eastAsia="仿宋_GB2312"/>
          <w:sz w:val="30"/>
          <w:szCs w:val="30"/>
        </w:rPr>
        <w:t xml:space="preserve"> </w:t>
      </w:r>
      <w:r>
        <w:rPr>
          <w:rFonts w:hint="eastAsia" w:ascii="仿宋_GB2312" w:hAnsi="仿宋_GB2312" w:eastAsia="仿宋_GB2312" w:cs="仿宋_GB2312"/>
          <w:b w:val="0"/>
          <w:bCs w:val="0"/>
          <w:sz w:val="32"/>
          <w:szCs w:val="32"/>
          <w:lang w:eastAsia="zh-CN"/>
        </w:rPr>
        <w:t>马村区发展和改革委员会</w:t>
      </w:r>
      <w:r>
        <w:rPr>
          <w:rFonts w:hint="eastAsia" w:ascii="仿宋_GB2312" w:hAnsi="仿宋" w:eastAsia="仿宋_GB2312"/>
          <w:sz w:val="32"/>
          <w:szCs w:val="32"/>
          <w:lang w:eastAsia="zh-CN"/>
        </w:rPr>
        <w:t>属机关性质，行政编制数</w:t>
      </w:r>
      <w:r>
        <w:rPr>
          <w:rFonts w:hint="eastAsia" w:ascii="仿宋_GB2312" w:hAnsi="仿宋" w:eastAsia="仿宋_GB2312"/>
          <w:sz w:val="32"/>
          <w:szCs w:val="32"/>
          <w:lang w:val="en-US" w:eastAsia="zh-CN"/>
        </w:rPr>
        <w:t>6个，实有编制5个，空编数1个；</w:t>
      </w:r>
      <w:r>
        <w:rPr>
          <w:rFonts w:hint="eastAsia" w:ascii="仿宋_GB2312" w:eastAsia="仿宋_GB2312"/>
          <w:sz w:val="30"/>
          <w:szCs w:val="30"/>
          <w:lang w:eastAsia="zh-CN"/>
        </w:rPr>
        <w:t>物价检查所编制为参照公务员管理事业单位</w:t>
      </w:r>
      <w:r>
        <w:rPr>
          <w:rFonts w:hint="eastAsia" w:ascii="仿宋_GB2312" w:hAnsi="仿宋" w:eastAsia="仿宋_GB2312"/>
          <w:sz w:val="32"/>
          <w:szCs w:val="32"/>
          <w:lang w:val="en-US" w:eastAsia="zh-CN"/>
        </w:rPr>
        <w:t>,编制数为5个，实有人数2个，空编3个；物价检查所为全供事业单位，编制数为7个，实有编制数6个，空编1个。</w:t>
      </w:r>
    </w:p>
    <w:p>
      <w:pPr>
        <w:keepNext w:val="0"/>
        <w:keepLines w:val="0"/>
        <w:pageBreakBefore w:val="0"/>
        <w:numPr>
          <w:ilvl w:val="0"/>
          <w:numId w:val="2"/>
        </w:numPr>
        <w:kinsoku w:val="0"/>
        <w:wordWrap/>
        <w:overflowPunct w:val="0"/>
        <w:topLinePunct w:val="0"/>
        <w:bidi w:val="0"/>
        <w:adjustRightInd w:val="0"/>
        <w:snapToGrid w:val="0"/>
        <w:spacing w:line="560" w:lineRule="atLeast"/>
        <w:ind w:left="0" w:leftChars="0" w:right="3569"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部门职责</w:t>
      </w:r>
    </w:p>
    <w:p>
      <w:pPr>
        <w:keepNext w:val="0"/>
        <w:keepLines w:val="0"/>
        <w:pageBreakBefore w:val="0"/>
        <w:widowControl/>
        <w:wordWrap/>
        <w:topLinePunct w:val="0"/>
        <w:bidi w:val="0"/>
        <w:spacing w:line="560" w:lineRule="atLeast"/>
        <w:ind w:firstLine="640" w:firstLineChars="200"/>
        <w:jc w:val="left"/>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1.拟订并组织实施全区国民经济和社会发展战略、中长期规划和年度计划,统筹协调经济社会发展,衔接平衡区域性规划、各主要行业和部门的行业规划与专项规划,受区政府委托向区人大提交国民经济和社会发展计划的报告。</w:t>
      </w:r>
    </w:p>
    <w:p>
      <w:pPr>
        <w:keepNext w:val="0"/>
        <w:keepLines w:val="0"/>
        <w:pageBreakBefore w:val="0"/>
        <w:widowControl/>
        <w:wordWrap/>
        <w:topLinePunct w:val="0"/>
        <w:bidi w:val="0"/>
        <w:spacing w:line="560" w:lineRule="atLeast"/>
        <w:ind w:firstLine="640" w:firstLineChars="200"/>
        <w:jc w:val="left"/>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2.负责监测宏观经济和社会发展态势,承担预测预警和信息引导的责任,研究宏观经济运行、总量平衡和总体产业安全等重要问题并提出宏观调控政策建议；负责协调解决经济运行中的有关重大问题,调节经济运行；负责组织重要物资的紧急调度和交通运输协调。</w:t>
      </w:r>
    </w:p>
    <w:p>
      <w:pPr>
        <w:keepNext w:val="0"/>
        <w:keepLines w:val="0"/>
        <w:pageBreakBefore w:val="0"/>
        <w:widowControl/>
        <w:wordWrap/>
        <w:topLinePunct w:val="0"/>
        <w:bidi w:val="0"/>
        <w:spacing w:line="560" w:lineRule="atLeast"/>
        <w:ind w:firstLine="640" w:firstLineChars="200"/>
        <w:textAlignment w:val="auto"/>
        <w:rPr>
          <w:rFonts w:hint="eastAsia" w:ascii="仿宋_GB2312" w:hAnsi="ˎ̥" w:eastAsia="仿宋_GB2312" w:cs="Arial"/>
          <w:color w:val="000000"/>
          <w:kern w:val="0"/>
          <w:sz w:val="32"/>
          <w:szCs w:val="32"/>
        </w:rPr>
      </w:pPr>
      <w:r>
        <w:rPr>
          <w:rFonts w:hint="eastAsia" w:ascii="仿宋_GB2312" w:eastAsia="仿宋_GB2312"/>
          <w:color w:val="000000"/>
          <w:sz w:val="32"/>
          <w:szCs w:val="32"/>
        </w:rPr>
        <w:t>3.</w:t>
      </w:r>
      <w:r>
        <w:rPr>
          <w:rFonts w:hint="eastAsia" w:ascii="仿宋_GB2312" w:eastAsia="仿宋_GB2312"/>
          <w:sz w:val="32"/>
          <w:szCs w:val="32"/>
        </w:rPr>
        <w:t>参与分析研究全区财政、金融运行情况,研究提出政府融资的政策措施,贯彻财政政策、货币政策和土地政策,组织实施价格政策。综合分析财政、金融、土地政策的执行效果,监督检查价格政策的执行。负责组织制定和调整区管重要商品价格、服务价格和重要收费标准,依法查处价格违法行为和价格垄断行为等。负责全口径外债总量控制、结构优化和监测工作。</w:t>
      </w:r>
    </w:p>
    <w:p>
      <w:pPr>
        <w:keepNext w:val="0"/>
        <w:keepLines w:val="0"/>
        <w:pageBreakBefore w:val="0"/>
        <w:widowControl/>
        <w:wordWrap/>
        <w:topLinePunct w:val="0"/>
        <w:bidi w:val="0"/>
        <w:spacing w:line="560" w:lineRule="atLeast"/>
        <w:ind w:firstLine="640" w:firstLineChars="200"/>
        <w:jc w:val="left"/>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4.承担指导推进和综合协调全区经济体制改革的责任,研究全区经济体制改革和对外开放的重大问题,组织拟订综合性经济体制改革方案,协调有关专项经济体制改革方案,会同有关部门搞好重要专项经济体制改革之间的衔接,指导全区经济体制改革工作。</w:t>
      </w:r>
    </w:p>
    <w:p>
      <w:pPr>
        <w:keepNext w:val="0"/>
        <w:keepLines w:val="0"/>
        <w:pageBreakBefore w:val="0"/>
        <w:widowControl/>
        <w:wordWrap/>
        <w:topLinePunct w:val="0"/>
        <w:bidi w:val="0"/>
        <w:spacing w:line="560" w:lineRule="atLeast"/>
        <w:ind w:firstLine="640" w:firstLineChars="200"/>
        <w:jc w:val="left"/>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5.承担规划重大建设项目和生产力布局的责任,拟订全区全社会固定资产投资总规模和投资结构的调控目标、政策及措施,衔接平衡需要申请中央、省、市政府的投资，安排区政府投资和涉及重大建设项目的专项规化；安排区级财政性建设资金,按规定权限审批、核准、审核重大建设项目、重大外资项目、境外资源开发类重大投资项目和大额用汇投资项目；指导政策性贷款建设资金使用方向和区政府政策性投资公司固定资产投资活动。指导和监督国外贷款建设资金的使用,引导民间投资方向,研究提出利用外资和境外投资的战略、规划、总量平衡和结构优化的目标和政策；审批区政府投资项目和重大基础设施项目立项、可行性研究、概算和初步设计；指导全区工程咨询业发展。</w:t>
      </w:r>
    </w:p>
    <w:p>
      <w:pPr>
        <w:keepNext w:val="0"/>
        <w:keepLines w:val="0"/>
        <w:pageBreakBefore w:val="0"/>
        <w:widowControl/>
        <w:wordWrap/>
        <w:topLinePunct w:val="0"/>
        <w:bidi w:val="0"/>
        <w:spacing w:line="560" w:lineRule="atLeast"/>
        <w:ind w:firstLine="640" w:firstLineChars="200"/>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6.推进经济结构战略性调整。会同有关部门研究提出我区构建现代产业体系、现代城镇体系、自主创新体系的战略、目标、政策并组织实施。组织拟订综合性产业政策,负责协调第一、二、三产业发展的重大问题并衔接平衡相关发展规划和重大政策,做好与国民经济和社会发展规划、计划的衔接平衡;协调农业和农村经济社会发展的重大问题;会同有关部门拟订服务业发展战略和重大政策,协调解决重大问题,拟订现代物流业发展战略、规划;研究拟订高技术产业发展、产业技术进步、产业集聚区的发展战略、规划和重大政策并组织实施;协调解决重大技术装备推广应用等方面的重大问题,统筹信息化发展规划与国民经济和社会发展规划、计划的衔接平衡。</w:t>
      </w:r>
    </w:p>
    <w:p>
      <w:pPr>
        <w:keepNext w:val="0"/>
        <w:keepLines w:val="0"/>
        <w:pageBreakBefore w:val="0"/>
        <w:widowControl/>
        <w:wordWrap/>
        <w:topLinePunct w:val="0"/>
        <w:bidi w:val="0"/>
        <w:spacing w:line="560" w:lineRule="atLeast"/>
        <w:ind w:firstLine="640" w:firstLineChars="200"/>
        <w:jc w:val="left"/>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7.承担组织编制全区主体功能区规划的责任，并协调实施和进行监测评估；组织拟订区域协调发展的战略、规划和重大政策,负责区域经济协作的统筹协调;组织实施国家促进中部地区崛起的战略、规划和重大政策;研究提出全区城镇化发展战略和重大政策,组织拟订区域空间布局等发展战略、规划和重大政策并组织实施,协调解决重大问题。</w:t>
      </w:r>
    </w:p>
    <w:p>
      <w:pPr>
        <w:keepNext w:val="0"/>
        <w:keepLines w:val="0"/>
        <w:pageBreakBefore w:val="0"/>
        <w:widowControl/>
        <w:wordWrap/>
        <w:topLinePunct w:val="0"/>
        <w:bidi w:val="0"/>
        <w:spacing w:line="560" w:lineRule="atLeast"/>
        <w:jc w:val="left"/>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xml:space="preserve">    8.承担重要商品总量平衡和宏观调控的责任,监督执行全区重要农产品、工业品和原材料进出口总量计划,并根据经济运行情况会同有关部门及时与国家、省、市衔接调整进出口总量计划,提出粮食、棉花、食用植物油等重要物资和商品的区级储备计划。</w:t>
      </w:r>
    </w:p>
    <w:p>
      <w:pPr>
        <w:keepNext w:val="0"/>
        <w:keepLines w:val="0"/>
        <w:pageBreakBefore w:val="0"/>
        <w:widowControl/>
        <w:wordWrap/>
        <w:topLinePunct w:val="0"/>
        <w:bidi w:val="0"/>
        <w:spacing w:line="560" w:lineRule="atLeast"/>
        <w:ind w:firstLine="640" w:firstLineChars="200"/>
        <w:jc w:val="left"/>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9.负责社会发展与国民经济发展的政策衔接,组织拟订全区社会发展战略、总体规划和年度计划,参与拟订全区人口和计划生育、科学技术、教育、文化、卫生、民政等发展政策,推进社会事业建设,研究提出促进就业、调整收入分配、完善社会保障与经济协调发展的政策建议,协调社会事业发展和改革中的重大问题及政策。</w:t>
      </w:r>
    </w:p>
    <w:p>
      <w:pPr>
        <w:keepNext w:val="0"/>
        <w:keepLines w:val="0"/>
        <w:pageBreakBefore w:val="0"/>
        <w:widowControl/>
        <w:wordWrap/>
        <w:topLinePunct w:val="0"/>
        <w:bidi w:val="0"/>
        <w:spacing w:line="560" w:lineRule="atLeast"/>
        <w:ind w:firstLine="640" w:firstLineChars="200"/>
        <w:jc w:val="left"/>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10.推进可持续发展战略,负责节能减排的综合协调工作；组织拟订全区发展循环经济、资源能源节约和综合利用规划及政策措施并协调实施,参与编制生态建设、环境保护规划,协调生态建设、节能减排、能源资源节约和综合利用的重大问题；规划布局并组织实施节能减排重大项目,综合协调环保产业和清洁生产促进有关工作。</w:t>
      </w:r>
    </w:p>
    <w:p>
      <w:pPr>
        <w:keepNext w:val="0"/>
        <w:keepLines w:val="0"/>
        <w:pageBreakBefore w:val="0"/>
        <w:widowControl/>
        <w:wordWrap/>
        <w:topLinePunct w:val="0"/>
        <w:bidi w:val="0"/>
        <w:spacing w:line="560" w:lineRule="atLeast"/>
        <w:ind w:firstLine="640" w:firstLineChars="200"/>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11.拟订全区能源发展战略、规划、政策和年度计划；实施对天然气、煤炭、电力等能源的规划建设管理；提出发展新能源和能源行业节能的政策措施。</w:t>
      </w:r>
    </w:p>
    <w:p>
      <w:pPr>
        <w:keepNext w:val="0"/>
        <w:keepLines w:val="0"/>
        <w:pageBreakBefore w:val="0"/>
        <w:widowControl/>
        <w:wordWrap/>
        <w:topLinePunct w:val="0"/>
        <w:bidi w:val="0"/>
        <w:spacing w:line="560" w:lineRule="atLeast"/>
        <w:ind w:firstLine="640" w:firstLineChars="200"/>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12.承担全区重点项目建设管理和重大建设项目稽察的责任;起草全区重点项目建设管理和重大建设项目稽察的有关政策措施;研究提出年度重点项目选择指导目录;组织对重点项目建设工程进度实施全过程监管,协调解决重点项目建设中的重大问题;指导协调全区稽察监管工作,组织开展重大建设项目和政府投资项目稽察。</w:t>
      </w:r>
    </w:p>
    <w:p>
      <w:pPr>
        <w:keepNext w:val="0"/>
        <w:keepLines w:val="0"/>
        <w:pageBreakBefore w:val="0"/>
        <w:widowControl/>
        <w:wordWrap/>
        <w:topLinePunct w:val="0"/>
        <w:bidi w:val="0"/>
        <w:spacing w:line="560" w:lineRule="atLeast"/>
        <w:ind w:firstLine="640" w:firstLineChars="200"/>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13.组织实施国家资源枯竭城市转型政策，提出促进城市转型重大问题和政策的意见建议，协调相关政策的落实，承担区资源枯竭城市经济转型工作领导小组办公室的具体工作。</w:t>
      </w:r>
    </w:p>
    <w:p>
      <w:pPr>
        <w:keepNext w:val="0"/>
        <w:keepLines w:val="0"/>
        <w:pageBreakBefore w:val="0"/>
        <w:widowControl/>
        <w:wordWrap/>
        <w:topLinePunct w:val="0"/>
        <w:bidi w:val="0"/>
        <w:spacing w:line="560" w:lineRule="atLeast"/>
        <w:ind w:firstLine="640" w:firstLineChars="200"/>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14.起草全区国民经济和社会发展、经济体制改革和对外开放的规范性文件。</w:t>
      </w:r>
    </w:p>
    <w:p>
      <w:pPr>
        <w:keepNext w:val="0"/>
        <w:keepLines w:val="0"/>
        <w:pageBreakBefore w:val="0"/>
        <w:widowControl/>
        <w:wordWrap/>
        <w:topLinePunct w:val="0"/>
        <w:bidi w:val="0"/>
        <w:spacing w:line="560" w:lineRule="atLeast"/>
        <w:ind w:firstLine="640" w:firstLineChars="200"/>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15.组织编制全区国民经济动员规划、计划,研究国民经济动员与国民经济、国防建设的关系,协调相关重大问题,组织开展国民经济动员有关工作。</w:t>
      </w:r>
    </w:p>
    <w:p>
      <w:pPr>
        <w:keepNext w:val="0"/>
        <w:keepLines w:val="0"/>
        <w:pageBreakBefore w:val="0"/>
        <w:widowControl/>
        <w:wordWrap/>
        <w:topLinePunct w:val="0"/>
        <w:bidi w:val="0"/>
        <w:spacing w:line="560" w:lineRule="atLeast"/>
        <w:ind w:firstLine="640" w:firstLineChars="200"/>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16.</w:t>
      </w:r>
      <w:r>
        <w:rPr>
          <w:rFonts w:ascii="仿宋_GB2312" w:hAnsi="ˎ̥" w:eastAsia="仿宋_GB2312" w:cs="Arial"/>
          <w:color w:val="000000"/>
          <w:kern w:val="0"/>
          <w:sz w:val="32"/>
          <w:szCs w:val="32"/>
        </w:rPr>
        <w:t>贯彻执行国家</w:t>
      </w:r>
      <w:r>
        <w:rPr>
          <w:rFonts w:hint="eastAsia" w:ascii="仿宋_GB2312" w:hAnsi="ˎ̥" w:eastAsia="仿宋_GB2312" w:cs="Arial"/>
          <w:color w:val="000000"/>
          <w:kern w:val="0"/>
          <w:sz w:val="32"/>
          <w:szCs w:val="32"/>
        </w:rPr>
        <w:t>、省、市有关公共资源交易方面的</w:t>
      </w:r>
      <w:r>
        <w:rPr>
          <w:rFonts w:ascii="仿宋_GB2312" w:hAnsi="ˎ̥" w:eastAsia="仿宋_GB2312" w:cs="Arial"/>
          <w:color w:val="000000"/>
          <w:kern w:val="0"/>
          <w:sz w:val="32"/>
          <w:szCs w:val="32"/>
        </w:rPr>
        <w:t>法律法规和方针政策；</w:t>
      </w:r>
      <w:r>
        <w:rPr>
          <w:rFonts w:hint="eastAsia" w:ascii="仿宋_GB2312" w:hAnsi="ˎ̥" w:eastAsia="仿宋_GB2312" w:cs="Arial"/>
          <w:color w:val="000000"/>
          <w:kern w:val="0"/>
          <w:sz w:val="32"/>
          <w:szCs w:val="32"/>
        </w:rPr>
        <w:t>制定公共资源交易的管理政策和制度；指导和协调全区公共资源交易管理工作。</w:t>
      </w:r>
    </w:p>
    <w:p>
      <w:pPr>
        <w:keepNext w:val="0"/>
        <w:keepLines w:val="0"/>
        <w:pageBreakBefore w:val="0"/>
        <w:widowControl/>
        <w:wordWrap/>
        <w:topLinePunct w:val="0"/>
        <w:bidi w:val="0"/>
        <w:spacing w:line="560" w:lineRule="atLeast"/>
        <w:ind w:firstLine="640" w:firstLineChars="200"/>
        <w:textAlignment w:val="auto"/>
        <w:rPr>
          <w:rFonts w:hint="eastAsia" w:ascii="仿宋_GB2312" w:hAnsi="ˎ̥" w:eastAsia="仿宋_GB2312" w:cs="Arial"/>
          <w:color w:val="000000"/>
          <w:kern w:val="0"/>
          <w:sz w:val="32"/>
          <w:szCs w:val="32"/>
        </w:rPr>
      </w:pPr>
      <w:r>
        <w:rPr>
          <w:rFonts w:hint="eastAsia" w:ascii="仿宋_GB2312" w:eastAsia="仿宋_GB2312"/>
          <w:sz w:val="32"/>
        </w:rPr>
        <w:t xml:space="preserve">17.承办法律、法规、规章规定的行政许可、审批、审核、核准等事项。  </w:t>
      </w:r>
    </w:p>
    <w:p>
      <w:pPr>
        <w:keepNext w:val="0"/>
        <w:keepLines w:val="0"/>
        <w:pageBreakBefore w:val="0"/>
        <w:widowControl/>
        <w:wordWrap/>
        <w:topLinePunct w:val="0"/>
        <w:bidi w:val="0"/>
        <w:spacing w:line="560" w:lineRule="atLeast"/>
        <w:ind w:firstLine="622"/>
        <w:jc w:val="left"/>
        <w:textAlignment w:val="auto"/>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18.承办区政府交办的其他事项。</w:t>
      </w:r>
    </w:p>
    <w:p>
      <w:pPr>
        <w:keepNext w:val="0"/>
        <w:keepLines w:val="0"/>
        <w:pageBreakBefore w:val="0"/>
        <w:widowControl/>
        <w:wordWrap/>
        <w:topLinePunct w:val="0"/>
        <w:bidi w:val="0"/>
        <w:spacing w:line="560" w:lineRule="atLeast"/>
        <w:ind w:firstLine="622"/>
        <w:jc w:val="left"/>
        <w:textAlignment w:val="auto"/>
        <w:rPr>
          <w:rFonts w:hint="eastAsia" w:ascii="仿宋_GB2312" w:hAnsi="ˎ̥" w:eastAsia="仿宋_GB2312" w:cs="Arial"/>
          <w:color w:val="000000"/>
          <w:kern w:val="0"/>
          <w:sz w:val="32"/>
          <w:szCs w:val="32"/>
          <w:lang w:eastAsia="zh-CN"/>
        </w:rPr>
      </w:pPr>
    </w:p>
    <w:p>
      <w:pPr>
        <w:keepNext w:val="0"/>
        <w:keepLines w:val="0"/>
        <w:pageBreakBefore w:val="0"/>
        <w:widowControl/>
        <w:wordWrap/>
        <w:topLinePunct w:val="0"/>
        <w:bidi w:val="0"/>
        <w:spacing w:line="560" w:lineRule="atLeast"/>
        <w:ind w:firstLine="622"/>
        <w:jc w:val="left"/>
        <w:textAlignment w:val="auto"/>
        <w:rPr>
          <w:rFonts w:hint="eastAsia" w:ascii="仿宋_GB2312" w:hAnsi="仿宋_GB2312" w:eastAsia="仿宋_GB2312" w:cs="仿宋_GB2312"/>
          <w:sz w:val="32"/>
          <w:szCs w:val="32"/>
          <w:lang w:val="en-US" w:eastAsia="zh-CN"/>
        </w:rPr>
      </w:pPr>
      <w:r>
        <w:rPr>
          <w:rFonts w:hint="eastAsia" w:ascii="仿宋_GB2312" w:hAnsi="ˎ̥" w:eastAsia="仿宋_GB2312" w:cs="Arial"/>
          <w:color w:val="000000"/>
          <w:kern w:val="0"/>
          <w:sz w:val="32"/>
          <w:szCs w:val="32"/>
          <w:lang w:eastAsia="zh-CN"/>
        </w:rPr>
        <w:t>二、马村区发展和改革委员会预算单位构成</w:t>
      </w:r>
    </w:p>
    <w:p>
      <w:pPr>
        <w:keepNext w:val="0"/>
        <w:keepLines w:val="0"/>
        <w:pageBreakBefore w:val="0"/>
        <w:wordWrap/>
        <w:topLinePunct w:val="0"/>
        <w:bidi w:val="0"/>
        <w:spacing w:line="560" w:lineRule="atLeast"/>
        <w:ind w:firstLine="646" w:firstLineChars="202"/>
        <w:textAlignment w:val="auto"/>
        <w:rPr>
          <w:rFonts w:hint="eastAsia" w:ascii="仿宋_GB2312" w:hAnsi="宋体" w:eastAsia="仿宋_GB2312"/>
          <w:color w:val="000000"/>
          <w:sz w:val="32"/>
          <w:szCs w:val="32"/>
        </w:rPr>
      </w:pPr>
      <w:r>
        <w:rPr>
          <w:rFonts w:hint="eastAsia" w:ascii="仿宋_GB2312" w:hAnsi="仿宋_GB2312" w:eastAsia="仿宋_GB2312" w:cs="仿宋_GB2312"/>
          <w:sz w:val="32"/>
          <w:szCs w:val="32"/>
          <w:lang w:val="en-US" w:eastAsia="zh-CN"/>
        </w:rPr>
        <w:t>马村区发改委下设</w:t>
      </w:r>
      <w:r>
        <w:rPr>
          <w:rFonts w:hint="eastAsia" w:ascii="仿宋_GB2312" w:hAnsi="宋体" w:eastAsia="仿宋_GB2312"/>
          <w:color w:val="000000"/>
          <w:sz w:val="32"/>
          <w:szCs w:val="32"/>
        </w:rPr>
        <w:t>4个内设机构（办公室、国民经济与社会发展规划股、价格管理股、项目办公室），2个二级机构（物价检查所、价格认证中心）。</w:t>
      </w:r>
      <w:r>
        <w:rPr>
          <w:rFonts w:hint="eastAsia" w:ascii="仿宋_GB2312" w:hAnsi="宋体" w:eastAsia="仿宋_GB2312"/>
          <w:color w:val="000000"/>
          <w:sz w:val="32"/>
          <w:szCs w:val="32"/>
          <w:lang w:eastAsia="zh-CN"/>
        </w:rPr>
        <w:t>本预算为本单位本级预算。</w:t>
      </w:r>
    </w:p>
    <w:p>
      <w:pPr>
        <w:keepNext w:val="0"/>
        <w:keepLines w:val="0"/>
        <w:pageBreakBefore w:val="0"/>
        <w:widowControl/>
        <w:shd w:val="clear" w:color="auto" w:fill="FFFFFF"/>
        <w:wordWrap/>
        <w:topLinePunct w:val="0"/>
        <w:bidi w:val="0"/>
        <w:spacing w:line="560" w:lineRule="atLeast"/>
        <w:jc w:val="center"/>
        <w:textAlignment w:val="auto"/>
        <w:rPr>
          <w:rFonts w:hint="eastAsia" w:ascii="仿宋_GB2312" w:hAnsi="仿宋_GB2312" w:eastAsia="仿宋_GB2312" w:cs="仿宋_GB2312"/>
          <w:b/>
          <w:bCs/>
          <w:sz w:val="32"/>
          <w:szCs w:val="32"/>
        </w:rPr>
      </w:pPr>
    </w:p>
    <w:p>
      <w:pPr>
        <w:keepNext w:val="0"/>
        <w:keepLines w:val="0"/>
        <w:pageBreakBefore w:val="0"/>
        <w:widowControl/>
        <w:shd w:val="clear" w:color="auto" w:fill="FFFFFF"/>
        <w:wordWrap/>
        <w:topLinePunct w:val="0"/>
        <w:bidi w:val="0"/>
        <w:spacing w:line="560" w:lineRule="atLeast"/>
        <w:jc w:val="center"/>
        <w:textAlignment w:val="auto"/>
        <w:rPr>
          <w:rFonts w:hint="eastAsia" w:ascii="仿宋_GB2312" w:hAnsi="仿宋_GB2312" w:eastAsia="仿宋_GB2312" w:cs="仿宋_GB2312"/>
          <w:b/>
          <w:bCs/>
          <w:sz w:val="32"/>
          <w:szCs w:val="32"/>
        </w:rPr>
      </w:pPr>
    </w:p>
    <w:p>
      <w:pPr>
        <w:keepNext w:val="0"/>
        <w:keepLines w:val="0"/>
        <w:pageBreakBefore w:val="0"/>
        <w:widowControl/>
        <w:shd w:val="clear" w:color="auto" w:fill="FFFFFF"/>
        <w:wordWrap/>
        <w:topLinePunct w:val="0"/>
        <w:bidi w:val="0"/>
        <w:spacing w:line="560" w:lineRule="atLeast"/>
        <w:jc w:val="center"/>
        <w:textAlignment w:val="auto"/>
        <w:rPr>
          <w:rFonts w:hint="eastAsia" w:ascii="仿宋_GB2312" w:hAnsi="仿宋_GB2312" w:eastAsia="仿宋_GB2312" w:cs="仿宋_GB2312"/>
          <w:b/>
          <w:bCs/>
          <w:sz w:val="32"/>
          <w:szCs w:val="32"/>
        </w:rPr>
      </w:pPr>
    </w:p>
    <w:p>
      <w:pPr>
        <w:keepNext w:val="0"/>
        <w:keepLines w:val="0"/>
        <w:pageBreakBefore w:val="0"/>
        <w:widowControl/>
        <w:shd w:val="clear" w:color="auto" w:fill="FFFFFF"/>
        <w:wordWrap/>
        <w:topLinePunct w:val="0"/>
        <w:bidi w:val="0"/>
        <w:spacing w:line="560" w:lineRule="atLeast"/>
        <w:jc w:val="center"/>
        <w:textAlignment w:val="auto"/>
        <w:rPr>
          <w:rFonts w:hint="eastAsia" w:ascii="仿宋_GB2312" w:hAnsi="仿宋_GB2312" w:eastAsia="仿宋_GB2312" w:cs="仿宋_GB2312"/>
          <w:b/>
          <w:bCs/>
          <w:sz w:val="32"/>
          <w:szCs w:val="32"/>
        </w:rPr>
      </w:pPr>
    </w:p>
    <w:p>
      <w:pPr>
        <w:keepNext w:val="0"/>
        <w:keepLines w:val="0"/>
        <w:pageBreakBefore w:val="0"/>
        <w:widowControl/>
        <w:shd w:val="clear" w:color="auto" w:fill="FFFFFF"/>
        <w:wordWrap/>
        <w:topLinePunct w:val="0"/>
        <w:bidi w:val="0"/>
        <w:spacing w:line="560" w:lineRule="atLeast"/>
        <w:jc w:val="center"/>
        <w:textAlignment w:val="auto"/>
        <w:rPr>
          <w:rFonts w:hint="eastAsia" w:ascii="仿宋_GB2312" w:hAnsi="仿宋_GB2312" w:eastAsia="仿宋_GB2312" w:cs="仿宋_GB2312"/>
          <w:b/>
          <w:bCs/>
          <w:sz w:val="32"/>
          <w:szCs w:val="32"/>
        </w:rPr>
      </w:pPr>
    </w:p>
    <w:p>
      <w:pPr>
        <w:keepNext w:val="0"/>
        <w:keepLines w:val="0"/>
        <w:pageBreakBefore w:val="0"/>
        <w:widowControl/>
        <w:shd w:val="clear" w:color="auto" w:fill="FFFFFF"/>
        <w:wordWrap/>
        <w:topLinePunct w:val="0"/>
        <w:bidi w:val="0"/>
        <w:spacing w:line="560" w:lineRule="atLeast"/>
        <w:jc w:val="center"/>
        <w:textAlignment w:val="auto"/>
        <w:rPr>
          <w:rFonts w:hint="eastAsia" w:ascii="仿宋_GB2312" w:hAnsi="仿宋_GB2312" w:eastAsia="仿宋_GB2312" w:cs="仿宋_GB2312"/>
          <w:b/>
          <w:bCs/>
          <w:sz w:val="32"/>
          <w:szCs w:val="32"/>
        </w:rPr>
      </w:pPr>
    </w:p>
    <w:p>
      <w:pPr>
        <w:keepNext w:val="0"/>
        <w:keepLines w:val="0"/>
        <w:pageBreakBefore w:val="0"/>
        <w:widowControl/>
        <w:shd w:val="clear" w:color="auto" w:fill="FFFFFF"/>
        <w:wordWrap/>
        <w:topLinePunct w:val="0"/>
        <w:bidi w:val="0"/>
        <w:spacing w:line="560" w:lineRule="atLeast"/>
        <w:jc w:val="center"/>
        <w:textAlignment w:val="auto"/>
        <w:rPr>
          <w:rFonts w:hint="eastAsia" w:ascii="仿宋_GB2312" w:hAnsi="仿宋_GB2312" w:eastAsia="仿宋_GB2312" w:cs="仿宋_GB2312"/>
          <w:b/>
          <w:bCs/>
          <w:sz w:val="32"/>
          <w:szCs w:val="32"/>
        </w:rPr>
      </w:pPr>
    </w:p>
    <w:p>
      <w:pPr>
        <w:keepNext w:val="0"/>
        <w:keepLines w:val="0"/>
        <w:pageBreakBefore w:val="0"/>
        <w:widowControl/>
        <w:shd w:val="clear" w:color="auto" w:fill="FFFFFF"/>
        <w:wordWrap/>
        <w:topLinePunct w:val="0"/>
        <w:bidi w:val="0"/>
        <w:spacing w:line="560" w:lineRule="atLeast"/>
        <w:jc w:val="center"/>
        <w:textAlignment w:val="auto"/>
        <w:rPr>
          <w:rFonts w:hint="eastAsia" w:ascii="仿宋_GB2312" w:hAnsi="仿宋_GB2312" w:eastAsia="仿宋_GB2312" w:cs="仿宋_GB2312"/>
          <w:b/>
          <w:bCs/>
          <w:sz w:val="32"/>
          <w:szCs w:val="32"/>
        </w:rPr>
      </w:pPr>
    </w:p>
    <w:p>
      <w:pPr>
        <w:keepNext w:val="0"/>
        <w:keepLines w:val="0"/>
        <w:pageBreakBefore w:val="0"/>
        <w:widowControl/>
        <w:shd w:val="clear" w:color="auto" w:fill="FFFFFF"/>
        <w:wordWrap/>
        <w:topLinePunct w:val="0"/>
        <w:bidi w:val="0"/>
        <w:spacing w:line="560" w:lineRule="atLeast"/>
        <w:jc w:val="center"/>
        <w:textAlignment w:val="auto"/>
        <w:rPr>
          <w:rFonts w:hint="eastAsia" w:ascii="仿宋_GB2312" w:hAnsi="仿宋_GB2312" w:eastAsia="仿宋_GB2312" w:cs="仿宋_GB2312"/>
          <w:b/>
          <w:bCs/>
          <w:sz w:val="32"/>
          <w:szCs w:val="32"/>
          <w:lang w:val="en-US" w:eastAsia="zh-CN"/>
        </w:rPr>
      </w:pPr>
      <w:bookmarkStart w:id="0" w:name="_GoBack"/>
      <w:bookmarkEnd w:id="0"/>
      <w:r>
        <w:rPr>
          <w:rFonts w:hint="eastAsia" w:ascii="仿宋_GB2312" w:hAnsi="仿宋_GB2312" w:eastAsia="仿宋_GB2312" w:cs="仿宋_GB2312"/>
          <w:b/>
          <w:bCs/>
          <w:sz w:val="32"/>
          <w:szCs w:val="32"/>
        </w:rPr>
        <w:t>第二部分</w:t>
      </w:r>
    </w:p>
    <w:p>
      <w:pPr>
        <w:keepNext w:val="0"/>
        <w:keepLines w:val="0"/>
        <w:pageBreakBefore w:val="0"/>
        <w:widowControl/>
        <w:shd w:val="clear" w:color="auto" w:fill="FFFFFF"/>
        <w:wordWrap/>
        <w:topLinePunct w:val="0"/>
        <w:bidi w:val="0"/>
        <w:spacing w:line="560" w:lineRule="atLeas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焦作市马村区发展和改革委员会2020</w:t>
      </w:r>
      <w:r>
        <w:rPr>
          <w:rFonts w:hint="eastAsia" w:ascii="仿宋_GB2312" w:hAnsi="仿宋_GB2312" w:eastAsia="仿宋_GB2312" w:cs="仿宋_GB2312"/>
          <w:b/>
          <w:bCs/>
          <w:sz w:val="32"/>
          <w:szCs w:val="32"/>
        </w:rPr>
        <w:t>年度部门预算情况说明</w:t>
      </w:r>
    </w:p>
    <w:p>
      <w:pPr>
        <w:keepNext w:val="0"/>
        <w:keepLines w:val="0"/>
        <w:pageBreakBefore w:val="0"/>
        <w:wordWrap/>
        <w:topLinePunct w:val="0"/>
        <w:bidi w:val="0"/>
        <w:adjustRightInd w:val="0"/>
        <w:snapToGrid w:val="0"/>
        <w:spacing w:line="560" w:lineRule="atLeast"/>
        <w:ind w:firstLine="640" w:firstLineChars="200"/>
        <w:textAlignment w:val="auto"/>
        <w:outlineLvl w:val="0"/>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一、收入支出预算总体情况说明</w:t>
      </w:r>
    </w:p>
    <w:p>
      <w:pPr>
        <w:keepNext w:val="0"/>
        <w:keepLines w:val="0"/>
        <w:pageBreakBefore w:val="0"/>
        <w:wordWrap/>
        <w:topLinePunct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马村区发改委2020</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val="en-US" w:eastAsia="zh-CN"/>
        </w:rPr>
        <w:t>1822.62</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1822.62</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支总计</w:t>
      </w:r>
      <w:r>
        <w:rPr>
          <w:rFonts w:hint="eastAsia" w:ascii="仿宋_GB2312" w:hAnsi="仿宋_GB2312" w:eastAsia="仿宋_GB2312" w:cs="仿宋_GB2312"/>
          <w:sz w:val="32"/>
          <w:szCs w:val="32"/>
          <w:lang w:eastAsia="zh-CN"/>
        </w:rPr>
        <w:t>增加了</w:t>
      </w:r>
      <w:r>
        <w:rPr>
          <w:rFonts w:hint="eastAsia" w:ascii="仿宋_GB2312" w:hAnsi="仿宋_GB2312" w:eastAsia="仿宋_GB2312" w:cs="仿宋_GB2312"/>
          <w:sz w:val="32"/>
          <w:szCs w:val="32"/>
          <w:lang w:val="en-US" w:eastAsia="zh-CN"/>
        </w:rPr>
        <w:t>1657.87万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增加了10.07倍，</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2020年预算增加了双替代设备购置款1677.4万元，故收、支比上年增加。</w:t>
      </w:r>
    </w:p>
    <w:p>
      <w:pPr>
        <w:keepNext w:val="0"/>
        <w:keepLines w:val="0"/>
        <w:pageBreakBefore w:val="0"/>
        <w:wordWrap/>
        <w:topLinePunct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二、收入预算总体情况说明</w:t>
      </w:r>
    </w:p>
    <w:p>
      <w:pPr>
        <w:keepNext w:val="0"/>
        <w:keepLines w:val="0"/>
        <w:pageBreakBefore w:val="0"/>
        <w:widowControl/>
        <w:shd w:val="clear" w:color="auto" w:fill="FFFFFF"/>
        <w:wordWrap/>
        <w:topLinePunct w:val="0"/>
        <w:bidi w:val="0"/>
        <w:spacing w:line="560" w:lineRule="atLeast"/>
        <w:ind w:firstLine="640"/>
        <w:jc w:val="lef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马村区发改委2020</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1822.62</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lang w:val="en-US" w:eastAsia="zh-CN"/>
        </w:rPr>
        <w:t>322.62</w:t>
      </w:r>
      <w:r>
        <w:rPr>
          <w:rFonts w:hint="eastAsia" w:ascii="仿宋_GB2312" w:hAnsi="仿宋_GB2312" w:eastAsia="仿宋_GB2312" w:cs="仿宋_GB2312"/>
          <w:sz w:val="32"/>
          <w:szCs w:val="32"/>
        </w:rPr>
        <w:t xml:space="preserve">万元; </w:t>
      </w:r>
      <w:r>
        <w:rPr>
          <w:rFonts w:hint="eastAsia" w:ascii="仿宋_GB2312" w:hAnsi="仿宋_GB2312" w:eastAsia="仿宋_GB2312" w:cs="仿宋_GB2312"/>
          <w:sz w:val="32"/>
          <w:szCs w:val="32"/>
          <w:lang w:eastAsia="zh-CN"/>
        </w:rPr>
        <w:t>政府性基金预算收入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国有资本经营预算收入</w:t>
      </w:r>
      <w:r>
        <w:rPr>
          <w:rFonts w:hint="eastAsia" w:ascii="仿宋_GB2312" w:hAnsi="仿宋_GB2312" w:eastAsia="仿宋_GB2312" w:cs="仿宋_GB2312"/>
          <w:sz w:val="32"/>
          <w:szCs w:val="32"/>
          <w:lang w:val="en-US" w:eastAsia="zh-CN"/>
        </w:rPr>
        <w:t>0</w:t>
      </w:r>
      <w:r>
        <w:rPr>
          <w:rFonts w:hint="eastAsia" w:ascii="Arial" w:hAnsi="Arial" w:eastAsia="仿宋_GB2312" w:cs="Arial"/>
          <w:sz w:val="32"/>
          <w:szCs w:val="32"/>
          <w:lang w:eastAsia="zh-CN"/>
        </w:rPr>
        <w:t>万元；其他资金</w:t>
      </w:r>
      <w:r>
        <w:rPr>
          <w:rFonts w:hint="eastAsia" w:ascii="仿宋_GB2312" w:hAnsi="仿宋_GB2312" w:eastAsia="仿宋_GB2312" w:cs="仿宋_GB2312"/>
          <w:sz w:val="32"/>
          <w:szCs w:val="32"/>
          <w:lang w:val="en-US" w:eastAsia="zh-CN"/>
        </w:rPr>
        <w:t>1500</w:t>
      </w:r>
      <w:r>
        <w:rPr>
          <w:rFonts w:hint="eastAsia" w:ascii="Arial" w:hAnsi="Arial" w:eastAsia="仿宋_GB2312" w:cs="Arial"/>
          <w:sz w:val="32"/>
          <w:szCs w:val="32"/>
          <w:lang w:eastAsia="zh-CN"/>
        </w:rPr>
        <w:t>万元。</w:t>
      </w:r>
      <w:r>
        <w:rPr>
          <w:rFonts w:hint="eastAsia" w:ascii="仿宋_GB2312" w:hAnsi="仿宋_GB2312" w:eastAsia="仿宋_GB2312" w:cs="仿宋_GB2312"/>
          <w:color w:val="FF0000"/>
          <w:sz w:val="32"/>
          <w:szCs w:val="32"/>
          <w:lang w:val="en-US" w:eastAsia="zh-CN"/>
        </w:rPr>
        <w:t xml:space="preserve"> </w:t>
      </w:r>
    </w:p>
    <w:p>
      <w:pPr>
        <w:keepNext w:val="0"/>
        <w:keepLines w:val="0"/>
        <w:pageBreakBefore w:val="0"/>
        <w:wordWrap/>
        <w:topLinePunct w:val="0"/>
        <w:bidi w:val="0"/>
        <w:spacing w:line="560" w:lineRule="atLeas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三、支出预算总体情况说明</w:t>
      </w:r>
    </w:p>
    <w:p>
      <w:pPr>
        <w:keepNext w:val="0"/>
        <w:keepLines w:val="0"/>
        <w:pageBreakBefore w:val="0"/>
        <w:wordWrap/>
        <w:topLinePunct w:val="0"/>
        <w:bidi w:val="0"/>
        <w:spacing w:line="560" w:lineRule="atLeas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马村区发改委2020</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1822.62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145.22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1677.4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atLeas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四、财政拨款收入支出预算总体情况说明</w:t>
      </w:r>
    </w:p>
    <w:p>
      <w:pPr>
        <w:keepNext w:val="0"/>
        <w:keepLines w:val="0"/>
        <w:pageBreakBefore w:val="0"/>
        <w:wordWrap/>
        <w:topLinePunct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马村区发改委2020</w:t>
      </w:r>
      <w:r>
        <w:rPr>
          <w:rFonts w:hint="eastAsia" w:ascii="仿宋_GB2312" w:hAnsi="仿宋_GB2312" w:eastAsia="仿宋_GB2312" w:cs="仿宋_GB2312"/>
          <w:sz w:val="32"/>
          <w:szCs w:val="32"/>
        </w:rPr>
        <w:t>年一般公共预算收支预算</w:t>
      </w:r>
      <w:r>
        <w:rPr>
          <w:rFonts w:hint="eastAsia" w:ascii="仿宋_GB2312" w:hAnsi="仿宋_GB2312" w:eastAsia="仿宋_GB2312" w:cs="仿宋_GB2312"/>
          <w:sz w:val="32"/>
          <w:szCs w:val="32"/>
          <w:lang w:val="en-US" w:eastAsia="zh-CN"/>
        </w:rPr>
        <w:t>322.62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，政府性基金收支预算</w:t>
      </w:r>
      <w:r>
        <w:rPr>
          <w:rFonts w:hint="eastAsia" w:ascii="仿宋_GB2312" w:hAnsi="仿宋_GB2312" w:eastAsia="仿宋_GB2312" w:cs="仿宋_GB2312"/>
          <w:sz w:val="32"/>
          <w:szCs w:val="32"/>
          <w:lang w:val="en-US" w:eastAsia="zh-CN"/>
        </w:rPr>
        <w:t>0</w:t>
      </w:r>
      <w:r>
        <w:rPr>
          <w:rFonts w:hint="eastAsia" w:ascii="Arial" w:hAnsi="Arial" w:eastAsia="仿宋_GB2312" w:cs="Arial"/>
          <w:sz w:val="32"/>
          <w:szCs w:val="32"/>
          <w:lang w:eastAsia="zh-CN"/>
        </w:rPr>
        <w:t>万元，</w:t>
      </w:r>
      <w:r>
        <w:rPr>
          <w:rFonts w:hint="eastAsia" w:ascii="仿宋_GB2312" w:hAnsi="仿宋_GB2312" w:eastAsia="仿宋_GB2312" w:cs="仿宋_GB2312"/>
          <w:sz w:val="32"/>
          <w:szCs w:val="32"/>
          <w:lang w:eastAsia="zh-CN"/>
        </w:rPr>
        <w:t>国有资本经营预算收入</w:t>
      </w:r>
      <w:r>
        <w:rPr>
          <w:rFonts w:hint="eastAsia" w:ascii="仿宋_GB2312" w:hAnsi="仿宋_GB2312" w:eastAsia="仿宋_GB2312" w:cs="仿宋_GB2312"/>
          <w:sz w:val="32"/>
          <w:szCs w:val="32"/>
          <w:lang w:val="en-US" w:eastAsia="zh-CN"/>
        </w:rPr>
        <w:t>0</w:t>
      </w:r>
      <w:r>
        <w:rPr>
          <w:rFonts w:hint="eastAsia" w:ascii="Arial" w:hAnsi="Arial" w:eastAsia="仿宋_GB2312" w:cs="Arial"/>
          <w:sz w:val="32"/>
          <w:szCs w:val="32"/>
          <w:lang w:eastAsia="zh-CN"/>
        </w:rPr>
        <w:t>万元；纳入财政专户管理的行政事业性收费</w:t>
      </w:r>
      <w:r>
        <w:rPr>
          <w:rFonts w:hint="eastAsia" w:ascii="Arial" w:hAnsi="Arial" w:eastAsia="仿宋_GB2312" w:cs="Arial"/>
          <w:sz w:val="32"/>
          <w:szCs w:val="32"/>
          <w:lang w:val="en-US" w:eastAsia="zh-CN"/>
        </w:rPr>
        <w:t>0元</w:t>
      </w:r>
      <w:r>
        <w:rPr>
          <w:rFonts w:hint="eastAsia" w:ascii="Arial" w:hAnsi="Arial" w:eastAsia="仿宋_GB2312" w:cs="Arial"/>
          <w:sz w:val="32"/>
          <w:szCs w:val="32"/>
          <w:lang w:eastAsia="zh-CN"/>
        </w:rPr>
        <w:t>；其他资金</w:t>
      </w:r>
      <w:r>
        <w:rPr>
          <w:rFonts w:hint="eastAsia" w:ascii="仿宋_GB2312" w:hAnsi="仿宋_GB2312" w:eastAsia="仿宋_GB2312" w:cs="仿宋_GB2312"/>
          <w:sz w:val="32"/>
          <w:szCs w:val="32"/>
          <w:lang w:val="en-US" w:eastAsia="zh-CN"/>
        </w:rPr>
        <w:t>1500</w:t>
      </w:r>
      <w:r>
        <w:rPr>
          <w:rFonts w:hint="eastAsia" w:ascii="Arial" w:hAnsi="Arial" w:eastAsia="仿宋_GB2312" w:cs="Arial"/>
          <w:sz w:val="32"/>
          <w:szCs w:val="32"/>
          <w:lang w:eastAsia="zh-CN"/>
        </w:rPr>
        <w:t>万元。</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sz w:val="32"/>
          <w:szCs w:val="32"/>
        </w:rPr>
        <w:t xml:space="preserve">与 </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年相比，一般公共预算收支预算</w:t>
      </w:r>
      <w:r>
        <w:rPr>
          <w:rFonts w:hint="eastAsia" w:ascii="仿宋_GB2312" w:hAnsi="仿宋_GB2312" w:eastAsia="仿宋_GB2312" w:cs="仿宋_GB2312"/>
          <w:sz w:val="32"/>
          <w:szCs w:val="32"/>
          <w:lang w:val="en-US" w:eastAsia="zh-CN"/>
        </w:rPr>
        <w:t>增加157.87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增加96%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主要原因：2020年编制十四五规划，编制费用增加，故2020年收、支总计较2019年增加96%；政府性基金收支增加0万元，增长0%，主要原因：2020年我单位无政府性基金收支；国有资本经营预算收入0万元，纳入财政专户管理的行政事业性收费0元，增长0%，主要原因是2020年我单位无国有资本经营预算收入和纳入财政专户管理的行政事业性收费。其他资金预算收入增加1500万元，增加了100%，主要是因为2020年预算增加了双替代设备购置款1500万元，故收、支比上年增加。</w:t>
      </w:r>
    </w:p>
    <w:p>
      <w:pPr>
        <w:keepNext w:val="0"/>
        <w:keepLines w:val="0"/>
        <w:pageBreakBefore w:val="0"/>
        <w:widowControl/>
        <w:shd w:val="clear" w:color="auto" w:fill="FFFFFF"/>
        <w:wordWrap/>
        <w:topLinePunct w:val="0"/>
        <w:bidi w:val="0"/>
        <w:spacing w:line="560" w:lineRule="atLeast"/>
        <w:ind w:firstLine="640"/>
        <w:jc w:val="left"/>
        <w:textAlignment w:val="auto"/>
        <w:rPr>
          <w:rFonts w:hint="eastAsia" w:ascii="仿宋_GB2312" w:hAnsi="仿宋_GB2312" w:eastAsia="仿宋_GB2312" w:cs="仿宋_GB2312"/>
          <w:sz w:val="32"/>
          <w:szCs w:val="32"/>
          <w:lang w:val="en-US" w:eastAsia="zh-CN"/>
        </w:rPr>
      </w:pPr>
    </w:p>
    <w:p>
      <w:pPr>
        <w:keepNext w:val="0"/>
        <w:keepLines w:val="0"/>
        <w:pageBreakBefore w:val="0"/>
        <w:wordWrap/>
        <w:topLinePunct w:val="0"/>
        <w:bidi w:val="0"/>
        <w:spacing w:line="560" w:lineRule="atLeas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五、一般公共预算支出预算情况说明</w:t>
      </w:r>
    </w:p>
    <w:p>
      <w:pPr>
        <w:keepNext w:val="0"/>
        <w:keepLines w:val="0"/>
        <w:pageBreakBefore w:val="0"/>
        <w:wordWrap/>
        <w:topLinePunct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村区发改委2020年一般公共预算支出年初预算为322.62万元。主要用于以下方面：一般公共服务支出287.08万元，占89%；社会保障和就业支出17.72万元，占5.5%；卫生健康支出6.45万元，占2%；住房保障支出11.37万元，占3.5%。</w:t>
      </w:r>
    </w:p>
    <w:p>
      <w:pPr>
        <w:keepNext w:val="0"/>
        <w:keepLines w:val="0"/>
        <w:pageBreakBefore w:val="0"/>
        <w:wordWrap/>
        <w:topLinePunct w:val="0"/>
        <w:bidi w:val="0"/>
        <w:spacing w:line="560" w:lineRule="atLeas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六、一般公共预算基本支出预算情况说明</w:t>
      </w:r>
    </w:p>
    <w:p>
      <w:pPr>
        <w:keepNext w:val="0"/>
        <w:keepLines w:val="0"/>
        <w:pageBreakBefore w:val="0"/>
        <w:widowControl/>
        <w:wordWrap/>
        <w:topLinePunct w:val="0"/>
        <w:bidi w:val="0"/>
        <w:spacing w:line="560" w:lineRule="atLeast"/>
        <w:ind w:firstLine="622"/>
        <w:jc w:val="left"/>
        <w:textAlignment w:val="auto"/>
        <w:rPr>
          <w:rFonts w:hint="eastAsia" w:ascii="仿宋_GB2312" w:hAnsi="仿宋_GB2312" w:eastAsia="仿宋_GB2312" w:cs="仿宋_GB2312"/>
          <w:color w:val="FF0000"/>
          <w:kern w:val="0"/>
          <w:sz w:val="32"/>
          <w:szCs w:val="32"/>
          <w:u w:val="none"/>
        </w:rPr>
      </w:pPr>
      <w:r>
        <w:rPr>
          <w:rFonts w:hint="eastAsia" w:ascii="仿宋_GB2312" w:hAnsi="仿宋_GB2312" w:eastAsia="仿宋_GB2312" w:cs="仿宋_GB2312"/>
          <w:sz w:val="32"/>
          <w:szCs w:val="32"/>
          <w:lang w:val="en-US" w:eastAsia="zh-CN"/>
        </w:rPr>
        <w:t>马村区发改委2020</w:t>
      </w:r>
      <w:r>
        <w:rPr>
          <w:rFonts w:hint="eastAsia" w:ascii="仿宋_GB2312" w:hAnsi="仿宋_GB2312" w:eastAsia="仿宋_GB2312" w:cs="仿宋_GB2312"/>
          <w:sz w:val="32"/>
          <w:szCs w:val="32"/>
        </w:rPr>
        <w:t>年一般公共预算基本支出</w:t>
      </w:r>
      <w:r>
        <w:rPr>
          <w:rFonts w:hint="eastAsia" w:ascii="仿宋_GB2312" w:hAnsi="仿宋_GB2312" w:eastAsia="仿宋_GB2312" w:cs="仿宋_GB2312"/>
          <w:kern w:val="0"/>
          <w:sz w:val="32"/>
          <w:szCs w:val="32"/>
          <w:lang w:val="en-US" w:eastAsia="zh-CN"/>
        </w:rPr>
        <w:t>145.22</w:t>
      </w:r>
      <w:r>
        <w:rPr>
          <w:rFonts w:hint="eastAsia" w:ascii="仿宋_GB2312" w:hAnsi="仿宋_GB2312" w:eastAsia="仿宋_GB2312" w:cs="仿宋_GB2312"/>
          <w:sz w:val="32"/>
          <w:szCs w:val="32"/>
        </w:rPr>
        <w:t>万元，其中：</w:t>
      </w:r>
      <w:r>
        <w:rPr>
          <w:rFonts w:hint="eastAsia" w:ascii="仿宋_GB2312" w:hAnsi="仿宋_GB2312" w:eastAsia="仿宋_GB2312" w:cs="仿宋_GB2312"/>
          <w:b/>
          <w:bCs w:val="0"/>
          <w:spacing w:val="-1"/>
          <w:kern w:val="0"/>
          <w:sz w:val="32"/>
          <w:szCs w:val="32"/>
        </w:rPr>
        <w:t>人员经费</w:t>
      </w:r>
      <w:r>
        <w:rPr>
          <w:rFonts w:hint="eastAsia" w:ascii="仿宋_GB2312" w:hAnsi="仿宋_GB2312" w:eastAsia="仿宋_GB2312" w:cs="仿宋_GB2312"/>
          <w:b/>
          <w:bCs w:val="0"/>
          <w:kern w:val="0"/>
          <w:sz w:val="32"/>
          <w:szCs w:val="32"/>
          <w:lang w:val="en-US" w:eastAsia="zh-CN"/>
        </w:rPr>
        <w:t>133.47</w:t>
      </w:r>
      <w:r>
        <w:rPr>
          <w:rFonts w:hint="eastAsia" w:ascii="仿宋_GB2312" w:hAnsi="仿宋_GB2312" w:eastAsia="仿宋_GB2312" w:cs="仿宋_GB2312"/>
          <w:b/>
          <w:bCs w:val="0"/>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基本工资、津贴补贴、奖金、绩效工资、机关事业单位基本养老保险缴费、职业年金缴费、医疗保险缴费、其他社会保障缴费、住房公积金、其他工资福利支出、离休费、退休费、其他对个人和家庭的补助支出；</w:t>
      </w:r>
      <w:r>
        <w:rPr>
          <w:rFonts w:hint="eastAsia" w:ascii="仿宋_GB2312" w:hAnsi="仿宋_GB2312" w:eastAsia="仿宋_GB2312" w:cs="仿宋_GB2312"/>
          <w:b/>
          <w:bCs/>
          <w:kern w:val="0"/>
          <w:sz w:val="32"/>
          <w:szCs w:val="32"/>
        </w:rPr>
        <w:t>公用经费</w:t>
      </w:r>
      <w:r>
        <w:rPr>
          <w:rFonts w:hint="eastAsia" w:ascii="仿宋_GB2312" w:hAnsi="仿宋_GB2312" w:eastAsia="仿宋_GB2312" w:cs="仿宋_GB2312"/>
          <w:b/>
          <w:bCs/>
          <w:kern w:val="0"/>
          <w:sz w:val="32"/>
          <w:szCs w:val="32"/>
          <w:lang w:val="en-US" w:eastAsia="zh-CN"/>
        </w:rPr>
        <w:t>11.75</w:t>
      </w:r>
      <w:r>
        <w:rPr>
          <w:rFonts w:hint="eastAsia" w:ascii="仿宋_GB2312" w:hAnsi="仿宋_GB2312" w:eastAsia="仿宋_GB2312" w:cs="仿宋_GB2312"/>
          <w:b/>
          <w:bCs/>
          <w:kern w:val="0"/>
          <w:sz w:val="32"/>
          <w:szCs w:val="32"/>
        </w:rPr>
        <w:t>万元</w:t>
      </w:r>
      <w:r>
        <w:rPr>
          <w:rFonts w:hint="eastAsia" w:ascii="仿宋_GB2312" w:hAnsi="仿宋_GB2312" w:eastAsia="仿宋_GB2312" w:cs="仿宋_GB2312"/>
          <w:kern w:val="0"/>
          <w:sz w:val="32"/>
          <w:szCs w:val="32"/>
        </w:rPr>
        <w:t>，主要包括：办公费、印刷费、咨询费、手续费、邮电费、差旅费、维修（护）费、租赁费、会议费、培训费、公务接待费、劳务费、委托业务费、福利费、公务用车运行维护费、其他交通费用、税金及附加费用、其他商品和服务支出。</w:t>
      </w:r>
    </w:p>
    <w:p>
      <w:pPr>
        <w:keepNext w:val="0"/>
        <w:keepLines w:val="0"/>
        <w:pageBreakBefore w:val="0"/>
        <w:wordWrap/>
        <w:topLinePunct w:val="0"/>
        <w:bidi w:val="0"/>
        <w:spacing w:line="560" w:lineRule="atLeas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政府性基金预算支出</w:t>
      </w:r>
      <w:r>
        <w:rPr>
          <w:rFonts w:hint="eastAsia" w:ascii="仿宋_GB2312" w:hAnsi="仿宋_GB2312" w:eastAsia="仿宋_GB2312" w:cs="仿宋_GB2312"/>
          <w:kern w:val="0"/>
          <w:sz w:val="32"/>
          <w:szCs w:val="32"/>
          <w:lang w:eastAsia="zh-CN"/>
        </w:rPr>
        <w:t>预算</w:t>
      </w:r>
      <w:r>
        <w:rPr>
          <w:rFonts w:hint="eastAsia" w:ascii="仿宋_GB2312" w:hAnsi="仿宋_GB2312" w:eastAsia="仿宋_GB2312" w:cs="仿宋_GB2312"/>
          <w:kern w:val="0"/>
          <w:sz w:val="32"/>
          <w:szCs w:val="32"/>
        </w:rPr>
        <w:t>情况说明</w:t>
      </w:r>
    </w:p>
    <w:p>
      <w:pPr>
        <w:keepNext w:val="0"/>
        <w:keepLines w:val="0"/>
        <w:pageBreakBefore w:val="0"/>
        <w:wordWrap/>
        <w:topLinePunct w:val="0"/>
        <w:bidi w:val="0"/>
        <w:spacing w:line="560" w:lineRule="atLeas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马村区发改委</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b/>
          <w:color w:val="FF0000"/>
          <w:kern w:val="0"/>
          <w:sz w:val="32"/>
          <w:szCs w:val="32"/>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我单位</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年没有使用政府性基金预算</w:t>
      </w:r>
      <w:r>
        <w:rPr>
          <w:rFonts w:hint="eastAsia" w:ascii="仿宋_GB2312" w:hAnsi="仿宋_GB2312" w:eastAsia="仿宋_GB2312" w:cs="仿宋_GB2312"/>
          <w:kern w:val="0"/>
          <w:sz w:val="32"/>
          <w:szCs w:val="32"/>
          <w:lang w:eastAsia="zh-CN"/>
        </w:rPr>
        <w:t>拨款</w:t>
      </w:r>
      <w:r>
        <w:rPr>
          <w:rFonts w:hint="eastAsia" w:ascii="仿宋_GB2312" w:hAnsi="仿宋_GB2312" w:eastAsia="仿宋_GB2312" w:cs="仿宋_GB2312"/>
          <w:kern w:val="0"/>
          <w:sz w:val="32"/>
          <w:szCs w:val="32"/>
        </w:rPr>
        <w:t>安排的</w:t>
      </w:r>
      <w:r>
        <w:rPr>
          <w:rFonts w:hint="eastAsia" w:ascii="仿宋_GB2312" w:hAnsi="仿宋_GB2312" w:eastAsia="仿宋_GB2312" w:cs="仿宋_GB2312"/>
          <w:kern w:val="0"/>
          <w:sz w:val="32"/>
          <w:szCs w:val="32"/>
          <w:lang w:eastAsia="zh-CN"/>
        </w:rPr>
        <w:t>支出</w:t>
      </w:r>
      <w:r>
        <w:rPr>
          <w:rFonts w:hint="eastAsia" w:ascii="仿宋_GB2312" w:hAnsi="仿宋_GB2312" w:eastAsia="仿宋_GB2312" w:cs="仿宋_GB2312"/>
          <w:kern w:val="0"/>
          <w:sz w:val="32"/>
          <w:szCs w:val="32"/>
        </w:rPr>
        <w:t>。</w:t>
      </w:r>
    </w:p>
    <w:p>
      <w:pPr>
        <w:keepNext w:val="0"/>
        <w:keepLines w:val="0"/>
        <w:pageBreakBefore w:val="0"/>
        <w:wordWrap/>
        <w:topLinePunct w:val="0"/>
        <w:bidi w:val="0"/>
        <w:spacing w:line="56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kern w:val="0"/>
          <w:sz w:val="32"/>
          <w:szCs w:val="32"/>
          <w:lang w:eastAsia="zh-CN"/>
        </w:rPr>
        <w:t>国</w:t>
      </w:r>
      <w:r>
        <w:rPr>
          <w:rFonts w:hint="eastAsia" w:ascii="仿宋_GB2312" w:hAnsi="仿宋_GB2312" w:eastAsia="仿宋_GB2312" w:cs="仿宋_GB2312"/>
          <w:kern w:val="0"/>
          <w:sz w:val="32"/>
          <w:szCs w:val="32"/>
          <w:lang w:eastAsia="zh-CN"/>
        </w:rPr>
        <w:t>有资本经营</w:t>
      </w:r>
      <w:r>
        <w:rPr>
          <w:rFonts w:hint="eastAsia" w:ascii="仿宋_GB2312" w:hAnsi="仿宋_GB2312" w:eastAsia="仿宋_GB2312" w:cs="仿宋_GB2312"/>
          <w:kern w:val="0"/>
          <w:sz w:val="32"/>
          <w:szCs w:val="32"/>
        </w:rPr>
        <w:t>预算支出</w:t>
      </w:r>
      <w:r>
        <w:rPr>
          <w:rFonts w:hint="eastAsia" w:ascii="仿宋_GB2312" w:hAnsi="仿宋_GB2312" w:eastAsia="仿宋_GB2312" w:cs="仿宋_GB2312"/>
          <w:kern w:val="0"/>
          <w:sz w:val="32"/>
          <w:szCs w:val="32"/>
          <w:lang w:eastAsia="zh-CN"/>
        </w:rPr>
        <w:t>预</w:t>
      </w:r>
      <w:r>
        <w:rPr>
          <w:rFonts w:hint="eastAsia" w:ascii="仿宋_GB2312" w:hAnsi="仿宋_GB2312" w:eastAsia="仿宋_GB2312" w:cs="仿宋_GB2312"/>
          <w:kern w:val="0"/>
          <w:sz w:val="32"/>
          <w:szCs w:val="32"/>
        </w:rPr>
        <w:t>算情况说明</w:t>
      </w:r>
    </w:p>
    <w:p>
      <w:pPr>
        <w:keepNext w:val="0"/>
        <w:keepLines w:val="0"/>
        <w:pageBreakBefore w:val="0"/>
        <w:wordWrap/>
        <w:topLinePunct w:val="0"/>
        <w:bidi w:val="0"/>
        <w:spacing w:line="56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马村区发改委</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国有资金经营预算</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b/>
          <w:color w:val="FF0000"/>
          <w:kern w:val="0"/>
          <w:sz w:val="32"/>
          <w:szCs w:val="32"/>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我单位</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年没有使用政</w:t>
      </w:r>
      <w:r>
        <w:rPr>
          <w:rFonts w:hint="eastAsia" w:ascii="仿宋_GB2312" w:hAnsi="仿宋_GB2312" w:eastAsia="仿宋_GB2312" w:cs="仿宋_GB2312"/>
          <w:kern w:val="0"/>
          <w:sz w:val="32"/>
          <w:szCs w:val="32"/>
          <w:lang w:eastAsia="zh-CN"/>
        </w:rPr>
        <w:t>国有资本经营</w:t>
      </w:r>
      <w:r>
        <w:rPr>
          <w:rFonts w:hint="eastAsia" w:ascii="仿宋_GB2312" w:hAnsi="仿宋_GB2312" w:eastAsia="仿宋_GB2312" w:cs="仿宋_GB2312"/>
          <w:kern w:val="0"/>
          <w:sz w:val="32"/>
          <w:szCs w:val="32"/>
        </w:rPr>
        <w:t>预算拨款安排的</w:t>
      </w:r>
      <w:r>
        <w:rPr>
          <w:rFonts w:hint="eastAsia" w:ascii="仿宋_GB2312" w:hAnsi="仿宋_GB2312" w:eastAsia="仿宋_GB2312" w:cs="仿宋_GB2312"/>
          <w:kern w:val="0"/>
          <w:sz w:val="32"/>
          <w:szCs w:val="32"/>
          <w:lang w:eastAsia="zh-CN"/>
        </w:rPr>
        <w:t>支出</w:t>
      </w:r>
      <w:r>
        <w:rPr>
          <w:rFonts w:hint="eastAsia" w:ascii="仿宋_GB2312" w:hAnsi="仿宋_GB2312" w:eastAsia="仿宋_GB2312" w:cs="仿宋_GB2312"/>
          <w:kern w:val="0"/>
          <w:sz w:val="32"/>
          <w:szCs w:val="32"/>
        </w:rPr>
        <w:t>。</w:t>
      </w:r>
    </w:p>
    <w:p>
      <w:pPr>
        <w:keepNext w:val="0"/>
        <w:keepLines w:val="0"/>
        <w:pageBreakBefore w:val="0"/>
        <w:numPr>
          <w:ilvl w:val="0"/>
          <w:numId w:val="0"/>
        </w:numPr>
        <w:wordWrap/>
        <w:topLinePunct w:val="0"/>
        <w:bidi w:val="0"/>
        <w:spacing w:line="560" w:lineRule="atLeas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九</w:t>
      </w:r>
      <w:r>
        <w:rPr>
          <w:rFonts w:hint="eastAsia" w:ascii="仿宋_GB2312" w:hAnsi="仿宋_GB2312" w:eastAsia="仿宋_GB2312" w:cs="仿宋_GB2312"/>
          <w:kern w:val="0"/>
          <w:sz w:val="32"/>
          <w:szCs w:val="32"/>
        </w:rPr>
        <w:t>、“三公”经费支出预算情况说明</w:t>
      </w:r>
    </w:p>
    <w:p>
      <w:pPr>
        <w:keepNext w:val="0"/>
        <w:keepLines w:val="0"/>
        <w:pageBreakBefore w:val="0"/>
        <w:widowControl/>
        <w:wordWrap/>
        <w:topLinePunct w:val="0"/>
        <w:bidi w:val="0"/>
        <w:spacing w:line="560" w:lineRule="atLeas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马村区发改委2020</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color w:val="auto"/>
          <w:sz w:val="32"/>
          <w:szCs w:val="32"/>
          <w:lang w:val="en-US" w:eastAsia="zh-CN"/>
        </w:rPr>
        <w:t>3.54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rPr>
        <w:t>年预算数</w:t>
      </w:r>
      <w:r>
        <w:rPr>
          <w:rFonts w:hint="eastAsia" w:ascii="仿宋_GB2312" w:hAnsi="仿宋_GB2312" w:eastAsia="仿宋_GB2312" w:cs="仿宋_GB2312"/>
          <w:color w:val="auto"/>
          <w:sz w:val="32"/>
          <w:szCs w:val="32"/>
          <w:lang w:eastAsia="zh-CN"/>
        </w:rPr>
        <w:t>持平</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val="0"/>
        <w:wordWrap/>
        <w:overflowPunct w:val="0"/>
        <w:topLinePunct w:val="0"/>
        <w:autoSpaceDE w:val="0"/>
        <w:autoSpaceDN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keepNext w:val="0"/>
        <w:keepLines w:val="0"/>
        <w:pageBreakBefore w:val="0"/>
        <w:numPr>
          <w:ilvl w:val="0"/>
          <w:numId w:val="3"/>
        </w:numPr>
        <w:kinsoku w:val="0"/>
        <w:wordWrap/>
        <w:overflowPunct w:val="0"/>
        <w:topLinePunct w:val="0"/>
        <w:autoSpaceDE w:val="0"/>
        <w:autoSpaceDN w:val="0"/>
        <w:bidi w:val="0"/>
        <w:adjustRightInd w:val="0"/>
        <w:snapToGrid w:val="0"/>
        <w:spacing w:line="560" w:lineRule="atLeast"/>
        <w:ind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0万元。主要用于</w:t>
      </w:r>
      <w:r>
        <w:rPr>
          <w:rFonts w:hint="eastAsia" w:ascii="仿宋_GB2312" w:hAnsi="仿宋_GB2312" w:eastAsia="仿宋_GB2312" w:cs="仿宋_GB2312"/>
          <w:kern w:val="0"/>
          <w:sz w:val="32"/>
          <w:szCs w:val="32"/>
          <w:lang w:val="en-US" w:eastAsia="zh-CN"/>
        </w:rPr>
        <w:t>单位因公出国（境）费，指单位工作人员公务出国（境）的住宿费、旅费、伙食补助费、杂费、培训费等支出</w:t>
      </w:r>
      <w:r>
        <w:rPr>
          <w:rFonts w:hint="eastAsia" w:ascii="仿宋_GB2312" w:hAnsi="仿宋_GB2312" w:eastAsia="仿宋_GB2312" w:cs="仿宋_GB2312"/>
          <w:sz w:val="32"/>
          <w:szCs w:val="32"/>
          <w:lang w:val="en-US" w:eastAsia="zh-CN"/>
        </w:rPr>
        <w:t>。与2019年持平</w:t>
      </w:r>
      <w:r>
        <w:rPr>
          <w:rFonts w:hint="eastAsia" w:ascii="仿宋_GB2312" w:hAnsi="仿宋_GB2312" w:eastAsia="仿宋_GB2312" w:cs="仿宋_GB2312"/>
          <w:kern w:val="0"/>
          <w:sz w:val="32"/>
          <w:szCs w:val="32"/>
          <w:lang w:eastAsia="zh-CN"/>
        </w:rPr>
        <w:t>，主要原因：</w:t>
      </w:r>
      <w:r>
        <w:rPr>
          <w:rFonts w:hint="eastAsia" w:ascii="仿宋_GB2312" w:hAnsi="仿宋_GB2312" w:eastAsia="仿宋_GB2312" w:cs="仿宋_GB2312"/>
          <w:kern w:val="0"/>
          <w:sz w:val="32"/>
          <w:szCs w:val="32"/>
          <w:lang w:val="en-US" w:eastAsia="zh-CN"/>
        </w:rPr>
        <w:t>我单位2020年未安排因公出国（境）的支出</w:t>
      </w:r>
      <w:r>
        <w:rPr>
          <w:rFonts w:hint="eastAsia" w:ascii="仿宋_GB2312" w:hAnsi="仿宋_GB2312" w:eastAsia="仿宋_GB2312" w:cs="仿宋_GB2312"/>
          <w:sz w:val="32"/>
          <w:szCs w:val="32"/>
          <w:lang w:val="en-US" w:eastAsia="zh-CN"/>
        </w:rPr>
        <w:t>。</w:t>
      </w:r>
    </w:p>
    <w:p>
      <w:pPr>
        <w:keepNext w:val="0"/>
        <w:keepLines w:val="0"/>
        <w:pageBreakBefore w:val="0"/>
        <w:numPr>
          <w:ilvl w:val="0"/>
          <w:numId w:val="3"/>
        </w:numPr>
        <w:kinsoku w:val="0"/>
        <w:wordWrap/>
        <w:overflowPunct w:val="0"/>
        <w:topLinePunct w:val="0"/>
        <w:autoSpaceDE w:val="0"/>
        <w:autoSpaceDN w:val="0"/>
        <w:bidi w:val="0"/>
        <w:adjustRightInd w:val="0"/>
        <w:snapToGrid w:val="0"/>
        <w:spacing w:line="560" w:lineRule="atLeas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lang w:val="en-US" w:eastAsia="zh-CN"/>
        </w:rPr>
        <w:t>2.25</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lang w:val="en-US" w:eastAsia="zh-CN"/>
        </w:rPr>
        <w:t>万元，主要用于</w:t>
      </w:r>
      <w:r>
        <w:rPr>
          <w:rFonts w:hint="eastAsia" w:ascii="仿宋_GB2312" w:hAnsi="仿宋_GB2312" w:eastAsia="仿宋_GB2312" w:cs="仿宋_GB2312"/>
          <w:kern w:val="0"/>
          <w:sz w:val="32"/>
          <w:szCs w:val="32"/>
          <w:lang w:val="en-US" w:eastAsia="zh-CN"/>
        </w:rPr>
        <w:t>公务车辆购置</w:t>
      </w:r>
      <w:r>
        <w:rPr>
          <w:rFonts w:hint="eastAsia" w:ascii="仿宋_GB2312" w:hAnsi="仿宋_GB2312" w:eastAsia="仿宋_GB2312" w:cs="仿宋_GB2312"/>
          <w:sz w:val="32"/>
          <w:szCs w:val="32"/>
          <w:lang w:val="en-US" w:eastAsia="zh-CN"/>
        </w:rPr>
        <w:t>,与2019年持平</w:t>
      </w:r>
      <w:r>
        <w:rPr>
          <w:rFonts w:hint="eastAsia" w:ascii="仿宋_GB2312" w:hAnsi="仿宋_GB2312" w:eastAsia="仿宋_GB2312" w:cs="仿宋_GB2312"/>
          <w:kern w:val="0"/>
          <w:sz w:val="32"/>
          <w:szCs w:val="32"/>
          <w:lang w:val="en-US" w:eastAsia="zh-CN"/>
        </w:rPr>
        <w:t>，主要原因：我单位2020未安排公务用车购置费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lang w:val="en-US" w:eastAsia="zh-CN"/>
        </w:rPr>
        <w:t>2.25</w:t>
      </w:r>
      <w:r>
        <w:rPr>
          <w:rFonts w:hint="eastAsia" w:ascii="仿宋_GB2312" w:hAnsi="仿宋_GB2312" w:eastAsia="仿宋_GB2312" w:cs="仿宋_GB2312"/>
          <w:kern w:val="0"/>
          <w:sz w:val="32"/>
          <w:szCs w:val="32"/>
          <w:lang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指单位公务用车租用费、燃料费、维修费、过路过桥费、保险费、安全奖励费等支出，公务用车指用于履行公务的机动车，包括领导干部专车、一般公务用车和执法执勤车,与2020年持平，主要原因：按照区政府要求，2019年公车运行费与2020年持平</w:t>
      </w:r>
      <w:r>
        <w:rPr>
          <w:rFonts w:hint="eastAsia" w:ascii="仿宋_GB2312" w:hAnsi="仿宋_GB2312" w:eastAsia="仿宋_GB2312" w:cs="仿宋_GB2312"/>
          <w:sz w:val="32"/>
          <w:szCs w:val="32"/>
          <w:lang w:eastAsia="zh-CN"/>
        </w:rPr>
        <w:t>。</w:t>
      </w:r>
    </w:p>
    <w:p>
      <w:pPr>
        <w:keepNext w:val="0"/>
        <w:keepLines w:val="0"/>
        <w:pageBreakBefore w:val="0"/>
        <w:wordWrap/>
        <w:topLinePunct w:val="0"/>
        <w:bidi w:val="0"/>
        <w:spacing w:line="560" w:lineRule="atLeast"/>
        <w:ind w:firstLine="639"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kern w:val="0"/>
          <w:sz w:val="32"/>
          <w:szCs w:val="32"/>
          <w:lang w:val="en-US" w:eastAsia="zh-CN"/>
        </w:rPr>
        <w:t>1.29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主要用于</w:t>
      </w:r>
      <w:r>
        <w:rPr>
          <w:rFonts w:hint="eastAsia" w:ascii="仿宋_GB2312" w:hAnsi="仿宋_GB2312" w:eastAsia="仿宋_GB2312" w:cs="仿宋_GB2312"/>
          <w:kern w:val="0"/>
          <w:sz w:val="32"/>
          <w:szCs w:val="32"/>
          <w:lang w:val="en-US" w:eastAsia="zh-CN"/>
        </w:rPr>
        <w:t>指单位按规定开支的各类公务接待（含外宾接待）支出，</w:t>
      </w:r>
      <w:r>
        <w:rPr>
          <w:rFonts w:hint="eastAsia" w:ascii="仿宋_GB2312" w:hAnsi="仿宋_GB2312" w:eastAsia="仿宋_GB2312" w:cs="仿宋_GB2312"/>
          <w:sz w:val="32"/>
          <w:szCs w:val="32"/>
          <w:lang w:val="en-US" w:eastAsia="zh-CN"/>
        </w:rPr>
        <w:t>与2019年持平主要原因按照区政府要求，2020年公务接待与2019年持平</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pacing w:val="-1"/>
          <w:kern w:val="0"/>
          <w:sz w:val="32"/>
          <w:szCs w:val="32"/>
          <w:lang w:eastAsia="zh-CN"/>
        </w:rPr>
        <w:t>十</w:t>
      </w:r>
      <w:r>
        <w:rPr>
          <w:rFonts w:hint="eastAsia" w:ascii="仿宋_GB2312" w:hAnsi="仿宋_GB2312" w:eastAsia="仿宋_GB2312" w:cs="仿宋_GB2312"/>
          <w:spacing w:val="-1"/>
          <w:kern w:val="0"/>
          <w:sz w:val="32"/>
          <w:szCs w:val="32"/>
        </w:rPr>
        <w:t>、其他重要事项的情况说明</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3"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kern w:val="0"/>
          <w:sz w:val="32"/>
          <w:szCs w:val="32"/>
          <w:lang w:eastAsia="zh-CN"/>
        </w:rPr>
        <w:t>机关运行经费支出</w:t>
      </w:r>
      <w:r>
        <w:rPr>
          <w:rFonts w:hint="eastAsia" w:ascii="仿宋_GB2312" w:hAnsi="仿宋_GB2312" w:eastAsia="仿宋_GB2312" w:cs="仿宋_GB2312"/>
          <w:b/>
          <w:kern w:val="0"/>
          <w:sz w:val="32"/>
          <w:szCs w:val="32"/>
        </w:rPr>
        <w:t>情况</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马村区发改委2020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机关运行经费支出</w:t>
      </w:r>
      <w:r>
        <w:rPr>
          <w:rFonts w:hint="eastAsia" w:ascii="仿宋_GB2312" w:hAnsi="仿宋_GB2312" w:eastAsia="仿宋_GB2312" w:cs="仿宋_GB2312"/>
          <w:sz w:val="32"/>
          <w:szCs w:val="32"/>
        </w:rPr>
        <w:t>预算</w:t>
      </w:r>
      <w:r>
        <w:rPr>
          <w:rFonts w:hint="eastAsia" w:ascii="仿宋_GB2312" w:hAnsi="仿宋_GB2312" w:eastAsia="仿宋_GB2312" w:cs="仿宋_GB2312"/>
          <w:kern w:val="0"/>
          <w:sz w:val="32"/>
          <w:szCs w:val="32"/>
          <w:lang w:val="en-US" w:eastAsia="zh-CN"/>
        </w:rPr>
        <w:t>11.75</w:t>
      </w:r>
      <w:r>
        <w:rPr>
          <w:rFonts w:hint="eastAsia" w:ascii="仿宋_GB2312" w:hAnsi="仿宋_GB2312" w:eastAsia="仿宋_GB2312" w:cs="仿宋_GB2312"/>
          <w:sz w:val="32"/>
          <w:szCs w:val="32"/>
        </w:rPr>
        <w:t>万元，主要保障机关机构正常运转及正常履职需要的办公费、水电费、物业费、维修费、差旅费等支出</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2019年减少1.48</w:t>
      </w:r>
      <w:r>
        <w:rPr>
          <w:rFonts w:hint="eastAsia" w:ascii="仿宋_GB2312" w:hAnsi="仿宋_GB2312" w:eastAsia="仿宋_GB2312" w:cs="仿宋_GB2312"/>
          <w:sz w:val="32"/>
          <w:szCs w:val="32"/>
          <w:lang w:eastAsia="zh-CN"/>
        </w:rPr>
        <w:t>万元，减少</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，主要原因：</w:t>
      </w:r>
      <w:r>
        <w:rPr>
          <w:rFonts w:hint="eastAsia" w:ascii="仿宋_GB2312" w:hAnsi="仿宋_GB2312" w:eastAsia="仿宋_GB2312" w:cs="仿宋_GB2312"/>
          <w:sz w:val="32"/>
          <w:szCs w:val="32"/>
          <w:lang w:val="en-US" w:eastAsia="zh-CN"/>
        </w:rPr>
        <w:t>2020年单位人员减少，故2020年机关运行经费较去年有所减少</w:t>
      </w:r>
      <w:r>
        <w:rPr>
          <w:rFonts w:hint="eastAsia" w:ascii="仿宋_GB2312" w:hAnsi="仿宋_GB2312" w:eastAsia="仿宋_GB2312" w:cs="仿宋_GB2312"/>
          <w:sz w:val="32"/>
          <w:szCs w:val="32"/>
        </w:rPr>
        <w:t>。</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3" w:firstLineChars="200"/>
        <w:textAlignment w:val="auto"/>
        <w:outlineLvl w:val="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（二）政府采购支出情况</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年政府采购预算安排</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万元，其中：</w:t>
      </w:r>
      <w:r>
        <w:rPr>
          <w:rFonts w:hint="eastAsia" w:ascii="仿宋_GB2312" w:hAnsi="仿宋_GB2312" w:eastAsia="仿宋_GB2312" w:cs="仿宋_GB2312"/>
          <w:kern w:val="0"/>
          <w:sz w:val="32"/>
          <w:szCs w:val="32"/>
        </w:rPr>
        <w:t>政府采购货物预算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万元、政府采购工程预算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万元、政府采购服务预算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3" w:firstLineChars="200"/>
        <w:textAlignment w:val="auto"/>
        <w:outlineLvl w:val="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（三）关于预算绩效管理工作开展情况说明</w:t>
      </w:r>
    </w:p>
    <w:p>
      <w:pPr>
        <w:keepNext w:val="0"/>
        <w:keepLines w:val="0"/>
        <w:pageBreakBefore w:val="0"/>
        <w:numPr>
          <w:ilvl w:val="0"/>
          <w:numId w:val="0"/>
        </w:numPr>
        <w:wordWrap/>
        <w:topLinePunct w:val="0"/>
        <w:bidi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,我部门对0</w:t>
      </w:r>
      <w:r>
        <w:rPr>
          <w:rFonts w:hint="eastAsia" w:ascii="仿宋_GB2312" w:hAnsi="仿宋_GB2312" w:eastAsia="仿宋_GB2312" w:cs="仿宋_GB2312"/>
          <w:sz w:val="32"/>
          <w:szCs w:val="32"/>
        </w:rPr>
        <w:t>个项目进行了预算绩效评价，涉及资金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sz w:val="28"/>
          <w:szCs w:val="28"/>
          <w:lang w:val="en-US" w:eastAsia="zh-CN"/>
        </w:rPr>
        <w:t xml:space="preserve"> </w:t>
      </w:r>
      <w:r>
        <w:rPr>
          <w:rFonts w:hint="eastAsia" w:ascii="仿宋_GB2312" w:hAnsi="仿宋_GB2312" w:eastAsia="仿宋_GB2312" w:cs="仿宋_GB2312"/>
          <w:sz w:val="32"/>
          <w:szCs w:val="32"/>
          <w:lang w:val="en-US" w:eastAsia="zh-CN"/>
        </w:rPr>
        <w:t>2019年，我部门纳入预算绩效管理的支出总额为</w:t>
      </w:r>
      <w:r>
        <w:rPr>
          <w:rFonts w:hint="eastAsia" w:ascii="宋体" w:hAnsi="宋体" w:eastAsia="宋体" w:cs="宋体"/>
          <w:kern w:val="0"/>
          <w:sz w:val="24"/>
          <w:szCs w:val="24"/>
          <w:lang w:val="en-US" w:eastAsia="zh-CN"/>
        </w:rPr>
        <w:t>0</w:t>
      </w:r>
      <w:r>
        <w:rPr>
          <w:rFonts w:hint="eastAsia" w:ascii="仿宋_GB2312" w:hAnsi="仿宋_GB2312" w:eastAsia="仿宋_GB2312" w:cs="仿宋_GB2312"/>
          <w:sz w:val="32"/>
          <w:szCs w:val="32"/>
          <w:lang w:val="en-US" w:eastAsia="zh-CN"/>
        </w:rPr>
        <w:t>万元，其中人员经费支出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lang w:val="en-US" w:eastAsia="zh-CN"/>
        </w:rPr>
        <w:t>万元，公用经费支出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lang w:val="en-US" w:eastAsia="zh-CN"/>
        </w:rPr>
        <w:t>万元，支出项目共</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lang w:val="en-US" w:eastAsia="zh-CN"/>
        </w:rPr>
        <w:t>个，支出总额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lang w:val="en-US" w:eastAsia="zh-CN"/>
        </w:rPr>
        <w:t>万元，其中预算支出100万元及100万元以上项目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lang w:val="en-US" w:eastAsia="zh-CN"/>
        </w:rPr>
        <w:t>个，支出总额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lang w:val="en-US" w:eastAsia="zh-CN"/>
        </w:rPr>
        <w:t xml:space="preserve">万元。 </w:t>
      </w:r>
    </w:p>
    <w:p>
      <w:pPr>
        <w:keepNext w:val="0"/>
        <w:keepLines w:val="0"/>
        <w:pageBreakBefore w:val="0"/>
        <w:numPr>
          <w:ilvl w:val="0"/>
          <w:numId w:val="0"/>
        </w:numPr>
        <w:wordWrap/>
        <w:topLinePunct w:val="0"/>
        <w:bidi w:val="0"/>
        <w:spacing w:line="560" w:lineRule="atLeast"/>
        <w:ind w:left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（四）国有资产占用情况</w:t>
      </w:r>
    </w:p>
    <w:p>
      <w:pPr>
        <w:keepNext w:val="0"/>
        <w:keepLines w:val="0"/>
        <w:pageBreakBefore w:val="0"/>
        <w:widowControl/>
        <w:shd w:val="clear" w:color="auto" w:fill="FFFFFF"/>
        <w:wordWrap/>
        <w:topLinePunct w:val="0"/>
        <w:bidi w:val="0"/>
        <w:spacing w:line="560" w:lineRule="atLeast"/>
        <w:ind w:firstLine="64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年期末，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马村区发改委</w:t>
      </w:r>
      <w:r>
        <w:rPr>
          <w:rFonts w:hint="eastAsia" w:ascii="仿宋_GB2312" w:hAnsi="仿宋_GB2312" w:eastAsia="仿宋_GB2312" w:cs="仿宋_GB2312"/>
          <w:color w:val="000000" w:themeColor="text1"/>
          <w:sz w:val="32"/>
          <w:szCs w:val="32"/>
          <w:lang w:eastAsia="zh-CN"/>
          <w14:textFill>
            <w14:solidFill>
              <w14:schemeClr w14:val="tx1"/>
            </w14:solidFill>
          </w14:textFill>
        </w:rPr>
        <w:t>固定资产总额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245.04</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万元，其中，房屋建筑物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166.91万元，车辆0</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w:t>
      </w:r>
      <w:r>
        <w:rPr>
          <w:rFonts w:hint="eastAsia" w:ascii="仿宋_GB2312" w:hAnsi="仿宋_GB2312" w:eastAsia="仿宋_GB2312" w:cs="仿宋_GB2312"/>
          <w:color w:val="000000" w:themeColor="text1"/>
          <w:sz w:val="32"/>
          <w:szCs w:val="32"/>
          <w14:textFill>
            <w14:solidFill>
              <w14:schemeClr w14:val="tx1"/>
            </w14:solidFill>
          </w14:textFill>
        </w:rPr>
        <w:t>共有车辆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辆，其中：一般公务用车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辆，执法执勤车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辆，单价50万元以上通用设备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台（套），单位价值100万元以上专用设备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台（套）。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通用设备15.96万元，专用设备0.52万元，图书档案0万元，家具用具及动植物1.02万元。无形资产60.63万元。</w:t>
      </w:r>
    </w:p>
    <w:p>
      <w:pPr>
        <w:keepNext w:val="0"/>
        <w:keepLines w:val="0"/>
        <w:pageBreakBefore w:val="0"/>
        <w:widowControl/>
        <w:wordWrap/>
        <w:topLinePunct w:val="0"/>
        <w:bidi w:val="0"/>
        <w:spacing w:line="560" w:lineRule="atLeas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lang w:eastAsia="zh-CN"/>
        </w:rPr>
        <w:t>五</w:t>
      </w:r>
      <w:r>
        <w:rPr>
          <w:rFonts w:hint="eastAsia" w:ascii="仿宋_GB2312" w:hAnsi="仿宋_GB2312" w:eastAsia="仿宋_GB2312" w:cs="仿宋_GB2312"/>
          <w:b/>
          <w:kern w:val="0"/>
          <w:sz w:val="32"/>
          <w:szCs w:val="32"/>
        </w:rPr>
        <w:t>）关于预算部门构成说明</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财政预算公开要求，将所属预算单位全部纳入预算公开范围。</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3" w:firstLineChars="200"/>
        <w:textAlignment w:val="auto"/>
        <w:rPr>
          <w:rFonts w:hint="eastAsia" w:ascii="仿宋_GB2312" w:hAnsi="仿宋_GB2312" w:eastAsia="仿宋_GB2312" w:cs="仿宋_GB2312"/>
          <w:b/>
          <w:kern w:val="0"/>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p>
    <w:p>
      <w:pPr>
        <w:keepNext w:val="0"/>
        <w:keepLines w:val="0"/>
        <w:pageBreakBefore w:val="0"/>
        <w:wordWrap/>
        <w:topLinePunct w:val="0"/>
        <w:bidi w:val="0"/>
        <w:adjustRightInd w:val="0"/>
        <w:snapToGrid w:val="0"/>
        <w:spacing w:line="56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级财政当年拨付的资金。</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0" w:firstLineChars="200"/>
        <w:textAlignment w:val="auto"/>
        <w:rPr>
          <w:rFonts w:hint="eastAsia" w:ascii="仿宋_GB2312" w:hAnsi="宋体" w:eastAsia="仿宋_GB2312" w:cs="Courier New"/>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w:t>
      </w:r>
      <w:r>
        <w:rPr>
          <w:rFonts w:hint="eastAsia" w:ascii="仿宋_GB2312" w:hAnsi="宋体" w:eastAsia="仿宋_GB2312" w:cs="Courier New"/>
          <w:sz w:val="32"/>
          <w:szCs w:val="32"/>
          <w:lang w:eastAsia="zh-CN"/>
        </w:rPr>
        <w:t>、过路过桥费、保险费、安全奖励费用等支出；公务接待费反映单位按规定开支的各类公务接待（含外宾接待）支出。</w:t>
      </w:r>
    </w:p>
    <w:p>
      <w:pPr>
        <w:keepNext w:val="0"/>
        <w:keepLines w:val="0"/>
        <w:pageBreakBefore w:val="0"/>
        <w:kinsoku w:val="0"/>
        <w:wordWrap/>
        <w:overflowPunct w:val="0"/>
        <w:topLinePunct w:val="0"/>
        <w:autoSpaceDE w:val="0"/>
        <w:autoSpaceDN w:val="0"/>
        <w:bidi w:val="0"/>
        <w:adjustRightInd w:val="0"/>
        <w:snapToGrid w:val="0"/>
        <w:spacing w:line="560" w:lineRule="atLeast"/>
        <w:ind w:firstLine="640" w:firstLineChars="200"/>
        <w:textAlignment w:val="auto"/>
        <w:rPr>
          <w:rFonts w:hint="eastAsia" w:ascii="仿宋_GB2312" w:hAnsi="宋体" w:eastAsia="仿宋_GB2312" w:cs="Courier New"/>
          <w:sz w:val="32"/>
          <w:szCs w:val="32"/>
          <w:lang w:eastAsia="zh-CN"/>
        </w:rPr>
      </w:pPr>
      <w:r>
        <w:rPr>
          <w:rFonts w:hint="eastAsia" w:ascii="仿宋_GB2312" w:hAnsi="宋体" w:eastAsia="仿宋_GB2312" w:cs="Courier New"/>
          <w:sz w:val="32"/>
          <w:szCs w:val="32"/>
          <w:lang w:eastAsia="zh-CN"/>
        </w:rPr>
        <w:t>七、机关运行经费：是指为保障行政机构正常运转及正常履职需要的办公费、水电费、日常维修、物业费、维修费、差旅费、公务用车运行维护费以及其他费用等支出。</w:t>
      </w:r>
    </w:p>
    <w:p>
      <w:pPr>
        <w:keepNext w:val="0"/>
        <w:keepLines w:val="0"/>
        <w:pageBreakBefore w:val="0"/>
        <w:kinsoku w:val="0"/>
        <w:wordWrap/>
        <w:overflowPunct w:val="0"/>
        <w:topLinePunct w:val="0"/>
        <w:autoSpaceDE w:val="0"/>
        <w:autoSpaceDN w:val="0"/>
        <w:bidi w:val="0"/>
        <w:adjustRightInd w:val="0"/>
        <w:snapToGrid w:val="0"/>
        <w:spacing w:line="560" w:lineRule="atLeast"/>
        <w:ind w:firstLine="320" w:firstLineChars="100"/>
        <w:textAlignment w:val="auto"/>
        <w:rPr>
          <w:rFonts w:hint="eastAsia" w:ascii="仿宋_GB2312" w:hAnsi="宋体" w:eastAsia="仿宋_GB2312" w:cs="Courier New"/>
          <w:sz w:val="32"/>
          <w:szCs w:val="32"/>
          <w:lang w:eastAsia="zh-CN"/>
        </w:rPr>
      </w:pPr>
      <w:r>
        <w:rPr>
          <w:rFonts w:hint="eastAsia" w:ascii="仿宋_GB2312" w:hAnsi="宋体" w:eastAsia="仿宋_GB2312" w:cs="Courier New"/>
          <w:sz w:val="32"/>
          <w:szCs w:val="32"/>
          <w:lang w:val="en-US" w:eastAsia="zh-CN"/>
        </w:rPr>
        <w:t xml:space="preserve"> 八、物价管理经费：是指在对市场商品价格进行监督检查、对行政事业性、经营性收费机服务价格进行监管以及受理价格、收费违法行为举报、投诉等工作所发生的支出。</w:t>
      </w:r>
    </w:p>
    <w:p>
      <w:pPr>
        <w:adjustRightInd w:val="0"/>
        <w:snapToGrid w:val="0"/>
        <w:spacing w:line="360" w:lineRule="auto"/>
        <w:ind w:firstLine="960" w:firstLineChars="300"/>
        <w:rPr>
          <w:rFonts w:hint="eastAsia" w:ascii="仿宋_GB2312" w:hAnsi="仿宋_GB2312" w:eastAsia="仿宋_GB2312" w:cs="仿宋_GB2312"/>
          <w:sz w:val="32"/>
          <w:szCs w:val="32"/>
        </w:rPr>
      </w:pPr>
    </w:p>
    <w:p>
      <w:pPr>
        <w:adjustRightInd w:val="0"/>
        <w:snapToGrid w:val="0"/>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马村区发改委</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年度部门预算表</w:t>
      </w:r>
    </w:p>
    <w:p>
      <w:pPr>
        <w:adjustRightInd w:val="0"/>
        <w:snapToGrid w:val="0"/>
        <w:spacing w:line="360" w:lineRule="auto"/>
        <w:ind w:firstLine="640" w:firstLineChars="200"/>
        <w:rPr>
          <w:rFonts w:hint="eastAsia" w:ascii="仿宋_GB2312" w:hAnsi="仿宋_GB2312" w:eastAsia="仿宋_GB2312" w:cs="仿宋_GB2312"/>
          <w:sz w:val="32"/>
          <w:szCs w:val="32"/>
        </w:rPr>
      </w:pPr>
    </w:p>
    <w:p>
      <w:pPr>
        <w:rPr>
          <w:rFonts w:hint="eastAsia" w:ascii="仿宋_GB2312" w:hAnsi="宋体" w:eastAsia="仿宋_GB2312" w:cs="Courier New"/>
          <w:sz w:val="32"/>
          <w:szCs w:val="32"/>
          <w:lang w:val="en-US" w:eastAsia="zh-CN"/>
        </w:rPr>
      </w:pPr>
      <w:r>
        <w:rPr>
          <w:rFonts w:hint="eastAsia"/>
          <w:lang w:val="en-US" w:eastAsia="zh-CN"/>
        </w:rPr>
        <w:t xml:space="preserve">                                                </w:t>
      </w:r>
      <w:r>
        <w:rPr>
          <w:rFonts w:hint="eastAsia" w:ascii="仿宋_GB2312" w:hAnsi="宋体" w:eastAsia="仿宋_GB2312" w:cs="Courier New"/>
          <w:sz w:val="32"/>
          <w:szCs w:val="32"/>
          <w:lang w:val="en-US" w:eastAsia="zh-CN"/>
        </w:rPr>
        <w:t xml:space="preserve">  2019年2月25日</w:t>
      </w:r>
    </w:p>
    <w:p/>
    <w:p/>
    <w:p/>
    <w:p/>
    <w:p/>
    <w:p/>
    <w:p/>
    <w:p/>
    <w:p/>
    <w:p/>
    <w:p/>
    <w:p/>
    <w:p/>
    <w:p/>
    <w:p/>
    <w:p/>
    <w:p>
      <w:pPr>
        <w:sectPr>
          <w:headerReference r:id="rId3" w:type="default"/>
          <w:footerReference r:id="rId4" w:type="default"/>
          <w:pgSz w:w="11906" w:h="16838"/>
          <w:pgMar w:top="1440" w:right="1531" w:bottom="1440" w:left="1531" w:header="851" w:footer="992" w:gutter="0"/>
          <w:pgNumType w:fmt="decimal"/>
          <w:cols w:space="0" w:num="1"/>
          <w:rtlGutter w:val="0"/>
          <w:docGrid w:type="lines" w:linePitch="312" w:charSpace="0"/>
        </w:sectPr>
      </w:pPr>
    </w:p>
    <w:tbl>
      <w:tblPr>
        <w:tblStyle w:val="5"/>
        <w:tblW w:w="13237" w:type="dxa"/>
        <w:jc w:val="center"/>
        <w:tblInd w:w="7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46"/>
        <w:gridCol w:w="2600"/>
        <w:gridCol w:w="3546"/>
        <w:gridCol w:w="3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13237"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2020年部门收支总体情况表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35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单位名称：焦作市马村区发展和改革委员会</w:t>
            </w:r>
          </w:p>
        </w:tc>
        <w:tc>
          <w:tcPr>
            <w:tcW w:w="2600" w:type="dxa"/>
            <w:shd w:val="clear" w:color="auto" w:fill="auto"/>
            <w:vAlign w:val="center"/>
          </w:tcPr>
          <w:p>
            <w:pPr>
              <w:jc w:val="left"/>
            </w:pPr>
          </w:p>
        </w:tc>
        <w:tc>
          <w:tcPr>
            <w:tcW w:w="3546" w:type="dxa"/>
            <w:shd w:val="clear" w:color="auto" w:fill="auto"/>
            <w:vAlign w:val="center"/>
          </w:tcPr>
          <w:p>
            <w:pPr>
              <w:jc w:val="left"/>
            </w:pPr>
          </w:p>
        </w:tc>
        <w:tc>
          <w:tcPr>
            <w:tcW w:w="3545" w:type="dxa"/>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5" w:hRule="atLeast"/>
          <w:jc w:val="center"/>
        </w:trPr>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收入项目</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支出项目</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一、一般公共预算收入</w:t>
            </w:r>
          </w:p>
        </w:tc>
        <w:tc>
          <w:tcPr>
            <w:tcW w:w="260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3546"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一、基本支出</w:t>
            </w:r>
          </w:p>
        </w:tc>
        <w:tc>
          <w:tcPr>
            <w:tcW w:w="35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财政拨款</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3546"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人员支出</w:t>
            </w:r>
          </w:p>
        </w:tc>
        <w:tc>
          <w:tcPr>
            <w:tcW w:w="35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非税收入</w:t>
            </w:r>
          </w:p>
        </w:tc>
        <w:tc>
          <w:tcPr>
            <w:tcW w:w="2600" w:type="dxa"/>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546"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公用支出</w:t>
            </w:r>
          </w:p>
        </w:tc>
        <w:tc>
          <w:tcPr>
            <w:tcW w:w="35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上级专项转移支付收入</w:t>
            </w:r>
          </w:p>
        </w:tc>
        <w:tc>
          <w:tcPr>
            <w:tcW w:w="2600"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546"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二、项目支出</w:t>
            </w:r>
          </w:p>
        </w:tc>
        <w:tc>
          <w:tcPr>
            <w:tcW w:w="35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546"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专项支出</w:t>
            </w:r>
          </w:p>
        </w:tc>
        <w:tc>
          <w:tcPr>
            <w:tcW w:w="35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三、纳入财政专户管理的行政事业性收费</w:t>
            </w:r>
          </w:p>
        </w:tc>
        <w:tc>
          <w:tcPr>
            <w:tcW w:w="2600"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546"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政府采购项目</w:t>
            </w:r>
          </w:p>
        </w:tc>
        <w:tc>
          <w:tcPr>
            <w:tcW w:w="3545"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jc w:val="center"/>
        </w:trPr>
        <w:tc>
          <w:tcPr>
            <w:tcW w:w="3546" w:type="dxa"/>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四、国有资本经营预算收入</w:t>
            </w:r>
          </w:p>
        </w:tc>
        <w:tc>
          <w:tcPr>
            <w:tcW w:w="2600" w:type="dxa"/>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546"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3"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五、其他资金</w:t>
            </w:r>
          </w:p>
        </w:tc>
        <w:tc>
          <w:tcPr>
            <w:tcW w:w="260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 </w:t>
            </w:r>
          </w:p>
        </w:tc>
        <w:tc>
          <w:tcPr>
            <w:tcW w:w="3546"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3"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00"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546"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00"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18"/>
                <w:szCs w:val="18"/>
                <w:u w:val="none"/>
              </w:rPr>
            </w:pPr>
          </w:p>
        </w:tc>
        <w:tc>
          <w:tcPr>
            <w:tcW w:w="3545"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546"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当年收入合计</w:t>
            </w:r>
          </w:p>
        </w:tc>
        <w:tc>
          <w:tcPr>
            <w:tcW w:w="26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3546" w:type="dxa"/>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当年支出合计</w:t>
            </w:r>
          </w:p>
        </w:tc>
        <w:tc>
          <w:tcPr>
            <w:tcW w:w="3545" w:type="dxa"/>
            <w:tcBorders>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六、上年结转结余</w:t>
            </w:r>
          </w:p>
        </w:tc>
        <w:tc>
          <w:tcPr>
            <w:tcW w:w="2600"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546"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三、上年结转结余支出</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54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一般公共预算结转结余</w:t>
            </w:r>
          </w:p>
        </w:tc>
        <w:tc>
          <w:tcPr>
            <w:tcW w:w="2600"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546"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一般公共预算结转结余</w:t>
            </w:r>
          </w:p>
        </w:tc>
        <w:tc>
          <w:tcPr>
            <w:tcW w:w="3545"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
    <w:p/>
    <w:p>
      <w:pPr>
        <w:ind w:left="-199" w:leftChars="-95" w:firstLine="199" w:firstLineChars="95"/>
      </w:pPr>
    </w:p>
    <w:tbl>
      <w:tblPr>
        <w:tblStyle w:val="5"/>
        <w:tblW w:w="15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3"/>
        <w:gridCol w:w="341"/>
        <w:gridCol w:w="395"/>
        <w:gridCol w:w="2308"/>
        <w:gridCol w:w="758"/>
        <w:gridCol w:w="870"/>
        <w:gridCol w:w="813"/>
        <w:gridCol w:w="880"/>
        <w:gridCol w:w="792"/>
        <w:gridCol w:w="531"/>
        <w:gridCol w:w="431"/>
        <w:gridCol w:w="567"/>
        <w:gridCol w:w="520"/>
        <w:gridCol w:w="883"/>
        <w:gridCol w:w="633"/>
        <w:gridCol w:w="554"/>
        <w:gridCol w:w="844"/>
        <w:gridCol w:w="544"/>
        <w:gridCol w:w="542"/>
        <w:gridCol w:w="657"/>
        <w:gridCol w:w="797"/>
        <w:gridCol w:w="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15685" w:type="dxa"/>
            <w:gridSpan w:val="2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2020年部门收入总体情况表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3447"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单位名称：焦作市马村区发展和改革委员会</w:t>
            </w:r>
          </w:p>
        </w:tc>
        <w:tc>
          <w:tcPr>
            <w:tcW w:w="758" w:type="dxa"/>
            <w:shd w:val="clear" w:color="auto" w:fill="auto"/>
            <w:vAlign w:val="center"/>
          </w:tcPr>
          <w:p>
            <w:pPr>
              <w:rPr>
                <w:rFonts w:hint="eastAsia" w:ascii="宋体" w:hAnsi="宋体" w:eastAsia="宋体" w:cs="宋体"/>
                <w:i w:val="0"/>
                <w:color w:val="000000"/>
                <w:sz w:val="18"/>
                <w:szCs w:val="18"/>
                <w:u w:val="none"/>
              </w:rPr>
            </w:pPr>
          </w:p>
        </w:tc>
        <w:tc>
          <w:tcPr>
            <w:tcW w:w="870" w:type="dxa"/>
            <w:shd w:val="clear" w:color="auto" w:fill="auto"/>
            <w:vAlign w:val="center"/>
          </w:tcPr>
          <w:p>
            <w:pPr>
              <w:rPr>
                <w:rFonts w:hint="eastAsia" w:ascii="宋体" w:hAnsi="宋体" w:eastAsia="宋体" w:cs="宋体"/>
                <w:i w:val="0"/>
                <w:color w:val="000000"/>
                <w:sz w:val="18"/>
                <w:szCs w:val="18"/>
                <w:u w:val="none"/>
              </w:rPr>
            </w:pPr>
          </w:p>
        </w:tc>
        <w:tc>
          <w:tcPr>
            <w:tcW w:w="813" w:type="dxa"/>
            <w:shd w:val="clear" w:color="auto" w:fill="auto"/>
            <w:vAlign w:val="center"/>
          </w:tcPr>
          <w:p>
            <w:pPr>
              <w:rPr>
                <w:rFonts w:hint="eastAsia" w:ascii="宋体" w:hAnsi="宋体" w:eastAsia="宋体" w:cs="宋体"/>
                <w:i w:val="0"/>
                <w:color w:val="000000"/>
                <w:sz w:val="18"/>
                <w:szCs w:val="18"/>
                <w:u w:val="none"/>
              </w:rPr>
            </w:pPr>
          </w:p>
        </w:tc>
        <w:tc>
          <w:tcPr>
            <w:tcW w:w="880" w:type="dxa"/>
            <w:shd w:val="clear" w:color="auto" w:fill="auto"/>
            <w:vAlign w:val="center"/>
          </w:tcPr>
          <w:p>
            <w:pPr>
              <w:rPr>
                <w:rFonts w:hint="eastAsia" w:ascii="宋体" w:hAnsi="宋体" w:eastAsia="宋体" w:cs="宋体"/>
                <w:i w:val="0"/>
                <w:color w:val="000000"/>
                <w:sz w:val="18"/>
                <w:szCs w:val="18"/>
                <w:u w:val="none"/>
              </w:rPr>
            </w:pPr>
          </w:p>
        </w:tc>
        <w:tc>
          <w:tcPr>
            <w:tcW w:w="792" w:type="dxa"/>
            <w:shd w:val="clear" w:color="auto" w:fill="auto"/>
            <w:vAlign w:val="center"/>
          </w:tcPr>
          <w:p>
            <w:pPr>
              <w:rPr>
                <w:rFonts w:hint="eastAsia" w:ascii="宋体" w:hAnsi="宋体" w:eastAsia="宋体" w:cs="宋体"/>
                <w:i w:val="0"/>
                <w:color w:val="000000"/>
                <w:sz w:val="18"/>
                <w:szCs w:val="18"/>
                <w:u w:val="none"/>
              </w:rPr>
            </w:pPr>
          </w:p>
        </w:tc>
        <w:tc>
          <w:tcPr>
            <w:tcW w:w="531" w:type="dxa"/>
            <w:shd w:val="clear" w:color="auto" w:fill="auto"/>
            <w:vAlign w:val="center"/>
          </w:tcPr>
          <w:p>
            <w:pPr>
              <w:rPr>
                <w:rFonts w:hint="eastAsia" w:ascii="宋体" w:hAnsi="宋体" w:eastAsia="宋体" w:cs="宋体"/>
                <w:i w:val="0"/>
                <w:color w:val="000000"/>
                <w:sz w:val="18"/>
                <w:szCs w:val="18"/>
                <w:u w:val="none"/>
              </w:rPr>
            </w:pPr>
          </w:p>
        </w:tc>
        <w:tc>
          <w:tcPr>
            <w:tcW w:w="431" w:type="dxa"/>
            <w:shd w:val="clear" w:color="auto" w:fill="auto"/>
            <w:vAlign w:val="center"/>
          </w:tcPr>
          <w:p>
            <w:pPr>
              <w:rPr>
                <w:rFonts w:hint="eastAsia" w:ascii="宋体" w:hAnsi="宋体" w:eastAsia="宋体" w:cs="宋体"/>
                <w:i w:val="0"/>
                <w:color w:val="000000"/>
                <w:sz w:val="18"/>
                <w:szCs w:val="18"/>
                <w:u w:val="none"/>
              </w:rPr>
            </w:pPr>
          </w:p>
        </w:tc>
        <w:tc>
          <w:tcPr>
            <w:tcW w:w="567" w:type="dxa"/>
            <w:shd w:val="clear" w:color="auto" w:fill="auto"/>
            <w:vAlign w:val="center"/>
          </w:tcPr>
          <w:p>
            <w:pPr>
              <w:rPr>
                <w:rFonts w:hint="eastAsia" w:ascii="宋体" w:hAnsi="宋体" w:eastAsia="宋体" w:cs="宋体"/>
                <w:i w:val="0"/>
                <w:color w:val="000000"/>
                <w:sz w:val="18"/>
                <w:szCs w:val="18"/>
                <w:u w:val="none"/>
              </w:rPr>
            </w:pPr>
          </w:p>
        </w:tc>
        <w:tc>
          <w:tcPr>
            <w:tcW w:w="520" w:type="dxa"/>
            <w:shd w:val="clear" w:color="auto" w:fill="auto"/>
            <w:vAlign w:val="center"/>
          </w:tcPr>
          <w:p>
            <w:pPr>
              <w:rPr>
                <w:rFonts w:hint="eastAsia" w:ascii="宋体" w:hAnsi="宋体" w:eastAsia="宋体" w:cs="宋体"/>
                <w:i w:val="0"/>
                <w:color w:val="000000"/>
                <w:sz w:val="18"/>
                <w:szCs w:val="18"/>
                <w:u w:val="none"/>
              </w:rPr>
            </w:pPr>
          </w:p>
        </w:tc>
        <w:tc>
          <w:tcPr>
            <w:tcW w:w="883" w:type="dxa"/>
            <w:shd w:val="clear" w:color="auto" w:fill="auto"/>
            <w:vAlign w:val="center"/>
          </w:tcPr>
          <w:p>
            <w:pPr>
              <w:rPr>
                <w:rFonts w:hint="eastAsia" w:ascii="宋体" w:hAnsi="宋体" w:eastAsia="宋体" w:cs="宋体"/>
                <w:i w:val="0"/>
                <w:color w:val="000000"/>
                <w:sz w:val="18"/>
                <w:szCs w:val="18"/>
                <w:u w:val="none"/>
              </w:rPr>
            </w:pPr>
          </w:p>
        </w:tc>
        <w:tc>
          <w:tcPr>
            <w:tcW w:w="633" w:type="dxa"/>
            <w:shd w:val="clear" w:color="auto" w:fill="auto"/>
            <w:vAlign w:val="center"/>
          </w:tcPr>
          <w:p>
            <w:pPr>
              <w:rPr>
                <w:rFonts w:hint="eastAsia" w:ascii="宋体" w:hAnsi="宋体" w:eastAsia="宋体" w:cs="宋体"/>
                <w:i w:val="0"/>
                <w:color w:val="000000"/>
                <w:sz w:val="18"/>
                <w:szCs w:val="18"/>
                <w:u w:val="none"/>
              </w:rPr>
            </w:pPr>
          </w:p>
        </w:tc>
        <w:tc>
          <w:tcPr>
            <w:tcW w:w="554" w:type="dxa"/>
            <w:shd w:val="clear" w:color="auto" w:fill="auto"/>
            <w:vAlign w:val="center"/>
          </w:tcPr>
          <w:p>
            <w:pPr>
              <w:rPr>
                <w:rFonts w:hint="eastAsia" w:ascii="宋体" w:hAnsi="宋体" w:eastAsia="宋体" w:cs="宋体"/>
                <w:i w:val="0"/>
                <w:color w:val="000000"/>
                <w:sz w:val="18"/>
                <w:szCs w:val="18"/>
                <w:u w:val="none"/>
              </w:rPr>
            </w:pPr>
          </w:p>
        </w:tc>
        <w:tc>
          <w:tcPr>
            <w:tcW w:w="844" w:type="dxa"/>
            <w:shd w:val="clear" w:color="auto" w:fill="auto"/>
            <w:vAlign w:val="center"/>
          </w:tcPr>
          <w:p>
            <w:pPr>
              <w:rPr>
                <w:rFonts w:hint="eastAsia" w:ascii="宋体" w:hAnsi="宋体" w:eastAsia="宋体" w:cs="宋体"/>
                <w:i w:val="0"/>
                <w:color w:val="000000"/>
                <w:sz w:val="24"/>
                <w:szCs w:val="24"/>
                <w:u w:val="none"/>
              </w:rPr>
            </w:pPr>
          </w:p>
        </w:tc>
        <w:tc>
          <w:tcPr>
            <w:tcW w:w="544" w:type="dxa"/>
            <w:shd w:val="clear" w:color="auto" w:fill="auto"/>
            <w:vAlign w:val="center"/>
          </w:tcPr>
          <w:p>
            <w:pPr>
              <w:rPr>
                <w:rFonts w:hint="eastAsia" w:ascii="宋体" w:hAnsi="宋体" w:eastAsia="宋体" w:cs="宋体"/>
                <w:i w:val="0"/>
                <w:color w:val="000000"/>
                <w:sz w:val="24"/>
                <w:szCs w:val="24"/>
                <w:u w:val="none"/>
              </w:rPr>
            </w:pPr>
          </w:p>
        </w:tc>
        <w:tc>
          <w:tcPr>
            <w:tcW w:w="542" w:type="dxa"/>
            <w:shd w:val="clear" w:color="auto" w:fill="auto"/>
            <w:vAlign w:val="center"/>
          </w:tcPr>
          <w:p>
            <w:pPr>
              <w:rPr>
                <w:rFonts w:hint="eastAsia" w:ascii="宋体" w:hAnsi="宋体" w:eastAsia="宋体" w:cs="宋体"/>
                <w:i w:val="0"/>
                <w:color w:val="000000"/>
                <w:sz w:val="24"/>
                <w:szCs w:val="24"/>
                <w:u w:val="none"/>
              </w:rPr>
            </w:pPr>
          </w:p>
        </w:tc>
        <w:tc>
          <w:tcPr>
            <w:tcW w:w="657" w:type="dxa"/>
            <w:shd w:val="clear" w:color="auto" w:fill="auto"/>
            <w:vAlign w:val="center"/>
          </w:tcPr>
          <w:p>
            <w:pPr>
              <w:rPr>
                <w:rFonts w:hint="eastAsia" w:ascii="宋体" w:hAnsi="宋体" w:eastAsia="宋体" w:cs="宋体"/>
                <w:i w:val="0"/>
                <w:color w:val="000000"/>
                <w:sz w:val="24"/>
                <w:szCs w:val="24"/>
                <w:u w:val="none"/>
              </w:rPr>
            </w:pPr>
          </w:p>
        </w:tc>
        <w:tc>
          <w:tcPr>
            <w:tcW w:w="797" w:type="dxa"/>
            <w:shd w:val="clear" w:color="auto" w:fill="auto"/>
            <w:vAlign w:val="center"/>
          </w:tcPr>
          <w:p>
            <w:pPr>
              <w:rPr>
                <w:rFonts w:hint="eastAsia" w:ascii="宋体" w:hAnsi="宋体" w:eastAsia="宋体" w:cs="宋体"/>
                <w:i w:val="0"/>
                <w:color w:val="000000"/>
                <w:sz w:val="24"/>
                <w:szCs w:val="24"/>
                <w:u w:val="none"/>
              </w:rPr>
            </w:pPr>
          </w:p>
        </w:tc>
        <w:tc>
          <w:tcPr>
            <w:tcW w:w="62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11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科目代码</w:t>
            </w:r>
          </w:p>
        </w:tc>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8318"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一般公共预算支出</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政府性基金支出</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纳入财政专户管理的行政事业性收费</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本年预拨数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11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4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w:t>
            </w:r>
          </w:p>
        </w:tc>
        <w:tc>
          <w:tcPr>
            <w:tcW w:w="356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非税收入</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上级专项转移支付</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上年一般公共预算结余结转</w:t>
            </w:r>
          </w:p>
        </w:tc>
        <w:tc>
          <w:tcPr>
            <w:tcW w:w="5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当年收入安排支出</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上年结余结转</w:t>
            </w: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财拨 （小计）</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本级财力</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一般转移支付</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非税（小计）</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专项收入</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行政事业性收费</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罚没收入</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国有资源资产有偿使用收入</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其他非税收入</w:t>
            </w: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5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5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1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9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3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6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5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4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54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54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5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79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2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发展与改革事务</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行政运行（发展与改革事务）</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3"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行政人员及机关技术工人年工资总额</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63.13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63.13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63.13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63.13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事业人员及事业技术工人年基本工资</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11.23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11.23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11.23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11.23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基础性绩效工资</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奖励性绩效工资</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年终一次性奖金</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医疗保险金</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养老保险金</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生育保险费</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0.46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0.46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0.46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0.46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在职人员采暖补贴</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年度目标考核奖</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退休人员采暖补贴</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退休人员健康休养费</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其他工资支出</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工伤保险</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0.18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0.18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0.18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0.18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人员定额公用经费</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5.75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5.75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5.75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5.75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在职人员公用经费（公务交通）</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社会事业发展规划</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168.70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168.70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168.70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168.70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3"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服务业发展规划工作经费</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十四五规划编制经费</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物价管理</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价格认证工作经费</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应对气候变化管理事务</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“双替代”工作经费</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其他发展与改革事务支出</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1507.00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节能减排工作经费</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2019年清洁取暖项目区级配套</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 </w:t>
            </w:r>
          </w:p>
        </w:tc>
        <w:tc>
          <w:tcPr>
            <w:tcW w:w="87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项目工作经费</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7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23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2018年清洁取暖项目区级配套</w:t>
            </w:r>
          </w:p>
        </w:tc>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 </w:t>
            </w:r>
          </w:p>
        </w:tc>
        <w:tc>
          <w:tcPr>
            <w:tcW w:w="87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6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20"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4"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57" w:type="dxa"/>
            <w:tcBorders>
              <w:top w:val="single" w:color="000000" w:sz="4" w:space="0"/>
              <w:left w:val="single" w:color="000000" w:sz="4" w:space="0"/>
              <w:bottom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
    <w:p/>
    <w:p/>
    <w:p/>
    <w:p/>
    <w:p/>
    <w:p/>
    <w:p/>
    <w:p/>
    <w:p/>
    <w:p/>
    <w:p/>
    <w:p/>
    <w:p/>
    <w:p/>
    <w:p/>
    <w:p/>
    <w:p/>
    <w:tbl>
      <w:tblPr>
        <w:tblStyle w:val="5"/>
        <w:tblW w:w="13364" w:type="dxa"/>
        <w:jc w:val="center"/>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3"/>
        <w:gridCol w:w="436"/>
        <w:gridCol w:w="745"/>
        <w:gridCol w:w="2761"/>
        <w:gridCol w:w="1052"/>
        <w:gridCol w:w="960"/>
        <w:gridCol w:w="1068"/>
        <w:gridCol w:w="1107"/>
        <w:gridCol w:w="1320"/>
        <w:gridCol w:w="1027"/>
        <w:gridCol w:w="986"/>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4" w:hRule="atLeast"/>
          <w:jc w:val="center"/>
        </w:trPr>
        <w:tc>
          <w:tcPr>
            <w:tcW w:w="13364" w:type="dxa"/>
            <w:gridSpan w:val="1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2020年部门支出总体情况表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4485"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单位名称：焦作市马村区发展和改革委员会</w:t>
            </w:r>
          </w:p>
        </w:tc>
        <w:tc>
          <w:tcPr>
            <w:tcW w:w="1052" w:type="dxa"/>
            <w:shd w:val="clear" w:color="auto" w:fill="auto"/>
            <w:vAlign w:val="center"/>
          </w:tcPr>
          <w:p/>
        </w:tc>
        <w:tc>
          <w:tcPr>
            <w:tcW w:w="960" w:type="dxa"/>
            <w:shd w:val="clear" w:color="auto" w:fill="auto"/>
            <w:vAlign w:val="center"/>
          </w:tcPr>
          <w:p/>
        </w:tc>
        <w:tc>
          <w:tcPr>
            <w:tcW w:w="1068" w:type="dxa"/>
            <w:shd w:val="clear" w:color="auto" w:fill="auto"/>
            <w:vAlign w:val="center"/>
          </w:tcPr>
          <w:p/>
        </w:tc>
        <w:tc>
          <w:tcPr>
            <w:tcW w:w="1107" w:type="dxa"/>
            <w:shd w:val="clear" w:color="auto" w:fill="auto"/>
            <w:vAlign w:val="center"/>
          </w:tcPr>
          <w:p/>
        </w:tc>
        <w:tc>
          <w:tcPr>
            <w:tcW w:w="1320" w:type="dxa"/>
            <w:shd w:val="clear" w:color="auto" w:fill="auto"/>
            <w:vAlign w:val="center"/>
          </w:tcPr>
          <w:p/>
        </w:tc>
        <w:tc>
          <w:tcPr>
            <w:tcW w:w="1027" w:type="dxa"/>
            <w:shd w:val="clear" w:color="auto" w:fill="auto"/>
            <w:vAlign w:val="center"/>
          </w:tcPr>
          <w:p/>
        </w:tc>
        <w:tc>
          <w:tcPr>
            <w:tcW w:w="986" w:type="dxa"/>
            <w:shd w:val="clear" w:color="auto" w:fill="auto"/>
            <w:vAlign w:val="center"/>
          </w:tcPr>
          <w:p/>
        </w:tc>
        <w:tc>
          <w:tcPr>
            <w:tcW w:w="1359" w:type="dxa"/>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jc w:val="center"/>
        </w:trPr>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2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w:t>
            </w:r>
          </w:p>
        </w:tc>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78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 w:hRule="atLeast"/>
          <w:jc w:val="center"/>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3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5"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公用经费支出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专项支出</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76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5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6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6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0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8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5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133.47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1,677.40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1,677.40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133.47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1,677.40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1,677.40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发展与改革事务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133.47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1,677.40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1,677.40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行政运行（发展与改革事务）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133.47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医疗保险金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退休人员健康休养费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退休人员采暖补贴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奖励性绩效工资</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在职人员公用经费（公务交通）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基础性绩效工资</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事业人员及事业技术工人年基本工资</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11.23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11.23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11.23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年度目标考核奖</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人员定额公用经费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5.75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5.75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5.75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5.75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行政人员及机关技术工人年工资总额</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63.13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63.13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63.13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养老保险金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工伤保险</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0.18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0.18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0.18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0.18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年终一次性奖金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生育保险费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0.46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0.46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0.46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0.46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在职人员采暖补贴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社会事业发展规划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168.70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168.70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168.70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168.70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06</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十四五规划编制经费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06</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服务业发展规划工作经费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物价管理</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08</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价格认证工作经费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应对气候变化管理事务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09</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“双替代”工作经费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其他发展与改革事务支出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1507.00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1,507.00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1,507.00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1,507.00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99</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2018年清洁取暖项目区级配套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99</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2019年清洁取暖项目区级配套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99</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项目工作经费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99</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节能减排工作经费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tbl>
      <w:tblPr>
        <w:tblStyle w:val="5"/>
        <w:tblpPr w:leftFromText="180" w:rightFromText="180" w:vertAnchor="text" w:horzAnchor="page" w:tblpX="1602" w:tblpY="73"/>
        <w:tblOverlap w:val="never"/>
        <w:tblW w:w="13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34"/>
        <w:gridCol w:w="2686"/>
        <w:gridCol w:w="3634"/>
        <w:gridCol w:w="3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13237"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2020年部门财政拨款收支总体情况表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634"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单位名称：焦作市马村区发展和改革委员会</w:t>
            </w:r>
          </w:p>
        </w:tc>
        <w:tc>
          <w:tcPr>
            <w:tcW w:w="2686" w:type="dxa"/>
            <w:tcBorders>
              <w:bottom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634" w:type="dxa"/>
            <w:tcBorders>
              <w:bottom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283"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5" w:hRule="atLeast"/>
        </w:trPr>
        <w:tc>
          <w:tcPr>
            <w:tcW w:w="363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收入项目</w:t>
            </w:r>
          </w:p>
        </w:tc>
        <w:tc>
          <w:tcPr>
            <w:tcW w:w="2686"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363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支出项目</w:t>
            </w:r>
          </w:p>
        </w:tc>
        <w:tc>
          <w:tcPr>
            <w:tcW w:w="32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363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一、一般公共预算收入</w:t>
            </w:r>
          </w:p>
        </w:tc>
        <w:tc>
          <w:tcPr>
            <w:tcW w:w="268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363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一、基本支出</w:t>
            </w:r>
          </w:p>
        </w:tc>
        <w:tc>
          <w:tcPr>
            <w:tcW w:w="32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363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财政拨款</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363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人员支出</w:t>
            </w:r>
          </w:p>
        </w:tc>
        <w:tc>
          <w:tcPr>
            <w:tcW w:w="32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363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非税收入</w:t>
            </w:r>
          </w:p>
        </w:tc>
        <w:tc>
          <w:tcPr>
            <w:tcW w:w="2686" w:type="dxa"/>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63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公用支出</w:t>
            </w:r>
          </w:p>
        </w:tc>
        <w:tc>
          <w:tcPr>
            <w:tcW w:w="32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363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上级专项转移支付收入</w:t>
            </w:r>
          </w:p>
        </w:tc>
        <w:tc>
          <w:tcPr>
            <w:tcW w:w="2686"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63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二、项目支出</w:t>
            </w:r>
          </w:p>
        </w:tc>
        <w:tc>
          <w:tcPr>
            <w:tcW w:w="32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363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63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专项支出</w:t>
            </w:r>
          </w:p>
        </w:tc>
        <w:tc>
          <w:tcPr>
            <w:tcW w:w="32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363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三、纳入财政专户管理的行政事业性收费</w:t>
            </w:r>
          </w:p>
        </w:tc>
        <w:tc>
          <w:tcPr>
            <w:tcW w:w="2686"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63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政府采购项目</w:t>
            </w:r>
          </w:p>
        </w:tc>
        <w:tc>
          <w:tcPr>
            <w:tcW w:w="3283"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3634" w:type="dxa"/>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四、国有资本经营预算收入</w:t>
            </w:r>
          </w:p>
        </w:tc>
        <w:tc>
          <w:tcPr>
            <w:tcW w:w="2686" w:type="dxa"/>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634"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3" w:hRule="atLeast"/>
        </w:trPr>
        <w:tc>
          <w:tcPr>
            <w:tcW w:w="363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五、其他资金</w:t>
            </w:r>
          </w:p>
        </w:tc>
        <w:tc>
          <w:tcPr>
            <w:tcW w:w="268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 </w:t>
            </w:r>
          </w:p>
        </w:tc>
        <w:tc>
          <w:tcPr>
            <w:tcW w:w="3634"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3" w:hRule="atLeast"/>
        </w:trPr>
        <w:tc>
          <w:tcPr>
            <w:tcW w:w="36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86"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634"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3" w:hRule="atLeast"/>
        </w:trPr>
        <w:tc>
          <w:tcPr>
            <w:tcW w:w="36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18"/>
                <w:szCs w:val="18"/>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3" w:hRule="atLeast"/>
        </w:trPr>
        <w:tc>
          <w:tcPr>
            <w:tcW w:w="36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86"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634" w:type="dxa"/>
            <w:tcBorders>
              <w:top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当年收入合计</w:t>
            </w:r>
          </w:p>
        </w:tc>
        <w:tc>
          <w:tcPr>
            <w:tcW w:w="268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当年支出合计</w:t>
            </w:r>
          </w:p>
        </w:tc>
        <w:tc>
          <w:tcPr>
            <w:tcW w:w="32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363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六、上年结转结余</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63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三、上年结转结余支出</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363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一般公共预算结转结余</w:t>
            </w:r>
          </w:p>
        </w:tc>
        <w:tc>
          <w:tcPr>
            <w:tcW w:w="2686"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63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一般公共预算结转结余</w:t>
            </w:r>
          </w:p>
        </w:tc>
        <w:tc>
          <w:tcPr>
            <w:tcW w:w="3283" w:type="dxa"/>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363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基金结转结余</w:t>
            </w:r>
          </w:p>
        </w:tc>
        <w:tc>
          <w:tcPr>
            <w:tcW w:w="2686"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634" w:type="dxa"/>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基金结转结余</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363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收入总计</w:t>
            </w:r>
          </w:p>
        </w:tc>
        <w:tc>
          <w:tcPr>
            <w:tcW w:w="268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c>
          <w:tcPr>
            <w:tcW w:w="3634" w:type="dxa"/>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支出总计</w:t>
            </w:r>
          </w:p>
        </w:tc>
        <w:tc>
          <w:tcPr>
            <w:tcW w:w="328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1,822.62 </w:t>
            </w:r>
          </w:p>
        </w:tc>
      </w:tr>
    </w:tbl>
    <w:p/>
    <w:p/>
    <w:p/>
    <w:p/>
    <w:p/>
    <w:p/>
    <w:p/>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Theme="minorEastAsia"/>
          <w:lang w:val="en-US" w:eastAsia="zh-CN"/>
        </w:rPr>
      </w:pPr>
    </w:p>
    <w:p/>
    <w:p/>
    <w:p/>
    <w:p/>
    <w:p/>
    <w:p/>
    <w:p/>
    <w:p/>
    <w:p/>
    <w:p/>
    <w:p/>
    <w:p/>
    <w:p/>
    <w:p/>
    <w:tbl>
      <w:tblPr>
        <w:tblStyle w:val="5"/>
        <w:tblpPr w:leftFromText="180" w:rightFromText="180" w:vertAnchor="text" w:horzAnchor="page" w:tblpXSpec="center" w:tblpY="215"/>
        <w:tblOverlap w:val="never"/>
        <w:tblW w:w="12085" w:type="dxa"/>
        <w:jc w:val="center"/>
        <w:tblInd w:w="13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2"/>
        <w:gridCol w:w="492"/>
        <w:gridCol w:w="840"/>
        <w:gridCol w:w="2483"/>
        <w:gridCol w:w="1513"/>
        <w:gridCol w:w="840"/>
        <w:gridCol w:w="840"/>
        <w:gridCol w:w="841"/>
        <w:gridCol w:w="840"/>
        <w:gridCol w:w="1524"/>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12085"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Style w:val="8"/>
                <w:lang w:val="en-US" w:eastAsia="zh-CN" w:bidi="ar"/>
              </w:rPr>
              <w:t>2020年部门一般公共预算支出情况表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jc w:val="center"/>
        </w:trPr>
        <w:tc>
          <w:tcPr>
            <w:tcW w:w="4427"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单位名称：焦作市马村区发展和改革委员会</w:t>
            </w:r>
          </w:p>
        </w:tc>
        <w:tc>
          <w:tcPr>
            <w:tcW w:w="1513" w:type="dxa"/>
            <w:shd w:val="clear" w:color="auto" w:fill="auto"/>
            <w:vAlign w:val="center"/>
          </w:tcPr>
          <w:p>
            <w:pPr>
              <w:rPr>
                <w:rFonts w:hint="eastAsia" w:ascii="宋体" w:hAnsi="宋体" w:eastAsia="宋体" w:cs="宋体"/>
                <w:i w:val="0"/>
                <w:color w:val="000000"/>
                <w:sz w:val="20"/>
                <w:szCs w:val="20"/>
                <w:u w:val="none"/>
              </w:rPr>
            </w:pPr>
          </w:p>
        </w:tc>
        <w:tc>
          <w:tcPr>
            <w:tcW w:w="840"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40"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41"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40"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24"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jc w:val="center"/>
        </w:trPr>
        <w:tc>
          <w:tcPr>
            <w:tcW w:w="1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6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 w:hRule="atLeast"/>
          <w:jc w:val="center"/>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5"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人员经费支出</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公用经费支出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133.47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177.40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177.40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133.47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177.40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177.40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发展与改革事务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322.62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133.47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177.40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177.40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行政运行（发展与改革事务）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133.47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生育保险费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0.46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0.46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0.46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奖励性绩效工资</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工伤保险</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0.18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0.18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基础性绩效工资</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养老保险金</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在职人员采暖补贴</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年终一次性奖金</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医疗保险金</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在职人员公用经费（公务交通）</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退休人员健康休养费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行政人员及机关技术工人年工资总额</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63.13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事业人员及事业技术工人年基本工资</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11.23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年度目标考核奖</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退休人员采暖补贴</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人员定额公用经费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社会事业发展规划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168.70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168.70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168.70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服务业发展规划工作经费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十四五规划编制经费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物价管理</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价格认证工作经费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应对气候变化管理事务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“双替代”工作经费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其他发展与改革事务支出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项目工作经费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节能减排工作经费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
    <w:p/>
    <w:p/>
    <w:p/>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rPr>
          <w:rFonts w:ascii="Calibri" w:hAnsi="Calibri" w:eastAsiaTheme="minor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r>
        <w:rPr>
          <w:rFonts w:hint="eastAsia" w:cstheme="minorBidi"/>
          <w:kern w:val="2"/>
          <w:sz w:val="21"/>
          <w:szCs w:val="22"/>
          <w:lang w:val="en-US" w:eastAsia="zh-CN" w:bidi="ar-SA"/>
        </w:rPr>
        <w:tab/>
      </w:r>
    </w:p>
    <w:tbl>
      <w:tblPr>
        <w:tblStyle w:val="5"/>
        <w:tblW w:w="9456" w:type="dxa"/>
        <w:jc w:val="center"/>
        <w:tblInd w:w="26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71"/>
        <w:gridCol w:w="2930"/>
        <w:gridCol w:w="3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04" w:hRule="atLeast"/>
          <w:jc w:val="center"/>
        </w:trPr>
        <w:tc>
          <w:tcPr>
            <w:tcW w:w="9456"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2020年一般公共预算基本支出表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337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单位名称：焦作市马村区发展和改革委员会</w:t>
            </w:r>
          </w:p>
        </w:tc>
        <w:tc>
          <w:tcPr>
            <w:tcW w:w="2930" w:type="dxa"/>
            <w:shd w:val="clear" w:color="auto" w:fill="auto"/>
            <w:vAlign w:val="center"/>
          </w:tcPr>
          <w:p>
            <w:pPr>
              <w:rPr>
                <w:rFonts w:hint="eastAsia" w:ascii="宋体" w:hAnsi="宋体" w:eastAsia="宋体" w:cs="宋体"/>
                <w:i w:val="0"/>
                <w:color w:val="000000"/>
                <w:sz w:val="24"/>
                <w:szCs w:val="24"/>
                <w:u w:val="none"/>
              </w:rPr>
            </w:pPr>
          </w:p>
        </w:tc>
        <w:tc>
          <w:tcPr>
            <w:tcW w:w="3155"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支出分类</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政府分类</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7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9"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工资福利支出</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工资奖金津补贴</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工资奖金津补贴</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工资奖金津补贴</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工资福利支出</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机关事业单位基本养老保险费</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社会保障缴费</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城镇职工基本医疗保险缴费</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社会保障缴费</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其他社会保障性缴费</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社会保障缴费</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其他工资福利支出</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维修（护）费</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2"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3"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离退休费</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3.79 </w:t>
            </w:r>
          </w:p>
        </w:tc>
      </w:tr>
    </w:tbl>
    <w:p>
      <w:pPr>
        <w:tabs>
          <w:tab w:val="left" w:pos="13045"/>
        </w:tabs>
        <w:jc w:val="left"/>
        <w:rPr>
          <w:rFonts w:hint="eastAsia" w:cstheme="minorBidi"/>
          <w:kern w:val="2"/>
          <w:sz w:val="21"/>
          <w:szCs w:val="22"/>
          <w:lang w:val="en-US" w:eastAsia="zh-CN" w:bidi="ar-SA"/>
        </w:rPr>
      </w:pPr>
    </w:p>
    <w:tbl>
      <w:tblPr>
        <w:tblStyle w:val="5"/>
        <w:tblW w:w="9325" w:type="dxa"/>
        <w:jc w:val="center"/>
        <w:tblInd w:w="27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33"/>
        <w:gridCol w:w="4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932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2020年一般公共预算“三公”经费支出情况表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3" w:hRule="atLeast"/>
          <w:jc w:val="center"/>
        </w:trPr>
        <w:tc>
          <w:tcPr>
            <w:tcW w:w="4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单位名称：焦作市马村区发展和改革委员会</w:t>
            </w:r>
          </w:p>
        </w:tc>
        <w:tc>
          <w:tcPr>
            <w:tcW w:w="499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jc w:val="center"/>
        </w:trPr>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2020年“三公”经费预算数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3" w:hRule="atLeast"/>
          <w:jc w:val="center"/>
        </w:trPr>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共计</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1、因公出国（境）费用</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2、公务接待费</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3" w:hRule="atLeast"/>
          <w:jc w:val="center"/>
        </w:trPr>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3、公务用车费</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5" w:hRule="atLeast"/>
          <w:jc w:val="center"/>
        </w:trPr>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其中：（1）公务用车运行维护费</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（2）公务用车购置</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 w:hRule="atLeast"/>
          <w:jc w:val="center"/>
        </w:trPr>
        <w:tc>
          <w:tcPr>
            <w:tcW w:w="4333" w:type="dxa"/>
            <w:shd w:val="clear" w:color="auto" w:fill="auto"/>
            <w:vAlign w:val="center"/>
          </w:tcPr>
          <w:p>
            <w:pPr>
              <w:rPr>
                <w:rFonts w:hint="eastAsia" w:ascii="宋体" w:hAnsi="宋体" w:eastAsia="宋体" w:cs="宋体"/>
                <w:i w:val="0"/>
                <w:color w:val="000000"/>
                <w:sz w:val="24"/>
                <w:szCs w:val="24"/>
                <w:u w:val="none"/>
              </w:rPr>
            </w:pPr>
          </w:p>
        </w:tc>
        <w:tc>
          <w:tcPr>
            <w:tcW w:w="4992"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7" w:hRule="atLeast"/>
          <w:jc w:val="center"/>
        </w:trPr>
        <w:tc>
          <w:tcPr>
            <w:tcW w:w="9325"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tc>
      </w:tr>
    </w:tbl>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tbl>
      <w:tblPr>
        <w:tblStyle w:val="5"/>
        <w:tblW w:w="13525" w:type="dxa"/>
        <w:jc w:val="center"/>
        <w:tblInd w:w="6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
        <w:gridCol w:w="808"/>
        <w:gridCol w:w="808"/>
        <w:gridCol w:w="2004"/>
        <w:gridCol w:w="1446"/>
        <w:gridCol w:w="1457"/>
        <w:gridCol w:w="1435"/>
        <w:gridCol w:w="1457"/>
        <w:gridCol w:w="1446"/>
        <w:gridCol w:w="808"/>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13525"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2020年部门政府性基金支出情况表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4143"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单位名称：焦作市马村区发展和改革委员会</w:t>
            </w:r>
          </w:p>
        </w:tc>
        <w:tc>
          <w:tcPr>
            <w:tcW w:w="1446" w:type="dxa"/>
            <w:shd w:val="clear" w:color="auto" w:fill="auto"/>
            <w:vAlign w:val="center"/>
          </w:tcPr>
          <w:p>
            <w:pPr>
              <w:rPr>
                <w:rFonts w:hint="eastAsia" w:ascii="宋体" w:hAnsi="宋体" w:eastAsia="宋体" w:cs="宋体"/>
                <w:i w:val="0"/>
                <w:color w:val="000000"/>
                <w:sz w:val="18"/>
                <w:szCs w:val="18"/>
                <w:u w:val="none"/>
              </w:rPr>
            </w:pPr>
          </w:p>
        </w:tc>
        <w:tc>
          <w:tcPr>
            <w:tcW w:w="1457"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35"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57"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46"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808" w:type="dxa"/>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33"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jc w:val="center"/>
        </w:trPr>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w:t>
            </w:r>
          </w:p>
        </w:tc>
        <w:tc>
          <w:tcPr>
            <w:tcW w:w="93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 w:hRule="atLeast"/>
          <w:jc w:val="center"/>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4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3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5" w:hRule="atLeast"/>
          <w:jc w:val="center"/>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人员经费支出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专项支出</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p>
      <w:pPr>
        <w:tabs>
          <w:tab w:val="left" w:pos="13045"/>
        </w:tabs>
        <w:ind w:firstLine="960" w:firstLineChars="300"/>
        <w:jc w:val="left"/>
        <w:rPr>
          <w:rFonts w:hint="eastAsia" w:cstheme="minorBidi"/>
          <w:kern w:val="2"/>
          <w:sz w:val="21"/>
          <w:szCs w:val="22"/>
          <w:lang w:val="en-US" w:eastAsia="zh-CN" w:bidi="ar-SA"/>
        </w:rPr>
      </w:pPr>
      <w:r>
        <w:rPr>
          <w:rFonts w:hint="eastAsia" w:ascii="仿宋_GB2312" w:hAnsi="仿宋_GB2312" w:eastAsia="仿宋_GB2312" w:cs="仿宋_GB2312"/>
          <w:sz w:val="32"/>
          <w:szCs w:val="32"/>
          <w:lang w:val="en-US" w:eastAsia="zh-CN"/>
        </w:rPr>
        <w:t>备注：我单位2020年没有政府性基金支出预算，故该表为空。</w:t>
      </w:r>
    </w:p>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p>
      <w:pPr>
        <w:tabs>
          <w:tab w:val="left" w:pos="13045"/>
        </w:tabs>
        <w:jc w:val="left"/>
        <w:rPr>
          <w:rFonts w:hint="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tbl>
      <w:tblPr>
        <w:tblStyle w:val="5"/>
        <w:tblW w:w="9636" w:type="dxa"/>
        <w:jc w:val="center"/>
        <w:tblInd w:w="25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88"/>
        <w:gridCol w:w="1280"/>
        <w:gridCol w:w="2287"/>
        <w:gridCol w:w="2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9636"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2020年国有资本经营预算收支表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单位名称：焦作市马村区发展和改革委员会</w:t>
            </w:r>
          </w:p>
        </w:tc>
        <w:tc>
          <w:tcPr>
            <w:tcW w:w="1280" w:type="dxa"/>
            <w:shd w:val="clear" w:color="auto" w:fill="auto"/>
            <w:vAlign w:val="center"/>
          </w:tcPr>
          <w:p>
            <w:pPr>
              <w:rPr>
                <w:rFonts w:hint="eastAsia" w:ascii="宋体" w:hAnsi="宋体" w:eastAsia="宋体" w:cs="宋体"/>
                <w:i w:val="0"/>
                <w:color w:val="000000"/>
                <w:sz w:val="18"/>
                <w:szCs w:val="18"/>
                <w:u w:val="none"/>
              </w:rPr>
            </w:pPr>
          </w:p>
        </w:tc>
        <w:tc>
          <w:tcPr>
            <w:tcW w:w="2287" w:type="dxa"/>
            <w:shd w:val="clear" w:color="auto" w:fill="auto"/>
            <w:vAlign w:val="center"/>
          </w:tcPr>
          <w:p>
            <w:pPr>
              <w:rPr>
                <w:rFonts w:hint="eastAsia" w:ascii="宋体" w:hAnsi="宋体" w:eastAsia="宋体" w:cs="宋体"/>
                <w:i w:val="0"/>
                <w:color w:val="000000"/>
                <w:sz w:val="18"/>
                <w:szCs w:val="18"/>
                <w:u w:val="none"/>
              </w:rPr>
            </w:pPr>
          </w:p>
        </w:tc>
        <w:tc>
          <w:tcPr>
            <w:tcW w:w="258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收入预算数</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支出预算数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利润收入</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解决历史遗留问题及改革成本支出</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股利、股息收入</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国有企业资本金注入</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产权转让收入</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国有企业政策性补贴</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清算收入</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金融国有资本经营预算支出</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其他国有资本经营预算收入</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其他国有资本经营预算支出</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本年收入合计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4"/>
                <w:szCs w:val="24"/>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本年支出合计</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上级专项转移支付收入</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调出资金</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上年结转收入</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收入总计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4"/>
                <w:szCs w:val="24"/>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支出总计</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4"/>
                <w:szCs w:val="24"/>
                <w:u w:val="none"/>
              </w:rPr>
            </w:pPr>
          </w:p>
        </w:tc>
      </w:tr>
    </w:tbl>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ind w:firstLine="2560" w:firstLineChars="800"/>
        <w:rPr>
          <w:rFonts w:hint="eastAsia" w:ascii="Calibri" w:hAnsi="Calibri" w:eastAsiaTheme="minorEastAsia" w:cstheme="minorBidi"/>
          <w:kern w:val="2"/>
          <w:sz w:val="21"/>
          <w:szCs w:val="22"/>
          <w:lang w:val="en-US" w:eastAsia="zh-CN" w:bidi="ar-SA"/>
        </w:rPr>
      </w:pPr>
      <w:r>
        <w:rPr>
          <w:rFonts w:hint="eastAsia" w:ascii="仿宋_GB2312" w:hAnsi="仿宋_GB2312" w:eastAsia="仿宋_GB2312" w:cs="仿宋_GB2312"/>
          <w:sz w:val="32"/>
          <w:szCs w:val="32"/>
          <w:lang w:val="en-US" w:eastAsia="zh-CN"/>
        </w:rPr>
        <w:t>备注：我单位2019年国有资本经营预算收支预算，故该表为空。</w:t>
      </w: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tbl>
      <w:tblPr>
        <w:tblStyle w:val="5"/>
        <w:tblpPr w:leftFromText="180" w:rightFromText="180" w:vertAnchor="text" w:horzAnchor="page" w:tblpX="4788" w:tblpY="85"/>
        <w:tblOverlap w:val="never"/>
        <w:tblW w:w="6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90"/>
        <w:gridCol w:w="1146"/>
        <w:gridCol w:w="2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6985"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2020年机关运行经费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6985" w:type="dxa"/>
            <w:gridSpan w:val="3"/>
            <w:shd w:val="clear" w:color="auto" w:fill="auto"/>
            <w:vAlign w:val="center"/>
          </w:tcPr>
          <w:p>
            <w:pPr>
              <w:keepNext w:val="0"/>
              <w:keepLines w:val="0"/>
              <w:widowControl/>
              <w:suppressLineNumbers w:val="0"/>
              <w:ind w:left="800" w:hanging="800" w:hangingChars="4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单位名称：焦作市马村区发展和改革委员会                   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部门预算经济分类</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政府预算经济分类</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维修（护）费</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r>
    </w:tbl>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rPr>
          <w:rFonts w:hint="eastAsia" w:ascii="Calibri" w:hAnsi="Calibri" w:eastAsiaTheme="minorEastAsia" w:cstheme="minorBidi"/>
          <w:kern w:val="2"/>
          <w:sz w:val="21"/>
          <w:szCs w:val="22"/>
          <w:lang w:val="en-US" w:eastAsia="zh-CN" w:bidi="ar-SA"/>
        </w:rPr>
      </w:pPr>
    </w:p>
    <w:p>
      <w:pPr>
        <w:adjustRightInd w:val="0"/>
        <w:snapToGrid w:val="0"/>
        <w:spacing w:line="360" w:lineRule="auto"/>
        <w:jc w:val="both"/>
        <w:rPr>
          <w:rFonts w:hint="eastAsia" w:ascii="仿宋_GB2312" w:hAnsi="仿宋_GB2312" w:eastAsia="仿宋_GB2312" w:cs="仿宋_GB2312"/>
          <w:sz w:val="32"/>
          <w:szCs w:val="32"/>
          <w:lang w:val="en-US" w:eastAsia="zh-CN"/>
        </w:rPr>
      </w:pPr>
    </w:p>
    <w:p>
      <w:pPr>
        <w:adjustRightInd w:val="0"/>
        <w:snapToGrid w:val="0"/>
        <w:spacing w:line="360" w:lineRule="auto"/>
        <w:jc w:val="both"/>
        <w:rPr>
          <w:rFonts w:hint="eastAsia" w:ascii="仿宋_GB2312" w:hAnsi="仿宋_GB2312" w:eastAsia="仿宋_GB2312" w:cs="仿宋_GB2312"/>
          <w:sz w:val="32"/>
          <w:szCs w:val="32"/>
          <w:lang w:val="en-US" w:eastAsia="zh-CN"/>
        </w:rPr>
      </w:pPr>
    </w:p>
    <w:p>
      <w:pPr>
        <w:adjustRightInd w:val="0"/>
        <w:snapToGrid w:val="0"/>
        <w:spacing w:line="360" w:lineRule="auto"/>
        <w:jc w:val="both"/>
        <w:rPr>
          <w:rFonts w:hint="eastAsia" w:ascii="仿宋_GB2312" w:hAnsi="仿宋_GB2312" w:eastAsia="仿宋_GB2312" w:cs="仿宋_GB2312"/>
          <w:sz w:val="32"/>
          <w:szCs w:val="32"/>
          <w:lang w:val="en-US" w:eastAsia="zh-CN"/>
        </w:rPr>
      </w:pPr>
    </w:p>
    <w:p>
      <w:pPr>
        <w:adjustRightInd w:val="0"/>
        <w:snapToGrid w:val="0"/>
        <w:spacing w:line="360" w:lineRule="auto"/>
        <w:jc w:val="both"/>
        <w:rPr>
          <w:rFonts w:hint="eastAsia" w:ascii="仿宋_GB2312" w:hAnsi="仿宋_GB2312" w:eastAsia="仿宋_GB2312" w:cs="仿宋_GB2312"/>
          <w:sz w:val="32"/>
          <w:szCs w:val="32"/>
          <w:lang w:val="en-US" w:eastAsia="zh-CN"/>
        </w:rPr>
      </w:pPr>
    </w:p>
    <w:p>
      <w:pPr>
        <w:adjustRightInd w:val="0"/>
        <w:snapToGrid w:val="0"/>
        <w:spacing w:line="360" w:lineRule="auto"/>
        <w:jc w:val="both"/>
        <w:rPr>
          <w:rFonts w:hint="eastAsia" w:ascii="仿宋_GB2312" w:hAnsi="仿宋_GB2312" w:eastAsia="仿宋_GB2312" w:cs="仿宋_GB2312"/>
          <w:sz w:val="32"/>
          <w:szCs w:val="32"/>
          <w:lang w:val="en-US" w:eastAsia="zh-CN"/>
        </w:rPr>
      </w:pPr>
    </w:p>
    <w:p>
      <w:pPr>
        <w:adjustRightInd w:val="0"/>
        <w:snapToGrid w:val="0"/>
        <w:spacing w:line="360" w:lineRule="auto"/>
        <w:jc w:val="both"/>
        <w:rPr>
          <w:rFonts w:hint="eastAsia" w:ascii="仿宋_GB2312" w:hAnsi="仿宋_GB2312" w:eastAsia="仿宋_GB2312" w:cs="仿宋_GB2312"/>
          <w:sz w:val="32"/>
          <w:szCs w:val="32"/>
          <w:lang w:val="en-US" w:eastAsia="zh-CN"/>
        </w:rPr>
      </w:pPr>
    </w:p>
    <w:p>
      <w:pPr>
        <w:adjustRightInd w:val="0"/>
        <w:snapToGrid w:val="0"/>
        <w:spacing w:line="360" w:lineRule="auto"/>
        <w:jc w:val="both"/>
        <w:rPr>
          <w:rFonts w:hint="eastAsia" w:ascii="仿宋_GB2312" w:hAnsi="仿宋_GB2312" w:eastAsia="仿宋_GB2312" w:cs="仿宋_GB2312"/>
          <w:sz w:val="32"/>
          <w:szCs w:val="32"/>
          <w:lang w:val="en-US" w:eastAsia="zh-CN"/>
        </w:rPr>
      </w:pPr>
    </w:p>
    <w:tbl>
      <w:tblPr>
        <w:tblStyle w:val="5"/>
        <w:tblW w:w="8905" w:type="dxa"/>
        <w:jc w:val="center"/>
        <w:tblInd w:w="2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5"/>
        <w:gridCol w:w="309"/>
        <w:gridCol w:w="689"/>
        <w:gridCol w:w="1167"/>
        <w:gridCol w:w="889"/>
        <w:gridCol w:w="754"/>
        <w:gridCol w:w="1499"/>
        <w:gridCol w:w="766"/>
        <w:gridCol w:w="689"/>
        <w:gridCol w:w="889"/>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905"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2020年预算项目支出绩效目标表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8905" w:type="dxa"/>
            <w:gridSpan w:val="11"/>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单位名称：焦作市马村区发展和改革委员会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2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64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2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3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项目概况</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项目类别</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项目属性</w:t>
            </w:r>
          </w:p>
        </w:tc>
        <w:tc>
          <w:tcPr>
            <w:tcW w:w="3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项目周期</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项目负责人</w:t>
            </w:r>
          </w:p>
        </w:tc>
        <w:tc>
          <w:tcPr>
            <w:tcW w:w="3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资金来源</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其中：本级财政资金</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本级财政资金             分年项目预算</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项目基本概况</w:t>
            </w:r>
          </w:p>
        </w:tc>
        <w:tc>
          <w:tcPr>
            <w:tcW w:w="64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政策依据</w:t>
            </w:r>
          </w:p>
        </w:tc>
        <w:tc>
          <w:tcPr>
            <w:tcW w:w="64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项目支出绩效目标与指标</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w:t>
            </w:r>
          </w:p>
        </w:tc>
        <w:tc>
          <w:tcPr>
            <w:tcW w:w="64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3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3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3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3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3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3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3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3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3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3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pPr>
        <w:adjustRightInd w:val="0"/>
        <w:snapToGrid w:val="0"/>
        <w:spacing w:line="360" w:lineRule="auto"/>
        <w:jc w:val="both"/>
        <w:rPr>
          <w:rFonts w:hint="eastAsia" w:ascii="仿宋_GB2312" w:hAnsi="仿宋_GB2312" w:eastAsia="仿宋_GB2312" w:cs="仿宋_GB2312"/>
          <w:sz w:val="32"/>
          <w:szCs w:val="32"/>
          <w:lang w:val="en-US" w:eastAsia="zh-CN"/>
        </w:rPr>
      </w:pPr>
    </w:p>
    <w:sectPr>
      <w:pgSz w:w="16838" w:h="11906" w:orient="landscape"/>
      <w:pgMar w:top="1183" w:right="1440" w:bottom="367" w:left="62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45239"/>
    <w:multiLevelType w:val="singleLevel"/>
    <w:tmpl w:val="81145239"/>
    <w:lvl w:ilvl="0" w:tentative="0">
      <w:start w:val="1"/>
      <w:numFmt w:val="chineseCounting"/>
      <w:suff w:val="nothing"/>
      <w:lvlText w:val="（%1）"/>
      <w:lvlJc w:val="left"/>
      <w:rPr>
        <w:rFonts w:hint="eastAsia"/>
      </w:rPr>
    </w:lvl>
  </w:abstractNum>
  <w:abstractNum w:abstractNumId="1">
    <w:nsid w:val="5A4F2DAA"/>
    <w:multiLevelType w:val="singleLevel"/>
    <w:tmpl w:val="5A4F2DAA"/>
    <w:lvl w:ilvl="0" w:tentative="0">
      <w:start w:val="1"/>
      <w:numFmt w:val="chineseCounting"/>
      <w:suff w:val="nothing"/>
      <w:lvlText w:val="（%1）"/>
      <w:lvlJc w:val="left"/>
    </w:lvl>
  </w:abstractNum>
  <w:abstractNum w:abstractNumId="2">
    <w:nsid w:val="5A796DEC"/>
    <w:multiLevelType w:val="singleLevel"/>
    <w:tmpl w:val="5A796DEC"/>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821DE"/>
    <w:rsid w:val="00AB6BD5"/>
    <w:rsid w:val="08884B4E"/>
    <w:rsid w:val="0C9821DE"/>
    <w:rsid w:val="0D472D88"/>
    <w:rsid w:val="0D824530"/>
    <w:rsid w:val="15234128"/>
    <w:rsid w:val="15F70CF3"/>
    <w:rsid w:val="17D8228B"/>
    <w:rsid w:val="17EE5994"/>
    <w:rsid w:val="1FD91946"/>
    <w:rsid w:val="22C65268"/>
    <w:rsid w:val="323131B4"/>
    <w:rsid w:val="367E0E54"/>
    <w:rsid w:val="38637FCF"/>
    <w:rsid w:val="3D9B45E5"/>
    <w:rsid w:val="433D653F"/>
    <w:rsid w:val="435F783B"/>
    <w:rsid w:val="4A140FB0"/>
    <w:rsid w:val="4D8C7C79"/>
    <w:rsid w:val="4DEE5FE9"/>
    <w:rsid w:val="529B4C99"/>
    <w:rsid w:val="529E7949"/>
    <w:rsid w:val="55F0672B"/>
    <w:rsid w:val="58647DF2"/>
    <w:rsid w:val="596604E7"/>
    <w:rsid w:val="5A1B7051"/>
    <w:rsid w:val="5C817B8B"/>
    <w:rsid w:val="61391E01"/>
    <w:rsid w:val="62EE0C02"/>
    <w:rsid w:val="6DFD3C44"/>
    <w:rsid w:val="6E6B0C4E"/>
    <w:rsid w:val="6FAE6F47"/>
    <w:rsid w:val="700B542C"/>
    <w:rsid w:val="74EA5167"/>
    <w:rsid w:val="7BF74FFF"/>
    <w:rsid w:val="7EA55F9D"/>
    <w:rsid w:val="7F9570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4"/>
    <w:qFormat/>
    <w:uiPriority w:val="0"/>
    <w:rPr>
      <w:rFonts w:hint="eastAsia" w:ascii="宋体" w:hAnsi="宋体" w:eastAsia="宋体" w:cs="宋体"/>
      <w:color w:val="000000"/>
      <w:sz w:val="18"/>
      <w:szCs w:val="18"/>
      <w:u w:val="none"/>
    </w:rPr>
  </w:style>
  <w:style w:type="character" w:customStyle="1" w:styleId="7">
    <w:name w:val="font21"/>
    <w:basedOn w:val="4"/>
    <w:qFormat/>
    <w:uiPriority w:val="0"/>
    <w:rPr>
      <w:rFonts w:hint="eastAsia" w:ascii="宋体" w:hAnsi="宋体" w:eastAsia="宋体" w:cs="宋体"/>
      <w:color w:val="000000"/>
      <w:sz w:val="18"/>
      <w:szCs w:val="18"/>
      <w:u w:val="none"/>
    </w:rPr>
  </w:style>
  <w:style w:type="character" w:customStyle="1" w:styleId="8">
    <w:name w:val="font01"/>
    <w:basedOn w:val="4"/>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2019-03-26T01:12:00Z</dcterms:created>
  <dc:creator>Administrator</dc:creator>
  <cp:lastModifiedBy>Administrator</cp:lastModifiedBy>
  <cp:lastPrinted>2020-06-09T07:50:00Z</cp:lastPrinted>
  <dcterms:modified xsi:type="dcterms:W3CDTF">2020-06-17T07:46:25Z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