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sz w:val="32"/>
          <w:szCs w:val="32"/>
        </w:rPr>
      </w:pPr>
      <w:bookmarkStart w:id="0" w:name="_GoBack"/>
      <w:bookmarkEnd w:id="0"/>
    </w:p>
    <w:tbl>
      <w:tblPr>
        <w:tblStyle w:val="4"/>
        <w:tblW w:w="15165" w:type="dxa"/>
        <w:tblInd w:w="93" w:type="dxa"/>
        <w:tblLayout w:type="autofit"/>
        <w:tblCellMar>
          <w:top w:w="0" w:type="dxa"/>
          <w:left w:w="108" w:type="dxa"/>
          <w:bottom w:w="0" w:type="dxa"/>
          <w:right w:w="108" w:type="dxa"/>
        </w:tblCellMar>
      </w:tblPr>
      <w:tblGrid>
        <w:gridCol w:w="539"/>
        <w:gridCol w:w="1944"/>
        <w:gridCol w:w="3224"/>
        <w:gridCol w:w="4616"/>
        <w:gridCol w:w="2563"/>
        <w:gridCol w:w="1397"/>
        <w:gridCol w:w="882"/>
      </w:tblGrid>
      <w:tr>
        <w:tblPrEx>
          <w:tblCellMar>
            <w:top w:w="0" w:type="dxa"/>
            <w:left w:w="108" w:type="dxa"/>
            <w:bottom w:w="0" w:type="dxa"/>
            <w:right w:w="108" w:type="dxa"/>
          </w:tblCellMar>
        </w:tblPrEx>
        <w:trPr>
          <w:trHeight w:val="1320" w:hRule="atLeast"/>
        </w:trPr>
        <w:tc>
          <w:tcPr>
            <w:tcW w:w="15165" w:type="dxa"/>
            <w:gridSpan w:val="7"/>
            <w:tcBorders>
              <w:top w:val="nil"/>
              <w:left w:val="nil"/>
              <w:bottom w:val="nil"/>
              <w:right w:val="nil"/>
            </w:tcBorders>
            <w:shd w:val="clear" w:color="auto" w:fill="auto"/>
            <w:vAlign w:val="center"/>
          </w:tcPr>
          <w:p>
            <w:pPr>
              <w:jc w:val="both"/>
              <w:textAlignment w:val="center"/>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附件4</w:t>
            </w:r>
          </w:p>
          <w:p>
            <w:pPr>
              <w:jc w:val="center"/>
              <w:textAlignment w:val="center"/>
              <w:rPr>
                <w:rFonts w:ascii="宋体" w:hAnsi="宋体" w:eastAsia="宋体" w:cs="宋体"/>
                <w:sz w:val="52"/>
                <w:szCs w:val="52"/>
              </w:rPr>
            </w:pPr>
            <w:r>
              <w:rPr>
                <w:rFonts w:hint="eastAsia" w:ascii="宋体" w:hAnsi="宋体" w:eastAsia="宋体" w:cs="宋体"/>
                <w:sz w:val="52"/>
                <w:szCs w:val="52"/>
                <w:lang w:bidi="ar"/>
              </w:rPr>
              <w:t>马村区不予实施行政强制事项清单</w:t>
            </w:r>
          </w:p>
        </w:tc>
      </w:tr>
      <w:tr>
        <w:tblPrEx>
          <w:tblCellMar>
            <w:top w:w="0" w:type="dxa"/>
            <w:left w:w="108" w:type="dxa"/>
            <w:bottom w:w="0" w:type="dxa"/>
            <w:right w:w="108" w:type="dxa"/>
          </w:tblCellMar>
        </w:tblPrEx>
        <w:trPr>
          <w:trHeight w:val="108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序号</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事项名称</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设定依据</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适用情形</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eastAsia" w:ascii="宋体" w:hAnsi="宋体" w:eastAsia="宋体" w:cs="宋体"/>
                <w:b/>
                <w:sz w:val="32"/>
                <w:szCs w:val="32"/>
                <w:lang w:eastAsia="zh-CN" w:bidi="ar"/>
              </w:rPr>
            </w:pPr>
            <w:r>
              <w:rPr>
                <w:rFonts w:hint="eastAsia" w:ascii="宋体" w:hAnsi="宋体" w:eastAsia="宋体" w:cs="宋体"/>
                <w:b/>
                <w:sz w:val="32"/>
                <w:szCs w:val="32"/>
                <w:lang w:bidi="ar"/>
              </w:rPr>
              <w:t>不予实施</w:t>
            </w:r>
          </w:p>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行政强制依据</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配套监管措施</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eastAsia="宋体" w:cs="宋体"/>
                <w:b/>
                <w:sz w:val="32"/>
                <w:szCs w:val="32"/>
              </w:rPr>
            </w:pPr>
            <w:r>
              <w:rPr>
                <w:rFonts w:hint="eastAsia" w:ascii="宋体" w:hAnsi="宋体" w:eastAsia="宋体" w:cs="宋体"/>
                <w:b/>
                <w:sz w:val="32"/>
                <w:szCs w:val="32"/>
                <w:lang w:bidi="ar"/>
              </w:rPr>
              <w:t>备注</w:t>
            </w:r>
          </w:p>
        </w:tc>
      </w:tr>
      <w:tr>
        <w:tblPrEx>
          <w:tblCellMar>
            <w:top w:w="0" w:type="dxa"/>
            <w:left w:w="108" w:type="dxa"/>
            <w:bottom w:w="0" w:type="dxa"/>
            <w:right w:w="108" w:type="dxa"/>
          </w:tblCellMar>
        </w:tblPrEx>
        <w:trPr>
          <w:trHeight w:val="102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noWrap/>
            <w:vAlign w:val="center"/>
          </w:tcPr>
          <w:p>
            <w:pPr>
              <w:kinsoku/>
              <w:autoSpaceDE/>
              <w:autoSpaceDN/>
              <w:adjustRightInd/>
              <w:snapToGrid/>
              <w:jc w:val="center"/>
              <w:textAlignment w:val="auto"/>
              <w:rPr>
                <w:rFonts w:ascii="仿宋" w:hAnsi="仿宋" w:eastAsia="仿宋" w:cs="宋体"/>
                <w:snapToGrid/>
                <w:sz w:val="20"/>
                <w:szCs w:val="20"/>
              </w:rPr>
            </w:pPr>
            <w:r>
              <w:rPr>
                <w:rFonts w:hint="eastAsia" w:ascii="仿宋" w:hAnsi="仿宋" w:eastAsia="仿宋"/>
                <w:sz w:val="20"/>
                <w:szCs w:val="20"/>
              </w:rPr>
              <w:t>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对当事人逾期不履行行政处罚决定的加处罚款措施</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 xml:space="preserve">《中华人民共和国行政处罚法》 第七十二条第一款 （一）项 </w:t>
            </w:r>
          </w:p>
          <w:p>
            <w:pPr>
              <w:textAlignment w:val="center"/>
              <w:rPr>
                <w:rFonts w:ascii="仿宋" w:hAnsi="仿宋" w:eastAsia="仿宋" w:cs="仿宋"/>
                <w:sz w:val="20"/>
                <w:szCs w:val="20"/>
              </w:rPr>
            </w:pPr>
            <w:r>
              <w:rPr>
                <w:rFonts w:ascii="仿宋" w:hAnsi="仿宋" w:eastAsia="仿宋" w:cs="仿宋"/>
                <w:sz w:val="20"/>
                <w:szCs w:val="20"/>
                <w:lang w:bidi="ar"/>
              </w:rPr>
              <w:t xml:space="preserve"> </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实施行政强制执行，在不损害 公共利益和他人合法权益的 情况下，行政机关与当事人达 成执行协议，当事人采取补救措施的</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《中华人民共和国行政强制法》第四十二条第一款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说服教育</w:t>
            </w:r>
          </w:p>
          <w:p>
            <w:pP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行政约谈</w:t>
            </w:r>
          </w:p>
          <w:p>
            <w:pPr>
              <w:textAlignment w:val="center"/>
              <w:rPr>
                <w:rFonts w:ascii="仿宋" w:hAnsi="仿宋" w:eastAsia="仿宋" w:cs="仿宋"/>
                <w:sz w:val="20"/>
                <w:szCs w:val="20"/>
              </w:rPr>
            </w:pPr>
            <w:r>
              <w:rPr>
                <w:rFonts w:ascii="仿宋" w:hAnsi="仿宋" w:eastAsia="仿宋" w:cs="仿宋"/>
                <w:sz w:val="20"/>
                <w:szCs w:val="20"/>
                <w:lang w:bidi="ar"/>
              </w:rPr>
              <w:t>行政回访</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城市管理领域</w:t>
            </w:r>
          </w:p>
        </w:tc>
      </w:tr>
      <w:tr>
        <w:tblPrEx>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生产、销售利用残次零配件或者报废农业机械的发动机、方向机、变速器、车架等部件拼装的农业机械的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《农业机械安全监督管理条例》第四十六条规定的扣押措施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违法行为情节显著轻微或者没有明显社会危害的</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53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未按照规定办理登记手续并取得相应的证书和牌照，擅自将拖拉机、联合收割机投入使用，或者未按照规定办理变更登记手续的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《农业机械安全监督管理条例》第五十条规定的扣押措施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违法行为情节显著轻微或者没有明显社会危害，尚不构成犯罪的</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sz w:val="20"/>
                <w:szCs w:val="20"/>
                <w:lang w:eastAsia="zh-CN" w:bidi="ar"/>
              </w:rPr>
            </w:pPr>
          </w:p>
          <w:p>
            <w:pPr>
              <w:textAlignment w:val="center"/>
              <w:rPr>
                <w:rFonts w:ascii="仿宋" w:hAnsi="仿宋" w:eastAsia="仿宋" w:cs="仿宋"/>
                <w:sz w:val="20"/>
                <w:szCs w:val="20"/>
              </w:rPr>
            </w:pPr>
            <w:r>
              <w:rPr>
                <w:rFonts w:ascii="仿宋" w:hAnsi="仿宋" w:eastAsia="仿宋" w:cs="仿宋"/>
                <w:sz w:val="20"/>
                <w:szCs w:val="20"/>
                <w:lang w:bidi="ar"/>
              </w:rPr>
              <w:t>使用拖拉机、联合收割机违反规定载人的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《农业机械安全监督管理条例》第五十四条规定扣押拖拉机、联合收割机的证书、牌照措施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违法行为情节显著轻微或者没有明显社会危害，尚不构成犯罪的</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经检验、检查发现农业机械存在事故隐患，经农业机械化主管部门告知拒不排除并继续使用的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《农业机械安全监督管理条例》第五十五条</w:t>
            </w:r>
            <w:r>
              <w:rPr>
                <w:rFonts w:ascii="Times New Roman" w:hAnsi="Times New Roman" w:eastAsia="仿宋" w:cs="Times New Roman"/>
                <w:sz w:val="20"/>
                <w:szCs w:val="20"/>
                <w:lang w:bidi="ar"/>
              </w:rPr>
              <w:t> </w:t>
            </w:r>
            <w:r>
              <w:rPr>
                <w:rFonts w:hint="eastAsia" w:ascii="宋体" w:hAnsi="宋体" w:eastAsia="宋体" w:cs="宋体"/>
                <w:sz w:val="20"/>
                <w:szCs w:val="20"/>
                <w:lang w:bidi="ar"/>
              </w:rPr>
              <w:t>规定的</w:t>
            </w:r>
            <w:r>
              <w:rPr>
                <w:rStyle w:val="14"/>
                <w:lang w:bidi="ar"/>
              </w:rPr>
              <w:t>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违法行为情节显著轻微或者没有明显社会危害，尚不构成犯罪的</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农业农村领域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对木材、工具的扣押</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sz w:val="20"/>
                <w:szCs w:val="20"/>
                <w:lang w:eastAsia="zh-CN" w:bidi="ar"/>
              </w:rPr>
            </w:pPr>
          </w:p>
          <w:p>
            <w:pPr>
              <w:textAlignment w:val="center"/>
              <w:rPr>
                <w:rFonts w:ascii="仿宋" w:hAnsi="仿宋" w:eastAsia="仿宋" w:cs="仿宋"/>
                <w:sz w:val="20"/>
                <w:szCs w:val="20"/>
              </w:rPr>
            </w:pPr>
            <w:r>
              <w:rPr>
                <w:rFonts w:ascii="仿宋" w:hAnsi="仿宋" w:eastAsia="仿宋" w:cs="仿宋"/>
                <w:sz w:val="20"/>
                <w:szCs w:val="20"/>
                <w:lang w:bidi="ar"/>
              </w:rPr>
              <w:t>《中华人民共和国森林法》第六十七条第（三）项</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1.对非法的林木已经拍照取证</w:t>
            </w:r>
          </w:p>
          <w:p>
            <w:pPr>
              <w:textAlignment w:val="center"/>
              <w:rPr>
                <w:rFonts w:hint="eastAsia" w:ascii="仿宋" w:hAnsi="仿宋" w:eastAsia="仿宋" w:cs="仿宋"/>
                <w:sz w:val="20"/>
                <w:szCs w:val="20"/>
                <w:lang w:eastAsia="zh-CN" w:bidi="ar"/>
              </w:rPr>
            </w:pPr>
            <w:r>
              <w:rPr>
                <w:rFonts w:ascii="仿宋" w:hAnsi="仿宋" w:eastAsia="仿宋" w:cs="仿宋"/>
                <w:sz w:val="20"/>
                <w:szCs w:val="20"/>
                <w:lang w:bidi="ar"/>
              </w:rPr>
              <w:t>执法人员已经完成测量</w:t>
            </w:r>
          </w:p>
          <w:p>
            <w:pPr>
              <w:textAlignment w:val="center"/>
              <w:rPr>
                <w:rFonts w:ascii="仿宋" w:hAnsi="仿宋" w:eastAsia="仿宋" w:cs="仿宋"/>
                <w:sz w:val="20"/>
                <w:szCs w:val="20"/>
              </w:rPr>
            </w:pPr>
            <w:r>
              <w:rPr>
                <w:rFonts w:ascii="仿宋" w:hAnsi="仿宋" w:eastAsia="仿宋" w:cs="仿宋"/>
                <w:sz w:val="20"/>
                <w:szCs w:val="20"/>
                <w:lang w:bidi="ar"/>
              </w:rPr>
              <w:t>2.证据不存在灭失和难以取得的情况</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行政执法监督</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林业领域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广告使用“国家级”“最高级”“最佳”等用语的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1.广告主在其经营场所或者互联网自媒体自行发布广告；2.主动改正或经责令限期改正后及时改正，未造成危害后果或者不良社会影响。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广告引证内容真实、准确，但未在广告中表明出处的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广告中涉及专利产品或者专利方法，已取得合法有效专利证明，但未标明专利号和专利种类的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通过大众传播媒介发布的广告未标注“广告”字样的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1.能够使消费者辨明其为广告；2.主动改正或经责令限期改正后及时改正，未造成危害后果或者不良社会影响。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广告经营者、广告发布者未按照国家有关规定建立、健全广告业务管理制度的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发布医疗、药品、医疗器械、农药、兽药、保健食品广告，已过广告审批有效期的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广告内容与实际情况一致，主动改正或经责令限期改正后及时改正，未造成危害后果或者不良社会影响。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广告用语用字未按规定使用普通话和规范汉字的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1.未对消费者造成误导；2.主动改正或经责令限期改正后及时改正，未造成危害后果或者不良社会影响。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发布农药广告未将广告批准文号列为广告内容同时发布的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1.已取得广告批准文号；2.主动改正或经责令限期改正后及时改正，未造成危害后果或者不良社会影响。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29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发布兽药广告未将广告批准文号列为广告内容同时发布的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color w:val="333333"/>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1.已取得广告批准文号；2.主动改正或经责令限期改正后及时改正，未造成危害后果或者不良社会影响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发布医疗广告时未标注《医疗广告审查证明》文号的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1.已取得《医疗广告审查证明》；2.主动改正或经责令限期改正后及时改正，未造成危害后果或者不良社会影响。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17</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房地产预售、销售广告未载明预售或者销售许可证书号的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《中华人民共和国广告法》第四十九条第一款第五项规定的查封、扣押措施。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1.已取得预售或者销售许可证；2.主动改正或经责令限期改正后及时改正，未造成危害后果或者不良社会影响。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18</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经营者未依法取得营业执照，从事无须取得许可的经营活动的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《无证无照经营查处办法》第十一条第二款规定的查封、扣押措施。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立案调查前已提交申请营业执照材料并通过审核，未造成危害后果或者不良社会影响。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19</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未依照规定在产品、包装或说明书上标注生产许可证标志和编号的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《中华人民共和国工业产品生产许可证管理条例》第三十七条第一款第三项规定的查封、扣押措施。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1.已取得工业产品生产许可证；2.主动改正或经责令限期改正后及时改正，未造成危害后果或者不良社会影响。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20</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获证产品及其销售包装上标注的认证证书所含内容，与认证证书的内容不一致的</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《强制性产品认证管理规定》第三十八条规定的查封、扣押措施。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1.已取得认证证书；2.主动改正或经责令限期改正后及时改正，未造成危害后果或者不良社会影响。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76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21</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认证委托人未按照规定正确使用和标注认证标志</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《强制性产品认证管理规定》第三十八条规定的查封、扣押措施。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1.已取得认证证书；2.主动改正或经责令限期改正后及时改正，未造成危害后果或者不良社会影响。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22</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食品、食品添加剂的标签、说明书存在瑕疵</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《中华人民共和国食品安全法》第一百一十条第四、五项规定的查封、扣押措施。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1.不影响食品安全且不会对消费者造成误导；2.主动改正或经责令限期改正后及时改正，未造成危害后果或者不良社会影响。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53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23</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销售未包装的食用农产品，未按规定在摊位（柜台）明显位置如实公布食用农产品名称、产地、生产者或者销售者名称或者姓名等信息</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《食用农产品市场销售质量安全监督管理办法》第三十八条第五、六项规定的查封、扣押措施。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24</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经许可使用他人注册商标，未在使用该注册商标的商品上标明被许可人的名称和商品产地</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《中华人民共和国商标法》第六十二条第一款第四项规定的查封、扣押措施。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020"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25</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销售不知道是侵犯注册商标专用权的商品，能证明该商品是自己合法取得并说明提供者</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《中华人民共和国商标法》第六十二条第一款第四项规定的查封、扣押措施。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主动停止销售并销毁侵权产品。</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r>
        <w:tblPrEx>
          <w:tblCellMar>
            <w:top w:w="0" w:type="dxa"/>
            <w:left w:w="108" w:type="dxa"/>
            <w:bottom w:w="0" w:type="dxa"/>
            <w:right w:w="108" w:type="dxa"/>
          </w:tblCellMar>
        </w:tblPrEx>
        <w:trPr>
          <w:trHeight w:val="1275"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jc w:val="center"/>
              <w:rPr>
                <w:rFonts w:hint="eastAsia" w:ascii="仿宋" w:hAnsi="仿宋" w:eastAsia="仿宋"/>
                <w:sz w:val="20"/>
                <w:szCs w:val="20"/>
              </w:rPr>
            </w:pPr>
            <w:r>
              <w:rPr>
                <w:rFonts w:hint="eastAsia" w:ascii="仿宋" w:hAnsi="仿宋" w:eastAsia="仿宋"/>
                <w:sz w:val="20"/>
                <w:szCs w:val="20"/>
              </w:rPr>
              <w:t>26</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生产经营标签不符合规定的化妆品</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《化妆品监督管理条例》第四十六条第四、五项规定的查封、扣押措施。</w:t>
            </w:r>
          </w:p>
        </w:tc>
        <w:tc>
          <w:tcPr>
            <w:tcW w:w="461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1.生产经营的化妆品的标签存在瑕疵但不影响质量安全且不会对消费者造成误导；2.主动改正或经责令限期改正后及时改正，未造成危害后果或者不良社会影响。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《中华人民共和国行政强制法》第十六条第二款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仿宋" w:hAnsi="仿宋" w:eastAsia="仿宋" w:cs="仿宋"/>
                <w:sz w:val="20"/>
                <w:szCs w:val="20"/>
              </w:rPr>
            </w:pPr>
            <w:r>
              <w:rPr>
                <w:rFonts w:ascii="仿宋" w:hAnsi="仿宋" w:eastAsia="仿宋" w:cs="仿宋"/>
                <w:sz w:val="20"/>
                <w:szCs w:val="20"/>
                <w:lang w:bidi="ar"/>
              </w:rPr>
              <w:t>不予强制，强化监管教育</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sz w:val="20"/>
                <w:szCs w:val="20"/>
              </w:rPr>
            </w:pPr>
            <w:r>
              <w:rPr>
                <w:rFonts w:ascii="仿宋" w:hAnsi="仿宋" w:eastAsia="仿宋" w:cs="仿宋"/>
                <w:sz w:val="20"/>
                <w:szCs w:val="20"/>
                <w:lang w:bidi="ar"/>
              </w:rPr>
              <w:t>市场监管领域</w:t>
            </w:r>
          </w:p>
        </w:tc>
      </w:tr>
    </w:tbl>
    <w:p>
      <w:pPr>
        <w:spacing w:line="560" w:lineRule="exact"/>
        <w:jc w:val="both"/>
        <w:rPr>
          <w:rFonts w:ascii="仿宋" w:hAnsi="仿宋" w:eastAsia="仿宋" w:cs="仿宋"/>
          <w:sz w:val="32"/>
          <w:szCs w:val="32"/>
        </w:rPr>
      </w:pPr>
    </w:p>
    <w:sectPr>
      <w:footerReference r:id="rId3" w:type="default"/>
      <w:pgSz w:w="16838" w:h="11906" w:orient="landscape"/>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DejaVu Sans">
    <w:altName w:val="Sylfaen"/>
    <w:panose1 w:val="00000000000000000000"/>
    <w:charset w:val="00"/>
    <w:family w:val="auto"/>
    <w:pitch w:val="default"/>
    <w:sig w:usb0="00000000" w:usb1="00000000" w:usb2="0A246029" w:usb3="0400200C" w:csb0="600001FF" w:csb1="D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470"/>
      <w:rPr>
        <w:rFonts w:ascii="宋体" w:hAnsi="宋体" w:eastAsia="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2YjYzNThhYmUwZjcyODU4NTM3YmY1NDI3MTA4YjcifQ=="/>
  </w:docVars>
  <w:rsids>
    <w:rsidRoot w:val="76DB2C9B"/>
    <w:rsid w:val="002E1F72"/>
    <w:rsid w:val="00354283"/>
    <w:rsid w:val="003A69CC"/>
    <w:rsid w:val="00616850"/>
    <w:rsid w:val="007C4303"/>
    <w:rsid w:val="0084286A"/>
    <w:rsid w:val="009F39B0"/>
    <w:rsid w:val="00CE7D5E"/>
    <w:rsid w:val="00DA54E1"/>
    <w:rsid w:val="00EA0E70"/>
    <w:rsid w:val="00EB60B2"/>
    <w:rsid w:val="00F652FA"/>
    <w:rsid w:val="01DB7ED5"/>
    <w:rsid w:val="02BC7E2D"/>
    <w:rsid w:val="063D2F0C"/>
    <w:rsid w:val="199B021E"/>
    <w:rsid w:val="24E91235"/>
    <w:rsid w:val="2B971D28"/>
    <w:rsid w:val="2C3B3496"/>
    <w:rsid w:val="5ACB37B8"/>
    <w:rsid w:val="66FE1376"/>
    <w:rsid w:val="6B2072AA"/>
    <w:rsid w:val="6DFFF321"/>
    <w:rsid w:val="76DB2C9B"/>
    <w:rsid w:val="7BA7EB4E"/>
    <w:rsid w:val="7DEF2F5B"/>
    <w:rsid w:val="BF7FC591"/>
    <w:rsid w:val="FEAFBFE9"/>
    <w:rsid w:val="FF763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6"/>
    <w:qFormat/>
    <w:uiPriority w:val="0"/>
    <w:pPr>
      <w:tabs>
        <w:tab w:val="center" w:pos="4153"/>
        <w:tab w:val="right" w:pos="8306"/>
      </w:tabs>
    </w:pPr>
    <w:rPr>
      <w:sz w:val="18"/>
      <w:szCs w:val="18"/>
    </w:rPr>
  </w:style>
  <w:style w:type="paragraph" w:styleId="3">
    <w:name w:val="header"/>
    <w:basedOn w:val="1"/>
    <w:link w:val="15"/>
    <w:uiPriority w:val="0"/>
    <w:pPr>
      <w:pBdr>
        <w:bottom w:val="single" w:color="auto" w:sz="6" w:space="1"/>
      </w:pBdr>
      <w:tabs>
        <w:tab w:val="center" w:pos="4153"/>
        <w:tab w:val="right" w:pos="8306"/>
      </w:tabs>
      <w:jc w:val="center"/>
    </w:pPr>
    <w:rPr>
      <w:sz w:val="18"/>
      <w:szCs w:val="18"/>
    </w:rPr>
  </w:style>
  <w:style w:type="character" w:customStyle="1" w:styleId="6">
    <w:name w:val="font11"/>
    <w:basedOn w:val="5"/>
    <w:qFormat/>
    <w:uiPriority w:val="0"/>
    <w:rPr>
      <w:rFonts w:hint="default" w:ascii="仿宋" w:hAnsi="仿宋" w:eastAsia="仿宋" w:cs="仿宋"/>
      <w:color w:val="000000"/>
      <w:sz w:val="20"/>
      <w:szCs w:val="20"/>
      <w:u w:val="none"/>
    </w:rPr>
  </w:style>
  <w:style w:type="character" w:customStyle="1" w:styleId="7">
    <w:name w:val="font31"/>
    <w:basedOn w:val="5"/>
    <w:qFormat/>
    <w:uiPriority w:val="0"/>
    <w:rPr>
      <w:rFonts w:hint="default" w:ascii="仿宋" w:hAnsi="仿宋" w:eastAsia="仿宋" w:cs="仿宋"/>
      <w:color w:val="000000"/>
      <w:sz w:val="20"/>
      <w:szCs w:val="20"/>
      <w:u w:val="none"/>
    </w:rPr>
  </w:style>
  <w:style w:type="character" w:customStyle="1" w:styleId="8">
    <w:name w:val="font21"/>
    <w:basedOn w:val="5"/>
    <w:qFormat/>
    <w:uiPriority w:val="0"/>
    <w:rPr>
      <w:rFonts w:hint="default" w:ascii="仿宋" w:hAnsi="仿宋" w:eastAsia="仿宋" w:cs="仿宋"/>
      <w:color w:val="000000"/>
      <w:sz w:val="20"/>
      <w:szCs w:val="20"/>
      <w:u w:val="none"/>
    </w:rPr>
  </w:style>
  <w:style w:type="character" w:customStyle="1" w:styleId="9">
    <w:name w:val="font01"/>
    <w:basedOn w:val="5"/>
    <w:qFormat/>
    <w:uiPriority w:val="0"/>
    <w:rPr>
      <w:rFonts w:hint="default" w:ascii="仿宋" w:hAnsi="仿宋" w:eastAsia="仿宋" w:cs="仿宋"/>
      <w:b/>
      <w:color w:val="000000"/>
      <w:sz w:val="20"/>
      <w:szCs w:val="20"/>
      <w:u w:val="none"/>
    </w:rPr>
  </w:style>
  <w:style w:type="character" w:customStyle="1" w:styleId="10">
    <w:name w:val="font41"/>
    <w:basedOn w:val="5"/>
    <w:uiPriority w:val="0"/>
    <w:rPr>
      <w:rFonts w:hint="default" w:ascii="仿宋" w:hAnsi="仿宋" w:eastAsia="仿宋" w:cs="仿宋"/>
      <w:color w:val="000000"/>
      <w:sz w:val="20"/>
      <w:szCs w:val="20"/>
      <w:u w:val="none"/>
    </w:rPr>
  </w:style>
  <w:style w:type="character" w:customStyle="1" w:styleId="11">
    <w:name w:val="font51"/>
    <w:basedOn w:val="5"/>
    <w:uiPriority w:val="0"/>
    <w:rPr>
      <w:rFonts w:hint="default" w:ascii="仿宋" w:hAnsi="仿宋" w:eastAsia="仿宋" w:cs="仿宋"/>
      <w:color w:val="000000"/>
      <w:sz w:val="20"/>
      <w:szCs w:val="20"/>
      <w:u w:val="none"/>
    </w:rPr>
  </w:style>
  <w:style w:type="character" w:customStyle="1" w:styleId="12">
    <w:name w:val="font81"/>
    <w:basedOn w:val="5"/>
    <w:qFormat/>
    <w:uiPriority w:val="0"/>
    <w:rPr>
      <w:rFonts w:ascii="DejaVu Sans" w:hAnsi="DejaVu Sans" w:eastAsia="DejaVu Sans" w:cs="DejaVu Sans"/>
      <w:color w:val="000000"/>
      <w:sz w:val="20"/>
      <w:szCs w:val="20"/>
      <w:u w:val="none"/>
    </w:rPr>
  </w:style>
  <w:style w:type="character" w:customStyle="1" w:styleId="13">
    <w:name w:val="font61"/>
    <w:basedOn w:val="5"/>
    <w:qFormat/>
    <w:uiPriority w:val="0"/>
    <w:rPr>
      <w:rFonts w:hint="default" w:ascii="仿宋" w:hAnsi="仿宋" w:eastAsia="仿宋" w:cs="仿宋"/>
      <w:color w:val="333333"/>
      <w:sz w:val="20"/>
      <w:szCs w:val="20"/>
      <w:u w:val="none"/>
    </w:rPr>
  </w:style>
  <w:style w:type="character" w:customStyle="1" w:styleId="14">
    <w:name w:val="font71"/>
    <w:basedOn w:val="5"/>
    <w:qFormat/>
    <w:uiPriority w:val="0"/>
    <w:rPr>
      <w:rFonts w:hint="default" w:ascii="仿宋" w:hAnsi="仿宋" w:eastAsia="仿宋" w:cs="仿宋"/>
      <w:color w:val="000000"/>
      <w:sz w:val="20"/>
      <w:szCs w:val="20"/>
      <w:u w:val="none"/>
    </w:rPr>
  </w:style>
  <w:style w:type="character" w:customStyle="1" w:styleId="15">
    <w:name w:val="页眉 字符"/>
    <w:basedOn w:val="5"/>
    <w:link w:val="3"/>
    <w:qFormat/>
    <w:uiPriority w:val="0"/>
    <w:rPr>
      <w:rFonts w:ascii="Arial" w:hAnsi="Arial" w:eastAsia="Arial" w:cs="Arial"/>
      <w:snapToGrid w:val="0"/>
      <w:color w:val="000000"/>
      <w:sz w:val="18"/>
      <w:szCs w:val="18"/>
    </w:rPr>
  </w:style>
  <w:style w:type="character" w:customStyle="1" w:styleId="16">
    <w:name w:val="页脚 字符"/>
    <w:basedOn w:val="5"/>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10437</Words>
  <Characters>10704</Characters>
  <Lines>746</Lines>
  <Paragraphs>210</Paragraphs>
  <TotalTime>9</TotalTime>
  <ScaleCrop>false</ScaleCrop>
  <LinksUpToDate>false</LinksUpToDate>
  <CharactersWithSpaces>10725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2022-12-18T11:13:00Z</dcterms:created>
  <dc:creator>布衣</dc:creator>
  <cp:lastModifiedBy>我们如此无奈</cp:lastModifiedBy>
  <dcterms:modified xsi:type="dcterms:W3CDTF">2022-12-19T01:37:50Z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3C6D52A0CE3F4157BD717DDC3CD9D373</vt:lpwstr>
  </property>
</Properties>
</file>