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Lines="5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年度焦作市政府招标课题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合格课题名单（共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79项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tbl>
      <w:tblPr>
        <w:tblStyle w:val="7"/>
        <w:tblpPr w:leftFromText="181" w:rightFromText="181" w:vertAnchor="text" w:horzAnchor="page" w:tblpXSpec="center" w:tblpY="24"/>
        <w:tblOverlap w:val="never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420"/>
        <w:gridCol w:w="1350"/>
        <w:gridCol w:w="4719"/>
        <w:gridCol w:w="1546"/>
        <w:gridCol w:w="981"/>
        <w:gridCol w:w="1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30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申报单位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主持人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eastAsia="zh-CN"/>
              </w:rPr>
              <w:t>课题类型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63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破解高质量发展瓶颈的有效路径选择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——焦作经济结构与增长动力互动关系研究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市统计局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毕明奇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新发展格局下我市经济社会高质量发展战略研究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市人民银行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崔  凯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62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2-1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关于我市加快建设郑洛“双圈”联动优先发展区的对策与建议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刘自胜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3-1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关于我市加快建设“智”造强市的路径与对策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姜  桦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5-2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推动我市主导产业链延伸发展的战略思考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苗  强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6-1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焦作市文化和旅游融合创新发展路径与模式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市文旅局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金贵斌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6-4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焦作黄河文化旅游发展战略分析及对策探讨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伟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7-1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预算绩效管理方法及应用实践---以河南省焦作市为例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市财政局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古明文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9-1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关于我市构建全国文明城市常态化创建机制的研究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示范区宣传部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袁红梅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关于我市创建法治政府建设示范市的对策与建议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市司法局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闫献亭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关于我市创建法治政府建设示范市的对策与建议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惠艳丽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3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JZZ202111-1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 xml:space="preserve">关于我市实施产业集聚区“百园增效”行动的对策与建议 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博爱县政府办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杰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关于健全我市科技创新领域院（校）地合作机制研究与政策建议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尚国营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JZZ202112-2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关于健全我市科技创新领域院（校）地合作机制的研究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崔  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-4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关于健全我市科技创新领域院（校）地合作机制的研究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河南凯瑞公司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方  正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关于培育我市数字经济龙头企业的对策与建议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郑  侃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92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关于培育我市数字经济龙头企业的对策与建议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王素芳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80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关于培育我市数字经济龙头企业的对策与建议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  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-4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关于培育我市数字经济龙头企业的对策与建议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  华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JZZ202115-1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关于加快推进我市传统产业转型升级的路径与对策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蒋祎凯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997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JZZ202115-2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关于加快推进市传统产业转型升级的路径与对策——以焦作市中小型化工企业转型升级为例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原东林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28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JZZ202115-3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关于加快推进我市传统产业转型升级的路径与对策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曹章要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0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JZZ202115-4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关于加快推进我市传统产业转型升级的路径与对策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河南凯瑞公司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李亦轩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6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JZZ202116-1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关于推进我市先进制造业关键技术研发及应用的研究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孟  超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JZZ202116-2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关于推进我市先进制造业关键技术研发及应用的研究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武守辉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JZZ202117-2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关于加快推进我市“碳达峰”工作的研究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  梅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5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JZZ202117-3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关于加快推进我市“碳达峰”工作的研究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  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90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JZZ202118-1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关于创新完善我市柔性引才育才机制的研究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市人社局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原军营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28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JZZ202118-2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关于创新完善我市柔性引才育才机制的研究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林  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5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JZZ202120-1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关于我市加快供应链金融创新发展的研究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金融工作局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王钰鹏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5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JZZ202120-2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关于我市加快供应链金融创新发展的研究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孟州市政府办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桂爱勤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5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JZZ202120-3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关于我市加快供应链金融创新发展的研究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方  辉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817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JZZ202121-1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以太极拳申遗成功为契机推动太极拳文化产业发展的探索与研究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温县政府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李培华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62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JZZ202121-4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以太极拳申遗成功为契机推动太极拳文化产业发展的探索与研究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刘玉明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830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JZZ202121-5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以太极拳申遗成功为契机推动太极拳文化产业发展的探索与研究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武创举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8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JZZ202122-1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关于我市加快培育壮大金融业的研究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金融工作局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杜拥军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29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JZZ202123-2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焦作市加快建设区域物流枢纽中心的路径与对策研究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王科峰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7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JZZ202123-3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关于我市加快建设区域物流枢纽中心的路径与对策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晶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6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JZZ202123-4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关于我市加快建设区域物流枢纽中心的路径与对策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张永学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JZZ202124-1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关于我市加快商圈经济发展的研究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珊珊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JZZ202124-2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关于我市加快商圈经济发展的研究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姚鹏飞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JZZ202125-1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关于我市大力发展普惠金融的对策与建议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市人民银行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林志猛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JZZ202125-2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焦作市普惠金融发展现状与对策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胡振兴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34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25-4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关于我市大力发展普惠金融的对策与建议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  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JZZ202126-1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关于加快我市民营经济发展的对策与建议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郭  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26-4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关于加快我市民营经济发展的对策与建议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宋  辉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27-2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乡村振兴战略下我市现代高效农业发展研究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杨  琰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27-3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乡村振兴战略下我市现代高效农业发展研究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陈彬韬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28-2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关于我市打造小麦种源基地的研究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慧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10" w:hRule="atLeas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30-3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关于我市培育壮大农村集体经济的研究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示范区文苑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道办事处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朱海洋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18" w:hRule="atLeas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30-4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关于我市培育壮大农村集体经济的研究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牛景彦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16" w:hRule="atLeas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30-6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关于我市培育壮大农村集体经济的研究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李灿芳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2" w:hRule="atLeas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31-1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焦作市农村集体建设用地“入市”研究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连慧杰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84" w:hRule="atLeas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32-2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关于创新我市“四好农村路”建管护运机制的对策与建议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贾宏伟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8" w:hRule="atLeas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33-3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关于我市加快建设新型智慧城市的路径与对策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吴  杉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84" w:hRule="atLeas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33-4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关于我市加快建设新型智慧城市的路径与对策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夏运生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34-1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关于加快建设城乡融合发展试验区的路径与对策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孟州市政府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原红波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7" w:hRule="atLeas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34-2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关于加快建设城乡融合发展试验区的路径与对策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薛素玲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76" w:hRule="atLeas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34-3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关于加快建设城乡融合发展试验区的路径与对策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王广兴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84" w:hRule="atLeas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35-2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焦作市挥发性有机物（VOCs）管控现状调查和治理对策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张  蓓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4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37-1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焦作市国土空间规划研究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市自然资源局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钟会学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4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37-3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焦作市国土空间规划编制技术探索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  娜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4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38-2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关于培育壮大我市建筑业的对策与建议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董  扬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4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39-1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关于保持我市房地产市场平稳运行的对策与建议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韩  露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4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40-1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关于我市中心城区公共空间精致化建设的研究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市委党校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冯大勇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4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40-3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关于我市中心城区公共空间精致化建设的研究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郭颖颖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4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41-1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图书资料视域下焦作大运河文化保护和传承利用研究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李振新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4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41-3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焦作大运河文化保护和传承利用研究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勇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4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42-3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关于我市加快构建适老型服务体系的研究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张利芹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4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43-1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关于我市健全完善城乡救助体系的研究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赵小娟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4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43-2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关于我市健全完善城乡救助体系的研究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许秀丽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90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44-3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关于推进我市普惠性学前教育资源扩容的路径与对策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徐莉萍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9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44-4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关于推进我市普惠性学前教育资源扩容的路径与对策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张思源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3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46-2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关于进一步优化焦作市营商环境的路径与对策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吴菊霞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48-1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关于做好网络舆情应急处置工作的对策与建议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市委网信办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邱军霞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48-3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关于妥善处理突发性重大舆情的对策与建议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苗  涛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48-4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关于妥善处理突发性重大舆情的对策与建议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孔  伦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1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49-1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推进焦作市域社会治理现代化的对策研究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市委党校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李全意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19" w:hRule="exact"/>
          <w:tblHeader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49-3</w:t>
            </w:r>
          </w:p>
        </w:tc>
        <w:tc>
          <w:tcPr>
            <w:tcW w:w="2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推进焦作市域社会治理现代化的对策研究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都玉玲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sz w:val="32"/>
        </w:rPr>
      </w:pPr>
    </w:p>
    <w:p>
      <w:pPr>
        <w:rPr>
          <w:rFonts w:hint="eastAsia" w:ascii="方正小标宋简体" w:hAnsi="方正小标宋简体" w:eastAsia="方正小标宋简体" w:cs="方正小标宋简体"/>
          <w:sz w:val="32"/>
        </w:rPr>
      </w:pPr>
    </w:p>
    <w:p>
      <w:bookmarkStart w:id="0" w:name="_GoBack"/>
      <w:bookmarkEnd w:id="0"/>
    </w:p>
    <w:sectPr>
      <w:pgSz w:w="11906" w:h="16838"/>
      <w:pgMar w:top="1117" w:right="890" w:bottom="1117" w:left="890" w:header="851" w:footer="992" w:gutter="0"/>
      <w:pgNumType w:fmt="numberInDash" w:start="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2FAE35F"/>
    <w:rsid w:val="37FD08A6"/>
    <w:rsid w:val="67FFA7B9"/>
    <w:rsid w:val="6BDF19F2"/>
    <w:rsid w:val="7773439A"/>
    <w:rsid w:val="7BF9FD30"/>
    <w:rsid w:val="7CD55A95"/>
    <w:rsid w:val="7DDFD764"/>
    <w:rsid w:val="7DFEC3E0"/>
    <w:rsid w:val="7FDD0072"/>
    <w:rsid w:val="7FF762D4"/>
    <w:rsid w:val="D376CBD0"/>
    <w:rsid w:val="E79E9B45"/>
    <w:rsid w:val="F3949A41"/>
    <w:rsid w:val="F72EBAEE"/>
    <w:rsid w:val="FF37023D"/>
    <w:rsid w:val="FF6D7154"/>
    <w:rsid w:val="FFFD84AE"/>
    <w:rsid w:val="FFFDCB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line="440" w:lineRule="exact"/>
      <w:outlineLvl w:val="0"/>
    </w:pPr>
    <w:rPr>
      <w:rFonts w:ascii="Times New Roman" w:hAnsi="Times New Roman" w:eastAsia="方正小标宋简体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line="380" w:lineRule="exact"/>
      <w:outlineLvl w:val="1"/>
    </w:pPr>
    <w:rPr>
      <w:rFonts w:ascii="Arial" w:hAnsi="Arial" w:eastAsia="CESI楷体-GB2312"/>
      <w:bCs/>
      <w:sz w:val="21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line="380" w:lineRule="exact"/>
      <w:outlineLvl w:val="2"/>
    </w:pPr>
    <w:rPr>
      <w:rFonts w:ascii="Times New Roman" w:hAnsi="Times New Roman" w:eastAsia="CESI楷体-GB2312"/>
      <w:bCs/>
      <w:sz w:val="21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样式1"/>
    <w:basedOn w:val="1"/>
    <w:qFormat/>
    <w:uiPriority w:val="0"/>
    <w:pPr>
      <w:spacing w:line="380" w:lineRule="exact"/>
      <w:outlineLvl w:val="0"/>
    </w:pPr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2021-09-25T18:19:00Z</dcterms:created>
  <dc:creator>uos</dc:creator>
  <cp:lastModifiedBy>uos</cp:lastModifiedBy>
  <cp:lastPrinted>2021-10-28T15:53:00Z</cp:lastPrinted>
  <dcterms:modified xsi:type="dcterms:W3CDTF">2021-11-04T09:07:03Z</dcterms:modified>
  <dc:title>2021年度市政府决策研究招标课题立项名单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