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44"/>
          <w:szCs w:val="44"/>
        </w:rPr>
        <w:t>行政复议决定书</w:t>
      </w:r>
    </w:p>
    <w:p>
      <w:pPr>
        <w:jc w:val="center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焦政复决字〔20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〕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eastAsia="CESI仿宋-GB18030" w:cs="Times New Roman"/>
          <w:sz w:val="32"/>
          <w:szCs w:val="32"/>
        </w:rPr>
      </w:pP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复议申请人：河南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有限公司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复议被申请人：焦作市人力资源和社会保障局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申请人河南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有限公司对被申请人焦作市人力资源和社会保障局20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2月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31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日作出的《劳动保障监察行政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决定书》不服，向本机关申请行政复议，本机关依法已予受理，现本案已复议终结。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申请人请求：撤销被申请人作出的《劳动保障监察行政处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申请人称：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、申请人不是本案工程的实际施工人。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项目的工程施工早于2013年以前,工程承包单位是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,该公司雇佣张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和程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作为实际施工人,由张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和程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组织人员具体施工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2015年4月,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所有楼房已经主体完工,此时开发建设单位焦作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置业有限公司与申请人签订了建设工程施工合同,但合同签订时间却填写成2015年2月6日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此时,原建筑施工企业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没有退场,工程仍由其施工。申请人与开发建设单位焦作</w:t>
      </w:r>
      <w:r>
        <w:rPr>
          <w:rFonts w:hint="eastAsia" w:eastAsia="CESI仿宋-GB18030" w:cs="Times New Roman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置业有限公司签订的施工合同没有实际履行,申请人不是实际施工人。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申请人与本案决定书中的农民工没有劳动关系。本案决定书中未发放工资的工人系程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的工人,申请人与程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没有任何劳动及劳务关系,程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聘用的农民工与申请人也没有任何劳动及劳务关系。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、被申请人并未查清本案欠付的工程款及工资数额,本案工程款与工资并没有进行决算。2019年2月1日焦作市劳动保障监察支队认定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(程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)施工队工资表中共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人工资计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元,被申请人于2020年10月10日对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拖欠农民工工资一案立案调查,被申请人在未听取申请人的陈述、申辩及当事人双方未进行工程款实际结算的情况下,却认定申请人拖欠程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施工队孟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等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人工资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元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被申请人对欠付工资的金额、人员均未查清。综上，请市政府支持其复议请求。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被申请人辩称：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行政处理决定事实清楚。2020年9月27日,程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代表91名农民工到市劳动保障监察支队投诉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2016年8月至2018年5月在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(二期)施工项目上拖欠他们工资。经调查核实,根据焦作市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服务中心提供的《鹿港小镇及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项目欠薪案件程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班组工资发放情况汇报》及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和程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提供的《代发工资明细打印回单》和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(二期)程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施工队工资表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人总计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元,于2019年2月3日通过焦作市农民工综合服务中心帐户发放工资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元,还余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元未发放,因此对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作出行政处理,责令足额支付剩余部分工资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行政处理决定适用法律正确。《中华人民共和国劳动法》第五十条规定:工资应当以货币形式按月支付给劳动者本人,不得克扣或者无故拖欠劳动者的工资。行政处理的法律依据: 《劳动保障监察条例》第十八条第一款第(二)项规定,劳动保障行政部门对违反劳动保障法律、法规或者规章的行为,根据调查、检查的结果,作出以下处理:(二)对应当改正未改正的,依法责令改正或者作出相应的行政处理决定。综上,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被申请人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作出的行政处理决定事实清楚,证据确凿,请复议机关维持。</w:t>
      </w:r>
    </w:p>
    <w:p>
      <w:pPr>
        <w:spacing w:line="560" w:lineRule="exact"/>
        <w:ind w:firstLine="723" w:firstLineChars="229"/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仿宋-GB18030" w:cs="Times New Roman"/>
          <w:spacing w:val="-2"/>
          <w:sz w:val="32"/>
          <w:szCs w:val="32"/>
        </w:rPr>
        <w:t>经审理，本机关查明的事实如下</w:t>
      </w:r>
      <w:r>
        <w:rPr>
          <w:rFonts w:hint="default" w:ascii="Times New Roman" w:hAnsi="Times New Roman" w:eastAsia="CESI仿宋-GB18030" w:cs="Times New Roman"/>
          <w:spacing w:val="-6"/>
          <w:sz w:val="32"/>
          <w:szCs w:val="32"/>
        </w:rPr>
        <w:t>：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月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日，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被申请人就申请人拖欠农民工工资立案查处；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2020年12月15日，被申请人向申请人作出《劳动保障监察行政处理事先告知书》，拟对申请人作出如下行政处理“十五日内足额支付孟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等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人工资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元”，该告知书于当日留置送达；2020年12月31日，被申请人作出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《劳动保障监察行政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，并于当日留置送达。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上述事实有下列证据证明：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《劳动保障监察立案审批表》、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《劳动保障监察行政处理事先告知书》及送达回证、《案件调查终结报告》、《劳动保障监察案件处理决定审批表》、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《劳动保障监察行政处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决定书》〔焦人社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监察理决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字（20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）第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"/>
        </w:rPr>
        <w:t>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01号〕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及送达回证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等。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本机关认为：根据《劳动保障监察条例》相关规定，劳动保障行政部门作为本行政区域内劳动保障监察工作的主管部门，依法负有受理对违反劳动保障法律、法规或者规章行为的举报、投诉，并根据调查、检查的结果依法进行处理，实施劳动保障的职责。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依据《中华人民共和国行政复议法》第二十三条“被申请人应当自收到申请书副本或者申请笔录复印件之日起十日内，提出书面答复，并提交当初作出具体行政行为的证据、依据和其他有关材料”的规定，被申请人应就《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劳动保障监察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行政处理决定书》中认定申请人2016年8月至2018年5月在承建</w:t>
      </w:r>
      <w:r>
        <w:rPr>
          <w:rFonts w:hint="eastAsia" w:eastAsia="CESI仿宋-GB18030" w:cs="Times New Roman"/>
          <w:sz w:val="32"/>
          <w:szCs w:val="32"/>
          <w:lang w:eastAsia="zh-CN"/>
        </w:rPr>
        <w:t>XX有限公司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(二期)施工项目上拖欠程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施工队孟</w:t>
      </w:r>
      <w:r>
        <w:rPr>
          <w:rFonts w:hint="eastAsia" w:eastAsia="CESI仿宋-GB18030" w:cs="Times New Roman"/>
          <w:sz w:val="32"/>
          <w:szCs w:val="32"/>
          <w:lang w:eastAsia="zh-CN"/>
        </w:rPr>
        <w:t>某某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等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人工资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元,还余</w:t>
      </w:r>
      <w:r>
        <w:rPr>
          <w:rFonts w:hint="eastAsia" w:eastAsia="CESI仿宋-GB18030" w:cs="Times New Roman"/>
          <w:sz w:val="32"/>
          <w:szCs w:val="32"/>
          <w:lang w:val="en-US" w:eastAsia="zh-CN"/>
        </w:rPr>
        <w:t>XXXXX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元未发放的事实提交相关证据、依据和其他有关材料，但在行政复议答复期间，被申请人未向本机关提交。依据《中华人民共和国行政复议法实施条例》第四十六条“被申请人未依照行政复议法第二十三条的规定提出书面答复、提交当初作出具体行政行为的证据、依据和其他有关材料的，视为该具体行政行为没有证据、依据，行政复议机关应当决定撤销该具体行政行为”的规定，被申请人作出的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《劳动保障监察行政处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应予撤销。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根据《中华人民共和国行政复议法》第二十八条第一款第（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）项的规定，本机关决定：</w:t>
      </w:r>
    </w:p>
    <w:p>
      <w:pPr>
        <w:numPr>
          <w:ilvl w:val="0"/>
          <w:numId w:val="1"/>
        </w:num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撤销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被申请人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作出的《劳动保障监察行政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处理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决定书》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责令</w:t>
      </w:r>
      <w:r>
        <w:rPr>
          <w:rFonts w:hint="default" w:ascii="Times New Roman" w:hAnsi="Times New Roman" w:eastAsia="CESI仿宋-GB18030" w:cs="Times New Roman"/>
          <w:sz w:val="32"/>
          <w:szCs w:val="32"/>
          <w:lang w:eastAsia="zh-CN"/>
        </w:rPr>
        <w:t>被申请人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根据《关于实施〈劳动保障监察条例〉若干规定》（劳动和社会保障部令第25号）的相关规定进行处理。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申请人如不服本决定，可在接到本复议决定书之日起15日内,向人民法院提起诉讼。　</w:t>
      </w:r>
    </w:p>
    <w:p>
      <w:pPr>
        <w:spacing w:line="560" w:lineRule="exact"/>
        <w:ind w:firstLine="732" w:firstLineChars="229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　　　　　</w:t>
      </w:r>
    </w:p>
    <w:p>
      <w:pPr>
        <w:spacing w:line="560" w:lineRule="exact"/>
        <w:ind w:firstLine="732" w:firstLineChars="229"/>
        <w:jc w:val="right"/>
        <w:rPr>
          <w:rFonts w:hint="default" w:ascii="Times New Roman" w:hAnsi="Times New Roman" w:eastAsia="CESI仿宋-GB18030" w:cs="Times New Roman"/>
          <w:sz w:val="32"/>
          <w:szCs w:val="32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　　　　</w:t>
      </w:r>
    </w:p>
    <w:p>
      <w:pPr>
        <w:pStyle w:val="2"/>
        <w:jc w:val="right"/>
        <w:rPr>
          <w:rFonts w:hint="default" w:ascii="Times New Roman" w:hAnsi="Times New Roman" w:eastAsia="CESI仿宋-GB18030" w:cs="Times New Roman"/>
          <w:sz w:val="32"/>
          <w:szCs w:val="32"/>
        </w:rPr>
      </w:pPr>
    </w:p>
    <w:p>
      <w:pPr>
        <w:pStyle w:val="2"/>
        <w:wordWrap w:val="0"/>
        <w:ind w:right="320"/>
        <w:jc w:val="right"/>
        <w:rPr>
          <w:rFonts w:hint="default" w:ascii="Times New Roman" w:hAnsi="Times New Roman" w:eastAsia="CESI仿宋-GB18030" w:cs="Times New Roman"/>
        </w:rPr>
      </w:pPr>
      <w:r>
        <w:rPr>
          <w:rFonts w:hint="default" w:ascii="Times New Roman" w:hAnsi="Times New Roman" w:eastAsia="CESI仿宋-GB18030" w:cs="Times New Roman"/>
          <w:sz w:val="32"/>
          <w:szCs w:val="32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年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月</w:t>
      </w:r>
      <w:r>
        <w:rPr>
          <w:rFonts w:hint="default" w:ascii="Times New Roman" w:hAnsi="Times New Roman" w:eastAsia="CESI仿宋-GB18030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CESI仿宋-GB18030" w:cs="Times New Roman"/>
          <w:sz w:val="32"/>
          <w:szCs w:val="32"/>
        </w:rPr>
        <w:t>日</w:t>
      </w: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  <w:t>抄送：河南省人力资源和社会保障厅</w:t>
      </w: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Times New Roman" w:hAnsi="Times New Roman" w:eastAsia="CESI仿宋-GB18030" w:cs="Times New Roman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eastAsia="CESI仿宋-GB18030" w:cs="Times New Roman"/>
        </w:rPr>
      </w:pPr>
    </w:p>
    <w:p>
      <w:pPr>
        <w:rPr>
          <w:rFonts w:hint="default" w:ascii="Times New Roman" w:hAnsi="Times New Roman" w:eastAsia="CESI仿宋-GB18030" w:cs="Times New Roman"/>
          <w:lang w:val="en-US" w:eastAsia="zh-CN"/>
        </w:rPr>
      </w:pPr>
      <w:r>
        <w:rPr>
          <w:rFonts w:hint="default" w:ascii="Times New Roman" w:hAnsi="Times New Roman" w:eastAsia="CESI仿宋-GB18030" w:cs="Times New Roman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15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  <w:rPr>
        <w:rFonts w:hint="eastAsia" w:eastAsia="宋体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8F50C"/>
    <w:multiLevelType w:val="singleLevel"/>
    <w:tmpl w:val="7BD8F5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797F"/>
    <w:rsid w:val="00040D9A"/>
    <w:rsid w:val="000A2218"/>
    <w:rsid w:val="000C63C1"/>
    <w:rsid w:val="000D4A66"/>
    <w:rsid w:val="00200F95"/>
    <w:rsid w:val="00217725"/>
    <w:rsid w:val="0022306D"/>
    <w:rsid w:val="002366EF"/>
    <w:rsid w:val="00257668"/>
    <w:rsid w:val="002E131C"/>
    <w:rsid w:val="002F13D2"/>
    <w:rsid w:val="003325CA"/>
    <w:rsid w:val="003956E8"/>
    <w:rsid w:val="003A7CBF"/>
    <w:rsid w:val="003B6555"/>
    <w:rsid w:val="00413261"/>
    <w:rsid w:val="00484467"/>
    <w:rsid w:val="00485176"/>
    <w:rsid w:val="00523CF0"/>
    <w:rsid w:val="00532209"/>
    <w:rsid w:val="00555C47"/>
    <w:rsid w:val="00584FC8"/>
    <w:rsid w:val="00597223"/>
    <w:rsid w:val="005D72F4"/>
    <w:rsid w:val="005D7BD5"/>
    <w:rsid w:val="0063797F"/>
    <w:rsid w:val="0068616B"/>
    <w:rsid w:val="00751ED6"/>
    <w:rsid w:val="00763B0F"/>
    <w:rsid w:val="007C5259"/>
    <w:rsid w:val="007D1F6D"/>
    <w:rsid w:val="007E46A7"/>
    <w:rsid w:val="008A0C79"/>
    <w:rsid w:val="008C24D9"/>
    <w:rsid w:val="009201E8"/>
    <w:rsid w:val="009612E2"/>
    <w:rsid w:val="009E1E00"/>
    <w:rsid w:val="009F19D1"/>
    <w:rsid w:val="00A07982"/>
    <w:rsid w:val="00A3513E"/>
    <w:rsid w:val="00A40D08"/>
    <w:rsid w:val="00AA1DEC"/>
    <w:rsid w:val="00B214DC"/>
    <w:rsid w:val="00B2762F"/>
    <w:rsid w:val="00B37EBD"/>
    <w:rsid w:val="00B47725"/>
    <w:rsid w:val="00B76708"/>
    <w:rsid w:val="00BA427D"/>
    <w:rsid w:val="00BA6F40"/>
    <w:rsid w:val="00BB71EF"/>
    <w:rsid w:val="00C513A2"/>
    <w:rsid w:val="00C755D1"/>
    <w:rsid w:val="00CB003C"/>
    <w:rsid w:val="00CC5DEA"/>
    <w:rsid w:val="00CE780F"/>
    <w:rsid w:val="00D30B12"/>
    <w:rsid w:val="00D55292"/>
    <w:rsid w:val="00DB48A5"/>
    <w:rsid w:val="00E620CF"/>
    <w:rsid w:val="00F4391B"/>
    <w:rsid w:val="00FD5504"/>
    <w:rsid w:val="2DECF674"/>
    <w:rsid w:val="3CBB04D4"/>
    <w:rsid w:val="7BF78F12"/>
    <w:rsid w:val="7BF7AF0C"/>
    <w:rsid w:val="7D4EBD55"/>
    <w:rsid w:val="AE854F56"/>
    <w:rsid w:val="B2DFCE33"/>
    <w:rsid w:val="C9F7A91F"/>
    <w:rsid w:val="E1ED761E"/>
    <w:rsid w:val="F5AA57BB"/>
    <w:rsid w:val="FFB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460</Words>
  <Characters>2628</Characters>
  <Lines>21</Lines>
  <Paragraphs>6</Paragraphs>
  <TotalTime>13</TotalTime>
  <ScaleCrop>false</ScaleCrop>
  <LinksUpToDate>false</LinksUpToDate>
  <CharactersWithSpaces>3082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2019-05-08T17:00:00Z</dcterms:created>
  <dc:creator>Sky123.Org</dc:creator>
  <cp:lastModifiedBy>uos</cp:lastModifiedBy>
  <cp:lastPrinted>2021-12-30T17:32:00Z</cp:lastPrinted>
  <dcterms:modified xsi:type="dcterms:W3CDTF">2022-02-19T11:11:59Z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