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78" w:lineRule="exact"/>
        <w:textAlignment w:val="auto"/>
        <w:rPr>
          <w:rFonts w:hint="eastAsia" w:ascii="黑体" w:hAnsi="黑体" w:eastAsia="黑体" w:cs="黑体"/>
          <w:color w:val="auto"/>
          <w:spacing w:val="0"/>
          <w:w w:val="100"/>
          <w:sz w:val="32"/>
          <w:szCs w:val="32"/>
          <w:lang w:eastAsia="zh-CN"/>
        </w:rPr>
      </w:pPr>
      <w:r>
        <w:rPr>
          <w:rFonts w:hint="eastAsia" w:ascii="黑体" w:hAnsi="黑体" w:eastAsia="黑体" w:cs="黑体"/>
          <w:color w:val="auto"/>
          <w:spacing w:val="0"/>
          <w:w w:val="100"/>
          <w:sz w:val="32"/>
          <w:szCs w:val="32"/>
          <w:lang w:eastAsia="zh-CN"/>
        </w:rPr>
        <w:t>附</w:t>
      </w:r>
      <w:r>
        <w:rPr>
          <w:rFonts w:hint="eastAsia" w:ascii="黑体" w:hAnsi="黑体" w:eastAsia="黑体" w:cs="黑体"/>
          <w:color w:val="auto"/>
          <w:spacing w:val="0"/>
          <w:w w:val="100"/>
          <w:sz w:val="32"/>
          <w:szCs w:val="32"/>
          <w:lang w:val="en-US" w:eastAsia="zh-CN"/>
        </w:rPr>
        <w:t xml:space="preserve">  </w:t>
      </w:r>
      <w:r>
        <w:rPr>
          <w:rFonts w:hint="eastAsia" w:ascii="黑体" w:hAnsi="黑体" w:eastAsia="黑体" w:cs="黑体"/>
          <w:color w:val="auto"/>
          <w:spacing w:val="0"/>
          <w:w w:val="100"/>
          <w:sz w:val="32"/>
          <w:szCs w:val="32"/>
          <w:lang w:eastAsia="zh-CN"/>
        </w:rPr>
        <w:t>件</w:t>
      </w:r>
    </w:p>
    <w:p>
      <w:pPr>
        <w:keepNext w:val="0"/>
        <w:keepLines w:val="0"/>
        <w:pageBreakBefore w:val="0"/>
        <w:widowControl w:val="0"/>
        <w:kinsoku/>
        <w:wordWrap/>
        <w:overflowPunct/>
        <w:topLinePunct w:val="0"/>
        <w:autoSpaceDE/>
        <w:autoSpaceDN/>
        <w:bidi w:val="0"/>
        <w:adjustRightInd w:val="0"/>
        <w:snapToGrid w:val="0"/>
        <w:spacing w:line="578" w:lineRule="exact"/>
        <w:textAlignment w:val="auto"/>
        <w:rPr>
          <w:rFonts w:hint="eastAsia" w:ascii="Times New Roman" w:hAnsi="Times New Roman" w:eastAsia="仿宋_GB2312" w:cs="Times New Roman"/>
          <w:color w:val="auto"/>
          <w:spacing w:val="0"/>
          <w:w w:val="100"/>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78" w:lineRule="exact"/>
        <w:jc w:val="center"/>
        <w:textAlignment w:val="auto"/>
        <w:rPr>
          <w:rFonts w:hint="eastAsia" w:ascii="方正小标宋简体" w:hAnsi="方正小标宋简体" w:eastAsia="方正小标宋简体" w:cs="方正小标宋简体"/>
          <w:color w:val="auto"/>
          <w:spacing w:val="0"/>
          <w:w w:val="100"/>
          <w:sz w:val="44"/>
          <w:szCs w:val="44"/>
          <w:lang w:eastAsia="zh-CN"/>
        </w:rPr>
      </w:pPr>
      <w:r>
        <w:rPr>
          <w:rFonts w:hint="eastAsia" w:ascii="方正小标宋简体" w:hAnsi="方正小标宋简体" w:eastAsia="方正小标宋简体" w:cs="方正小标宋简体"/>
          <w:color w:val="auto"/>
          <w:spacing w:val="-11"/>
          <w:w w:val="100"/>
          <w:sz w:val="44"/>
          <w:szCs w:val="44"/>
          <w:lang w:eastAsia="zh-CN"/>
        </w:rPr>
        <w:t>国家和省明确要求取消的水电气暖行业收费项目</w:t>
      </w:r>
    </w:p>
    <w:p>
      <w:pPr>
        <w:keepNext w:val="0"/>
        <w:keepLines w:val="0"/>
        <w:pageBreakBefore w:val="0"/>
        <w:widowControl w:val="0"/>
        <w:kinsoku/>
        <w:wordWrap/>
        <w:overflowPunct/>
        <w:topLinePunct w:val="0"/>
        <w:autoSpaceDE/>
        <w:autoSpaceDN/>
        <w:bidi w:val="0"/>
        <w:adjustRightInd w:val="0"/>
        <w:snapToGrid w:val="0"/>
        <w:spacing w:line="578" w:lineRule="exact"/>
        <w:textAlignment w:val="auto"/>
        <w:rPr>
          <w:rFonts w:hint="default" w:ascii="Times New Roman" w:hAnsi="Times New Roman" w:eastAsia="仿宋_GB2312" w:cs="Times New Roman"/>
          <w:color w:val="auto"/>
          <w:spacing w:val="0"/>
          <w:w w:val="100"/>
          <w:sz w:val="32"/>
          <w:szCs w:val="32"/>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0"/>
        <w:gridCol w:w="6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59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hint="eastAsia" w:ascii="黑体" w:hAnsi="黑体" w:eastAsia="黑体" w:cs="黑体"/>
                <w:color w:val="auto"/>
                <w:spacing w:val="0"/>
                <w:w w:val="100"/>
                <w:sz w:val="28"/>
                <w:szCs w:val="28"/>
                <w:vertAlign w:val="baseline"/>
              </w:rPr>
            </w:pPr>
            <w:r>
              <w:rPr>
                <w:rFonts w:hint="eastAsia" w:ascii="黑体" w:hAnsi="黑体" w:eastAsia="黑体" w:cs="黑体"/>
                <w:color w:val="auto"/>
                <w:spacing w:val="0"/>
                <w:w w:val="100"/>
                <w:sz w:val="28"/>
                <w:szCs w:val="28"/>
                <w:vertAlign w:val="baseline"/>
              </w:rPr>
              <w:t>所属行业及环节</w:t>
            </w:r>
          </w:p>
        </w:tc>
        <w:tc>
          <w:tcPr>
            <w:tcW w:w="646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hint="eastAsia" w:ascii="黑体" w:hAnsi="黑体" w:eastAsia="黑体" w:cs="黑体"/>
                <w:color w:val="auto"/>
                <w:spacing w:val="0"/>
                <w:w w:val="100"/>
                <w:sz w:val="28"/>
                <w:szCs w:val="28"/>
                <w:vertAlign w:val="baseline"/>
              </w:rPr>
            </w:pPr>
            <w:r>
              <w:rPr>
                <w:rFonts w:hint="eastAsia" w:ascii="黑体" w:hAnsi="黑体" w:eastAsia="黑体" w:cs="黑体"/>
                <w:color w:val="auto"/>
                <w:spacing w:val="0"/>
                <w:w w:val="100"/>
                <w:sz w:val="28"/>
                <w:szCs w:val="28"/>
                <w:vertAlign w:val="baseline"/>
              </w:rPr>
              <w:t>取消项目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rPr>
        <w:tc>
          <w:tcPr>
            <w:tcW w:w="259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hint="default" w:ascii="Times New Roman" w:hAnsi="Times New Roman" w:eastAsia="仿宋_GB2312" w:cs="Times New Roman"/>
                <w:color w:val="auto"/>
                <w:spacing w:val="0"/>
                <w:w w:val="100"/>
                <w:sz w:val="28"/>
                <w:szCs w:val="28"/>
                <w:vertAlign w:val="baseline"/>
              </w:rPr>
            </w:pPr>
            <w:r>
              <w:rPr>
                <w:rFonts w:hint="default" w:ascii="Times New Roman" w:hAnsi="Times New Roman" w:eastAsia="仿宋_GB2312" w:cs="Times New Roman"/>
                <w:color w:val="auto"/>
                <w:spacing w:val="0"/>
                <w:w w:val="100"/>
                <w:sz w:val="28"/>
                <w:szCs w:val="28"/>
                <w:vertAlign w:val="baseline"/>
              </w:rPr>
              <w:t>供水环节</w:t>
            </w:r>
          </w:p>
        </w:tc>
        <w:tc>
          <w:tcPr>
            <w:tcW w:w="646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both"/>
              <w:textAlignment w:val="auto"/>
              <w:rPr>
                <w:rFonts w:hint="default" w:ascii="Times New Roman" w:hAnsi="Times New Roman" w:eastAsia="仿宋_GB2312" w:cs="Times New Roman"/>
                <w:color w:val="auto"/>
                <w:spacing w:val="0"/>
                <w:w w:val="100"/>
                <w:sz w:val="28"/>
                <w:szCs w:val="28"/>
                <w:vertAlign w:val="baseline"/>
              </w:rPr>
            </w:pPr>
            <w:r>
              <w:rPr>
                <w:rFonts w:hint="default" w:ascii="Times New Roman" w:hAnsi="Times New Roman" w:eastAsia="仿宋_GB2312" w:cs="Times New Roman"/>
                <w:color w:val="auto"/>
                <w:spacing w:val="0"/>
                <w:w w:val="100"/>
                <w:sz w:val="28"/>
                <w:szCs w:val="28"/>
                <w:vertAlign w:val="baseline"/>
              </w:rPr>
              <w:t>取消供水企业及其所属或委托的安装工程公司在用水报装工程验收接入环节向用户收取的接水费、增容费、报装费等类似名目开户费用，以及开关闸费、竣工核验费、竣工导线测量费、管线探测费、勾头费、水钻工程费、碰头费、出图费等类似名目工程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259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hint="default" w:ascii="Times New Roman" w:hAnsi="Times New Roman" w:eastAsia="仿宋_GB2312" w:cs="Times New Roman"/>
                <w:color w:val="auto"/>
                <w:spacing w:val="0"/>
                <w:w w:val="100"/>
                <w:sz w:val="28"/>
                <w:szCs w:val="28"/>
                <w:vertAlign w:val="baseline"/>
              </w:rPr>
            </w:pPr>
            <w:r>
              <w:rPr>
                <w:rFonts w:hint="default" w:ascii="Times New Roman" w:hAnsi="Times New Roman" w:eastAsia="仿宋_GB2312" w:cs="Times New Roman"/>
                <w:color w:val="auto"/>
                <w:spacing w:val="0"/>
                <w:w w:val="100"/>
                <w:sz w:val="28"/>
                <w:szCs w:val="28"/>
                <w:vertAlign w:val="baseline"/>
              </w:rPr>
              <w:t>供电环节</w:t>
            </w:r>
          </w:p>
        </w:tc>
        <w:tc>
          <w:tcPr>
            <w:tcW w:w="646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both"/>
              <w:textAlignment w:val="auto"/>
              <w:rPr>
                <w:rFonts w:hint="default" w:ascii="Times New Roman" w:hAnsi="Times New Roman" w:eastAsia="仿宋_GB2312" w:cs="Times New Roman"/>
                <w:color w:val="auto"/>
                <w:spacing w:val="0"/>
                <w:w w:val="100"/>
                <w:sz w:val="28"/>
                <w:szCs w:val="28"/>
                <w:vertAlign w:val="baseline"/>
              </w:rPr>
            </w:pPr>
            <w:r>
              <w:rPr>
                <w:rFonts w:hint="default" w:ascii="Times New Roman" w:hAnsi="Times New Roman" w:eastAsia="仿宋_GB2312" w:cs="Times New Roman"/>
                <w:color w:val="auto"/>
                <w:spacing w:val="0"/>
                <w:w w:val="100"/>
                <w:sz w:val="28"/>
                <w:szCs w:val="28"/>
                <w:vertAlign w:val="baseline"/>
              </w:rPr>
              <w:t>取消供电企业及其所属或委托的安装工程公司在用电报装工程验收接入环节向用户收取的移表费、计量装置赔偿费、环境监测费、高压电缆介损试验费、高压电缆震荡波试验费、低压电缆试验费、低压计量检测费、互感器试验费、网络自动化费、配电室试验费、开闭站集资费、调试费、保护定值整定计算费、带电作业费等类似名目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trPr>
        <w:tc>
          <w:tcPr>
            <w:tcW w:w="259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hint="default" w:ascii="Times New Roman" w:hAnsi="Times New Roman" w:eastAsia="仿宋_GB2312" w:cs="Times New Roman"/>
                <w:color w:val="auto"/>
                <w:spacing w:val="0"/>
                <w:w w:val="100"/>
                <w:sz w:val="28"/>
                <w:szCs w:val="28"/>
                <w:vertAlign w:val="baseline"/>
              </w:rPr>
            </w:pPr>
            <w:r>
              <w:rPr>
                <w:rFonts w:hint="default" w:ascii="Times New Roman" w:hAnsi="Times New Roman" w:eastAsia="仿宋_GB2312" w:cs="Times New Roman"/>
                <w:color w:val="auto"/>
                <w:spacing w:val="0"/>
                <w:w w:val="100"/>
                <w:sz w:val="28"/>
                <w:szCs w:val="28"/>
                <w:vertAlign w:val="baseline"/>
              </w:rPr>
              <w:t>供气环节</w:t>
            </w:r>
          </w:p>
        </w:tc>
        <w:tc>
          <w:tcPr>
            <w:tcW w:w="646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both"/>
              <w:textAlignment w:val="auto"/>
              <w:rPr>
                <w:rFonts w:hint="default" w:ascii="Times New Roman" w:hAnsi="Times New Roman" w:eastAsia="仿宋_GB2312" w:cs="Times New Roman"/>
                <w:color w:val="auto"/>
                <w:spacing w:val="0"/>
                <w:w w:val="100"/>
                <w:sz w:val="28"/>
                <w:szCs w:val="28"/>
                <w:vertAlign w:val="baseline"/>
              </w:rPr>
            </w:pPr>
            <w:r>
              <w:rPr>
                <w:rFonts w:hint="default" w:ascii="Times New Roman" w:hAnsi="Times New Roman" w:eastAsia="仿宋_GB2312" w:cs="Times New Roman"/>
                <w:color w:val="auto"/>
                <w:spacing w:val="0"/>
                <w:w w:val="100"/>
                <w:sz w:val="28"/>
                <w:szCs w:val="28"/>
                <w:vertAlign w:val="baseline"/>
              </w:rPr>
              <w:t>取消燃气企业应通过配气价格回收成本的收费项目，包括</w:t>
            </w:r>
            <w:r>
              <w:rPr>
                <w:rFonts w:hint="eastAsia" w:ascii="Times New Roman" w:hAnsi="Times New Roman" w:eastAsia="仿宋_GB2312" w:cs="Times New Roman"/>
                <w:color w:val="auto"/>
                <w:spacing w:val="0"/>
                <w:w w:val="100"/>
                <w:sz w:val="28"/>
                <w:szCs w:val="28"/>
                <w:vertAlign w:val="baseline"/>
                <w:lang w:eastAsia="zh-CN"/>
              </w:rPr>
              <w:t>：</w:t>
            </w:r>
            <w:r>
              <w:rPr>
                <w:rFonts w:hint="default" w:ascii="Times New Roman" w:hAnsi="Times New Roman" w:eastAsia="仿宋_GB2312" w:cs="Times New Roman"/>
                <w:color w:val="auto"/>
                <w:spacing w:val="0"/>
                <w:w w:val="100"/>
                <w:sz w:val="28"/>
                <w:szCs w:val="28"/>
                <w:vertAlign w:val="baseline"/>
              </w:rPr>
              <w:t>涉及建筑区划红线外市政</w:t>
            </w:r>
            <w:r>
              <w:rPr>
                <w:rFonts w:hint="eastAsia" w:ascii="Times New Roman" w:hAnsi="Times New Roman" w:eastAsia="仿宋_GB2312" w:cs="Times New Roman"/>
                <w:color w:val="auto"/>
                <w:spacing w:val="0"/>
                <w:w w:val="100"/>
                <w:sz w:val="28"/>
                <w:szCs w:val="28"/>
                <w:vertAlign w:val="baseline"/>
                <w:lang w:eastAsia="zh-CN"/>
              </w:rPr>
              <w:t>管</w:t>
            </w:r>
            <w:r>
              <w:rPr>
                <w:rFonts w:hint="default" w:ascii="Times New Roman" w:hAnsi="Times New Roman" w:eastAsia="仿宋_GB2312" w:cs="Times New Roman"/>
                <w:color w:val="auto"/>
                <w:spacing w:val="0"/>
                <w:w w:val="100"/>
                <w:sz w:val="28"/>
                <w:szCs w:val="28"/>
                <w:vertAlign w:val="baseline"/>
              </w:rPr>
              <w:t>网资产的增压费、增容费等类似名目费用</w:t>
            </w:r>
            <w:r>
              <w:rPr>
                <w:rFonts w:hint="eastAsia" w:ascii="Times New Roman" w:hAnsi="Times New Roman" w:eastAsia="仿宋_GB2312" w:cs="Times New Roman"/>
                <w:color w:val="auto"/>
                <w:spacing w:val="0"/>
                <w:w w:val="100"/>
                <w:sz w:val="28"/>
                <w:szCs w:val="28"/>
                <w:vertAlign w:val="baseline"/>
                <w:lang w:eastAsia="zh-CN"/>
              </w:rPr>
              <w:t>；</w:t>
            </w:r>
            <w:r>
              <w:rPr>
                <w:rFonts w:hint="default" w:ascii="Times New Roman" w:hAnsi="Times New Roman" w:eastAsia="仿宋_GB2312" w:cs="Times New Roman"/>
                <w:color w:val="auto"/>
                <w:spacing w:val="0"/>
                <w:w w:val="100"/>
                <w:sz w:val="28"/>
                <w:szCs w:val="28"/>
                <w:vertAlign w:val="baseline"/>
              </w:rPr>
              <w:t>涉及市政管网至建筑区划红线连接的接驳费、开通费、接线费、切线费、吹扫费、放散费等建设及验收接入环节费用</w:t>
            </w:r>
            <w:r>
              <w:rPr>
                <w:rFonts w:hint="eastAsia" w:ascii="Times New Roman" w:hAnsi="Times New Roman" w:eastAsia="仿宋_GB2312" w:cs="Times New Roman"/>
                <w:color w:val="auto"/>
                <w:spacing w:val="0"/>
                <w:w w:val="100"/>
                <w:sz w:val="28"/>
                <w:szCs w:val="28"/>
                <w:vertAlign w:val="baseline"/>
                <w:lang w:eastAsia="zh-CN"/>
              </w:rPr>
              <w:t>；</w:t>
            </w:r>
            <w:r>
              <w:rPr>
                <w:rFonts w:hint="default" w:ascii="Times New Roman" w:hAnsi="Times New Roman" w:eastAsia="仿宋_GB2312" w:cs="Times New Roman"/>
                <w:color w:val="auto"/>
                <w:spacing w:val="0"/>
                <w:w w:val="100"/>
                <w:sz w:val="28"/>
                <w:szCs w:val="28"/>
                <w:vertAlign w:val="baseline"/>
              </w:rPr>
              <w:t>涉及建筑区划红线内至燃气表的设施维修维护、到期表具更换等费用。取消与建筑区划红线内燃气工程安装不相关或已纳入工程安装成本的收费项目，包括开口费、开户费、接口费、接入费、入网费、清管费、通气费、点火费等类似名目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trPr>
        <w:tc>
          <w:tcPr>
            <w:tcW w:w="259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hint="default" w:ascii="Times New Roman" w:hAnsi="Times New Roman" w:eastAsia="仿宋_GB2312" w:cs="Times New Roman"/>
                <w:color w:val="auto"/>
                <w:spacing w:val="0"/>
                <w:w w:val="100"/>
                <w:sz w:val="28"/>
                <w:szCs w:val="28"/>
                <w:vertAlign w:val="baseline"/>
              </w:rPr>
            </w:pPr>
            <w:r>
              <w:rPr>
                <w:rFonts w:hint="default" w:ascii="Times New Roman" w:hAnsi="Times New Roman" w:eastAsia="仿宋_GB2312" w:cs="Times New Roman"/>
                <w:color w:val="auto"/>
                <w:spacing w:val="0"/>
                <w:w w:val="100"/>
                <w:sz w:val="28"/>
                <w:szCs w:val="28"/>
                <w:vertAlign w:val="baseline"/>
              </w:rPr>
              <w:t>供暖环节</w:t>
            </w:r>
          </w:p>
        </w:tc>
        <w:tc>
          <w:tcPr>
            <w:tcW w:w="646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both"/>
              <w:textAlignment w:val="auto"/>
              <w:rPr>
                <w:rFonts w:hint="default" w:ascii="Times New Roman" w:hAnsi="Times New Roman" w:eastAsia="仿宋_GB2312" w:cs="Times New Roman"/>
                <w:color w:val="auto"/>
                <w:spacing w:val="0"/>
                <w:w w:val="100"/>
                <w:sz w:val="28"/>
                <w:szCs w:val="28"/>
                <w:vertAlign w:val="baseline"/>
              </w:rPr>
            </w:pPr>
            <w:r>
              <w:rPr>
                <w:rFonts w:hint="default" w:ascii="Times New Roman" w:hAnsi="Times New Roman" w:eastAsia="仿宋_GB2312" w:cs="Times New Roman"/>
                <w:color w:val="auto"/>
                <w:spacing w:val="0"/>
                <w:w w:val="100"/>
                <w:sz w:val="28"/>
                <w:szCs w:val="28"/>
                <w:vertAlign w:val="baseline"/>
              </w:rPr>
              <w:t>取消城镇集中供热企业向用户收取的接口费、集中管网建设费、并网配套费等类似名目费用。建筑区划红线内属于用户资产的供热设施经验收合格依法依规移交供热企业管理的，相关维修维护等费用由供热企业承担，纳入企业经营成本，不得另行向用户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trPr>
        <w:tc>
          <w:tcPr>
            <w:tcW w:w="259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hint="default" w:ascii="Times New Roman" w:hAnsi="Times New Roman" w:eastAsia="仿宋_GB2312" w:cs="Times New Roman"/>
                <w:color w:val="auto"/>
                <w:spacing w:val="0"/>
                <w:w w:val="100"/>
                <w:sz w:val="28"/>
                <w:szCs w:val="28"/>
                <w:vertAlign w:val="baseline"/>
              </w:rPr>
            </w:pPr>
            <w:r>
              <w:rPr>
                <w:rFonts w:hint="default" w:ascii="Times New Roman" w:hAnsi="Times New Roman" w:eastAsia="仿宋_GB2312" w:cs="Times New Roman"/>
                <w:color w:val="auto"/>
                <w:spacing w:val="0"/>
                <w:w w:val="100"/>
                <w:sz w:val="28"/>
                <w:szCs w:val="28"/>
                <w:vertAlign w:val="baseline"/>
              </w:rPr>
              <w:t>计量装置检定环节</w:t>
            </w:r>
          </w:p>
        </w:tc>
        <w:tc>
          <w:tcPr>
            <w:tcW w:w="646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20" w:lineRule="exact"/>
              <w:jc w:val="both"/>
              <w:textAlignment w:val="auto"/>
              <w:rPr>
                <w:rFonts w:hint="default" w:ascii="Times New Roman" w:hAnsi="Times New Roman" w:eastAsia="仿宋_GB2312" w:cs="Times New Roman"/>
                <w:color w:val="auto"/>
                <w:spacing w:val="0"/>
                <w:w w:val="100"/>
                <w:sz w:val="28"/>
                <w:szCs w:val="28"/>
                <w:vertAlign w:val="baseline"/>
              </w:rPr>
            </w:pPr>
            <w:r>
              <w:rPr>
                <w:rFonts w:hint="default" w:ascii="Times New Roman" w:hAnsi="Times New Roman" w:eastAsia="仿宋_GB2312" w:cs="Times New Roman"/>
                <w:color w:val="auto"/>
                <w:spacing w:val="0"/>
                <w:w w:val="100"/>
                <w:sz w:val="28"/>
                <w:szCs w:val="28"/>
                <w:vertAlign w:val="baseline"/>
              </w:rPr>
              <w:t>严禁向用户收取水电气热计量装置费用，严禁政府部门、相关机构对供水供电供气供暖计量装置强制检定收费。供水供电供气供热企业或用户自愿委托相关机构对计量装置进行检定的，检定费用由委托方支付，但计量装置经检定确有问题的，由供水供电供气供热企业承担检定费用，并免费为用户更换合格的计量装置。因用户自身原因造成计量装置损坏的，由用户承担更换费用。</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FF5A08"/>
    <w:rsid w:val="FEFF5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2">
    <w:name w:val="heading 1"/>
    <w:next w:val="1"/>
    <w:qFormat/>
    <w:uiPriority w:val="0"/>
    <w:pPr>
      <w:widowControl w:val="0"/>
      <w:overflowPunct w:val="0"/>
      <w:spacing w:before="50" w:beforeLines="50" w:after="50" w:afterLines="50" w:line="578" w:lineRule="exact"/>
      <w:ind w:firstLine="200" w:firstLineChars="200"/>
      <w:jc w:val="both"/>
      <w:outlineLvl w:val="0"/>
    </w:pPr>
    <w:rPr>
      <w:rFonts w:ascii="黑体" w:hAnsi="Times New Roman" w:eastAsia="黑体" w:cs="Times New Roman"/>
      <w:bCs/>
      <w:kern w:val="44"/>
      <w:sz w:val="32"/>
      <w:szCs w:val="3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2022-08-11T10:21:00Z</dcterms:created>
  <dc:creator>uos</dc:creator>
  <cp:lastModifiedBy>uos</cp:lastModifiedBy>
  <dcterms:modified xsi:type="dcterms:W3CDTF">2022-08-11T10:22:21Z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