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00" w:lineRule="exact"/>
        <w:jc w:val="center"/>
        <w:rPr>
          <w:rFonts w:eastAsia="方正小标宋简体"/>
          <w:color w:val="auto"/>
          <w:sz w:val="44"/>
          <w:szCs w:val="44"/>
        </w:rPr>
      </w:pPr>
      <w:r>
        <w:rPr>
          <w:rFonts w:eastAsia="方正小标宋简体"/>
          <w:color w:val="auto"/>
          <w:sz w:val="44"/>
          <w:szCs w:val="44"/>
        </w:rPr>
        <w:t>焦作市“十四五”水生态环境保护规划重大工程项目表</w:t>
      </w:r>
    </w:p>
    <w:tbl>
      <w:tblPr>
        <w:tblStyle w:val="8"/>
        <w:tblW w:w="4985" w:type="pct"/>
        <w:tblInd w:w="28" w:type="dxa"/>
        <w:tblLayout w:type="autofit"/>
        <w:tblCellMar>
          <w:top w:w="0" w:type="dxa"/>
          <w:left w:w="51" w:type="dxa"/>
          <w:bottom w:w="0" w:type="dxa"/>
          <w:right w:w="51" w:type="dxa"/>
        </w:tblCellMar>
      </w:tblPr>
      <w:tblGrid>
        <w:gridCol w:w="939"/>
        <w:gridCol w:w="2872"/>
        <w:gridCol w:w="1663"/>
        <w:gridCol w:w="5765"/>
        <w:gridCol w:w="1209"/>
        <w:gridCol w:w="1570"/>
      </w:tblGrid>
      <w:tr>
        <w:tblPrEx>
          <w:tblCellMar>
            <w:top w:w="0" w:type="dxa"/>
            <w:left w:w="51" w:type="dxa"/>
            <w:bottom w:w="0" w:type="dxa"/>
            <w:right w:w="51" w:type="dxa"/>
          </w:tblCellMar>
        </w:tblPrEx>
        <w:trPr>
          <w:trHeight w:val="567" w:hRule="atLeast"/>
          <w:tblHeader/>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黑体"/>
                <w:color w:val="auto"/>
                <w:sz w:val="24"/>
              </w:rPr>
            </w:pPr>
            <w:r>
              <w:rPr>
                <w:rFonts w:eastAsia="黑体"/>
                <w:color w:val="auto"/>
                <w:sz w:val="24"/>
              </w:rPr>
              <w:t>序号</w:t>
            </w:r>
          </w:p>
        </w:tc>
        <w:tc>
          <w:tcPr>
            <w:tcW w:w="1024"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黑体"/>
                <w:color w:val="auto"/>
                <w:sz w:val="24"/>
              </w:rPr>
            </w:pPr>
            <w:r>
              <w:rPr>
                <w:rFonts w:eastAsia="黑体"/>
                <w:color w:val="auto"/>
                <w:kern w:val="0"/>
                <w:sz w:val="24"/>
              </w:rPr>
              <w:t>项目名称</w:t>
            </w:r>
          </w:p>
        </w:tc>
        <w:tc>
          <w:tcPr>
            <w:tcW w:w="59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黑体"/>
                <w:color w:val="auto"/>
                <w:sz w:val="24"/>
              </w:rPr>
            </w:pPr>
            <w:r>
              <w:rPr>
                <w:rFonts w:eastAsia="黑体"/>
                <w:color w:val="auto"/>
                <w:kern w:val="0"/>
                <w:sz w:val="24"/>
              </w:rPr>
              <w:t>建设地点（县、市、区）</w:t>
            </w:r>
          </w:p>
        </w:tc>
        <w:tc>
          <w:tcPr>
            <w:tcW w:w="205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黑体"/>
                <w:color w:val="auto"/>
                <w:sz w:val="24"/>
              </w:rPr>
            </w:pPr>
            <w:r>
              <w:rPr>
                <w:rFonts w:eastAsia="黑体"/>
                <w:color w:val="auto"/>
                <w:kern w:val="0"/>
                <w:sz w:val="24"/>
              </w:rPr>
              <w:t>建设内容</w:t>
            </w:r>
          </w:p>
        </w:tc>
        <w:tc>
          <w:tcPr>
            <w:tcW w:w="43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黑体"/>
                <w:color w:val="auto"/>
                <w:sz w:val="24"/>
              </w:rPr>
            </w:pPr>
            <w:r>
              <w:rPr>
                <w:rFonts w:eastAsia="黑体"/>
                <w:color w:val="auto"/>
                <w:kern w:val="0"/>
                <w:sz w:val="24"/>
              </w:rPr>
              <w:t>计划投资（万元）</w:t>
            </w:r>
          </w:p>
        </w:tc>
        <w:tc>
          <w:tcPr>
            <w:tcW w:w="559" w:type="pct"/>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jc w:val="center"/>
              <w:textAlignment w:val="center"/>
              <w:rPr>
                <w:rFonts w:eastAsia="黑体"/>
                <w:color w:val="auto"/>
                <w:sz w:val="24"/>
              </w:rPr>
            </w:pPr>
            <w:r>
              <w:rPr>
                <w:rFonts w:eastAsia="黑体"/>
                <w:color w:val="auto"/>
                <w:kern w:val="0"/>
                <w:sz w:val="24"/>
              </w:rPr>
              <w:t>建设年限（年）</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 w:val="24"/>
              </w:rPr>
            </w:pPr>
            <w:r>
              <w:rPr>
                <w:color w:val="auto"/>
                <w:sz w:val="24"/>
              </w:rPr>
              <w:t>合计</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 w:val="24"/>
              </w:rPr>
            </w:pPr>
            <w:r>
              <w:rPr>
                <w:b/>
                <w:bCs/>
                <w:color w:val="auto"/>
                <w:sz w:val="24"/>
              </w:rPr>
              <w:t>35个</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 w:val="24"/>
              </w:rPr>
            </w:pP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color w:val="auto"/>
                <w:sz w:val="24"/>
              </w:rPr>
            </w:pP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 w:val="24"/>
              </w:rPr>
            </w:pPr>
            <w:r>
              <w:rPr>
                <w:color w:val="auto"/>
                <w:sz w:val="24"/>
              </w:rPr>
              <w:t>319552.7</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color w:val="auto"/>
                <w:sz w:val="24"/>
              </w:rPr>
            </w:pP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黑体" w:hAnsi="黑体" w:eastAsia="黑体" w:cs="黑体"/>
                <w:bCs/>
                <w:color w:val="auto"/>
                <w:sz w:val="24"/>
              </w:rPr>
            </w:pPr>
            <w:r>
              <w:rPr>
                <w:rFonts w:hint="eastAsia" w:ascii="黑体" w:hAnsi="黑体" w:eastAsia="黑体" w:cs="黑体"/>
                <w:bCs/>
                <w:color w:val="auto"/>
                <w:sz w:val="24"/>
              </w:rPr>
              <w:t>一</w:t>
            </w:r>
          </w:p>
        </w:tc>
        <w:tc>
          <w:tcPr>
            <w:tcW w:w="4664" w:type="pct"/>
            <w:gridSpan w:val="5"/>
            <w:tcBorders>
              <w:top w:val="single" w:color="000000" w:sz="4" w:space="0"/>
              <w:left w:val="single" w:color="000000" w:sz="4" w:space="0"/>
              <w:bottom w:val="single" w:color="000000" w:sz="4" w:space="0"/>
              <w:right w:val="single" w:color="auto" w:sz="4" w:space="0"/>
            </w:tcBorders>
            <w:vAlign w:val="center"/>
          </w:tcPr>
          <w:p>
            <w:pPr>
              <w:adjustRightInd w:val="0"/>
              <w:snapToGrid w:val="0"/>
              <w:rPr>
                <w:rFonts w:ascii="黑体" w:hAnsi="黑体" w:eastAsia="黑体" w:cs="黑体"/>
                <w:bCs/>
                <w:color w:val="auto"/>
                <w:sz w:val="24"/>
              </w:rPr>
            </w:pPr>
            <w:r>
              <w:rPr>
                <w:rFonts w:hint="eastAsia" w:ascii="黑体" w:hAnsi="黑体" w:eastAsia="黑体" w:cs="黑体"/>
                <w:bCs/>
                <w:color w:val="auto"/>
                <w:sz w:val="24"/>
              </w:rPr>
              <w:t>污染治理能力提升</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b/>
                <w:color w:val="auto"/>
                <w:sz w:val="24"/>
              </w:rPr>
            </w:pPr>
            <w:r>
              <w:rPr>
                <w:b/>
                <w:color w:val="auto"/>
                <w:sz w:val="24"/>
              </w:rPr>
              <w:t>（一）</w:t>
            </w:r>
          </w:p>
        </w:tc>
        <w:tc>
          <w:tcPr>
            <w:tcW w:w="4664" w:type="pct"/>
            <w:gridSpan w:val="5"/>
            <w:tcBorders>
              <w:top w:val="single" w:color="000000" w:sz="4" w:space="0"/>
              <w:left w:val="single" w:color="000000" w:sz="4" w:space="0"/>
              <w:bottom w:val="single" w:color="000000" w:sz="4" w:space="0"/>
              <w:right w:val="single" w:color="auto" w:sz="4" w:space="0"/>
            </w:tcBorders>
            <w:vAlign w:val="center"/>
          </w:tcPr>
          <w:p>
            <w:pPr>
              <w:adjustRightInd w:val="0"/>
              <w:snapToGrid w:val="0"/>
              <w:rPr>
                <w:b/>
                <w:color w:val="auto"/>
                <w:sz w:val="24"/>
              </w:rPr>
            </w:pPr>
            <w:r>
              <w:rPr>
                <w:b/>
                <w:color w:val="auto"/>
                <w:sz w:val="24"/>
              </w:rPr>
              <w:t>城镇污水治理能力提升工程</w:t>
            </w:r>
          </w:p>
        </w:tc>
      </w:tr>
      <w:tr>
        <w:tblPrEx>
          <w:tblCellMar>
            <w:top w:w="0" w:type="dxa"/>
            <w:left w:w="51" w:type="dxa"/>
            <w:bottom w:w="0" w:type="dxa"/>
            <w:right w:w="51" w:type="dxa"/>
          </w:tblCellMar>
        </w:tblPrEx>
        <w:trPr>
          <w:trHeight w:val="1615"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color w:val="auto"/>
                <w:sz w:val="24"/>
              </w:rPr>
            </w:pPr>
            <w:r>
              <w:rPr>
                <w:color w:val="auto"/>
                <w:sz w:val="24"/>
              </w:rPr>
              <w:t>1</w:t>
            </w:r>
          </w:p>
        </w:tc>
        <w:tc>
          <w:tcPr>
            <w:tcW w:w="1024" w:type="pct"/>
            <w:tcBorders>
              <w:top w:val="single" w:color="000000" w:sz="4" w:space="0"/>
              <w:left w:val="single" w:color="000000" w:sz="4" w:space="0"/>
              <w:bottom w:val="single" w:color="000000" w:sz="4" w:space="0"/>
              <w:right w:val="single" w:color="000000" w:sz="4" w:space="0"/>
            </w:tcBorders>
            <w:vAlign w:val="center"/>
          </w:tcPr>
          <w:p>
            <w:pPr>
              <w:tabs>
                <w:tab w:val="left" w:pos="1110"/>
              </w:tabs>
              <w:adjustRightInd w:val="0"/>
              <w:snapToGrid w:val="0"/>
              <w:spacing w:line="300" w:lineRule="exact"/>
              <w:jc w:val="left"/>
              <w:rPr>
                <w:color w:val="auto"/>
                <w:sz w:val="24"/>
              </w:rPr>
            </w:pPr>
            <w:r>
              <w:rPr>
                <w:color w:val="auto"/>
                <w:sz w:val="24"/>
              </w:rPr>
              <w:t>焦作市主城区雨污管道项目（焦作市亚投行贷款项目雨污水管道改造工程）</w:t>
            </w:r>
          </w:p>
        </w:tc>
        <w:tc>
          <w:tcPr>
            <w:tcW w:w="593" w:type="pct"/>
            <w:tcBorders>
              <w:top w:val="single" w:color="000000" w:sz="4" w:space="0"/>
              <w:left w:val="single" w:color="000000" w:sz="4" w:space="0"/>
              <w:bottom w:val="single" w:color="000000" w:sz="4" w:space="0"/>
              <w:right w:val="single" w:color="000000" w:sz="4" w:space="0"/>
            </w:tcBorders>
            <w:vAlign w:val="center"/>
          </w:tcPr>
          <w:p>
            <w:pPr>
              <w:tabs>
                <w:tab w:val="left" w:pos="1110"/>
              </w:tabs>
              <w:adjustRightInd w:val="0"/>
              <w:snapToGrid w:val="0"/>
              <w:spacing w:line="300" w:lineRule="exact"/>
              <w:jc w:val="center"/>
              <w:rPr>
                <w:color w:val="auto"/>
                <w:sz w:val="24"/>
              </w:rPr>
            </w:pPr>
            <w:r>
              <w:rPr>
                <w:color w:val="auto"/>
                <w:sz w:val="24"/>
              </w:rPr>
              <w:t>解放区、山阳区、马村区</w:t>
            </w:r>
          </w:p>
        </w:tc>
        <w:tc>
          <w:tcPr>
            <w:tcW w:w="2056" w:type="pct"/>
            <w:tcBorders>
              <w:top w:val="single" w:color="000000" w:sz="4" w:space="0"/>
              <w:left w:val="single" w:color="000000" w:sz="4" w:space="0"/>
              <w:bottom w:val="single" w:color="000000" w:sz="4" w:space="0"/>
              <w:right w:val="single" w:color="000000" w:sz="4" w:space="0"/>
            </w:tcBorders>
            <w:vAlign w:val="center"/>
          </w:tcPr>
          <w:p>
            <w:pPr>
              <w:tabs>
                <w:tab w:val="left" w:pos="1110"/>
              </w:tabs>
              <w:adjustRightInd w:val="0"/>
              <w:snapToGrid w:val="0"/>
              <w:spacing w:line="300" w:lineRule="exact"/>
              <w:jc w:val="left"/>
              <w:rPr>
                <w:color w:val="auto"/>
                <w:sz w:val="24"/>
              </w:rPr>
            </w:pPr>
            <w:r>
              <w:rPr>
                <w:color w:val="auto"/>
                <w:sz w:val="24"/>
              </w:rPr>
              <w:t>对焦作市北环路、山阳路、民主路、工业路、解放东路等约39公里道路进行雨污分流改造。</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11000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2021-2024</w:t>
            </w:r>
          </w:p>
        </w:tc>
      </w:tr>
      <w:tr>
        <w:tblPrEx>
          <w:tblCellMar>
            <w:top w:w="0" w:type="dxa"/>
            <w:left w:w="51" w:type="dxa"/>
            <w:bottom w:w="0" w:type="dxa"/>
            <w:right w:w="51" w:type="dxa"/>
          </w:tblCellMar>
        </w:tblPrEx>
        <w:trPr>
          <w:trHeight w:val="1021"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2</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焦作市城乡一体化示范区污水处理工程</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示范区</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建设4万m</w:t>
            </w:r>
            <w:r>
              <w:rPr>
                <w:color w:val="auto"/>
                <w:sz w:val="24"/>
                <w:vertAlign w:val="superscript"/>
              </w:rPr>
              <w:t>3</w:t>
            </w:r>
            <w:r>
              <w:rPr>
                <w:color w:val="auto"/>
                <w:sz w:val="24"/>
              </w:rPr>
              <w:t xml:space="preserve">/d污水处理厂1座及配套管网17.65km。建设村庄污水收集管网约534.56km、污水处理站13座。                             </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52700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2022-2025</w:t>
            </w:r>
          </w:p>
        </w:tc>
      </w:tr>
      <w:tr>
        <w:tblPrEx>
          <w:tblCellMar>
            <w:top w:w="0" w:type="dxa"/>
            <w:left w:w="51" w:type="dxa"/>
            <w:bottom w:w="0" w:type="dxa"/>
            <w:right w:w="51" w:type="dxa"/>
          </w:tblCellMar>
        </w:tblPrEx>
        <w:trPr>
          <w:trHeight w:val="79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color w:val="auto"/>
                <w:sz w:val="24"/>
              </w:rPr>
            </w:pPr>
            <w:r>
              <w:rPr>
                <w:sz w:val="24"/>
              </w:rPr>
              <mc:AlternateContent>
                <mc:Choice Requires="wps">
                  <w:drawing>
                    <wp:anchor distT="0" distB="0" distL="114300" distR="114300" simplePos="0" relativeHeight="251685888" behindDoc="0" locked="0" layoutInCell="1" allowOverlap="1">
                      <wp:simplePos x="0" y="0"/>
                      <wp:positionH relativeFrom="column">
                        <wp:posOffset>-460375</wp:posOffset>
                      </wp:positionH>
                      <wp:positionV relativeFrom="paragraph">
                        <wp:posOffset>65405</wp:posOffset>
                      </wp:positionV>
                      <wp:extent cx="489585" cy="119634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489585" cy="119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27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6.25pt;margin-top:5.15pt;height:94.2pt;width:38.55pt;z-index:251685888;mso-width-relative:page;mso-height-relative:page;" filled="f" stroked="f" coordsize="21600,21600" o:gfxdata="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1z9ctdgAAAAIAQAADwAAAAAAAAABACAAAAA4AAAA&#10;ZHJzL2Rvd25yZXYueG1sUEsBAhQAFAAAAAgAh07iQD7DakgqAgAALgQAAA4AAAAAAAAAAQAgAAAA&#10;PQEAAGRycy9lMm9Eb2MueG1sUEsFBgAAAAAGAAYAWQEAANkFA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27 —</w:t>
                            </w:r>
                          </w:p>
                        </w:txbxContent>
                      </v:textbox>
                    </v:shape>
                  </w:pict>
                </mc:Fallback>
              </mc:AlternateContent>
            </w:r>
          </w:p>
          <w:p>
            <w:pPr>
              <w:adjustRightInd w:val="0"/>
              <w:snapToGrid w:val="0"/>
              <w:spacing w:line="300" w:lineRule="exact"/>
              <w:jc w:val="center"/>
              <w:rPr>
                <w:color w:val="auto"/>
                <w:sz w:val="24"/>
              </w:rPr>
            </w:pPr>
            <w:r>
              <w:rPr>
                <w:color w:val="auto"/>
                <w:sz w:val="24"/>
              </w:rPr>
              <w:t>3</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马村区污水处理厂及配套管网项目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马村区</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根据马村区现有污水处理厂满负荷运行情况，新建马村区污水厂及配套管网项目。</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8000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2022-2025</w:t>
            </w:r>
          </w:p>
        </w:tc>
      </w:tr>
      <w:tr>
        <w:tblPrEx>
          <w:tblCellMar>
            <w:top w:w="0" w:type="dxa"/>
            <w:left w:w="51" w:type="dxa"/>
            <w:bottom w:w="0" w:type="dxa"/>
            <w:right w:w="51" w:type="dxa"/>
          </w:tblCellMar>
        </w:tblPrEx>
        <w:trPr>
          <w:trHeight w:val="1134"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4</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沁阳市城区雨污管网项目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沁阳市</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沁阳市神农大道、香港街、自由路等道路雨污水管网改造工程，沁阳市污水管网延伸工程及沁阳市天鹅湖提升改造工程。</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17455.72</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2021-2022</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4"/>
              </w:rPr>
            </w:pPr>
            <w:bookmarkStart w:id="0" w:name="_GoBack"/>
            <w:r>
              <w:rPr>
                <w:sz w:val="24"/>
              </w:rPr>
              <mc:AlternateContent>
                <mc:Choice Requires="wps">
                  <w:drawing>
                    <wp:anchor distT="0" distB="0" distL="114300" distR="114300" simplePos="0" relativeHeight="251693056" behindDoc="0" locked="0" layoutInCell="1" allowOverlap="1">
                      <wp:simplePos x="0" y="0"/>
                      <wp:positionH relativeFrom="column">
                        <wp:posOffset>-445770</wp:posOffset>
                      </wp:positionH>
                      <wp:positionV relativeFrom="paragraph">
                        <wp:posOffset>-566420</wp:posOffset>
                      </wp:positionV>
                      <wp:extent cx="489585" cy="119634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489585" cy="119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28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1pt;margin-top:-44.6pt;height:94.2pt;width:38.55pt;z-index:251693056;mso-width-relative:page;mso-height-relative:page;" filled="f" stroked="f" coordsize="21600,21600" o:gfxdata="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XeGddNYAAAAIAQAADwAAAAAAAAABACAAAAA4AAAAZHJz&#10;L2Rvd25yZXYueG1sUEsBAhQAFAAAAAgAh07iQHkVzeQpAgAALAQAAA4AAAAAAAAAAQAgAAAAOwEA&#10;AGRycy9lMm9Eb2MueG1sUEsFBgAAAAAGAAYAWQEAANYFA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28 —</w:t>
                            </w:r>
                          </w:p>
                        </w:txbxContent>
                      </v:textbox>
                    </v:shape>
                  </w:pict>
                </mc:Fallback>
              </mc:AlternateContent>
            </w:r>
            <w:bookmarkEnd w:id="0"/>
            <w:r>
              <w:rPr>
                <w:color w:val="auto"/>
                <w:sz w:val="24"/>
              </w:rPr>
              <w:t>5</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武陟县城区管网改造项目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武陟县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开展武陟县城区污水管网改造，提高污水收集效率。</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5000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736"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6</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武陟县第三污水厂配套污水管网项目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武陟县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pacing w:val="-6"/>
                <w:sz w:val="24"/>
              </w:rPr>
              <w:t>完善武陟县第三污水处理厂配套管网建设，实现服务范围内生活污水和工业集中收集处置。</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10000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2021-2023</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7</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武陟县污水处理厂三期工程项目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武陟县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设计规模3万吨/日，新增配套管网约25公里。</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17500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8</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修武县城区管网雨污分流建设</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修武县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云台大道改造工程、温盘路道路工程、体育路道路工程、经一路道路工程道路工程。以上工程铺设、改造雨污水管道约7500米。</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4500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2021-2022</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9</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温县城区污水管网工程</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温县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温县常阳路污水管网工程（建设4.2公里污水管网）、温县司马大街污水管网工程（建设1.9公里污水管网）。</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1980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2022</w:t>
            </w:r>
          </w:p>
        </w:tc>
      </w:tr>
      <w:tr>
        <w:tblPrEx>
          <w:tblCellMar>
            <w:top w:w="0" w:type="dxa"/>
            <w:left w:w="51" w:type="dxa"/>
            <w:bottom w:w="0" w:type="dxa"/>
            <w:right w:w="51" w:type="dxa"/>
          </w:tblCellMar>
        </w:tblPrEx>
        <w:trPr>
          <w:trHeight w:val="731"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b/>
                <w:color w:val="auto"/>
                <w:sz w:val="24"/>
              </w:rPr>
            </w:pPr>
            <w:r>
              <w:rPr>
                <w:b/>
                <w:color w:val="auto"/>
                <w:sz w:val="24"/>
              </w:rPr>
              <w:t>(二)</w:t>
            </w:r>
          </w:p>
        </w:tc>
        <w:tc>
          <w:tcPr>
            <w:tcW w:w="4664" w:type="pct"/>
            <w:gridSpan w:val="5"/>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left"/>
              <w:rPr>
                <w:color w:val="auto"/>
                <w:sz w:val="24"/>
              </w:rPr>
            </w:pPr>
            <w:r>
              <w:rPr>
                <w:b/>
                <w:color w:val="auto"/>
                <w:sz w:val="24"/>
              </w:rPr>
              <w:t>农业农村污染治理能力提升工程</w:t>
            </w:r>
          </w:p>
        </w:tc>
      </w:tr>
      <w:tr>
        <w:tblPrEx>
          <w:tblCellMar>
            <w:top w:w="0" w:type="dxa"/>
            <w:left w:w="51" w:type="dxa"/>
            <w:bottom w:w="0" w:type="dxa"/>
            <w:right w:w="51" w:type="dxa"/>
          </w:tblCellMar>
        </w:tblPrEx>
        <w:trPr>
          <w:trHeight w:val="815"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10</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沁阳市农村生活污水处理项目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hint="eastAsia" w:eastAsia="仿宋_GB2312"/>
                <w:color w:val="auto"/>
                <w:sz w:val="24"/>
                <w:lang w:eastAsia="zh-CN"/>
              </w:rPr>
            </w:pPr>
            <w:r>
              <w:rPr>
                <w:color w:val="auto"/>
                <w:sz w:val="24"/>
              </w:rPr>
              <w:t>沁阳</w:t>
            </w:r>
            <w:r>
              <w:rPr>
                <w:rFonts w:hint="eastAsia"/>
                <w:color w:val="auto"/>
                <w:sz w:val="24"/>
                <w:lang w:eastAsia="zh-CN"/>
              </w:rPr>
              <w:t>市</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完成84个村庄生活污水治理，提升农村污水治理率。</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6600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11</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沁阳市厕污同治项目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沁阳市</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铺设污水管网，建设污水处理站，配套吸粪车，完成305个村共85104户的户厕改造。</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42542.26</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w:t>
            </w:r>
            <w:r>
              <w:rPr>
                <w:rFonts w:hint="eastAsia"/>
                <w:color w:val="auto"/>
                <w:sz w:val="24"/>
                <w:lang w:val="en-US" w:eastAsia="zh-CN"/>
              </w:rPr>
              <w:t>-</w:t>
            </w:r>
            <w:r>
              <w:rPr>
                <w:color w:val="auto"/>
                <w:sz w:val="24"/>
              </w:rPr>
              <w:t>2022</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12</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沁阳市四河流域医疗废水和生活污水治理项目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沁阳市</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工程设计范围为9个乡（镇）、4个街道办内的18个卫生院医疗废水处理设施建设和37个村落的污水管网482Km及13个末端污水处理站建设</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16881</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2022-2025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13</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博爱县南水北调中线工程总干渠（金城乡段）保护区划内村庄生活污水治理项目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博爱县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对南水北调中线工程总干渠金城乡段保护区内村庄生活污水收集处理，生活污水管网180.6千米，生活污水设计日处理量1720吨/天。</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5243</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90"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14</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武陟县农村生活污水处理项目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武陟县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新建20个村农村生活污水处理项目。</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3000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1055" w:hRule="atLeast"/>
        </w:trPr>
        <w:tc>
          <w:tcPr>
            <w:tcW w:w="335"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15</w:t>
            </w:r>
          </w:p>
        </w:tc>
        <w:tc>
          <w:tcPr>
            <w:tcW w:w="1024" w:type="pct"/>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武陟县畜禽粪污资源化利用集中处理工程中心</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武陟县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对全县畜禽养殖粪污进行集中收集处置。</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8500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2022-2025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00" w:lineRule="exact"/>
              <w:jc w:val="center"/>
              <w:textAlignment w:val="center"/>
              <w:rPr>
                <w:b/>
                <w:color w:val="auto"/>
                <w:sz w:val="24"/>
              </w:rPr>
            </w:pPr>
            <w:r>
              <w:rPr>
                <w:b/>
                <w:color w:val="auto"/>
                <w:sz w:val="24"/>
              </w:rPr>
              <w:t>（三）</w:t>
            </w:r>
          </w:p>
        </w:tc>
        <w:tc>
          <w:tcPr>
            <w:tcW w:w="4664" w:type="pct"/>
            <w:gridSpan w:val="5"/>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left"/>
              <w:textAlignment w:val="center"/>
              <w:rPr>
                <w:b/>
                <w:color w:val="auto"/>
                <w:sz w:val="24"/>
              </w:rPr>
            </w:pPr>
            <w:r>
              <w:rPr>
                <w:rFonts w:hint="eastAsia"/>
                <w:b/>
                <w:color w:val="auto"/>
                <w:sz w:val="24"/>
              </w:rPr>
              <w:t>工业废水处理能力提升工程</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color w:val="auto"/>
                <w:sz w:val="24"/>
              </w:rPr>
            </w:pPr>
            <w:r>
              <w:rPr>
                <w:color w:val="auto"/>
                <w:sz w:val="24"/>
              </w:rPr>
              <w:t>16</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马村区中马矿矿排水水质提升项目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马村区</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新建矿井水处理站，采用高效旋流过滤方式处理。</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800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2021-2022</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color w:val="auto"/>
                <w:sz w:val="24"/>
              </w:rPr>
            </w:pPr>
            <w:r>
              <w:rPr>
                <w:color w:val="auto"/>
                <w:sz w:val="24"/>
              </w:rPr>
              <w:t>17</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焦作市锦瑞达铝业有限公司入河排污口整治项目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马村区</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铺设污水管网，将锦瑞达铝业有限公司排水接入管网送至污水处理厂处理。</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2022</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color w:val="auto"/>
                <w:sz w:val="24"/>
              </w:rPr>
            </w:pPr>
            <w:r>
              <w:rPr>
                <w:color w:val="auto"/>
                <w:sz w:val="24"/>
              </w:rPr>
              <w:t>18</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焦作万方铝业有限公司雨污管网改造项目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马村区</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实施雨污分流管网改造，新建约6公里污水管网，改造雨水管网，设1座分流井、1座初期雨水池。</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900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2021-2022</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19</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pacing w:val="-11"/>
                <w:sz w:val="24"/>
              </w:rPr>
            </w:pPr>
            <w:r>
              <w:rPr>
                <w:color w:val="auto"/>
                <w:sz w:val="24"/>
              </w:rPr>
              <w:t>孟州市城市污水处理有限公司一期工程技术提质增效项</w:t>
            </w:r>
            <w:r>
              <w:rPr>
                <w:color w:val="auto"/>
                <w:spacing w:val="-11"/>
                <w:sz w:val="24"/>
              </w:rPr>
              <w:t>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孟州市</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孟州市城市污水处理有限公司一期工程技术提升改造，确保污水稳定达标排放。</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4990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20</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武陟县产业集聚区污水处理厂项目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武陟县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设计规模为0.5万m</w:t>
            </w:r>
            <w:r>
              <w:rPr>
                <w:color w:val="auto"/>
                <w:sz w:val="24"/>
                <w:vertAlign w:val="superscript"/>
              </w:rPr>
              <w:t>3</w:t>
            </w:r>
            <w:r>
              <w:rPr>
                <w:color w:val="auto"/>
                <w:sz w:val="24"/>
              </w:rPr>
              <w:t>/d，分两期建设。</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1800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color w:val="auto"/>
                <w:sz w:val="24"/>
              </w:rPr>
            </w:pPr>
          </w:p>
          <w:p>
            <w:pPr>
              <w:adjustRightInd w:val="0"/>
              <w:snapToGrid w:val="0"/>
              <w:spacing w:line="360" w:lineRule="auto"/>
              <w:jc w:val="center"/>
              <w:rPr>
                <w:color w:val="auto"/>
                <w:sz w:val="24"/>
              </w:rPr>
            </w:pPr>
            <w:r>
              <w:rPr>
                <w:sz w:val="24"/>
              </w:rPr>
              <mc:AlternateContent>
                <mc:Choice Requires="wps">
                  <w:drawing>
                    <wp:anchor distT="0" distB="0" distL="114300" distR="114300" simplePos="0" relativeHeight="251700224" behindDoc="0" locked="0" layoutInCell="1" allowOverlap="1">
                      <wp:simplePos x="0" y="0"/>
                      <wp:positionH relativeFrom="column">
                        <wp:posOffset>-434340</wp:posOffset>
                      </wp:positionH>
                      <wp:positionV relativeFrom="paragraph">
                        <wp:posOffset>145415</wp:posOffset>
                      </wp:positionV>
                      <wp:extent cx="489585" cy="119634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489585" cy="119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29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2pt;margin-top:11.45pt;height:94.2pt;width:38.55pt;z-index:251700224;mso-width-relative:page;mso-height-relative:page;" filled="f" stroked="f" coordsize="21600,21600" o:gfxdata="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&#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GRSGV/XAAAACAEAAA8AAAAAAAAAAQAgAAAAOAAAAGRy&#10;cy9kb3ducmV2LnhtbFBLAQIUABQAAAAIAIdO4kAtI77lKQIAACwEAAAOAAAAAAAAAAEAIAAAADwB&#10;AABkcnMvZTJvRG9jLnhtbFBLBQYAAAAABgAGAFkBAADXBQ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29 —</w:t>
                            </w:r>
                          </w:p>
                        </w:txbxContent>
                      </v:textbox>
                    </v:shape>
                  </w:pict>
                </mc:Fallback>
              </mc:AlternateContent>
            </w:r>
            <w:r>
              <w:rPr>
                <w:color w:val="auto"/>
                <w:sz w:val="24"/>
              </w:rPr>
              <w:t>21</w:t>
            </w:r>
          </w:p>
        </w:tc>
        <w:tc>
          <w:tcPr>
            <w:tcW w:w="1024"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sz w:val="24"/>
              </w:rPr>
            </w:pPr>
            <w:r>
              <w:rPr>
                <w:color w:val="auto"/>
                <w:sz w:val="24"/>
              </w:rPr>
              <w:t>焦作中站污水处理厂二期5万吨扩建工程</w:t>
            </w:r>
          </w:p>
        </w:tc>
        <w:tc>
          <w:tcPr>
            <w:tcW w:w="593"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auto"/>
                <w:sz w:val="24"/>
              </w:rPr>
            </w:pPr>
            <w:r>
              <w:rPr>
                <w:color w:val="auto"/>
                <w:sz w:val="24"/>
              </w:rPr>
              <w:t>中站区</w:t>
            </w:r>
          </w:p>
        </w:tc>
        <w:tc>
          <w:tcPr>
            <w:tcW w:w="2056"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sz w:val="24"/>
              </w:rPr>
            </w:pPr>
            <w:r>
              <w:rPr>
                <w:color w:val="auto"/>
                <w:sz w:val="24"/>
              </w:rPr>
              <w:t>增纳产业集聚区的工业废水和中站区城区的生活污水5万吨/日。</w:t>
            </w:r>
          </w:p>
        </w:tc>
        <w:tc>
          <w:tcPr>
            <w:tcW w:w="431"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auto"/>
                <w:sz w:val="24"/>
              </w:rPr>
            </w:pPr>
            <w:r>
              <w:rPr>
                <w:color w:val="auto"/>
                <w:sz w:val="24"/>
              </w:rPr>
              <w:t>18700</w:t>
            </w:r>
          </w:p>
        </w:tc>
        <w:tc>
          <w:tcPr>
            <w:tcW w:w="559" w:type="pct"/>
            <w:tcBorders>
              <w:top w:val="single" w:color="000000" w:sz="4" w:space="0"/>
              <w:left w:val="single" w:color="000000" w:sz="4" w:space="0"/>
              <w:bottom w:val="single" w:color="000000" w:sz="4" w:space="0"/>
              <w:right w:val="single" w:color="auto" w:sz="4" w:space="0"/>
            </w:tcBorders>
            <w:vAlign w:val="center"/>
          </w:tcPr>
          <w:p>
            <w:pPr>
              <w:spacing w:line="300" w:lineRule="exact"/>
              <w:jc w:val="left"/>
              <w:rPr>
                <w:color w:val="auto"/>
                <w:sz w:val="24"/>
              </w:rPr>
            </w:pPr>
            <w:r>
              <w:rPr>
                <w:color w:val="auto"/>
                <w:sz w:val="24"/>
              </w:rPr>
              <w:t>2020-2021</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22</w:t>
            </w:r>
          </w:p>
        </w:tc>
        <w:tc>
          <w:tcPr>
            <w:tcW w:w="1024"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sz w:val="24"/>
              </w:rPr>
            </w:pPr>
            <w:r>
              <w:rPr>
                <w:color w:val="auto"/>
                <w:sz w:val="24"/>
              </w:rPr>
              <w:t>沁阳市产业集聚区沁北园区污水管网升级改造工程</w:t>
            </w:r>
          </w:p>
        </w:tc>
        <w:tc>
          <w:tcPr>
            <w:tcW w:w="593"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auto"/>
                <w:sz w:val="24"/>
              </w:rPr>
            </w:pPr>
            <w:r>
              <w:rPr>
                <w:color w:val="auto"/>
                <w:sz w:val="24"/>
              </w:rPr>
              <w:t>沁阳市</w:t>
            </w:r>
          </w:p>
        </w:tc>
        <w:tc>
          <w:tcPr>
            <w:tcW w:w="2056"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sz w:val="24"/>
              </w:rPr>
            </w:pPr>
            <w:r>
              <w:rPr>
                <w:color w:val="auto"/>
                <w:sz w:val="24"/>
              </w:rPr>
              <w:t>配套铺设污水管网约33.2公里，收集园区内涉水企业工业废水和部分企业生活污水。</w:t>
            </w:r>
          </w:p>
        </w:tc>
        <w:tc>
          <w:tcPr>
            <w:tcW w:w="431"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auto"/>
                <w:sz w:val="24"/>
              </w:rPr>
            </w:pPr>
            <w:r>
              <w:rPr>
                <w:color w:val="auto"/>
                <w:sz w:val="24"/>
              </w:rPr>
              <w:t>4898</w:t>
            </w:r>
          </w:p>
        </w:tc>
        <w:tc>
          <w:tcPr>
            <w:tcW w:w="559" w:type="pct"/>
            <w:tcBorders>
              <w:top w:val="single" w:color="000000" w:sz="4" w:space="0"/>
              <w:left w:val="single" w:color="000000" w:sz="4" w:space="0"/>
              <w:bottom w:val="single" w:color="000000" w:sz="4" w:space="0"/>
              <w:right w:val="single" w:color="auto" w:sz="4" w:space="0"/>
            </w:tcBorders>
            <w:vAlign w:val="center"/>
          </w:tcPr>
          <w:p>
            <w:pPr>
              <w:spacing w:line="300" w:lineRule="exact"/>
              <w:jc w:val="left"/>
              <w:rPr>
                <w:color w:val="auto"/>
                <w:sz w:val="24"/>
              </w:rPr>
            </w:pPr>
            <w:r>
              <w:rPr>
                <w:color w:val="auto"/>
                <w:sz w:val="24"/>
              </w:rPr>
              <w:t>2021-2021</w:t>
            </w:r>
          </w:p>
        </w:tc>
      </w:tr>
      <w:tr>
        <w:tblPrEx>
          <w:tblCellMar>
            <w:top w:w="0" w:type="dxa"/>
            <w:left w:w="51" w:type="dxa"/>
            <w:bottom w:w="0" w:type="dxa"/>
            <w:right w:w="51" w:type="dxa"/>
          </w:tblCellMar>
        </w:tblPrEx>
        <w:trPr>
          <w:trHeight w:val="70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黑体" w:hAnsi="黑体" w:eastAsia="黑体" w:cs="黑体"/>
                <w:bCs/>
                <w:color w:val="auto"/>
                <w:sz w:val="24"/>
              </w:rPr>
            </w:pPr>
            <w:r>
              <w:rPr>
                <w:rFonts w:hint="eastAsia" w:ascii="黑体" w:hAnsi="黑体" w:eastAsia="黑体" w:cs="黑体"/>
                <w:bCs/>
                <w:color w:val="auto"/>
                <w:sz w:val="24"/>
              </w:rPr>
              <w:t>二</w:t>
            </w:r>
          </w:p>
        </w:tc>
        <w:tc>
          <w:tcPr>
            <w:tcW w:w="4664" w:type="pct"/>
            <w:gridSpan w:val="5"/>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left"/>
              <w:rPr>
                <w:rFonts w:ascii="黑体" w:hAnsi="黑体" w:eastAsia="黑体" w:cs="黑体"/>
                <w:bCs/>
                <w:color w:val="auto"/>
                <w:sz w:val="24"/>
              </w:rPr>
            </w:pPr>
            <w:r>
              <w:rPr>
                <w:rFonts w:hint="eastAsia" w:ascii="黑体" w:hAnsi="黑体" w:eastAsia="黑体" w:cs="黑体"/>
                <w:bCs/>
                <w:color w:val="auto"/>
                <w:sz w:val="24"/>
              </w:rPr>
              <w:t>水生态保护与修复工程</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val="0"/>
              <w:snapToGrid w:val="0"/>
              <w:spacing w:before="118" w:beforeLines="20" w:line="240" w:lineRule="auto"/>
              <w:jc w:val="center"/>
              <w:textAlignment w:val="center"/>
              <w:rPr>
                <w:b/>
                <w:color w:val="auto"/>
                <w:sz w:val="24"/>
              </w:rPr>
            </w:pPr>
            <w:r>
              <w:rPr>
                <w:b/>
                <w:color w:val="auto"/>
                <w:sz w:val="24"/>
              </w:rPr>
              <mc:AlternateContent>
                <mc:Choice Requires="wps">
                  <w:drawing>
                    <wp:anchor distT="0" distB="0" distL="114300" distR="114300" simplePos="0" relativeHeight="251764736" behindDoc="0" locked="0" layoutInCell="1" allowOverlap="1">
                      <wp:simplePos x="0" y="0"/>
                      <wp:positionH relativeFrom="column">
                        <wp:posOffset>-460375</wp:posOffset>
                      </wp:positionH>
                      <wp:positionV relativeFrom="paragraph">
                        <wp:posOffset>-432435</wp:posOffset>
                      </wp:positionV>
                      <wp:extent cx="489585" cy="119634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489585" cy="119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30 —</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6.25pt;margin-top:-34.05pt;height:94.2pt;width:38.55pt;z-index:251764736;mso-width-relative:page;mso-height-relative:page;" filled="f" stroked="f" coordsize="21600,21600" o:gfxdata="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scC1w2QAAAAkBAAAPAAAAAAAAAAEAIAAAADgAAABk&#10;cnMvZG93bnJldi54bWxQSwECFAAUAAAACACHTuJA9FcGUygCAAAsBAAADgAAAAAAAAABACAAAAA+&#10;AQAAZHJzL2Uyb0RvYy54bWxQSwUGAAAAAAYABgBZAQAA2AUAAAAA&#10;">
                      <v:fill on="f" focussize="0,0"/>
                      <v:stroke on="f" weight="0.5pt"/>
                      <v:imagedata o:title=""/>
                      <o:lock v:ext="edit" aspectratio="f"/>
                      <v:textbox style="layout-flow:vertical-ideographic;">
                        <w:txbxContent>
                          <w:p>
                            <w:p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30 —</w:t>
                            </w:r>
                          </w:p>
                        </w:txbxContent>
                      </v:textbox>
                    </v:shape>
                  </w:pict>
                </mc:Fallback>
              </mc:AlternateContent>
            </w:r>
            <w:r>
              <w:rPr>
                <w:rFonts w:hint="eastAsia"/>
                <w:b/>
                <w:color w:val="auto"/>
                <w:sz w:val="24"/>
                <w:lang w:eastAsia="zh-CN"/>
              </w:rPr>
              <w:t>（一）</w:t>
            </w:r>
          </w:p>
        </w:tc>
        <w:tc>
          <w:tcPr>
            <w:tcW w:w="4664" w:type="pct"/>
            <w:gridSpan w:val="5"/>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left"/>
              <w:rPr>
                <w:b/>
                <w:color w:val="auto"/>
                <w:sz w:val="24"/>
              </w:rPr>
            </w:pPr>
            <w:r>
              <w:rPr>
                <w:b/>
                <w:color w:val="auto"/>
                <w:sz w:val="24"/>
              </w:rPr>
              <w:t>河道治理工程</w:t>
            </w:r>
          </w:p>
        </w:tc>
      </w:tr>
      <w:tr>
        <w:tblPrEx>
          <w:tblCellMar>
            <w:top w:w="0" w:type="dxa"/>
            <w:left w:w="51" w:type="dxa"/>
            <w:bottom w:w="0" w:type="dxa"/>
            <w:right w:w="51" w:type="dxa"/>
          </w:tblCellMar>
        </w:tblPrEx>
        <w:trPr>
          <w:trHeight w:val="778"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color w:val="auto"/>
                <w:sz w:val="24"/>
              </w:rPr>
            </w:pPr>
            <w:r>
              <w:rPr>
                <w:color w:val="auto"/>
                <w:sz w:val="24"/>
              </w:rPr>
              <w:t>23</w:t>
            </w:r>
          </w:p>
        </w:tc>
        <w:tc>
          <w:tcPr>
            <w:tcW w:w="1024" w:type="pct"/>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spacing w:line="300" w:lineRule="exact"/>
              <w:jc w:val="left"/>
              <w:rPr>
                <w:color w:val="auto"/>
                <w:sz w:val="24"/>
              </w:rPr>
            </w:pPr>
            <w:r>
              <w:rPr>
                <w:color w:val="auto"/>
                <w:spacing w:val="-11"/>
                <w:sz w:val="24"/>
              </w:rPr>
              <w:t>焦作市白马门河（人民路-普济河）综合整治工程</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解放区</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治理河段长5.93km。</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19380.42</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2021--2022</w:t>
            </w:r>
          </w:p>
        </w:tc>
      </w:tr>
      <w:tr>
        <w:tblPrEx>
          <w:tblCellMar>
            <w:top w:w="0" w:type="dxa"/>
            <w:left w:w="51" w:type="dxa"/>
            <w:bottom w:w="0" w:type="dxa"/>
            <w:right w:w="51" w:type="dxa"/>
          </w:tblCellMar>
        </w:tblPrEx>
        <w:trPr>
          <w:trHeight w:val="778"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24</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焦</w:t>
            </w:r>
            <w:r>
              <w:rPr>
                <w:color w:val="auto"/>
                <w:spacing w:val="-6"/>
                <w:sz w:val="24"/>
              </w:rPr>
              <w:t>作市普济河（和兴化工-新月铁路）综合治理工程</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解放区</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治理河道全长279m。</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b/>
                <w:bCs/>
                <w:color w:val="auto"/>
                <w:sz w:val="24"/>
              </w:rPr>
              <w:t>960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2021-2023</w:t>
            </w:r>
          </w:p>
        </w:tc>
      </w:tr>
      <w:tr>
        <w:tblPrEx>
          <w:tblCellMar>
            <w:top w:w="0" w:type="dxa"/>
            <w:left w:w="51" w:type="dxa"/>
            <w:bottom w:w="0" w:type="dxa"/>
            <w:right w:w="51" w:type="dxa"/>
          </w:tblCellMar>
        </w:tblPrEx>
        <w:trPr>
          <w:trHeight w:val="1113"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25</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焦作市南水北调与城市水系连通工程</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示范区</w:t>
            </w:r>
          </w:p>
          <w:p>
            <w:pPr>
              <w:adjustRightInd w:val="0"/>
              <w:snapToGrid w:val="0"/>
              <w:spacing w:line="300" w:lineRule="exact"/>
              <w:jc w:val="center"/>
              <w:rPr>
                <w:color w:val="auto"/>
                <w:sz w:val="24"/>
              </w:rPr>
            </w:pPr>
            <w:r>
              <w:rPr>
                <w:color w:val="auto"/>
                <w:sz w:val="24"/>
              </w:rPr>
              <w:t>解放区</w:t>
            </w:r>
          </w:p>
          <w:p>
            <w:pPr>
              <w:adjustRightInd w:val="0"/>
              <w:snapToGrid w:val="0"/>
              <w:spacing w:line="300" w:lineRule="exact"/>
              <w:jc w:val="center"/>
              <w:rPr>
                <w:color w:val="auto"/>
                <w:sz w:val="24"/>
              </w:rPr>
            </w:pPr>
            <w:r>
              <w:rPr>
                <w:color w:val="auto"/>
                <w:sz w:val="24"/>
              </w:rPr>
              <w:t>山阳区</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新建拦河液压坝、输水管线等工程，将南水北调干渠与龙源湖公园、太极体育中心、瓮涧河、大沙河、新河、城东公园、李河连通。</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1500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2020-2025</w:t>
            </w:r>
          </w:p>
        </w:tc>
      </w:tr>
      <w:tr>
        <w:tblPrEx>
          <w:tblCellMar>
            <w:top w:w="0" w:type="dxa"/>
            <w:left w:w="51" w:type="dxa"/>
            <w:bottom w:w="0" w:type="dxa"/>
            <w:right w:w="51" w:type="dxa"/>
          </w:tblCellMar>
        </w:tblPrEx>
        <w:trPr>
          <w:trHeight w:val="1224"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26</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温县老蟒河水质提升工程</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温县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前端河岸生态修复及组合式生态透水坝两部分，具体建设内容包括挺水植物带、生态透水坝、智能监控等。</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890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2022-2023</w:t>
            </w:r>
          </w:p>
        </w:tc>
      </w:tr>
      <w:tr>
        <w:tblPrEx>
          <w:tblCellMar>
            <w:top w:w="0" w:type="dxa"/>
            <w:left w:w="51" w:type="dxa"/>
            <w:bottom w:w="0" w:type="dxa"/>
            <w:right w:w="51" w:type="dxa"/>
          </w:tblCellMar>
        </w:tblPrEx>
        <w:trPr>
          <w:trHeight w:val="1815"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27</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pacing w:val="-11"/>
                <w:sz w:val="24"/>
              </w:rPr>
              <w:t>孟州市蟒河河道治理工程（白墙水库～孟州界段）</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孟州市</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对孟州境内19.25公里的蟒河河道进行清淤疏浚等。</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10370.69</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2022-2023</w:t>
            </w:r>
          </w:p>
        </w:tc>
      </w:tr>
      <w:tr>
        <w:tblPrEx>
          <w:tblCellMar>
            <w:top w:w="0" w:type="dxa"/>
            <w:left w:w="51" w:type="dxa"/>
            <w:bottom w:w="0" w:type="dxa"/>
            <w:right w:w="51" w:type="dxa"/>
          </w:tblCellMar>
        </w:tblPrEx>
        <w:trPr>
          <w:trHeight w:val="1240"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28</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武陟县河湖水系连通项目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武陟县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联通白马泉干渠、二干排河道、共产主义渠河道，清淤疏浚河道20公里，建设节制闸8座。</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4600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b/>
                <w:color w:val="auto"/>
                <w:sz w:val="24"/>
              </w:rPr>
            </w:pPr>
            <w:r>
              <w:rPr>
                <w:b/>
                <w:color w:val="auto"/>
                <w:sz w:val="24"/>
              </w:rPr>
              <w:t>（二）</w:t>
            </w:r>
          </w:p>
        </w:tc>
        <w:tc>
          <w:tcPr>
            <w:tcW w:w="4664" w:type="pct"/>
            <w:gridSpan w:val="5"/>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left"/>
              <w:rPr>
                <w:b/>
                <w:color w:val="auto"/>
                <w:sz w:val="24"/>
              </w:rPr>
            </w:pPr>
            <w:r>
              <w:rPr>
                <w:b/>
                <w:color w:val="auto"/>
                <w:sz w:val="24"/>
              </w:rPr>
              <w:t>河湖生态用水保障工程</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color w:val="auto"/>
                <w:sz w:val="24"/>
              </w:rPr>
            </w:pPr>
            <w:r>
              <w:rPr>
                <w:color w:val="auto"/>
                <w:sz w:val="24"/>
              </w:rPr>
              <w:t>29</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焦作市再生水利用配套管网工程（一期）</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示范区</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敷设再生水管道长度4.5km。</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1953</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2022-2025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30</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沁阳市第二污水厂中水回用项目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沁阳市</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建设中水回用项目，中水处理规模2万吨/天，力争2290m³/h中水回用于中电投河南电力有限公司沁阳发电分公司。</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3000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31</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博爱县再生水利用工程</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博爱县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铺设管道约63.88公里，建设再生水提升泵房2座、地下管道一体化提升泵站一个。</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13000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b/>
                <w:color w:val="auto"/>
                <w:sz w:val="24"/>
              </w:rPr>
            </w:pPr>
            <w:r>
              <w:rPr>
                <w:b/>
                <w:color w:val="auto"/>
                <w:sz w:val="24"/>
              </w:rPr>
              <w:t>（三）</w:t>
            </w:r>
          </w:p>
        </w:tc>
        <w:tc>
          <w:tcPr>
            <w:tcW w:w="4664" w:type="pct"/>
            <w:gridSpan w:val="5"/>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left"/>
              <w:rPr>
                <w:b/>
                <w:color w:val="auto"/>
                <w:sz w:val="24"/>
              </w:rPr>
            </w:pPr>
            <w:r>
              <w:rPr>
                <w:b/>
                <w:color w:val="auto"/>
                <w:sz w:val="24"/>
              </w:rPr>
              <w:t>湿地恢复和建设工程</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32</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pacing w:val="-11"/>
                <w:sz w:val="24"/>
              </w:rPr>
            </w:pPr>
            <w:r>
              <w:rPr>
                <w:color w:val="auto"/>
                <w:spacing w:val="-11"/>
                <w:sz w:val="24"/>
              </w:rPr>
              <w:t>孟州市第二污水处理厂尾水人工湿地工程</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孟州市</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建设人工湿地，处理规模5万吨/天，占地224.21亩。</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9800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33</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博爱县第二污水处理厂尾水湿地建设项目</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博爱县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项目总用地约54.04亩，处理规模为1.5万立方米/日。</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5608.61</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2021-2025</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34</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武陟县共产主义渠人工湿地</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武陟县</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在共产主义渠建设人工湿地项目，长度9公里，宽80米。</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5300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2021-2023</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黑体" w:hAnsi="黑体" w:eastAsia="黑体" w:cs="黑体"/>
                <w:bCs/>
                <w:color w:val="auto"/>
                <w:sz w:val="24"/>
              </w:rPr>
            </w:pPr>
            <w:r>
              <w:rPr>
                <w:rFonts w:hint="eastAsia" w:ascii="黑体" w:hAnsi="黑体" w:eastAsia="黑体" w:cs="黑体"/>
                <w:bCs/>
                <w:color w:val="auto"/>
                <w:sz w:val="24"/>
              </w:rPr>
              <w:t>三</w:t>
            </w:r>
          </w:p>
        </w:tc>
        <w:tc>
          <w:tcPr>
            <w:tcW w:w="4664" w:type="pct"/>
            <w:gridSpan w:val="5"/>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left"/>
              <w:rPr>
                <w:rFonts w:ascii="黑体" w:hAnsi="黑体" w:eastAsia="黑体" w:cs="黑体"/>
                <w:bCs/>
                <w:color w:val="auto"/>
                <w:sz w:val="24"/>
              </w:rPr>
            </w:pPr>
            <w:r>
              <w:rPr>
                <w:rFonts w:hint="eastAsia" w:ascii="黑体" w:hAnsi="黑体" w:eastAsia="黑体" w:cs="黑体"/>
                <w:bCs/>
                <w:color w:val="auto"/>
                <w:sz w:val="24"/>
              </w:rPr>
              <w:t>水环境风险防范工程</w:t>
            </w:r>
          </w:p>
        </w:tc>
      </w:tr>
      <w:tr>
        <w:tblPrEx>
          <w:tblCellMar>
            <w:top w:w="0" w:type="dxa"/>
            <w:left w:w="51" w:type="dxa"/>
            <w:bottom w:w="0" w:type="dxa"/>
            <w:right w:w="51" w:type="dxa"/>
          </w:tblCellMar>
        </w:tblPrEx>
        <w:trPr>
          <w:trHeight w:val="567" w:hRule="atLeast"/>
        </w:trPr>
        <w:tc>
          <w:tcPr>
            <w:tcW w:w="3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35</w:t>
            </w:r>
          </w:p>
        </w:tc>
        <w:tc>
          <w:tcPr>
            <w:tcW w:w="10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pacing w:val="-11"/>
                <w:sz w:val="24"/>
              </w:rPr>
            </w:pPr>
            <w:r>
              <w:rPr>
                <w:color w:val="auto"/>
                <w:spacing w:val="-11"/>
                <w:sz w:val="24"/>
              </w:rPr>
              <w:t>孟州市滩区涝河应急拦截闸坝</w:t>
            </w:r>
          </w:p>
        </w:tc>
        <w:tc>
          <w:tcPr>
            <w:tcW w:w="59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孟州市</w:t>
            </w:r>
          </w:p>
        </w:tc>
        <w:tc>
          <w:tcPr>
            <w:tcW w:w="205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color w:val="auto"/>
                <w:sz w:val="24"/>
              </w:rPr>
            </w:pPr>
            <w:r>
              <w:rPr>
                <w:color w:val="auto"/>
                <w:sz w:val="24"/>
              </w:rPr>
              <w:t>建设应急拦截闸坝，做好突发环境事件防控。</w:t>
            </w:r>
          </w:p>
        </w:tc>
        <w:tc>
          <w:tcPr>
            <w:tcW w:w="43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color w:val="auto"/>
                <w:sz w:val="24"/>
              </w:rPr>
            </w:pPr>
            <w:r>
              <w:rPr>
                <w:color w:val="auto"/>
                <w:sz w:val="24"/>
              </w:rPr>
              <w:t>100</w:t>
            </w:r>
          </w:p>
        </w:tc>
        <w:tc>
          <w:tcPr>
            <w:tcW w:w="559"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00" w:lineRule="exact"/>
              <w:jc w:val="center"/>
              <w:rPr>
                <w:color w:val="auto"/>
                <w:sz w:val="24"/>
              </w:rPr>
            </w:pPr>
            <w:r>
              <w:rPr>
                <w:color w:val="auto"/>
                <w:sz w:val="24"/>
              </w:rPr>
              <w:t>2021-2023</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F6EE5C"/>
    <w:rsid w:val="E3F6E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widowControl/>
      <w:spacing w:before="100" w:beforeAutospacing="1" w:after="100" w:afterAutospacing="1"/>
      <w:ind w:firstLine="0" w:firstLineChars="0"/>
    </w:pPr>
    <w:rPr>
      <w:rFonts w:ascii="宋体" w:cs="宋体"/>
      <w:sz w:val="24"/>
      <w:szCs w:val="24"/>
    </w:rPr>
  </w:style>
  <w:style w:type="paragraph" w:styleId="3">
    <w:name w:val="Body Text"/>
    <w:basedOn w:val="1"/>
    <w:next w:val="1"/>
    <w:qFormat/>
    <w:uiPriority w:val="1"/>
    <w:pPr>
      <w:adjustRightInd w:val="0"/>
      <w:snapToGrid w:val="0"/>
      <w:spacing w:line="360" w:lineRule="auto"/>
      <w:ind w:firstLine="200" w:firstLineChars="200"/>
    </w:pPr>
    <w:rPr>
      <w:sz w:val="30"/>
      <w:szCs w:val="3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6"/>
    <w:unhideWhenUsed/>
    <w:qFormat/>
    <w:uiPriority w:val="99"/>
    <w:pPr>
      <w:ind w:left="420" w:leftChars="200"/>
    </w:pPr>
  </w:style>
  <w:style w:type="paragraph" w:customStyle="1" w:styleId="6">
    <w:name w:val="样式 正文文本缩进 + 左侧:  2 字符"/>
    <w:basedOn w:val="1"/>
    <w:qFormat/>
    <w:uiPriority w:val="0"/>
    <w:pPr>
      <w:suppressAutoHyphens/>
      <w:spacing w:line="360" w:lineRule="auto"/>
      <w:ind w:firstLine="200"/>
    </w:pPr>
    <w:rPr>
      <w:rFonts w:ascii="宋体" w:hAnsi="宋体" w:cs="宋体"/>
      <w:kern w:val="1"/>
      <w:szCs w:val="20"/>
    </w:rPr>
  </w:style>
  <w:style w:type="paragraph" w:styleId="7">
    <w:name w:val="Body Text 2"/>
    <w:basedOn w:val="1"/>
    <w:unhideWhenUsed/>
    <w:qFormat/>
    <w:uiPriority w:val="0"/>
    <w:pPr>
      <w:spacing w:after="120" w:line="48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2022-12-09T18:53:00Z</dcterms:created>
  <dc:creator>uos</dc:creator>
  <cp:lastModifiedBy>uos</cp:lastModifiedBy>
  <dcterms:modified xsi:type="dcterms:W3CDTF">2022-12-09T18:56:30Z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