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焦政复决字〔20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〕</w:t>
      </w:r>
      <w:r>
        <w:rPr>
          <w:rFonts w:hint="default" w:ascii="Times New Roman" w:hAnsi="Times New Roman" w:eastAsia="华文仿宋" w:cs="Times New Roman"/>
          <w:sz w:val="32"/>
          <w:szCs w:val="32"/>
          <w:lang w:val="en" w:eastAsia="zh-CN"/>
        </w:rPr>
        <w:t>171</w:t>
      </w:r>
      <w:r>
        <w:rPr>
          <w:rFonts w:hint="default" w:ascii="Times New Roman" w:hAnsi="Times New Roman" w:eastAsia="华文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复议申请人：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复议被申请人：焦作市公安局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城乡一体化示范区分局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不服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被申请人焦作市公安局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  <w:t>城乡一体化示范区分局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作出的《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  <w:t>行政处罚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决定书》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向本机关申请行政复议，本机关依法予以受理，现已复议终结。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申请人请求：撤销被申请人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2023年6月2日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作出的《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  <w:t>行政处罚决定书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申请人称：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申请人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被逼无奈去国家信访局反应，高新分局局长捏造事实，对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申请人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非法拘留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申请人是依法维权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。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综上，请求市政府支持复议请求。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被申请人辩称：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曾多次因扰乱公共场所秩序、寻衅滋事被公安机关行政处罚，在焦作市城乡一体化示范区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镇政府和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达成救助协议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且杨某某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同意停访息诉的情况下，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仍于2023年4月10日至4月14日期间多次连续到国家信访局信访登记。</w:t>
      </w:r>
      <w:r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  <w:t>被申请人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根据《中华人民共和国治安管理处罚法》第二十六条第一款第四项之规定，决定对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以寻衅滋事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行政拘留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十四日。2023年4月15日，我单位对该案进行受案调查，2023年6月1日，被申请人将涉嫌寻衅滋事的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传唤至焦作市公安局城乡一体化示范区分局文苑派出所接受调查。经查，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因其儿子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梁某某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非正常死亡一事多次越级上访，2017年10月27日焦作市城乡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一体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化示范区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镇人民政府和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签署救助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协议，2020年12月10日焦作市城乡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体化示范区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镇人民政府和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签署该救助协议的补充协议，2020年12月11日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签署承诺书表示对处理结果满意并保证不再上访，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在签署救助协议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承诺书并承诺不再上访的情况下，仍于2023年4月10日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至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4月14日期间多次连续到国家信访局信访登记，其行为已违反《信访工作条例》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第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四十七条第二款的规定，属缠访情节严重，已触犯《中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华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人民共和国治安管理处罚法》第二十六条第一款第四项之规定，已构成寻衅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滋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事。综上，请求市政府依法维持涉案行政处罚决定。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经审理，本机关查明事实如下：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曾多次因扰乱公共场所秩序、寻衅滋事被公安机关行政处罚，在焦作市城乡一体化示范区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镇政府和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达成救助协议且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同意停访息诉的情况下，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仍于2023年4月10日至4月14日期间多次连续到国家信访局信访登记。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4月15日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14时30分，被申请人接到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镇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办公室主任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崔某某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报案后立案调查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6月1日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，被申请人告知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拟行政处罚决定的内容及事实、理由、依据、陈述申辩权，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不提出陈述申辩但拒绝签字；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6月2日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被申请人作出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涉案《行政处罚决定书》并送达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决定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杨某某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以寻衅滋事行政拘留十四日。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上述事实有下列证据证明：受案登记表、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传唤证、被传唤家属通知书、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询问笔录、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行政处罚告知笔录、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《行政处罚决定书》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本机关认为：被申请人作为公安机关，依法负责本行政区域内的治安管理工作。依据《中华人民共和国治安管理处罚法》第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二十六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第四项“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有下列行为之一的，处五日以上十日以下的拘留，可以并处五百元以下罚款；情节较重的，处十日以上十五日以下拘留，可以并处一千元以下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罚款：.......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（四）其他寻衅滋事行为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的规定，本案中，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在同行政机关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达成救助协议且同意停访息诉的情况下，不顾影响，多次越级上访，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已严重影响正常的信访秩序，申请人的行为符合情节较重情形，对申请人应处十日以上十五日以下拘留，可以并处一千元以下罚款。综上，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被申请人作出对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以寻衅滋事行政拘留十四日的涉案《行政处罚决定书》并无不当，本机关予以支持。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根据《中华人民共和国行政复议法》第二十八条第一款第（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）项的规定，本机关决定：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" w:leftChars="0" w:firstLine="640" w:firstLineChars="0"/>
        <w:textAlignment w:val="auto"/>
        <w:rPr>
          <w:rFonts w:hint="default" w:eastAsia="华文仿宋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  <w:t>维持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被申请人作出的《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  <w:t>行政处罚决定书</w:t>
      </w: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eastAsia="华文仿宋" w:cs="Times New Roman"/>
          <w:color w:val="000000"/>
          <w:kern w:val="2"/>
          <w:sz w:val="32"/>
          <w:szCs w:val="32"/>
          <w:lang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  <w:t>申请人如不服本决定，可以自收到本行政复议决定书之日起15日内，依法向人民法院提起行政诉讼。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华文仿宋" w:cs="Times New Roman"/>
          <w:color w:val="000000"/>
          <w:kern w:val="2"/>
          <w:sz w:val="32"/>
          <w:szCs w:val="32"/>
          <w:lang w:val="en-US" w:eastAsia="zh-CN" w:bidi="ar-SA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00000000"/>
    <w:rsid w:val="008501BD"/>
    <w:rsid w:val="018F4C90"/>
    <w:rsid w:val="0DAE46EF"/>
    <w:rsid w:val="0DD57ECE"/>
    <w:rsid w:val="0DEF1930"/>
    <w:rsid w:val="0F2D0AE0"/>
    <w:rsid w:val="125C296C"/>
    <w:rsid w:val="12DB7D35"/>
    <w:rsid w:val="132B3CC7"/>
    <w:rsid w:val="19EC6CCB"/>
    <w:rsid w:val="1A734CF7"/>
    <w:rsid w:val="1B097409"/>
    <w:rsid w:val="1C281B11"/>
    <w:rsid w:val="1F354C71"/>
    <w:rsid w:val="1F784B5D"/>
    <w:rsid w:val="236478D2"/>
    <w:rsid w:val="27A74232"/>
    <w:rsid w:val="2A385615"/>
    <w:rsid w:val="360C62D3"/>
    <w:rsid w:val="36E75160"/>
    <w:rsid w:val="38F372D7"/>
    <w:rsid w:val="3D7E4883"/>
    <w:rsid w:val="40C342D5"/>
    <w:rsid w:val="508D5E0B"/>
    <w:rsid w:val="52466271"/>
    <w:rsid w:val="52C5363A"/>
    <w:rsid w:val="561878A5"/>
    <w:rsid w:val="57340D8E"/>
    <w:rsid w:val="5908391E"/>
    <w:rsid w:val="5952448F"/>
    <w:rsid w:val="5B1F3B03"/>
    <w:rsid w:val="5C125416"/>
    <w:rsid w:val="5F7D9ECB"/>
    <w:rsid w:val="632919C3"/>
    <w:rsid w:val="63664478"/>
    <w:rsid w:val="67BD092C"/>
    <w:rsid w:val="6A1011E7"/>
    <w:rsid w:val="6B5C3966"/>
    <w:rsid w:val="6C2C0696"/>
    <w:rsid w:val="6F1FCA94"/>
    <w:rsid w:val="703B6CD7"/>
    <w:rsid w:val="79FC52E4"/>
    <w:rsid w:val="7D4C0330"/>
    <w:rsid w:val="DDDDF793"/>
    <w:rsid w:val="E36F2C51"/>
    <w:rsid w:val="EA7DD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2023-08-08T18:15:00Z</dcterms:created>
  <dc:creator>Administrator</dc:creator>
  <cp:lastModifiedBy>uos</cp:lastModifiedBy>
  <cp:lastPrinted>2023-10-13T11:23:34Z</cp:lastPrinted>
  <dcterms:modified xsi:type="dcterms:W3CDTF">2023-10-13T11:23:39Z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B53024BBBD5144038BAC2BF615B8E384_12</vt:lpwstr>
  </property>
</Properties>
</file>