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napToGrid/>
        <w:spacing w:line="520" w:lineRule="exact"/>
        <w:ind w:firstLine="1600" w:firstLineChars="400"/>
        <w:jc w:val="both"/>
        <w:rPr>
          <w:rFonts w:hint="eastAsia" w:ascii="CESI小标宋-GB2312" w:hAnsi="CESI小标宋-GB2312" w:eastAsia="CESI小标宋-GB2312" w:cs="CESI小标宋-GB2312"/>
          <w:b w:val="0"/>
          <w:bCs/>
          <w:color w:val="auto"/>
          <w:spacing w:val="-20"/>
          <w:kern w:val="0"/>
          <w:sz w:val="44"/>
          <w:szCs w:val="44"/>
          <w:lang w:val="en-US" w:eastAsia="zh-CN" w:bidi="ar-SA"/>
        </w:rPr>
      </w:pPr>
    </w:p>
    <w:p>
      <w:pPr>
        <w:pStyle w:val="4"/>
        <w:keepNext w:val="0"/>
        <w:keepLines w:val="0"/>
        <w:pageBreakBefore w:val="0"/>
        <w:widowControl w:val="0"/>
        <w:kinsoku/>
        <w:wordWrap/>
        <w:overflowPunct/>
        <w:topLinePunct w:val="0"/>
        <w:autoSpaceDE/>
        <w:autoSpaceDN/>
        <w:bidi w:val="0"/>
        <w:snapToGrid/>
        <w:spacing w:line="520" w:lineRule="exact"/>
        <w:ind w:firstLine="1600" w:firstLineChars="400"/>
        <w:jc w:val="both"/>
        <w:rPr>
          <w:rFonts w:hint="eastAsia" w:ascii="CESI小标宋-GB2312" w:hAnsi="CESI小标宋-GB2312" w:eastAsia="CESI小标宋-GB2312" w:cs="CESI小标宋-GB2312"/>
          <w:b w:val="0"/>
          <w:bCs/>
          <w:color w:val="auto"/>
          <w:spacing w:val="-2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《中华人民共和国行政复议法》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2023年新修订重点</w:t>
      </w:r>
      <w:bookmarkStart w:id="0" w:name="_GoBack"/>
      <w:bookmarkEnd w:id="0"/>
    </w:p>
    <w:p>
      <w:pPr>
        <w:pStyle w:val="4"/>
        <w:rPr>
          <w:rFonts w:hint="default" w:ascii="Times New Roman" w:hAnsi="Times New Roman" w:eastAsia="CESI楷体-GB13000" w:cs="Times New Roman"/>
          <w:b w:val="0"/>
          <w:bCs/>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复议制度，是指公民、法人或其他组织认为行政机关的行政行为侵犯其人身权、财产权和受教育权等合法权益，向行政复议机关提出复议申请，行政复议机关对行政行为的合法性和合理性进行审查并作出处理的法律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1999年，第九届全国人民代表大会常务委员会第九次会议制定了我国第一部行政复议法，后经2009年和2017年两次修正。2023年9月1日，新修订的行政复议法已由第十四届全国人民代表大会常务委员会第五次会议通过。修订法律条文从最初的</w:t>
      </w:r>
      <w:r>
        <w:rPr>
          <w:rFonts w:hint="eastAsia" w:ascii="仿宋_GB2312" w:hAnsi="仿宋_GB2312" w:eastAsia="仿宋_GB2312" w:cs="仿宋_GB2312"/>
          <w:b/>
          <w:bCs/>
          <w:kern w:val="2"/>
          <w:sz w:val="32"/>
          <w:szCs w:val="32"/>
          <w:lang w:val="en-US" w:eastAsia="zh-CN" w:bidi="ar-SA"/>
        </w:rPr>
        <w:t>43条增加至90条</w:t>
      </w:r>
      <w:r>
        <w:rPr>
          <w:rFonts w:hint="eastAsia" w:ascii="仿宋_GB2312" w:hAnsi="仿宋_GB2312" w:eastAsia="仿宋_GB2312" w:cs="仿宋_GB2312"/>
          <w:kern w:val="2"/>
          <w:sz w:val="32"/>
          <w:szCs w:val="32"/>
          <w:lang w:val="en-US" w:eastAsia="zh-CN" w:bidi="ar-SA"/>
        </w:rPr>
        <w:t>，其目的在于将行政复议在化解行政争议方面的主渠道作用加以落实。修订重点主要体现在以下八个方面：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推进行政复议机关和人员专业化职业化，优化行政复议资源配置。</w:t>
      </w:r>
      <w:r>
        <w:rPr>
          <w:rFonts w:hint="eastAsia" w:ascii="仿宋_GB2312" w:hAnsi="仿宋_GB2312" w:eastAsia="仿宋_GB2312" w:cs="仿宋_GB2312"/>
          <w:kern w:val="2"/>
          <w:sz w:val="32"/>
          <w:szCs w:val="32"/>
          <w:lang w:val="en-US" w:eastAsia="zh-CN" w:bidi="ar-SA"/>
        </w:rPr>
        <w:t>取消地方人民政府工作部门的行政复议职责，改由县级以上地方人民政府统一行使复议职能，同时保留垂直领导的行政机关的特殊情形</w:t>
      </w:r>
      <w:r>
        <w:rPr>
          <w:rFonts w:hint="eastAsia" w:ascii="仿宋_GB2312" w:hAnsi="仿宋_GB2312" w:eastAsia="仿宋_GB2312" w:cs="仿宋_GB2312"/>
          <w:b/>
          <w:bCs/>
          <w:kern w:val="2"/>
          <w:sz w:val="32"/>
          <w:szCs w:val="32"/>
          <w:lang w:val="en-US" w:eastAsia="zh-CN" w:bidi="ar-SA"/>
        </w:rPr>
        <w:t>（第24-27条）</w:t>
      </w:r>
      <w:r>
        <w:rPr>
          <w:rFonts w:hint="eastAsia" w:ascii="仿宋_GB2312" w:hAnsi="仿宋_GB2312" w:eastAsia="仿宋_GB2312" w:cs="仿宋_GB2312"/>
          <w:kern w:val="2"/>
          <w:sz w:val="32"/>
          <w:szCs w:val="32"/>
          <w:lang w:val="en-US" w:eastAsia="zh-CN" w:bidi="ar-SA"/>
        </w:rPr>
        <w:t>；初次从事行政复议工作的人员，应当通过国家统一法律职业资格考试取得法律职业资格，并参加统一职前培训</w:t>
      </w:r>
      <w:r>
        <w:rPr>
          <w:rFonts w:hint="eastAsia" w:ascii="仿宋_GB2312" w:hAnsi="仿宋_GB2312" w:eastAsia="仿宋_GB2312" w:cs="仿宋_GB2312"/>
          <w:b/>
          <w:bCs/>
          <w:kern w:val="2"/>
          <w:sz w:val="32"/>
          <w:szCs w:val="32"/>
          <w:lang w:val="en-US" w:eastAsia="zh-CN" w:bidi="ar-SA"/>
        </w:rPr>
        <w:t>（第6条）</w:t>
      </w:r>
      <w:r>
        <w:rPr>
          <w:rFonts w:hint="eastAsia" w:ascii="仿宋_GB2312" w:hAnsi="仿宋_GB2312" w:eastAsia="仿宋_GB2312" w:cs="仿宋_GB2312"/>
          <w:kern w:val="2"/>
          <w:sz w:val="32"/>
          <w:szCs w:val="32"/>
          <w:lang w:val="en-US" w:eastAsia="zh-CN" w:bidi="ar-SA"/>
        </w:rPr>
        <w:t>；行政复议机关应当确保行政复议机构的人员配备与所承担的工作任务相适应，根据工作需要保障办案经费、场所、装备等设施</w:t>
      </w:r>
      <w:r>
        <w:rPr>
          <w:rFonts w:hint="eastAsia" w:ascii="仿宋_GB2312" w:hAnsi="仿宋_GB2312" w:eastAsia="仿宋_GB2312" w:cs="仿宋_GB2312"/>
          <w:b/>
          <w:bCs/>
          <w:kern w:val="2"/>
          <w:sz w:val="32"/>
          <w:szCs w:val="32"/>
          <w:lang w:val="en-US" w:eastAsia="zh-CN" w:bidi="ar-SA"/>
        </w:rPr>
        <w:t>（第7条）</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扩大受理范围，敞开行政复议入口。</w:t>
      </w:r>
      <w:r>
        <w:rPr>
          <w:rFonts w:hint="eastAsia" w:ascii="仿宋_GB2312" w:hAnsi="仿宋_GB2312" w:eastAsia="仿宋_GB2312" w:cs="仿宋_GB2312"/>
          <w:kern w:val="2"/>
          <w:sz w:val="32"/>
          <w:szCs w:val="32"/>
          <w:lang w:val="en-US" w:eastAsia="zh-CN" w:bidi="ar-SA"/>
        </w:rPr>
        <w:t>新法将行政复议受案范围从原来的11项扩展至15项，将行政强制执行决定，行政征收、征用及其补偿决定，行政赔偿决定，工伤认定行为，滥用行政权力排除或者限制竞争，政府信息公开行为和行政协议行为明确为可复议事项</w:t>
      </w:r>
      <w:r>
        <w:rPr>
          <w:rFonts w:hint="eastAsia" w:ascii="仿宋_GB2312" w:hAnsi="仿宋_GB2312" w:eastAsia="仿宋_GB2312" w:cs="仿宋_GB2312"/>
          <w:b/>
          <w:bCs/>
          <w:kern w:val="2"/>
          <w:sz w:val="32"/>
          <w:szCs w:val="32"/>
          <w:lang w:val="en-US" w:eastAsia="zh-CN" w:bidi="ar-SA"/>
        </w:rPr>
        <w:t>。（第11条）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kern w:val="2"/>
          <w:sz w:val="32"/>
          <w:szCs w:val="32"/>
          <w:lang w:val="en-US" w:eastAsia="zh-CN" w:bidi="ar-SA"/>
        </w:rPr>
        <w:t>扩大前置范围，增加行政复议解决行政争议的比例。</w:t>
      </w:r>
      <w:r>
        <w:rPr>
          <w:rFonts w:hint="eastAsia" w:ascii="仿宋_GB2312" w:hAnsi="仿宋_GB2312" w:eastAsia="仿宋_GB2312" w:cs="仿宋_GB2312"/>
          <w:kern w:val="2"/>
          <w:sz w:val="32"/>
          <w:szCs w:val="32"/>
          <w:lang w:val="en-US" w:eastAsia="zh-CN" w:bidi="ar-SA"/>
        </w:rPr>
        <w:t>行政复议前置增加4类只能先经过行政复议后才能提起行政诉讼的案件类型</w:t>
      </w:r>
      <w:r>
        <w:rPr>
          <w:rFonts w:hint="eastAsia" w:ascii="仿宋_GB2312" w:hAnsi="仿宋_GB2312" w:eastAsia="仿宋_GB2312" w:cs="仿宋_GB2312"/>
          <w:b/>
          <w:bCs/>
          <w:kern w:val="2"/>
          <w:sz w:val="32"/>
          <w:szCs w:val="32"/>
          <w:lang w:val="en-US" w:eastAsia="zh-CN" w:bidi="ar-SA"/>
        </w:rPr>
        <w:t>（第23条）</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增加对“规范性文件”的附带审查事项</w:t>
      </w:r>
      <w:r>
        <w:rPr>
          <w:rFonts w:hint="eastAsia" w:ascii="仿宋_GB2312" w:hAnsi="仿宋_GB2312" w:eastAsia="仿宋_GB2312" w:cs="仿宋_GB2312"/>
          <w:b/>
          <w:bCs/>
          <w:sz w:val="32"/>
          <w:szCs w:val="32"/>
          <w:lang w:val="en-US" w:eastAsia="zh-CN"/>
        </w:rPr>
        <w:t>（第</w:t>
      </w:r>
      <w:r>
        <w:rPr>
          <w:rFonts w:hint="eastAsia" w:ascii="仿宋_GB2312" w:hAnsi="仿宋_GB2312" w:eastAsia="仿宋_GB2312" w:cs="仿宋_GB2312"/>
          <w:b/>
          <w:bCs/>
          <w:kern w:val="2"/>
          <w:sz w:val="32"/>
          <w:szCs w:val="32"/>
          <w:lang w:val="en-US" w:eastAsia="zh-CN" w:bidi="ar-SA"/>
        </w:rPr>
        <w:t>56条），</w:t>
      </w:r>
      <w:r>
        <w:rPr>
          <w:rFonts w:hint="eastAsia" w:ascii="仿宋_GB2312" w:hAnsi="仿宋_GB2312" w:eastAsia="仿宋_GB2312" w:cs="仿宋_GB2312"/>
          <w:kern w:val="2"/>
          <w:sz w:val="32"/>
          <w:szCs w:val="32"/>
          <w:lang w:val="en-US" w:eastAsia="zh-CN" w:bidi="ar-SA"/>
        </w:rPr>
        <w:t>扩充行政复议解决行政争议的比例</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突出“复议便民”，保障当事人合法权益。</w:t>
      </w:r>
      <w:r>
        <w:rPr>
          <w:rFonts w:hint="eastAsia" w:ascii="仿宋_GB2312" w:hAnsi="仿宋_GB2312" w:eastAsia="仿宋_GB2312" w:cs="仿宋_GB2312"/>
          <w:kern w:val="2"/>
          <w:sz w:val="32"/>
          <w:szCs w:val="32"/>
          <w:lang w:val="en-US" w:eastAsia="zh-CN" w:bidi="ar-SA"/>
        </w:rPr>
        <w:t>丰富复议申请方式：接受申请人口头、书面、邮寄、互联网等提交的行政复议申请</w:t>
      </w:r>
      <w:r>
        <w:rPr>
          <w:rFonts w:hint="eastAsia" w:ascii="仿宋_GB2312" w:hAnsi="仿宋_GB2312" w:eastAsia="仿宋_GB2312" w:cs="仿宋_GB2312"/>
          <w:b/>
          <w:bCs/>
          <w:kern w:val="2"/>
          <w:sz w:val="32"/>
          <w:szCs w:val="32"/>
          <w:lang w:val="en-US" w:eastAsia="zh-CN" w:bidi="ar-SA"/>
        </w:rPr>
        <w:t>（第22条）</w:t>
      </w:r>
      <w:r>
        <w:rPr>
          <w:rFonts w:hint="eastAsia" w:ascii="仿宋_GB2312" w:hAnsi="仿宋_GB2312" w:eastAsia="仿宋_GB2312" w:cs="仿宋_GB2312"/>
          <w:kern w:val="2"/>
          <w:sz w:val="32"/>
          <w:szCs w:val="32"/>
          <w:lang w:val="en-US" w:eastAsia="zh-CN" w:bidi="ar-SA"/>
        </w:rPr>
        <w:t>；对当场作出或者依据电子技术监控设备记录的违法事实作出的行政处罚决定不服申请行政复议的，可以通过作出行政处罚决定的行政机关提交行政复议申请</w:t>
      </w:r>
      <w:r>
        <w:rPr>
          <w:rFonts w:hint="eastAsia" w:ascii="仿宋_GB2312" w:hAnsi="仿宋_GB2312" w:eastAsia="仿宋_GB2312" w:cs="仿宋_GB2312"/>
          <w:b/>
          <w:bCs/>
          <w:kern w:val="2"/>
          <w:sz w:val="32"/>
          <w:szCs w:val="32"/>
          <w:lang w:val="en-US" w:eastAsia="zh-CN" w:bidi="ar-SA"/>
        </w:rPr>
        <w:t>（第32条）</w:t>
      </w:r>
      <w:r>
        <w:rPr>
          <w:rFonts w:hint="eastAsia" w:ascii="仿宋_GB2312" w:hAnsi="仿宋_GB2312" w:eastAsia="仿宋_GB2312" w:cs="仿宋_GB2312"/>
          <w:kern w:val="2"/>
          <w:sz w:val="32"/>
          <w:szCs w:val="32"/>
          <w:lang w:val="en-US" w:eastAsia="zh-CN" w:bidi="ar-SA"/>
        </w:rPr>
        <w:t>。确立行政复议的代理制度，规定申请人、第三人可以委托一至二名律师、基层法律服务工作者或者其他代理人代为参加行政复议</w:t>
      </w:r>
      <w:r>
        <w:rPr>
          <w:rFonts w:hint="eastAsia" w:ascii="仿宋_GB2312" w:hAnsi="仿宋_GB2312" w:eastAsia="仿宋_GB2312" w:cs="仿宋_GB2312"/>
          <w:b/>
          <w:bCs/>
          <w:kern w:val="2"/>
          <w:sz w:val="32"/>
          <w:szCs w:val="32"/>
          <w:lang w:val="en-US" w:eastAsia="zh-CN" w:bidi="ar-SA"/>
        </w:rPr>
        <w:t>（第17条）</w:t>
      </w:r>
      <w:r>
        <w:rPr>
          <w:rFonts w:hint="eastAsia" w:ascii="仿宋_GB2312" w:hAnsi="仿宋_GB2312" w:eastAsia="仿宋_GB2312" w:cs="仿宋_GB2312"/>
          <w:kern w:val="2"/>
          <w:sz w:val="32"/>
          <w:szCs w:val="32"/>
          <w:lang w:val="en-US" w:eastAsia="zh-CN" w:bidi="ar-SA"/>
        </w:rPr>
        <w:t>。规定符合法律援助条件的行政复议申请人申请法律援助的，法律援助机构应当依法为其提供法律援助</w:t>
      </w:r>
      <w:r>
        <w:rPr>
          <w:rFonts w:hint="eastAsia" w:ascii="仿宋_GB2312" w:hAnsi="仿宋_GB2312" w:eastAsia="仿宋_GB2312" w:cs="仿宋_GB2312"/>
          <w:b/>
          <w:bCs/>
          <w:kern w:val="2"/>
          <w:sz w:val="32"/>
          <w:szCs w:val="32"/>
          <w:lang w:val="en-US" w:eastAsia="zh-CN" w:bidi="ar-SA"/>
        </w:rPr>
        <w:t>（第18条）</w:t>
      </w:r>
      <w:r>
        <w:rPr>
          <w:rFonts w:hint="eastAsia" w:ascii="仿宋_GB2312" w:hAnsi="仿宋_GB2312" w:eastAsia="仿宋_GB2312" w:cs="仿宋_GB2312"/>
          <w:kern w:val="2"/>
          <w:sz w:val="32"/>
          <w:szCs w:val="32"/>
          <w:lang w:val="en-US" w:eastAsia="zh-CN" w:bidi="ar-SA"/>
        </w:rPr>
        <w:t>。确立材料补正制度，让申请人提请复议申请更明确</w:t>
      </w:r>
      <w:r>
        <w:rPr>
          <w:rFonts w:hint="eastAsia" w:ascii="仿宋_GB2312" w:hAnsi="仿宋_GB2312" w:eastAsia="仿宋_GB2312" w:cs="仿宋_GB2312"/>
          <w:b/>
          <w:bCs/>
          <w:kern w:val="2"/>
          <w:sz w:val="32"/>
          <w:szCs w:val="32"/>
          <w:lang w:val="en-US" w:eastAsia="zh-CN" w:bidi="ar-SA"/>
        </w:rPr>
        <w:t>（第31条）</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w:t>
      </w:r>
      <w:r>
        <w:rPr>
          <w:rFonts w:hint="eastAsia" w:ascii="方正黑体_GBK" w:hAnsi="方正黑体_GBK" w:eastAsia="方正黑体_GBK" w:cs="方正黑体_GBK"/>
          <w:kern w:val="2"/>
          <w:sz w:val="32"/>
          <w:szCs w:val="32"/>
          <w:lang w:val="en-US" w:eastAsia="zh-CN" w:bidi="ar-SA"/>
        </w:rPr>
        <w:t>实现案件“繁简分流”，凸显行政复议效率优势。</w:t>
      </w:r>
      <w:r>
        <w:rPr>
          <w:rFonts w:hint="eastAsia" w:ascii="仿宋_GB2312" w:hAnsi="仿宋_GB2312" w:eastAsia="仿宋_GB2312" w:cs="仿宋_GB2312"/>
          <w:kern w:val="2"/>
          <w:sz w:val="32"/>
          <w:szCs w:val="32"/>
          <w:lang w:val="en-US" w:eastAsia="zh-CN" w:bidi="ar-SA"/>
        </w:rPr>
        <w:t>新法在普通程序之外增设简易程序、附带审查程序，</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lang w:val="en-US" w:eastAsia="zh-CN"/>
        </w:rPr>
        <w:t>4类案件适用简易程序，审理过程自受理、答辩、集体研究、出决定，时限仅为30日，</w:t>
      </w:r>
      <w:r>
        <w:rPr>
          <w:rFonts w:hint="eastAsia" w:ascii="仿宋_GB2312" w:hAnsi="仿宋_GB2312" w:eastAsia="仿宋_GB2312" w:cs="仿宋_GB2312"/>
          <w:kern w:val="2"/>
          <w:sz w:val="32"/>
          <w:szCs w:val="32"/>
          <w:lang w:val="en-US" w:eastAsia="zh-CN" w:bidi="ar-SA"/>
        </w:rPr>
        <w:t>促进行政复议案件处理方式更加丰富、更具弹性、更有效率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（第53-60条）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强化、细化行政复议决定体系，促进实现“案结事了”。</w:t>
      </w:r>
      <w:r>
        <w:rPr>
          <w:rFonts w:hint="eastAsia" w:ascii="仿宋_GB2312" w:hAnsi="仿宋_GB2312" w:eastAsia="仿宋_GB2312" w:cs="仿宋_GB2312"/>
          <w:kern w:val="2"/>
          <w:sz w:val="32"/>
          <w:szCs w:val="32"/>
          <w:lang w:val="en-US" w:eastAsia="zh-CN" w:bidi="ar-SA"/>
        </w:rPr>
        <w:t>原法对于复议决定的设置只限于维持、撤销、变更行政行为，履行法定职责、重作行政行为、确认行政行为违法等复议决定，新法增加了驳回申请人的复议请求、确认行政行为无效、给予行政赔偿、给予行政补偿等复议决定，丰富和细化了行政复议决定的种类和标准，有利于提高行政复议决定的质量与实效。复议决定是行政复议程序的结果，代表了行政复议机关对被复议行政行为的评判和对申请人所主张权利的肯定与否定。复议结果公正才能取信于民。</w:t>
      </w:r>
      <w:r>
        <w:rPr>
          <w:rFonts w:hint="eastAsia" w:ascii="仿宋_GB2312" w:hAnsi="仿宋_GB2312" w:eastAsia="仿宋_GB2312" w:cs="仿宋_GB2312"/>
          <w:b/>
          <w:bCs/>
          <w:kern w:val="2"/>
          <w:sz w:val="32"/>
          <w:szCs w:val="32"/>
          <w:lang w:val="en-US" w:eastAsia="zh-CN" w:bidi="ar-SA"/>
        </w:rPr>
        <w:t>（第61-79条）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方正黑体_GBK" w:hAnsi="方正黑体_GBK" w:eastAsia="方正黑体_GBK" w:cs="方正黑体_GBK"/>
          <w:kern w:val="2"/>
          <w:sz w:val="32"/>
          <w:szCs w:val="32"/>
          <w:lang w:val="en-US" w:eastAsia="zh-CN" w:bidi="ar-SA"/>
        </w:rPr>
        <w:t>增设调解、和解方式，提升行政复议的制度弹性。</w:t>
      </w:r>
      <w:r>
        <w:rPr>
          <w:rFonts w:hint="eastAsia" w:ascii="仿宋_GB2312" w:hAnsi="仿宋_GB2312" w:eastAsia="仿宋_GB2312" w:cs="仿宋_GB2312"/>
          <w:kern w:val="2"/>
          <w:sz w:val="32"/>
          <w:szCs w:val="32"/>
          <w:lang w:val="en-US" w:eastAsia="zh-CN" w:bidi="ar-SA"/>
        </w:rPr>
        <w:t>新法确立“复议适用调解”原则，且复议调解书与复议决定书一样，具有同样的法律效力；此外，当事人在行政复议决定作出前可以自愿达成和解，当事人和解后，由申请人向行政复议机构撤回行政复议申请。复议调解、和解方式的确立，丰富了行政复议结果的处理方式，提升了行政复议化解行政争议的能力。</w:t>
      </w:r>
      <w:r>
        <w:rPr>
          <w:rFonts w:hint="eastAsia" w:ascii="仿宋_GB2312" w:hAnsi="仿宋_GB2312" w:eastAsia="仿宋_GB2312" w:cs="仿宋_GB2312"/>
          <w:b/>
          <w:bCs/>
          <w:kern w:val="2"/>
          <w:sz w:val="32"/>
          <w:szCs w:val="32"/>
          <w:lang w:val="en-US" w:eastAsia="zh-CN" w:bidi="ar-SA"/>
        </w:rPr>
        <w:t>（第73-74条）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方正黑体_GBK" w:hAnsi="方正黑体_GBK" w:eastAsia="方正黑体_GBK" w:cs="方正黑体_GBK"/>
          <w:kern w:val="2"/>
          <w:sz w:val="32"/>
          <w:szCs w:val="32"/>
          <w:lang w:val="en-US" w:eastAsia="zh-CN" w:bidi="ar-SA"/>
        </w:rPr>
        <w:t>强化对行政复议的履行和执行，确保行政复议权威性。</w:t>
      </w:r>
      <w:r>
        <w:rPr>
          <w:rFonts w:hint="eastAsia" w:ascii="仿宋_GB2312" w:hAnsi="仿宋_GB2312" w:eastAsia="仿宋_GB2312" w:cs="仿宋_GB2312"/>
          <w:kern w:val="2"/>
          <w:sz w:val="32"/>
          <w:szCs w:val="32"/>
          <w:lang w:val="en-US" w:eastAsia="zh-CN" w:bidi="ar-SA"/>
        </w:rPr>
        <w:t>新法对于履行和执行的主体、范围、手段，特别是拒不履行的后果作出了拓展性规定：被申请人不履行或无正当理由拖延履行复议决定书、调解书、意见书的，复议机关或者有关上级行政机关应当责令其限期履行，并可以约谈被申请人的有关负责人或者予以通报批评，对负有责任的领导人员和直接责任人员依法给予警告、记过、记大过的处分等规定，倒逼行政复议机关及其工作人员尽职履职，防止出现懒政、怠政和不作为等问题，有助于依法全面及时履行行政复议决定，确保行政复议决定的执行力和公信力。</w:t>
      </w:r>
      <w:r>
        <w:rPr>
          <w:rFonts w:hint="eastAsia" w:ascii="仿宋_GB2312" w:hAnsi="仿宋_GB2312" w:eastAsia="仿宋_GB2312" w:cs="仿宋_GB2312"/>
          <w:b/>
          <w:bCs/>
          <w:sz w:val="32"/>
          <w:szCs w:val="32"/>
          <w:lang w:val="en-US" w:eastAsia="zh-CN"/>
        </w:rPr>
        <w:t>（第80-86条）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b/>
          <w:bCs/>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auto"/>
    <w:pitch w:val="default"/>
    <w:sig w:usb0="00000000" w:usb1="00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2F97A0"/>
    <w:rsid w:val="499FDC36"/>
    <w:rsid w:val="AD53B07C"/>
    <w:rsid w:val="FA2F9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before="0" w:after="140" w:line="276" w:lineRule="auto"/>
    </w:pPr>
  </w:style>
  <w:style w:type="paragraph" w:styleId="4">
    <w:name w:val="Body Text 2"/>
    <w:basedOn w:val="1"/>
    <w:qFormat/>
    <w:uiPriority w:val="0"/>
    <w:pPr>
      <w:adjustRightInd w:val="0"/>
      <w:spacing w:line="360" w:lineRule="auto"/>
      <w:textAlignment w:val="baseline"/>
    </w:pPr>
    <w:rPr>
      <w:rFonts w:ascii="楷体_GB2312" w:eastAsia="楷体_GB2312" w:cs="楷体_GB2312"/>
      <w:kern w:val="44"/>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2023-12-04T08:13:00Z</dcterms:created>
  <dc:creator>uos</dc:creator>
  <cp:lastModifiedBy>uos</cp:lastModifiedBy>
  <dcterms:modified xsi:type="dcterms:W3CDTF">2023-12-15T11:25:51Z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