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ind w:firstLine="440" w:firstLineChars="100"/>
        <w:jc w:val="both"/>
        <w:textAlignment w:val="auto"/>
        <w:rPr>
          <w:rFonts w:hint="eastAsia" w:ascii="方正小标宋简体" w:hAnsi="宋体" w:eastAsia="方正小标宋简体"/>
          <w:color w:val="000000"/>
          <w:spacing w:val="0"/>
          <w:sz w:val="4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pStyle w:val="5"/>
        <w:keepNext w:val="0"/>
        <w:keepLines w:val="0"/>
        <w:pageBreakBefore w:val="0"/>
        <w:widowControl w:val="0"/>
        <w:kinsoku/>
        <w:wordWrap/>
        <w:overflowPunct/>
        <w:topLinePunct w:val="0"/>
        <w:autoSpaceDE/>
        <w:autoSpaceDN/>
        <w:bidi w:val="0"/>
        <w:adjustRightInd/>
        <w:snapToGrid/>
        <w:spacing w:line="460" w:lineRule="exact"/>
        <w:textAlignment w:val="auto"/>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pStyle w:val="5"/>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仿宋_GB2312" w:cs="Times New Roman"/>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44"/>
        </w:rPr>
      </w:pPr>
      <w:r>
        <w:rPr>
          <w:rFonts w:hint="eastAsia" w:ascii="仿宋_GB2312" w:hAnsi="仿宋_GB2312" w:eastAsia="仿宋_GB2312" w:cs="仿宋_GB2312"/>
          <w:color w:val="000000"/>
          <w:spacing w:val="0"/>
          <w:sz w:val="32"/>
          <w:szCs w:val="32"/>
          <w:lang w:eastAsia="zh-CN"/>
        </w:rPr>
        <w:t>焦民〔</w:t>
      </w:r>
      <w:r>
        <w:rPr>
          <w:rFonts w:hint="eastAsia" w:ascii="仿宋_GB2312" w:hAnsi="仿宋_GB2312" w:eastAsia="仿宋_GB2312" w:cs="仿宋_GB2312"/>
          <w:color w:val="000000"/>
          <w:spacing w:val="0"/>
          <w:sz w:val="32"/>
          <w:szCs w:val="32"/>
          <w:lang w:val="en-US" w:eastAsia="zh-CN"/>
        </w:rPr>
        <w:t>2021</w:t>
      </w:r>
      <w:r>
        <w:rPr>
          <w:rFonts w:hint="eastAsia" w:ascii="仿宋_GB2312" w:hAnsi="仿宋_GB2312" w:eastAsia="仿宋_GB2312" w:cs="仿宋_GB2312"/>
          <w:color w:val="000000"/>
          <w:spacing w:val="0"/>
          <w:sz w:val="32"/>
          <w:szCs w:val="32"/>
          <w:lang w:eastAsia="zh-CN"/>
        </w:rPr>
        <w:t>〕</w:t>
      </w:r>
      <w:r>
        <w:rPr>
          <w:rFonts w:hint="eastAsia" w:ascii="仿宋_GB2312" w:hAnsi="仿宋_GB2312" w:eastAsia="仿宋_GB2312" w:cs="仿宋_GB2312"/>
          <w:color w:val="000000"/>
          <w:spacing w:val="0"/>
          <w:sz w:val="32"/>
          <w:szCs w:val="32"/>
          <w:lang w:val="en-US" w:eastAsia="zh-CN"/>
        </w:rPr>
        <w:t>42号</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caps w:val="0"/>
          <w:color w:val="333333"/>
          <w:spacing w:val="51"/>
          <w:sz w:val="44"/>
          <w:szCs w:val="44"/>
          <w:shd w:val="clear" w:color="auto" w:fill="FFFFFF"/>
          <w:lang w:val="en-US" w:eastAsia="zh-CN"/>
        </w:rPr>
      </w:pPr>
      <w:r>
        <w:rPr>
          <w:rFonts w:hint="eastAsia" w:ascii="方正小标宋简体" w:hAnsi="方正小标宋简体" w:eastAsia="方正小标宋简体" w:cs="方正小标宋简体"/>
          <w:b w:val="0"/>
          <w:bCs w:val="0"/>
          <w:i w:val="0"/>
          <w:caps w:val="0"/>
          <w:color w:val="333333"/>
          <w:spacing w:val="51"/>
          <w:sz w:val="44"/>
          <w:szCs w:val="44"/>
          <w:shd w:val="clear" w:color="auto" w:fill="FFFFFF"/>
          <w:lang w:val="en-US" w:eastAsia="zh-CN"/>
        </w:rPr>
        <w:t>焦作市民政局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caps w:val="0"/>
          <w:color w:val="333333"/>
          <w:spacing w:val="0"/>
          <w:sz w:val="44"/>
          <w:szCs w:val="44"/>
          <w:shd w:val="clear" w:color="auto" w:fill="FFFFFF"/>
        </w:rPr>
      </w:pPr>
      <w:r>
        <w:rPr>
          <w:rFonts w:hint="eastAsia" w:ascii="方正小标宋简体" w:hAnsi="方正小标宋简体" w:eastAsia="方正小标宋简体" w:cs="方正小标宋简体"/>
          <w:b w:val="0"/>
          <w:bCs w:val="0"/>
          <w:i w:val="0"/>
          <w:caps w:val="0"/>
          <w:color w:val="333333"/>
          <w:spacing w:val="0"/>
          <w:sz w:val="44"/>
          <w:szCs w:val="44"/>
          <w:shd w:val="clear" w:color="auto" w:fill="FFFFFF"/>
          <w:lang w:val="en-US" w:eastAsia="zh-CN"/>
        </w:rPr>
        <w:t>关于印发《关于推进</w:t>
      </w:r>
      <w:r>
        <w:rPr>
          <w:rFonts w:hint="eastAsia" w:ascii="方正小标宋简体" w:hAnsi="方正小标宋简体" w:eastAsia="方正小标宋简体" w:cs="方正小标宋简体"/>
          <w:b w:val="0"/>
          <w:bCs w:val="0"/>
          <w:i w:val="0"/>
          <w:caps w:val="0"/>
          <w:color w:val="333333"/>
          <w:spacing w:val="0"/>
          <w:sz w:val="44"/>
          <w:szCs w:val="44"/>
          <w:shd w:val="clear" w:color="auto" w:fill="FFFFFF"/>
        </w:rPr>
        <w:t>“互联网+</w:t>
      </w:r>
      <w:r>
        <w:rPr>
          <w:rFonts w:hint="eastAsia" w:ascii="方正小标宋简体" w:hAnsi="方正小标宋简体" w:eastAsia="方正小标宋简体" w:cs="方正小标宋简体"/>
          <w:b w:val="0"/>
          <w:bCs w:val="0"/>
          <w:i w:val="0"/>
          <w:caps w:val="0"/>
          <w:color w:val="333333"/>
          <w:spacing w:val="0"/>
          <w:sz w:val="44"/>
          <w:szCs w:val="44"/>
          <w:shd w:val="clear" w:color="auto" w:fill="FFFFFF"/>
          <w:lang w:val="en-US" w:eastAsia="zh-CN"/>
        </w:rPr>
        <w:t>养老</w:t>
      </w:r>
      <w:r>
        <w:rPr>
          <w:rFonts w:hint="eastAsia" w:ascii="方正小标宋简体" w:hAnsi="方正小标宋简体" w:eastAsia="方正小标宋简体" w:cs="方正小标宋简体"/>
          <w:b w:val="0"/>
          <w:bCs w:val="0"/>
          <w:i w:val="0"/>
          <w:caps w:val="0"/>
          <w:color w:val="333333"/>
          <w:spacing w:val="0"/>
          <w:sz w:val="44"/>
          <w:szCs w:val="44"/>
          <w:shd w:val="clear" w:color="auto" w:fill="FFFFFF"/>
        </w:rPr>
        <w:t>+信用”</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i w:val="0"/>
          <w:caps w:val="0"/>
          <w:color w:val="333333"/>
          <w:spacing w:val="0"/>
          <w:sz w:val="44"/>
          <w:szCs w:val="44"/>
          <w:shd w:val="clear" w:color="auto" w:fill="FFFFFF"/>
          <w:lang w:val="en-US" w:eastAsia="zh-CN"/>
        </w:rPr>
      </w:pPr>
      <w:r>
        <w:rPr>
          <w:rFonts w:hint="eastAsia" w:ascii="方正小标宋简体" w:hAnsi="方正小标宋简体" w:eastAsia="方正小标宋简体" w:cs="方正小标宋简体"/>
          <w:b w:val="0"/>
          <w:bCs w:val="0"/>
          <w:i w:val="0"/>
          <w:caps w:val="0"/>
          <w:color w:val="333333"/>
          <w:spacing w:val="0"/>
          <w:sz w:val="44"/>
          <w:szCs w:val="44"/>
          <w:shd w:val="clear" w:color="auto" w:fill="FFFFFF"/>
          <w:lang w:val="en-US" w:eastAsia="zh-CN"/>
        </w:rPr>
        <w:t>应用建设的工作方案》的通知</w:t>
      </w:r>
      <w:bookmarkStart w:id="0" w:name="_GoBack"/>
      <w:bookmarkEnd w:id="0"/>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aps w:val="0"/>
          <w:color w:val="333333"/>
          <w:spacing w:val="0"/>
          <w:sz w:val="32"/>
          <w:szCs w:val="32"/>
          <w:shd w:val="clear" w:color="auto" w:fill="FFFFFF"/>
          <w:lang w:val="en-US"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aps w:val="0"/>
          <w:color w:val="333333"/>
          <w:spacing w:val="0"/>
          <w:sz w:val="32"/>
          <w:szCs w:val="32"/>
          <w:shd w:val="clear" w:color="auto" w:fill="FFFFFF"/>
          <w:lang w:val="en-US" w:eastAsia="zh-CN"/>
        </w:rPr>
      </w:pPr>
      <w:r>
        <w:rPr>
          <w:rFonts w:hint="eastAsia" w:ascii="仿宋" w:hAnsi="仿宋" w:eastAsia="仿宋" w:cs="仿宋"/>
          <w:b w:val="0"/>
          <w:i w:val="0"/>
          <w:caps w:val="0"/>
          <w:color w:val="333333"/>
          <w:spacing w:val="0"/>
          <w:sz w:val="32"/>
          <w:szCs w:val="32"/>
          <w:shd w:val="clear" w:color="auto" w:fill="FFFFFF"/>
          <w:lang w:val="en-US" w:eastAsia="zh-CN"/>
        </w:rPr>
        <w:t>各县（市）区民政局、市城乡一体化示范区民政和退役军人事务局：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60" w:lineRule="exact"/>
        <w:ind w:left="0" w:right="0" w:firstLine="640" w:firstLineChars="200"/>
        <w:jc w:val="left"/>
        <w:textAlignment w:val="auto"/>
        <w:rPr>
          <w:rFonts w:hint="eastAsia" w:ascii="仿宋" w:hAnsi="仿宋" w:eastAsia="仿宋" w:cs="仿宋"/>
          <w:i w:val="0"/>
          <w:caps w:val="0"/>
          <w:color w:val="333333"/>
          <w:spacing w:val="0"/>
          <w:kern w:val="0"/>
          <w:sz w:val="32"/>
          <w:szCs w:val="32"/>
          <w:u w:val="none"/>
          <w:shd w:val="clear" w:color="auto" w:fill="FFFFFF"/>
          <w:lang w:val="en-US" w:eastAsia="zh-CN" w:bidi="ar"/>
        </w:rPr>
      </w:pPr>
      <w:r>
        <w:rPr>
          <w:rFonts w:hint="eastAsia" w:ascii="仿宋" w:hAnsi="仿宋" w:eastAsia="仿宋" w:cs="仿宋"/>
          <w:i w:val="0"/>
          <w:caps w:val="0"/>
          <w:color w:val="333333"/>
          <w:spacing w:val="0"/>
          <w:kern w:val="0"/>
          <w:sz w:val="32"/>
          <w:szCs w:val="32"/>
          <w:u w:val="none"/>
          <w:shd w:val="clear" w:color="auto" w:fill="FFFFFF"/>
          <w:lang w:val="en-US" w:eastAsia="zh-CN" w:bidi="ar"/>
        </w:rPr>
        <w:t>为进一步规范养老服务市场，提升养老服务质量，现制定焦作市民政局关于推进“互联网+养老+信用”应用建设工作方案，请各县（市）区根据本地实际情况，认真贯彻实施。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60" w:lineRule="exact"/>
        <w:ind w:left="0" w:right="0" w:firstLine="640" w:firstLineChars="200"/>
        <w:jc w:val="left"/>
        <w:textAlignment w:val="auto"/>
        <w:rPr>
          <w:rFonts w:hint="eastAsia" w:ascii="仿宋" w:hAnsi="仿宋" w:eastAsia="仿宋" w:cs="仿宋"/>
          <w:i w:val="0"/>
          <w:caps w:val="0"/>
          <w:color w:val="333333"/>
          <w:spacing w:val="0"/>
          <w:kern w:val="0"/>
          <w:sz w:val="32"/>
          <w:szCs w:val="32"/>
          <w:u w:val="none"/>
          <w:shd w:val="clear" w:color="auto" w:fill="FFFFFF"/>
          <w:lang w:val="en-US" w:eastAsia="zh-CN" w:bidi="ar"/>
        </w:rPr>
      </w:pPr>
    </w:p>
    <w:p>
      <w:pPr>
        <w:pStyle w:val="2"/>
        <w:rPr>
          <w:rFonts w:hint="eastAsia"/>
          <w:lang w:val="en-US" w:eastAsia="zh-CN"/>
        </w:rPr>
      </w:pPr>
    </w:p>
    <w:p>
      <w:pPr>
        <w:pStyle w:val="2"/>
        <w:rPr>
          <w:rFonts w:hint="eastAsia"/>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60" w:lineRule="exact"/>
        <w:ind w:left="0" w:right="0" w:firstLine="5760" w:firstLineChars="1800"/>
        <w:jc w:val="left"/>
        <w:textAlignment w:val="auto"/>
        <w:rPr>
          <w:rFonts w:hint="eastAsia" w:ascii="仿宋" w:hAnsi="仿宋" w:eastAsia="仿宋" w:cs="仿宋"/>
          <w:i w:val="0"/>
          <w:caps w:val="0"/>
          <w:color w:val="333333"/>
          <w:spacing w:val="0"/>
          <w:kern w:val="0"/>
          <w:sz w:val="32"/>
          <w:szCs w:val="32"/>
          <w:u w:val="none"/>
          <w:shd w:val="clear" w:color="auto" w:fill="FFFFFF"/>
          <w:lang w:val="en-US" w:eastAsia="zh-CN" w:bidi="ar"/>
        </w:rPr>
      </w:pPr>
      <w:r>
        <w:rPr>
          <w:rFonts w:hint="eastAsia" w:ascii="仿宋" w:hAnsi="仿宋" w:eastAsia="仿宋" w:cs="仿宋"/>
          <w:i w:val="0"/>
          <w:caps w:val="0"/>
          <w:color w:val="333333"/>
          <w:spacing w:val="0"/>
          <w:kern w:val="0"/>
          <w:sz w:val="32"/>
          <w:szCs w:val="32"/>
          <w:u w:val="none"/>
          <w:shd w:val="clear" w:color="auto" w:fill="FFFFFF"/>
          <w:lang w:val="en-US" w:eastAsia="zh-CN" w:bidi="ar"/>
        </w:rPr>
        <w:t xml:space="preserve"> 2021年3月25日</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i w:val="0"/>
          <w:caps w:val="0"/>
          <w:color w:val="333333"/>
          <w:spacing w:val="0"/>
          <w:kern w:val="0"/>
          <w:sz w:val="32"/>
          <w:szCs w:val="32"/>
          <w:u w:val="none"/>
          <w:shd w:val="clear" w:color="auto" w:fill="FFFFFF"/>
          <w:lang w:val="en-US" w:eastAsia="zh-CN" w:bidi="ar"/>
        </w:rPr>
      </w:pPr>
      <w:r>
        <w:rPr>
          <w:rFonts w:hint="eastAsia" w:ascii="仿宋" w:hAnsi="仿宋" w:eastAsia="仿宋" w:cs="仿宋"/>
          <w:i w:val="0"/>
          <w:caps w:val="0"/>
          <w:color w:val="333333"/>
          <w:spacing w:val="0"/>
          <w:kern w:val="0"/>
          <w:sz w:val="32"/>
          <w:szCs w:val="32"/>
          <w:u w:val="none"/>
          <w:shd w:val="clear" w:color="auto" w:fill="FFFFFF"/>
          <w:lang w:val="en-US" w:eastAsia="zh-CN" w:bidi="ar"/>
        </w:rPr>
        <w:br w:type="page"/>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i w:val="0"/>
          <w:caps w:val="0"/>
          <w:color w:val="333333"/>
          <w:spacing w:val="0"/>
          <w:sz w:val="44"/>
          <w:szCs w:val="44"/>
          <w:shd w:val="clear" w:color="auto"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i w:val="0"/>
          <w:caps w:val="0"/>
          <w:color w:val="333333"/>
          <w:spacing w:val="0"/>
          <w:sz w:val="44"/>
          <w:szCs w:val="44"/>
          <w:shd w:val="clear" w:color="auto" w:fill="FFFFFF"/>
        </w:rPr>
      </w:pPr>
      <w:r>
        <w:rPr>
          <w:rFonts w:hint="eastAsia" w:ascii="方正小标宋简体" w:hAnsi="方正小标宋简体" w:eastAsia="方正小标宋简体" w:cs="方正小标宋简体"/>
          <w:b w:val="0"/>
          <w:i w:val="0"/>
          <w:caps w:val="0"/>
          <w:color w:val="333333"/>
          <w:spacing w:val="0"/>
          <w:sz w:val="44"/>
          <w:szCs w:val="44"/>
          <w:shd w:val="clear" w:color="auto" w:fill="FFFFFF"/>
          <w:lang w:val="en-US" w:eastAsia="zh-CN"/>
        </w:rPr>
        <w:t>关于推进</w:t>
      </w:r>
      <w:r>
        <w:rPr>
          <w:rFonts w:hint="eastAsia" w:ascii="方正小标宋简体" w:hAnsi="方正小标宋简体" w:eastAsia="方正小标宋简体" w:cs="方正小标宋简体"/>
          <w:b w:val="0"/>
          <w:i w:val="0"/>
          <w:caps w:val="0"/>
          <w:color w:val="333333"/>
          <w:spacing w:val="0"/>
          <w:sz w:val="44"/>
          <w:szCs w:val="44"/>
          <w:shd w:val="clear" w:color="auto" w:fill="FFFFFF"/>
        </w:rPr>
        <w:t>“互联网+</w:t>
      </w:r>
      <w:r>
        <w:rPr>
          <w:rFonts w:hint="eastAsia" w:ascii="方正小标宋简体" w:hAnsi="方正小标宋简体" w:eastAsia="方正小标宋简体" w:cs="方正小标宋简体"/>
          <w:b w:val="0"/>
          <w:i w:val="0"/>
          <w:caps w:val="0"/>
          <w:color w:val="333333"/>
          <w:spacing w:val="0"/>
          <w:sz w:val="44"/>
          <w:szCs w:val="44"/>
          <w:shd w:val="clear" w:color="auto" w:fill="FFFFFF"/>
          <w:lang w:val="en-US" w:eastAsia="zh-CN"/>
        </w:rPr>
        <w:t>养老</w:t>
      </w:r>
      <w:r>
        <w:rPr>
          <w:rFonts w:hint="eastAsia" w:ascii="方正小标宋简体" w:hAnsi="方正小标宋简体" w:eastAsia="方正小标宋简体" w:cs="方正小标宋简体"/>
          <w:b w:val="0"/>
          <w:i w:val="0"/>
          <w:caps w:val="0"/>
          <w:color w:val="333333"/>
          <w:spacing w:val="0"/>
          <w:sz w:val="44"/>
          <w:szCs w:val="44"/>
          <w:shd w:val="clear" w:color="auto" w:fill="FFFFFF"/>
        </w:rPr>
        <w:t>+信用”</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i w:val="0"/>
          <w:caps w:val="0"/>
          <w:color w:val="333333"/>
          <w:spacing w:val="0"/>
          <w:sz w:val="44"/>
          <w:szCs w:val="44"/>
          <w:shd w:val="clear" w:color="auto" w:fill="FFFFFF"/>
          <w:lang w:val="en-US" w:eastAsia="zh-CN"/>
        </w:rPr>
      </w:pPr>
      <w:r>
        <w:rPr>
          <w:rFonts w:hint="eastAsia" w:ascii="方正小标宋简体" w:hAnsi="方正小标宋简体" w:eastAsia="方正小标宋简体" w:cs="方正小标宋简体"/>
          <w:b w:val="0"/>
          <w:i w:val="0"/>
          <w:caps w:val="0"/>
          <w:color w:val="333333"/>
          <w:spacing w:val="0"/>
          <w:sz w:val="44"/>
          <w:szCs w:val="44"/>
          <w:shd w:val="clear" w:color="auto" w:fill="FFFFFF"/>
          <w:lang w:val="en-US" w:eastAsia="zh-CN"/>
        </w:rPr>
        <w:t>应用建设的工作方案</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val="0"/>
          <w:i w:val="0"/>
          <w:caps w:val="0"/>
          <w:color w:val="333333"/>
          <w:spacing w:val="0"/>
          <w:sz w:val="32"/>
          <w:szCs w:val="32"/>
          <w:shd w:val="clear" w:color="auto" w:fill="FFFFFF"/>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40" w:lineRule="exact"/>
        <w:ind w:left="0" w:right="0" w:firstLine="640" w:firstLineChars="200"/>
        <w:jc w:val="left"/>
        <w:textAlignment w:val="auto"/>
        <w:rPr>
          <w:rFonts w:hint="eastAsia" w:ascii="宋体" w:hAnsi="宋体" w:eastAsia="宋体" w:cs="宋体"/>
          <w:i w:val="0"/>
          <w:caps w:val="0"/>
          <w:color w:val="333333"/>
          <w:spacing w:val="0"/>
          <w:sz w:val="32"/>
          <w:szCs w:val="32"/>
          <w:u w:val="none"/>
        </w:rPr>
      </w:pPr>
      <w:r>
        <w:rPr>
          <w:rFonts w:ascii="仿宋_GB2312" w:hAnsi="宋体" w:eastAsia="仿宋_GB2312" w:cs="仿宋_GB2312"/>
          <w:i w:val="0"/>
          <w:caps w:val="0"/>
          <w:color w:val="333333"/>
          <w:spacing w:val="0"/>
          <w:kern w:val="0"/>
          <w:sz w:val="32"/>
          <w:szCs w:val="32"/>
          <w:u w:val="none"/>
          <w:shd w:val="clear" w:color="auto" w:fill="FFFFFF"/>
          <w:lang w:val="en-US" w:eastAsia="zh-CN" w:bidi="ar"/>
        </w:rPr>
        <w:t>为深入贯彻落实</w:t>
      </w:r>
      <w:r>
        <w:rPr>
          <w:rFonts w:hint="eastAsia" w:ascii="仿宋_GB2312" w:hAnsi="宋体" w:eastAsia="仿宋_GB2312" w:cs="仿宋_GB2312"/>
          <w:i w:val="0"/>
          <w:caps w:val="0"/>
          <w:color w:val="333333"/>
          <w:spacing w:val="0"/>
          <w:kern w:val="0"/>
          <w:sz w:val="32"/>
          <w:szCs w:val="32"/>
          <w:u w:val="none"/>
          <w:shd w:val="clear" w:color="auto" w:fill="FFFFFF"/>
          <w:lang w:val="en-US" w:eastAsia="zh-CN" w:bidi="ar"/>
        </w:rPr>
        <w:t>《中共中央、国务院关于印发&lt;国家积极应对人口老龄化中长期规划&gt;的通知》（</w:t>
      </w:r>
      <w:r>
        <w:rPr>
          <w:rFonts w:hint="eastAsia" w:ascii="仿宋_GB2312" w:hAnsi="宋体" w:eastAsia="仿宋_GB2312" w:cs="仿宋_GB2312"/>
          <w:i w:val="0"/>
          <w:caps w:val="0"/>
          <w:color w:val="333333"/>
          <w:spacing w:val="0"/>
          <w:kern w:val="0"/>
          <w:sz w:val="28"/>
          <w:szCs w:val="28"/>
          <w:u w:val="none"/>
          <w:shd w:val="clear" w:color="auto" w:fill="FFFFFF"/>
          <w:lang w:val="en-US" w:eastAsia="zh-CN" w:bidi="ar"/>
        </w:rPr>
        <w:t>中发</w:t>
      </w:r>
      <w:r>
        <w:rPr>
          <w:rFonts w:ascii="仿宋_GB2312" w:hAnsi="宋体" w:eastAsia="仿宋_GB2312" w:cs="仿宋_GB2312"/>
          <w:i w:val="0"/>
          <w:caps w:val="0"/>
          <w:color w:val="333333"/>
          <w:spacing w:val="0"/>
          <w:kern w:val="0"/>
          <w:sz w:val="28"/>
          <w:szCs w:val="28"/>
          <w:u w:val="none"/>
          <w:shd w:val="clear" w:color="auto" w:fill="FFFFFF"/>
          <w:lang w:val="en-US" w:eastAsia="zh-CN" w:bidi="ar"/>
        </w:rPr>
        <w:t>〔</w:t>
      </w:r>
      <w:r>
        <w:rPr>
          <w:rFonts w:hint="eastAsia" w:ascii="仿宋_GB2312" w:hAnsi="宋体" w:eastAsia="仿宋_GB2312" w:cs="仿宋_GB2312"/>
          <w:i w:val="0"/>
          <w:caps w:val="0"/>
          <w:color w:val="333333"/>
          <w:spacing w:val="0"/>
          <w:kern w:val="0"/>
          <w:sz w:val="28"/>
          <w:szCs w:val="28"/>
          <w:u w:val="none"/>
          <w:shd w:val="clear" w:color="auto" w:fill="FFFFFF"/>
          <w:lang w:val="en-US" w:eastAsia="zh-CN" w:bidi="ar"/>
        </w:rPr>
        <w:t>2019〕25号</w:t>
      </w:r>
      <w:r>
        <w:rPr>
          <w:rFonts w:hint="eastAsia" w:ascii="仿宋_GB2312" w:hAnsi="宋体" w:eastAsia="仿宋_GB2312" w:cs="仿宋_GB2312"/>
          <w:i w:val="0"/>
          <w:caps w:val="0"/>
          <w:color w:val="333333"/>
          <w:spacing w:val="0"/>
          <w:kern w:val="0"/>
          <w:sz w:val="32"/>
          <w:szCs w:val="32"/>
          <w:u w:val="none"/>
          <w:shd w:val="clear" w:color="auto" w:fill="FFFFFF"/>
          <w:lang w:val="en-US" w:eastAsia="zh-CN" w:bidi="ar"/>
        </w:rPr>
        <w:t>）和省委《河南省积极应对人口老龄化实施方案》（</w:t>
      </w:r>
      <w:r>
        <w:rPr>
          <w:rFonts w:hint="eastAsia" w:ascii="仿宋_GB2312" w:hAnsi="宋体" w:eastAsia="仿宋_GB2312" w:cs="仿宋_GB2312"/>
          <w:i w:val="0"/>
          <w:caps w:val="0"/>
          <w:color w:val="333333"/>
          <w:spacing w:val="0"/>
          <w:kern w:val="0"/>
          <w:sz w:val="28"/>
          <w:szCs w:val="28"/>
          <w:u w:val="none"/>
          <w:shd w:val="clear" w:color="auto" w:fill="FFFFFF"/>
          <w:lang w:val="en-US" w:eastAsia="zh-CN" w:bidi="ar"/>
        </w:rPr>
        <w:t>豫发</w:t>
      </w:r>
      <w:r>
        <w:rPr>
          <w:rFonts w:ascii="仿宋_GB2312" w:hAnsi="宋体" w:eastAsia="仿宋_GB2312" w:cs="仿宋_GB2312"/>
          <w:i w:val="0"/>
          <w:caps w:val="0"/>
          <w:color w:val="333333"/>
          <w:spacing w:val="0"/>
          <w:kern w:val="0"/>
          <w:sz w:val="28"/>
          <w:szCs w:val="28"/>
          <w:u w:val="none"/>
          <w:shd w:val="clear" w:color="auto" w:fill="FFFFFF"/>
          <w:lang w:val="en-US" w:eastAsia="zh-CN" w:bidi="ar"/>
        </w:rPr>
        <w:t>〔</w:t>
      </w:r>
      <w:r>
        <w:rPr>
          <w:rFonts w:hint="eastAsia" w:ascii="仿宋_GB2312" w:hAnsi="宋体" w:eastAsia="仿宋_GB2312" w:cs="仿宋_GB2312"/>
          <w:i w:val="0"/>
          <w:caps w:val="0"/>
          <w:color w:val="333333"/>
          <w:spacing w:val="0"/>
          <w:kern w:val="0"/>
          <w:sz w:val="28"/>
          <w:szCs w:val="28"/>
          <w:u w:val="none"/>
          <w:shd w:val="clear" w:color="auto" w:fill="FFFFFF"/>
          <w:lang w:val="en-US" w:eastAsia="zh-CN" w:bidi="ar"/>
        </w:rPr>
        <w:t>2020〕11号</w:t>
      </w:r>
      <w:r>
        <w:rPr>
          <w:rFonts w:hint="eastAsia" w:ascii="仿宋_GB2312" w:hAnsi="宋体" w:eastAsia="仿宋_GB2312" w:cs="仿宋_GB2312"/>
          <w:i w:val="0"/>
          <w:caps w:val="0"/>
          <w:color w:val="333333"/>
          <w:spacing w:val="0"/>
          <w:kern w:val="0"/>
          <w:sz w:val="32"/>
          <w:szCs w:val="32"/>
          <w:u w:val="none"/>
          <w:shd w:val="clear" w:color="auto" w:fill="FFFFFF"/>
          <w:lang w:val="en-US" w:eastAsia="zh-CN" w:bidi="ar"/>
        </w:rPr>
        <w:t>）精神，积极推进我市应对人口老龄化工作，提升养老服务质量，结合本市工作实际，制定本方案。</w:t>
      </w:r>
    </w:p>
    <w:p>
      <w:pPr>
        <w:keepNext w:val="0"/>
        <w:keepLines w:val="0"/>
        <w:pageBreakBefore w:val="0"/>
        <w:numPr>
          <w:ilvl w:val="0"/>
          <w:numId w:val="1"/>
        </w:numPr>
        <w:kinsoku/>
        <w:wordWrap/>
        <w:overflowPunct/>
        <w:topLinePunct w:val="0"/>
        <w:autoSpaceDE/>
        <w:autoSpaceDN/>
        <w:bidi w:val="0"/>
        <w:adjustRightInd/>
        <w:snapToGrid/>
        <w:spacing w:line="540" w:lineRule="exact"/>
        <w:ind w:left="640" w:leftChars="0" w:firstLine="0" w:firstLineChars="0"/>
        <w:textAlignment w:val="auto"/>
        <w:rPr>
          <w:rFonts w:hint="eastAsia" w:ascii="黑体" w:hAnsi="黑体" w:eastAsia="黑体" w:cs="黑体"/>
          <w:b w:val="0"/>
          <w:i w:val="0"/>
          <w:caps w:val="0"/>
          <w:color w:val="333333"/>
          <w:spacing w:val="0"/>
          <w:sz w:val="32"/>
          <w:szCs w:val="32"/>
          <w:shd w:val="clear" w:color="auto" w:fill="FFFFFF"/>
          <w:lang w:val="en-US" w:eastAsia="zh-CN"/>
        </w:rPr>
      </w:pPr>
      <w:r>
        <w:rPr>
          <w:rFonts w:hint="eastAsia" w:ascii="黑体" w:hAnsi="黑体" w:eastAsia="黑体" w:cs="黑体"/>
          <w:b w:val="0"/>
          <w:i w:val="0"/>
          <w:caps w:val="0"/>
          <w:color w:val="333333"/>
          <w:spacing w:val="0"/>
          <w:sz w:val="32"/>
          <w:szCs w:val="32"/>
          <w:shd w:val="clear" w:color="auto" w:fill="FFFFFF"/>
          <w:lang w:val="en-US" w:eastAsia="zh-CN"/>
        </w:rPr>
        <w:t>指导思想</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i w:val="0"/>
          <w:caps w:val="0"/>
          <w:color w:val="333333"/>
          <w:spacing w:val="0"/>
          <w:sz w:val="32"/>
          <w:szCs w:val="32"/>
          <w:shd w:val="clear" w:color="auto" w:fill="FFFFFF"/>
          <w:lang w:val="en-US" w:eastAsia="zh-CN"/>
        </w:rPr>
      </w:pPr>
      <w:r>
        <w:rPr>
          <w:rFonts w:hint="eastAsia" w:ascii="仿宋_GB2312" w:hAnsi="仿宋_GB2312" w:eastAsia="仿宋_GB2312" w:cs="仿宋_GB2312"/>
          <w:sz w:val="32"/>
          <w:szCs w:val="32"/>
        </w:rPr>
        <w:t>以习近平新时代中国特色社会主义思想为指导，全面贯彻党的十九大和十九届二中、三中、四中全会精神，结合我市人口发展趋势和老龄化规律，按照高质量发展要求，坚持以供给侧结构性改革为主线，增强科技支撑和服务能力，调动政府、市场、社会各方面力量，加快构建养老、孝老、敬老的政策体系和社会环境，努力实现老有所养、老有所医、老有所为、老有所学、老有所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确保经济社会发展与人口老龄化进程相适应，为打造精致城市，品质焦作，</w:t>
      </w:r>
      <w:r>
        <w:rPr>
          <w:rFonts w:hint="eastAsia" w:hAnsi="仿宋_GB2312" w:eastAsia="仿宋_GB2312" w:cs="仿宋_GB2312"/>
          <w:sz w:val="32"/>
          <w:szCs w:val="32"/>
        </w:rPr>
        <w:t>在中原更加出彩中出重彩、更精彩</w:t>
      </w:r>
      <w:r>
        <w:rPr>
          <w:rFonts w:hint="eastAsia" w:ascii="仿宋_GB2312" w:hAnsi="仿宋_GB2312" w:eastAsia="仿宋_GB2312" w:cs="仿宋_GB2312"/>
          <w:sz w:val="32"/>
          <w:szCs w:val="32"/>
        </w:rPr>
        <w:t>营造良好环境。</w:t>
      </w:r>
    </w:p>
    <w:p>
      <w:pPr>
        <w:keepNext w:val="0"/>
        <w:keepLines w:val="0"/>
        <w:pageBreakBefore w:val="0"/>
        <w:numPr>
          <w:ilvl w:val="0"/>
          <w:numId w:val="1"/>
        </w:numPr>
        <w:kinsoku/>
        <w:wordWrap/>
        <w:overflowPunct/>
        <w:topLinePunct w:val="0"/>
        <w:autoSpaceDE/>
        <w:autoSpaceDN/>
        <w:bidi w:val="0"/>
        <w:adjustRightInd/>
        <w:snapToGrid/>
        <w:spacing w:line="540" w:lineRule="exact"/>
        <w:ind w:left="640" w:leftChars="0" w:firstLine="0" w:firstLineChars="0"/>
        <w:textAlignment w:val="auto"/>
        <w:rPr>
          <w:rFonts w:hint="default" w:ascii="黑体" w:hAnsi="黑体" w:eastAsia="黑体" w:cs="黑体"/>
          <w:b w:val="0"/>
          <w:i w:val="0"/>
          <w:caps w:val="0"/>
          <w:color w:val="333333"/>
          <w:spacing w:val="0"/>
          <w:sz w:val="32"/>
          <w:szCs w:val="32"/>
          <w:shd w:val="clear" w:color="auto" w:fill="FFFFFF"/>
          <w:lang w:val="en-US" w:eastAsia="zh-CN"/>
        </w:rPr>
      </w:pPr>
      <w:r>
        <w:rPr>
          <w:rFonts w:hint="eastAsia" w:ascii="黑体" w:hAnsi="黑体" w:eastAsia="黑体" w:cs="黑体"/>
          <w:b w:val="0"/>
          <w:i w:val="0"/>
          <w:caps w:val="0"/>
          <w:color w:val="333333"/>
          <w:spacing w:val="0"/>
          <w:sz w:val="32"/>
          <w:szCs w:val="32"/>
          <w:shd w:val="clear" w:color="auto" w:fill="FFFFFF"/>
          <w:lang w:val="en-US" w:eastAsia="zh-CN"/>
        </w:rPr>
        <w:t>工作目标</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default" w:ascii="仿宋" w:hAnsi="仿宋" w:eastAsia="仿宋" w:cs="仿宋"/>
          <w:color w:val="000000"/>
          <w:kern w:val="0"/>
          <w:sz w:val="32"/>
          <w:szCs w:val="32"/>
          <w:lang w:val="en-US" w:eastAsia="zh-CN" w:bidi="ar-SA"/>
        </w:rPr>
        <w:t>深化“放管服”改革，简政放权坚持不懈，公正监管必须落实到位，只有管得好才能放得开。信用是</w:t>
      </w:r>
      <w:r>
        <w:rPr>
          <w:rFonts w:hint="eastAsia" w:ascii="仿宋" w:hAnsi="仿宋" w:eastAsia="仿宋" w:cs="仿宋"/>
          <w:color w:val="000000"/>
          <w:kern w:val="0"/>
          <w:sz w:val="32"/>
          <w:szCs w:val="32"/>
          <w:lang w:val="en-US" w:eastAsia="zh-CN" w:bidi="ar-SA"/>
        </w:rPr>
        <w:t>养老服务</w:t>
      </w:r>
      <w:r>
        <w:rPr>
          <w:rFonts w:hint="default" w:ascii="仿宋" w:hAnsi="仿宋" w:eastAsia="仿宋" w:cs="仿宋"/>
          <w:color w:val="000000"/>
          <w:kern w:val="0"/>
          <w:sz w:val="32"/>
          <w:szCs w:val="32"/>
          <w:lang w:val="en-US" w:eastAsia="zh-CN" w:bidi="ar-SA"/>
        </w:rPr>
        <w:t>市场主体安身立命之本。加强信用监管是基础，是健全市场体系的关键，可以有效提升监管效能、维护公平竞争、降低交易成本</w:t>
      </w:r>
      <w:r>
        <w:rPr>
          <w:rFonts w:hint="eastAsia" w:ascii="仿宋" w:hAnsi="仿宋" w:eastAsia="仿宋" w:cs="仿宋"/>
          <w:color w:val="000000"/>
          <w:kern w:val="0"/>
          <w:sz w:val="32"/>
          <w:szCs w:val="32"/>
          <w:lang w:val="en-US" w:eastAsia="zh-CN" w:bidi="ar-SA"/>
        </w:rPr>
        <w:t>。立足推进智慧健康养老产业发展和应用推广的目标定位，充分利用信息技术、智慧健康养老产品和创新模式，为全市老年人提供新型健康养老服务，</w:t>
      </w:r>
      <w:r>
        <w:rPr>
          <w:rFonts w:hint="eastAsia" w:ascii="仿宋_GB2312" w:hAnsi="仿宋_GB2312" w:eastAsia="仿宋_GB2312" w:cs="仿宋_GB2312"/>
          <w:sz w:val="32"/>
          <w:szCs w:val="32"/>
        </w:rPr>
        <w:t>到2022年，我市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互联网+</w:t>
      </w:r>
      <w:r>
        <w:rPr>
          <w:rFonts w:hint="eastAsia" w:ascii="仿宋_GB2312" w:hAnsi="仿宋_GB2312" w:eastAsia="仿宋_GB2312" w:cs="仿宋_GB2312"/>
          <w:sz w:val="32"/>
          <w:szCs w:val="32"/>
          <w:lang w:val="en-US" w:eastAsia="zh-CN"/>
        </w:rPr>
        <w:t>养老</w:t>
      </w:r>
      <w:r>
        <w:rPr>
          <w:rFonts w:hint="eastAsia" w:ascii="仿宋_GB2312" w:hAnsi="仿宋_GB2312" w:eastAsia="仿宋_GB2312" w:cs="仿宋_GB2312"/>
          <w:sz w:val="32"/>
          <w:szCs w:val="32"/>
        </w:rPr>
        <w:t>+信用”</w:t>
      </w:r>
      <w:r>
        <w:rPr>
          <w:rFonts w:hint="eastAsia" w:ascii="仿宋_GB2312" w:hAnsi="仿宋_GB2312" w:eastAsia="仿宋_GB2312" w:cs="仿宋_GB2312"/>
          <w:sz w:val="32"/>
          <w:szCs w:val="32"/>
          <w:lang w:val="en-US" w:eastAsia="zh-CN"/>
        </w:rPr>
        <w:t>应用建设</w:t>
      </w:r>
      <w:r>
        <w:rPr>
          <w:rFonts w:hint="eastAsia" w:ascii="仿宋_GB2312" w:hAnsi="仿宋_GB2312" w:eastAsia="仿宋_GB2312" w:cs="仿宋_GB2312"/>
          <w:sz w:val="32"/>
          <w:szCs w:val="32"/>
        </w:rPr>
        <w:t>初步建立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实现养老服务信息平台与市政务系统平台信用信息交互，建设统一的养老服务信誉系统，在为民政部门更好开展养老服务工作的同时，提升养老服务满意度和质量，降低养老从业人员在养老服务时的风险，并将从业人员的信用数据进行统一管理，并接受其他政务系统的调用</w:t>
      </w:r>
      <w:r>
        <w:rPr>
          <w:rFonts w:hint="eastAsia" w:ascii="仿宋_GB2312" w:hAnsi="仿宋_GB2312" w:eastAsia="仿宋_GB2312" w:cs="仿宋_GB2312"/>
          <w:b w:val="0"/>
          <w:bCs/>
          <w:color w:val="000000" w:themeColor="text1"/>
          <w:sz w:val="32"/>
          <w:szCs w:val="32"/>
          <w14:textFill>
            <w14:solidFill>
              <w14:schemeClr w14:val="tx1"/>
            </w14:solidFill>
          </w14:textFill>
        </w:rPr>
        <w:t>，促进养老服务业健康可持续发展。</w:t>
      </w:r>
    </w:p>
    <w:p>
      <w:pPr>
        <w:keepNext w:val="0"/>
        <w:keepLines w:val="0"/>
        <w:pageBreakBefore w:val="0"/>
        <w:numPr>
          <w:ilvl w:val="0"/>
          <w:numId w:val="1"/>
        </w:numPr>
        <w:kinsoku/>
        <w:wordWrap/>
        <w:overflowPunct/>
        <w:topLinePunct w:val="0"/>
        <w:autoSpaceDE/>
        <w:autoSpaceDN/>
        <w:bidi w:val="0"/>
        <w:adjustRightInd/>
        <w:snapToGrid/>
        <w:spacing w:line="540" w:lineRule="exact"/>
        <w:ind w:left="640" w:leftChars="0" w:firstLine="0" w:firstLineChars="0"/>
        <w:textAlignment w:val="auto"/>
        <w:rPr>
          <w:rFonts w:hint="default" w:ascii="黑体" w:hAnsi="黑体" w:eastAsia="黑体" w:cs="黑体"/>
          <w:b w:val="0"/>
          <w:i w:val="0"/>
          <w:caps w:val="0"/>
          <w:color w:val="333333"/>
          <w:spacing w:val="0"/>
          <w:sz w:val="32"/>
          <w:szCs w:val="32"/>
          <w:shd w:val="clear" w:color="auto" w:fill="FFFFFF"/>
          <w:lang w:val="en-US" w:eastAsia="zh-CN"/>
        </w:rPr>
      </w:pPr>
      <w:r>
        <w:rPr>
          <w:rFonts w:hint="eastAsia" w:ascii="黑体" w:hAnsi="黑体" w:eastAsia="黑体" w:cs="黑体"/>
          <w:b w:val="0"/>
          <w:i w:val="0"/>
          <w:caps w:val="0"/>
          <w:color w:val="333333"/>
          <w:spacing w:val="0"/>
          <w:sz w:val="32"/>
          <w:szCs w:val="32"/>
          <w:shd w:val="clear" w:color="auto" w:fill="FFFFFF"/>
          <w:lang w:val="en-US" w:eastAsia="zh-CN"/>
        </w:rPr>
        <w:t>重点工作任务</w:t>
      </w:r>
    </w:p>
    <w:p>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right="0" w:rightChars="0" w:firstLine="640" w:firstLineChars="200"/>
        <w:textAlignment w:val="auto"/>
        <w:rPr>
          <w:rFonts w:hint="eastAsia" w:ascii="仿宋" w:hAnsi="仿宋" w:eastAsia="仿宋" w:cs="仿宋"/>
          <w:i w:val="0"/>
          <w:caps w:val="0"/>
          <w:color w:val="404040"/>
          <w:spacing w:val="0"/>
          <w:sz w:val="32"/>
          <w:szCs w:val="32"/>
        </w:rPr>
      </w:pPr>
      <w:r>
        <w:rPr>
          <w:rFonts w:hint="eastAsia" w:ascii="楷体" w:hAnsi="楷体" w:eastAsia="楷体" w:cs="楷体"/>
          <w:color w:val="000000"/>
          <w:kern w:val="0"/>
          <w:sz w:val="32"/>
          <w:szCs w:val="32"/>
          <w:lang w:val="en-US" w:eastAsia="zh-CN" w:bidi="ar-SA"/>
        </w:rPr>
        <w:t>取消养老服务机构设立审批，大力推行养老服务机构备案制度，加强行业综合监管。</w:t>
      </w:r>
      <w:r>
        <w:rPr>
          <w:rFonts w:hint="eastAsia" w:ascii="仿宋" w:hAnsi="仿宋" w:eastAsia="仿宋" w:cs="仿宋"/>
          <w:i w:val="0"/>
          <w:caps w:val="0"/>
          <w:color w:val="404040"/>
          <w:spacing w:val="0"/>
          <w:sz w:val="32"/>
          <w:szCs w:val="32"/>
        </w:rPr>
        <w:t>依法依规实施守信联合激励和失信联合惩戒，引导养老服务机构诚信守法经营。以加强信用监管为着力点，创新监管理念、监管制度和监管方式，建立健全贯穿养老服务机构全生命周期，衔接事前、事中、事后全监管环节的新型监管机制。建立养老机构备案信用承诺制度，推动形成标准公开、规则公平、预期明确、各负其责的治理模式。备案申请人应当就养老机构按照建筑、消防、食品、医疗卫生等法律法规和国家有关标准开展服务活动提交书面承诺并向社会公开，将书面承诺履约情况记入信用记录；对违反承诺的，依法依规实施惩戒。全面建立养老服务市场主体信用记录，以统一社会信用代码为标识，整合形成完整的市场主体信用记录，并通过“信用中国”网站、国家企业信用信息公示系统或中国政府网及相关部门门户网站等渠道依法依规向社会公开，实现对违法失信行为信息的在线披露和信息共享。</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textAlignment w:val="auto"/>
        <w:rPr>
          <w:rFonts w:hint="eastAsia" w:ascii="仿宋" w:hAnsi="仿宋" w:eastAsia="仿宋" w:cs="仿宋"/>
          <w:color w:val="000000"/>
          <w:kern w:val="0"/>
          <w:sz w:val="32"/>
          <w:szCs w:val="32"/>
          <w:lang w:val="en-US" w:eastAsia="zh-CN" w:bidi="ar-SA"/>
        </w:rPr>
      </w:pPr>
      <w:r>
        <w:rPr>
          <w:rFonts w:hint="eastAsia" w:ascii="楷体" w:hAnsi="楷体" w:eastAsia="楷体" w:cs="楷体"/>
          <w:color w:val="000000"/>
          <w:kern w:val="0"/>
          <w:sz w:val="32"/>
          <w:szCs w:val="32"/>
          <w:lang w:val="en-US" w:eastAsia="zh-CN" w:bidi="ar-SA"/>
        </w:rPr>
        <w:t>（二）努力打造应用建设项目，探索研发“互联网+养老+信用”智慧养老服务信用监管平台。</w:t>
      </w:r>
      <w:r>
        <w:rPr>
          <w:rFonts w:hint="eastAsia" w:ascii="仿宋" w:hAnsi="仿宋" w:eastAsia="仿宋" w:cs="仿宋"/>
          <w:color w:val="000000"/>
          <w:kern w:val="0"/>
          <w:sz w:val="32"/>
          <w:szCs w:val="32"/>
          <w:lang w:val="en-US" w:eastAsia="zh-CN" w:bidi="ar-SA"/>
        </w:rPr>
        <w:t>结合我市养老服务开展的实际情况，本着“优政、便民、服务”的核心理念，从技术创新、监管创新、服务创新三个角度研发焦作市智慧养老服务平台，以养老行业数据为核心，整合和链接各类为老服务信息，运用智慧养老服务平台和“焦我办”一站式服务平台，提供方便公众浏览、查询行业内容及服务信息，实现各类为老服务机构和人员队伍的动态管理，加强行业服务和信用管理，有效服务社会公众、各类养老服务机构、以及相关行业管理部门。</w:t>
      </w:r>
    </w:p>
    <w:p>
      <w:pPr>
        <w:pStyle w:val="4"/>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b w:val="0"/>
          <w:bCs/>
          <w:sz w:val="32"/>
          <w:szCs w:val="32"/>
          <w:highlight w:val="none"/>
          <w:lang w:val="en-US" w:eastAsia="zh-CN"/>
        </w:rPr>
      </w:pPr>
      <w:r>
        <w:rPr>
          <w:rFonts w:hint="eastAsia" w:ascii="楷体" w:hAnsi="楷体" w:eastAsia="楷体" w:cs="楷体"/>
          <w:b w:val="0"/>
          <w:bCs w:val="0"/>
          <w:color w:val="000000"/>
          <w:kern w:val="0"/>
          <w:sz w:val="32"/>
          <w:szCs w:val="32"/>
          <w:lang w:val="en-US" w:eastAsia="zh-CN" w:bidi="ar-SA"/>
        </w:rPr>
        <w:t>（三）明确信用监管重点方法，科学设置“互联网+养老+信用”应用建设在智慧养老服务平台监管内容。</w:t>
      </w:r>
      <w:r>
        <w:rPr>
          <w:rFonts w:hint="eastAsia" w:ascii="仿宋" w:hAnsi="仿宋" w:eastAsia="仿宋" w:cs="仿宋"/>
          <w:b w:val="0"/>
          <w:bCs w:val="0"/>
          <w:color w:val="000000"/>
          <w:kern w:val="0"/>
          <w:sz w:val="32"/>
          <w:szCs w:val="32"/>
          <w:lang w:val="en-US" w:eastAsia="zh-CN" w:bidi="ar-SA"/>
        </w:rPr>
        <w:t>一是借鉴</w:t>
      </w:r>
      <w:r>
        <w:rPr>
          <w:rFonts w:hint="eastAsia" w:ascii="仿宋" w:hAnsi="仿宋" w:eastAsia="仿宋" w:cs="仿宋"/>
          <w:b w:val="0"/>
          <w:bCs/>
          <w:sz w:val="32"/>
          <w:szCs w:val="32"/>
          <w:highlight w:val="none"/>
          <w:lang w:val="en-US" w:eastAsia="zh-CN"/>
        </w:rPr>
        <w:t>政务服务“好差评”及投诉举报，开发焦作市养老服务评价和投诉举报功能。由传统依靠政府监督管理向大众共同监督管理转变，扩大服务质量监督渠道，将投诉率高的机构与公开惩戒等工作挂钩，为养老服务风险事件的预防、市场竞争的优胜劣汰提供支持。二是定期对外披露养老服务质量报告，针对辖区内养老服务清单目录、享受服务指南、容易发生纠纷的事项等相关内容出具报告，以供大众便利的获取养老服务信息。三是依托全国一体化在线政务服务平台，实现养老机构网上备案信息共享，对相关单位的信用情况、消防审验情况、报批报建情况进行核查校验。四是加强食品安全监管，建立老年人食品安全防控体系，通过数据血缘的技术应用分析，对食品来源、食品加工、食品留样等工作进行追溯。五是强化资金监管，所有政府购买服务通过平台以积分发放的形式进行消费，全流程监控资金流向，通过平台随时查阅老人享受政府购买服务享受的金额、提供服务供应商、政府结算供应商的相关信息。六是运用安防监控，利用热成像、人脸识别技术开展疫情防控，利用视频监控系统和行为轨迹探测系统，对养老机构或重点关注人群开展安全监控，提升政府对养老安全的监控和管理能力。</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textAlignment w:val="auto"/>
        <w:rPr>
          <w:rFonts w:hint="eastAsia" w:ascii="仿宋" w:hAnsi="仿宋" w:eastAsia="仿宋" w:cs="仿宋"/>
          <w:b w:val="0"/>
          <w:bCs/>
          <w:kern w:val="0"/>
          <w:sz w:val="32"/>
          <w:szCs w:val="32"/>
          <w:highlight w:val="none"/>
          <w:lang w:val="en-US" w:eastAsia="zh-CN" w:bidi="ar-SA"/>
        </w:rPr>
      </w:pPr>
      <w:r>
        <w:rPr>
          <w:rFonts w:hint="eastAsia" w:ascii="楷体" w:hAnsi="楷体" w:eastAsia="楷体" w:cs="楷体"/>
          <w:b w:val="0"/>
          <w:bCs w:val="0"/>
          <w:color w:val="000000"/>
          <w:kern w:val="0"/>
          <w:sz w:val="32"/>
          <w:szCs w:val="32"/>
          <w:lang w:val="en-US" w:eastAsia="zh-CN" w:bidi="ar-SA"/>
        </w:rPr>
        <w:t>（四）明确信用监管重点，不断优化营商环境，引导和激励养老服务机构诚信守法经营、积极转型升级、持续优化服务。</w:t>
      </w:r>
      <w:r>
        <w:rPr>
          <w:rFonts w:hint="eastAsia" w:ascii="仿宋" w:hAnsi="仿宋" w:eastAsia="仿宋" w:cs="仿宋"/>
          <w:b w:val="0"/>
          <w:bCs/>
          <w:kern w:val="0"/>
          <w:sz w:val="32"/>
          <w:szCs w:val="32"/>
          <w:highlight w:val="none"/>
          <w:lang w:val="en-US" w:eastAsia="zh-CN" w:bidi="ar-SA"/>
        </w:rPr>
        <w:t>一是加强质量安全监管。按照“谁审批谁监管、谁主管谁监管”原则，引导养老服务机构（包括养老机构、居家社区养老服务机构立足长期安全运营，落实安全责任，主动防范消除本机构在建筑、消防、食品、医疗卫生等方面的安全风险和隐患。二是加强从业人员监管。引导从业人员（包括养老服务机构的法定代表人、主要负责人、管理人员以及养老护理员等相关人员）自觉养成良好品行、掌握专业技能，提升服务质量和水平。依法依规从严惩处养老服务机构欺老、虐老等侵害老年人合法权益的行为，对相关责任人实施行业禁入措施。三是加强涉及资金监管。引导养老服务机构以合法合规方式筹集和使用养老服务涉及资金。加强对养老服务机构申领使用政府提供的建设运营补贴资金的监督管理，定期对养老服务机构申领使用补贴资金信息的真实性、准确性进行抽查、核查，依法打击以虚报冒领等方式骗取补贴资金的行为。四是加强突发事件应对。引导养老服务机构增强风险防范意识和应对处置能力，尽可能减少突发事件造成的损失。建立完善养老服务机构突发事件的预防与应急准备、监测与预警、应急处置与救援、事后恢复与重建等工作机制。</w:t>
      </w:r>
    </w:p>
    <w:p>
      <w:pPr>
        <w:keepNext w:val="0"/>
        <w:keepLines w:val="0"/>
        <w:pageBreakBefore w:val="0"/>
        <w:numPr>
          <w:ilvl w:val="0"/>
          <w:numId w:val="1"/>
        </w:numPr>
        <w:kinsoku/>
        <w:wordWrap/>
        <w:overflowPunct/>
        <w:topLinePunct w:val="0"/>
        <w:autoSpaceDE/>
        <w:autoSpaceDN/>
        <w:bidi w:val="0"/>
        <w:adjustRightInd/>
        <w:snapToGrid/>
        <w:spacing w:line="540" w:lineRule="exact"/>
        <w:ind w:left="640" w:leftChars="0" w:firstLine="0" w:firstLineChars="0"/>
        <w:textAlignment w:val="auto"/>
        <w:rPr>
          <w:rFonts w:hint="default" w:ascii="黑体" w:hAnsi="黑体" w:eastAsia="黑体" w:cs="黑体"/>
          <w:b w:val="0"/>
          <w:i w:val="0"/>
          <w:caps w:val="0"/>
          <w:color w:val="333333"/>
          <w:spacing w:val="0"/>
          <w:sz w:val="32"/>
          <w:szCs w:val="32"/>
          <w:shd w:val="clear" w:color="auto" w:fill="FFFFFF"/>
          <w:lang w:val="en-US" w:eastAsia="zh-CN"/>
        </w:rPr>
      </w:pPr>
      <w:r>
        <w:rPr>
          <w:rFonts w:hint="eastAsia" w:ascii="黑体" w:hAnsi="黑体" w:eastAsia="黑体" w:cs="黑体"/>
          <w:b w:val="0"/>
          <w:i w:val="0"/>
          <w:caps w:val="0"/>
          <w:color w:val="333333"/>
          <w:spacing w:val="0"/>
          <w:sz w:val="32"/>
          <w:szCs w:val="32"/>
          <w:shd w:val="clear" w:color="auto" w:fill="FFFFFF"/>
          <w:lang w:val="en-US" w:eastAsia="zh-CN"/>
        </w:rPr>
        <w:t>保障措施</w:t>
      </w:r>
    </w:p>
    <w:p>
      <w:pPr>
        <w:keepNext w:val="0"/>
        <w:keepLines w:val="0"/>
        <w:pageBreakBefore w:val="0"/>
        <w:widowControl w:val="0"/>
        <w:shd w:val="clear"/>
        <w:kinsoku/>
        <w:wordWrap/>
        <w:overflowPunct/>
        <w:topLinePunct w:val="0"/>
        <w:autoSpaceDE/>
        <w:autoSpaceDN/>
        <w:bidi w:val="0"/>
        <w:adjustRightInd/>
        <w:snapToGrid/>
        <w:spacing w:line="540" w:lineRule="exact"/>
        <w:ind w:firstLine="480" w:firstLineChars="150"/>
        <w:textAlignment w:val="auto"/>
        <w:rPr>
          <w:rFonts w:hint="eastAsia" w:ascii="仿宋" w:hAnsi="仿宋" w:eastAsia="仿宋" w:cs="仿宋"/>
          <w:color w:val="000000"/>
          <w:kern w:val="0"/>
          <w:sz w:val="32"/>
          <w:szCs w:val="32"/>
          <w:lang w:val="en-US" w:eastAsia="zh-CN" w:bidi="ar-SA"/>
        </w:rPr>
      </w:pPr>
      <w:r>
        <w:rPr>
          <w:rFonts w:hint="eastAsia" w:ascii="楷体_GB2312" w:hAnsi="楷体_GB2312" w:eastAsia="楷体_GB2312" w:cs="楷体_GB2312"/>
          <w:b w:val="0"/>
          <w:bCs/>
          <w:color w:val="auto"/>
          <w:sz w:val="32"/>
          <w:szCs w:val="32"/>
        </w:rPr>
        <w:t>（一）</w:t>
      </w:r>
      <w:r>
        <w:rPr>
          <w:rFonts w:hint="eastAsia" w:ascii="楷体_GB2312" w:hAnsi="楷体_GB2312" w:eastAsia="楷体_GB2312" w:cs="楷体_GB2312"/>
          <w:b w:val="0"/>
          <w:bCs/>
          <w:color w:val="auto"/>
          <w:sz w:val="32"/>
          <w:szCs w:val="32"/>
          <w:lang w:eastAsia="zh-CN"/>
        </w:rPr>
        <w:t>加强</w:t>
      </w:r>
      <w:r>
        <w:rPr>
          <w:rFonts w:hint="eastAsia" w:ascii="楷体_GB2312" w:hAnsi="楷体_GB2312" w:eastAsia="楷体_GB2312" w:cs="楷体_GB2312"/>
          <w:b w:val="0"/>
          <w:bCs/>
          <w:color w:val="auto"/>
          <w:sz w:val="32"/>
          <w:szCs w:val="32"/>
        </w:rPr>
        <w:t>组织领导，</w:t>
      </w:r>
      <w:r>
        <w:rPr>
          <w:rFonts w:hint="eastAsia" w:ascii="楷体_GB2312" w:hAnsi="楷体_GB2312" w:eastAsia="楷体_GB2312" w:cs="楷体_GB2312"/>
          <w:b w:val="0"/>
          <w:bCs/>
          <w:color w:val="auto"/>
          <w:sz w:val="32"/>
          <w:szCs w:val="32"/>
          <w:lang w:eastAsia="zh-CN"/>
        </w:rPr>
        <w:t>建立工作推进机制</w:t>
      </w:r>
      <w:r>
        <w:rPr>
          <w:rFonts w:hint="eastAsia" w:ascii="楷体_GB2312" w:hAnsi="楷体_GB2312" w:eastAsia="楷体_GB2312" w:cs="楷体_GB2312"/>
          <w:b w:val="0"/>
          <w:bCs/>
          <w:color w:val="auto"/>
          <w:sz w:val="32"/>
          <w:szCs w:val="32"/>
        </w:rPr>
        <w:t>。</w:t>
      </w:r>
      <w:r>
        <w:rPr>
          <w:rFonts w:hint="eastAsia" w:ascii="仿宋" w:hAnsi="仿宋" w:eastAsia="仿宋" w:cs="仿宋"/>
          <w:color w:val="000000"/>
          <w:kern w:val="0"/>
          <w:sz w:val="32"/>
          <w:szCs w:val="32"/>
          <w:lang w:val="en-US" w:eastAsia="zh-CN" w:bidi="ar-SA"/>
        </w:rPr>
        <w:t>成立市“互联网+养老+信用”应用建设工作领导小组，组织专业团队，做好全市民政系统养老服务机构智慧平台信用监管系统设计；实行台账管理，明确各项任务的责任领导、责任单位和完成时限，实行挂图作战、销号管理；建立工作通报制度，定期通报工作进度，加强过程管理，推动各项工作任务落实。</w:t>
      </w:r>
    </w:p>
    <w:p>
      <w:pPr>
        <w:pStyle w:val="5"/>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000000"/>
          <w:kern w:val="0"/>
          <w:sz w:val="32"/>
          <w:szCs w:val="32"/>
          <w:lang w:val="en-US" w:eastAsia="zh-CN" w:bidi="ar-SA"/>
        </w:rPr>
      </w:pPr>
      <w:r>
        <w:rPr>
          <w:rFonts w:hint="eastAsia" w:ascii="楷体_GB2312" w:hAnsi="楷体_GB2312" w:eastAsia="楷体_GB2312" w:cs="楷体_GB2312"/>
          <w:b w:val="0"/>
          <w:bCs/>
          <w:color w:val="000000" w:themeColor="text1"/>
          <w:sz w:val="32"/>
          <w:szCs w:val="32"/>
          <w14:textFill>
            <w14:solidFill>
              <w14:schemeClr w14:val="tx1"/>
            </w14:solidFill>
          </w14:textFill>
        </w:rPr>
        <w:t>（二）拓宽资金渠道，</w:t>
      </w:r>
      <w:r>
        <w:rPr>
          <w:rFonts w:hint="eastAsia" w:ascii="楷体_GB2312" w:hAnsi="楷体_GB2312" w:eastAsia="楷体_GB2312" w:cs="楷体_GB2312"/>
          <w:b w:val="0"/>
          <w:bCs/>
          <w:color w:val="000000" w:themeColor="text1"/>
          <w:sz w:val="32"/>
          <w:szCs w:val="32"/>
          <w:lang w:eastAsia="zh-CN"/>
          <w14:textFill>
            <w14:solidFill>
              <w14:schemeClr w14:val="tx1"/>
            </w14:solidFill>
          </w14:textFill>
        </w:rPr>
        <w:t>聚力智慧平台建设</w:t>
      </w:r>
      <w:r>
        <w:rPr>
          <w:rFonts w:hint="eastAsia" w:ascii="楷体_GB2312" w:hAnsi="楷体_GB2312" w:eastAsia="楷体_GB2312" w:cs="楷体_GB2312"/>
          <w:b w:val="0"/>
          <w:bCs/>
          <w:color w:val="000000" w:themeColor="text1"/>
          <w:sz w:val="32"/>
          <w:szCs w:val="32"/>
          <w14:textFill>
            <w14:solidFill>
              <w14:schemeClr w14:val="tx1"/>
            </w14:solidFill>
          </w14:textFill>
        </w:rPr>
        <w:t>。</w:t>
      </w:r>
      <w:r>
        <w:rPr>
          <w:rFonts w:hint="eastAsia" w:ascii="仿宋" w:hAnsi="仿宋" w:eastAsia="仿宋" w:cs="仿宋"/>
          <w:color w:val="000000"/>
          <w:kern w:val="0"/>
          <w:sz w:val="32"/>
          <w:szCs w:val="32"/>
          <w:lang w:val="en-US" w:eastAsia="zh-CN" w:bidi="ar-SA"/>
        </w:rPr>
        <w:t>一是将智慧养老服务平台建设、运营和维护经费列入财政年度预算，建立稳定的经费保障机制。二是将获得第五批居家和社区养老服务改革试点中央财政奖补资金、彩票公益金投入和招商引资社会资本投入专门列支部分用于互联网养老信用监管系统等养老服务信息化建设；三是将省级财政奖补资金专门用于互联网养老信用监管系统的研发、建设和应用。</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40" w:lineRule="exact"/>
        <w:ind w:firstLine="640" w:firstLineChars="200"/>
        <w:textAlignment w:val="auto"/>
        <w:rPr>
          <w:rFonts w:hint="default" w:ascii="仿宋" w:hAnsi="仿宋" w:eastAsia="仿宋" w:cs="仿宋"/>
          <w:b w:val="0"/>
          <w:bCs/>
          <w:kern w:val="0"/>
          <w:sz w:val="32"/>
          <w:szCs w:val="32"/>
          <w:highlight w:val="none"/>
          <w:lang w:val="en-US" w:eastAsia="zh-CN" w:bidi="ar-SA"/>
        </w:rPr>
      </w:pPr>
      <w:r>
        <w:rPr>
          <w:rFonts w:hint="eastAsia" w:ascii="楷体_GB2312" w:hAnsi="楷体_GB2312" w:eastAsia="楷体_GB2312" w:cs="楷体_GB2312"/>
          <w:b w:val="0"/>
          <w:bCs/>
          <w:color w:val="000000" w:themeColor="text1"/>
          <w:sz w:val="32"/>
          <w:szCs w:val="32"/>
          <w:lang w:eastAsia="zh-CN"/>
          <w14:textFill>
            <w14:solidFill>
              <w14:schemeClr w14:val="tx1"/>
            </w14:solidFill>
          </w14:textFill>
        </w:rPr>
        <w:t>（三）实施部门联动，推进</w:t>
      </w:r>
      <w:r>
        <w:rPr>
          <w:rFonts w:hint="eastAsia" w:ascii="楷体_GB2312" w:hAnsi="楷体_GB2312" w:eastAsia="楷体_GB2312" w:cs="楷体_GB2312"/>
          <w:b w:val="0"/>
          <w:bCs/>
          <w:color w:val="000000" w:themeColor="text1"/>
          <w:sz w:val="32"/>
          <w:szCs w:val="32"/>
          <w:lang w:val="en-US" w:eastAsia="zh-CN"/>
          <w14:textFill>
            <w14:solidFill>
              <w14:schemeClr w14:val="tx1"/>
            </w14:solidFill>
          </w14:textFill>
        </w:rPr>
        <w:t>互联网养老信用监管系统信息共享互通</w:t>
      </w:r>
      <w:r>
        <w:rPr>
          <w:rFonts w:hint="eastAsia" w:ascii="楷体_GB2312" w:hAnsi="楷体_GB2312" w:eastAsia="楷体_GB2312" w:cs="楷体_GB2312"/>
          <w:b w:val="0"/>
          <w:bCs/>
          <w:color w:val="000000" w:themeColor="text1"/>
          <w:sz w:val="32"/>
          <w:szCs w:val="32"/>
          <w:lang w:eastAsia="zh-CN"/>
          <w14:textFill>
            <w14:solidFill>
              <w14:schemeClr w14:val="tx1"/>
            </w14:solidFill>
          </w14:textFill>
        </w:rPr>
        <w:t>。</w:t>
      </w:r>
      <w:r>
        <w:rPr>
          <w:rFonts w:hint="eastAsia" w:ascii="仿宋" w:hAnsi="仿宋" w:eastAsia="仿宋" w:cs="仿宋"/>
          <w:color w:val="000000"/>
          <w:kern w:val="0"/>
          <w:sz w:val="32"/>
          <w:szCs w:val="32"/>
          <w:lang w:val="en-US" w:eastAsia="zh-CN" w:bidi="ar-SA"/>
        </w:rPr>
        <w:t>鼓励大数据技术应用于互联网养老服务信用监管系统，优化县区级智慧养老服务系统，使政府、医院、社区、机构和老年人信息形成闭环，保证信息和服务的顺利流动和信息的及时互通，实现互联网养老服务资源在时间上和空间上的双重优化配置，进而提高养老服务能力、提升养老服务效能，为老年人生活提供更多便利。</w:t>
      </w:r>
    </w:p>
    <w:p/>
    <w:p>
      <w:pPr>
        <w:rPr>
          <w:rFonts w:hint="eastAsia"/>
        </w:rPr>
      </w:pPr>
    </w:p>
    <w:p>
      <w:pPr>
        <w:rPr>
          <w:rFonts w:hint="eastAsia"/>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280" w:firstLineChars="100"/>
        <w:jc w:val="both"/>
        <w:textAlignment w:val="auto"/>
        <w:rPr>
          <w:rFonts w:hint="default"/>
          <w:sz w:val="44"/>
          <w:szCs w:val="44"/>
          <w:lang w:val="en-US" w:eastAsia="zh-CN"/>
        </w:rPr>
      </w:pPr>
      <w:r>
        <w:rPr>
          <w:b w:val="0"/>
          <w:bCs w:val="0"/>
          <w:sz w:val="28"/>
        </w:rPr>
        <mc:AlternateContent>
          <mc:Choice Requires="wps">
            <w:drawing>
              <wp:anchor distT="0" distB="0" distL="114300" distR="114300" simplePos="0" relativeHeight="251658240" behindDoc="0" locked="0" layoutInCell="1" allowOverlap="1">
                <wp:simplePos x="0" y="0"/>
                <wp:positionH relativeFrom="column">
                  <wp:posOffset>3175</wp:posOffset>
                </wp:positionH>
                <wp:positionV relativeFrom="paragraph">
                  <wp:posOffset>449580</wp:posOffset>
                </wp:positionV>
                <wp:extent cx="5581650"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5816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25pt;margin-top:35.4pt;height:0.05pt;width:439.5pt;z-index:251658240;mso-width-relative:page;mso-height-relative:page;" filled="f" stroked="t" coordsize="21600,21600" o:gfxdata="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MdowtNMAAAAGAQAADwAAAAAA&#10;AAABACAAAAAiAAAAZHJzL2Rvd25yZXYueG1sUEsBAhQAFAAAAAgAh07iQJKsBRnfAQAApgMAAA4A&#10;AAAAAAAAAQAgAAAAIgEAAGRycy9lMm9Eb2MueG1sUEsFBgAAAAAGAAYAWQEAAHMFAAAAAA==&#10;">
                <v:fill on="f" focussize="0,0"/>
                <v:stroke color="#000000" joinstyle="round"/>
                <v:imagedata o:title=""/>
                <o:lock v:ext="edit" aspectratio="f"/>
              </v:line>
            </w:pict>
          </mc:Fallback>
        </mc:AlternateContent>
      </w:r>
      <w:r>
        <w:rPr>
          <w:b w:val="0"/>
          <w:bCs w:val="0"/>
          <w:sz w:val="28"/>
        </w:rPr>
        <mc:AlternateContent>
          <mc:Choice Requires="wps">
            <w:drawing>
              <wp:anchor distT="0" distB="0" distL="114300" distR="114300" simplePos="0" relativeHeight="251659264" behindDoc="0" locked="0" layoutInCell="1" allowOverlap="1">
                <wp:simplePos x="0" y="0"/>
                <wp:positionH relativeFrom="column">
                  <wp:posOffset>12700</wp:posOffset>
                </wp:positionH>
                <wp:positionV relativeFrom="paragraph">
                  <wp:posOffset>20955</wp:posOffset>
                </wp:positionV>
                <wp:extent cx="558165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816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pt;margin-top:1.65pt;height:0.05pt;width:439.5pt;z-index:251659264;mso-width-relative:page;mso-height-relative:page;" filled="f" stroked="t" coordsize="21600,21600" o:gfxdata="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zZaGDTAAAABQEAAA8AAAAA&#10;AAAAAQAgAAAAIgAAAGRycy9kb3ducmV2LnhtbFBLAQIUABQAAAAIAIdO4kCSWi4R4AEAAKYDAAAO&#10;AAAAAAAAAAEAIAAAACIBAABkcnMvZTJvRG9jLnhtbFBLBQYAAAAABgAGAFkBAAB0BQAAAAA=&#10;">
                <v:fill on="f" focussize="0,0"/>
                <v:stroke color="#000000" joinstyle="round"/>
                <v:imagedata o:title=""/>
                <o:lock v:ext="edit" aspectratio="f"/>
              </v:line>
            </w:pict>
          </mc:Fallback>
        </mc:AlternateContent>
      </w:r>
      <w:r>
        <w:rPr>
          <w:rFonts w:hint="default" w:ascii="Times New Roman" w:hAnsi="Times New Roman" w:eastAsia="仿宋_GB2312" w:cs="Times New Roman"/>
          <w:b w:val="0"/>
          <w:bCs w:val="0"/>
          <w:color w:val="000000"/>
          <w:spacing w:val="0"/>
          <w:sz w:val="28"/>
          <w:szCs w:val="28"/>
          <w:lang w:val="en-US" w:eastAsia="zh-CN"/>
        </w:rPr>
        <w:t>焦作市民政局</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仿宋_GB2312" w:hAnsi="仿宋_GB2312" w:eastAsia="仿宋_GB2312" w:cs="仿宋_GB2312"/>
          <w:b w:val="0"/>
          <w:bCs w:val="0"/>
          <w:color w:val="000000"/>
          <w:spacing w:val="0"/>
          <w:sz w:val="28"/>
          <w:szCs w:val="28"/>
        </w:rPr>
        <w:t xml:space="preserve">  202</w:t>
      </w:r>
      <w:r>
        <w:rPr>
          <w:rFonts w:hint="eastAsia" w:ascii="仿宋_GB2312" w:hAnsi="仿宋_GB2312" w:eastAsia="仿宋_GB2312" w:cs="仿宋_GB2312"/>
          <w:b w:val="0"/>
          <w:bCs w:val="0"/>
          <w:color w:val="000000"/>
          <w:spacing w:val="0"/>
          <w:sz w:val="28"/>
          <w:szCs w:val="28"/>
          <w:lang w:val="en-US" w:eastAsia="zh-CN"/>
        </w:rPr>
        <w:t>1</w:t>
      </w:r>
      <w:r>
        <w:rPr>
          <w:rFonts w:hint="eastAsia" w:ascii="仿宋_GB2312" w:hAnsi="仿宋_GB2312" w:eastAsia="仿宋_GB2312" w:cs="仿宋_GB2312"/>
          <w:b w:val="0"/>
          <w:bCs w:val="0"/>
          <w:color w:val="000000"/>
          <w:spacing w:val="0"/>
          <w:sz w:val="28"/>
          <w:szCs w:val="28"/>
        </w:rPr>
        <w:t>年</w:t>
      </w:r>
      <w:r>
        <w:rPr>
          <w:rFonts w:hint="eastAsia" w:ascii="仿宋_GB2312" w:hAnsi="仿宋_GB2312" w:eastAsia="仿宋_GB2312" w:cs="仿宋_GB2312"/>
          <w:b w:val="0"/>
          <w:bCs w:val="0"/>
          <w:color w:val="000000"/>
          <w:spacing w:val="0"/>
          <w:sz w:val="28"/>
          <w:szCs w:val="28"/>
          <w:lang w:val="en-US" w:eastAsia="zh-CN"/>
        </w:rPr>
        <w:t>3</w:t>
      </w:r>
      <w:r>
        <w:rPr>
          <w:rFonts w:hint="eastAsia" w:ascii="仿宋_GB2312" w:hAnsi="仿宋_GB2312" w:eastAsia="仿宋_GB2312" w:cs="仿宋_GB2312"/>
          <w:b w:val="0"/>
          <w:bCs w:val="0"/>
          <w:color w:val="000000"/>
          <w:spacing w:val="0"/>
          <w:sz w:val="28"/>
          <w:szCs w:val="28"/>
        </w:rPr>
        <w:t>月</w:t>
      </w:r>
      <w:r>
        <w:rPr>
          <w:rFonts w:hint="eastAsia" w:ascii="仿宋_GB2312" w:hAnsi="仿宋_GB2312" w:eastAsia="仿宋_GB2312" w:cs="仿宋_GB2312"/>
          <w:b w:val="0"/>
          <w:bCs w:val="0"/>
          <w:color w:val="000000"/>
          <w:spacing w:val="0"/>
          <w:sz w:val="28"/>
          <w:szCs w:val="28"/>
          <w:lang w:val="en-US" w:eastAsia="zh-CN"/>
        </w:rPr>
        <w:t>25</w:t>
      </w:r>
      <w:r>
        <w:rPr>
          <w:rFonts w:hint="eastAsia" w:ascii="仿宋_GB2312" w:hAnsi="仿宋_GB2312" w:eastAsia="仿宋_GB2312" w:cs="仿宋_GB2312"/>
          <w:b w:val="0"/>
          <w:bCs w:val="0"/>
          <w:color w:val="000000"/>
          <w:spacing w:val="0"/>
          <w:sz w:val="28"/>
          <w:szCs w:val="28"/>
        </w:rPr>
        <w:t>日印</w:t>
      </w:r>
      <w:r>
        <w:rPr>
          <w:rFonts w:hint="eastAsia" w:ascii="仿宋_GB2312" w:hAnsi="仿宋_GB2312" w:eastAsia="仿宋_GB2312" w:cs="仿宋_GB2312"/>
          <w:b w:val="0"/>
          <w:bCs w:val="0"/>
          <w:color w:val="000000"/>
          <w:spacing w:val="0"/>
          <w:sz w:val="28"/>
          <w:szCs w:val="28"/>
          <w:lang w:eastAsia="zh-CN"/>
        </w:rPr>
        <w:t>发</w:t>
      </w:r>
    </w:p>
    <w:sectPr>
      <w:headerReference r:id="rId3" w:type="default"/>
      <w:footerReference r:id="rId4" w:type="default"/>
      <w:pgSz w:w="11906" w:h="16838"/>
      <w:pgMar w:top="1701" w:right="1531" w:bottom="1701" w:left="1531"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rPr>
                        <w:rFonts w:hint="eastAsia" w:eastAsiaTheme="minorEastAsia"/>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spacing w:line="560" w:lineRule="exact"/>
      <w:textAlignment w:val="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6D76D"/>
    <w:multiLevelType w:val="singleLevel"/>
    <w:tmpl w:val="10B6D76D"/>
    <w:lvl w:ilvl="0" w:tentative="0">
      <w:start w:val="1"/>
      <w:numFmt w:val="chineseCounting"/>
      <w:suff w:val="nothing"/>
      <w:lvlText w:val="（%1）"/>
      <w:lvlJc w:val="left"/>
      <w:rPr>
        <w:rFonts w:hint="eastAsia"/>
      </w:rPr>
    </w:lvl>
  </w:abstractNum>
  <w:abstractNum w:abstractNumId="1">
    <w:nsid w:val="28C5B9F9"/>
    <w:multiLevelType w:val="singleLevel"/>
    <w:tmpl w:val="28C5B9F9"/>
    <w:lvl w:ilvl="0" w:tentative="0">
      <w:start w:val="1"/>
      <w:numFmt w:val="chineseCounting"/>
      <w:suff w:val="nothing"/>
      <w:lvlText w:val="%1、"/>
      <w:lvlJc w:val="left"/>
      <w:pPr>
        <w:ind w:left="640" w:leftChars="0" w:firstLine="0" w:firstLineChars="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512092"/>
    <w:rsid w:val="2E512092"/>
    <w:rsid w:val="449B56D8"/>
    <w:rsid w:val="47DF5E58"/>
    <w:rsid w:val="6B0E6E7B"/>
    <w:rsid w:val="6FBC12F3"/>
    <w:rsid w:val="786B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9"/>
    <w:pPr>
      <w:widowControl/>
      <w:spacing w:beforeLines="50" w:line="360" w:lineRule="auto"/>
      <w:ind w:firstLine="200" w:firstLineChars="200"/>
      <w:jc w:val="left"/>
      <w:outlineLvl w:val="1"/>
    </w:pPr>
    <w:rPr>
      <w:rFonts w:ascii="宋体" w:hAnsi="宋体" w:eastAsia="黑体" w:cs="宋体"/>
      <w:b/>
      <w:bCs/>
      <w:kern w:val="0"/>
      <w:sz w:val="28"/>
      <w:szCs w:val="36"/>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style>
  <w:style w:type="paragraph" w:styleId="3">
    <w:name w:val="Body Text Indent"/>
    <w:basedOn w:val="1"/>
    <w:qFormat/>
    <w:uiPriority w:val="0"/>
    <w:pPr>
      <w:spacing w:after="120"/>
      <w:ind w:left="420" w:leftChars="200"/>
    </w:pPr>
  </w:style>
  <w:style w:type="paragraph" w:styleId="5">
    <w:name w:val="Body Text"/>
    <w:basedOn w:val="1"/>
    <w:next w:val="1"/>
    <w:semiHidden/>
    <w:qFormat/>
    <w:uiPriority w:val="99"/>
    <w:pPr>
      <w:spacing w:after="120"/>
    </w:p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2021-03-23T00:07:00Z</dcterms:created>
  <dc:creator>不二</dc:creator>
  <cp:lastModifiedBy>Administrator</cp:lastModifiedBy>
  <cp:lastPrinted>2021-03-25T09:19:25Z</cp:lastPrinted>
  <dcterms:modified xsi:type="dcterms:W3CDTF">2021-03-25T09:20:33Z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ICV">
    <vt:lpwstr>ADEE3C66919441B09779D05A2E6B7488</vt:lpwstr>
  </property>
</Properties>
</file>