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ind w:firstLine="440" w:firstLineChars="100"/>
        <w:jc w:val="both"/>
        <w:textAlignment w:val="auto"/>
        <w:rPr>
          <w:rFonts w:hint="eastAsia" w:ascii="方正小标宋简体" w:hAnsi="宋体" w:eastAsia="方正小标宋简体"/>
          <w:color w:val="000000"/>
          <w:spacing w:val="0"/>
          <w:sz w:val="44"/>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2"/>
        <w:keepNext w:val="0"/>
        <w:keepLines w:val="0"/>
        <w:pageBreakBefore w:val="0"/>
        <w:widowControl w:val="0"/>
        <w:kinsoku/>
        <w:wordWrap/>
        <w:overflowPunct/>
        <w:topLinePunct w:val="0"/>
        <w:autoSpaceDE/>
        <w:autoSpaceDN/>
        <w:bidi w:val="0"/>
        <w:adjustRightInd/>
        <w:snapToGrid/>
        <w:spacing w:line="460" w:lineRule="exact"/>
        <w:textAlignment w:val="auto"/>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方正小标宋简体" w:hAnsi="宋体" w:eastAsia="方正小标宋简体"/>
          <w:color w:val="000000"/>
          <w:spacing w:val="0"/>
          <w:sz w:val="44"/>
        </w:rPr>
      </w:pPr>
    </w:p>
    <w:p>
      <w:pPr>
        <w:pStyle w:val="2"/>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仿宋_GB2312" w:cs="Times New Roman"/>
          <w:color w:val="000000"/>
          <w:spacing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000000"/>
          <w:spacing w:val="0"/>
          <w:sz w:val="44"/>
        </w:rPr>
      </w:pPr>
      <w:r>
        <w:rPr>
          <w:rFonts w:hint="eastAsia" w:ascii="仿宋_GB2312" w:hAnsi="仿宋_GB2312" w:eastAsia="仿宋_GB2312" w:cs="仿宋_GB2312"/>
          <w:color w:val="000000"/>
          <w:spacing w:val="0"/>
          <w:sz w:val="32"/>
          <w:szCs w:val="32"/>
          <w:lang w:eastAsia="zh-CN"/>
        </w:rPr>
        <w:t>焦民〔</w:t>
      </w:r>
      <w:r>
        <w:rPr>
          <w:rFonts w:hint="eastAsia" w:ascii="仿宋_GB2312" w:hAnsi="仿宋_GB2312" w:eastAsia="仿宋_GB2312" w:cs="仿宋_GB2312"/>
          <w:color w:val="000000"/>
          <w:spacing w:val="0"/>
          <w:sz w:val="32"/>
          <w:szCs w:val="32"/>
          <w:lang w:val="en-US" w:eastAsia="zh-CN"/>
        </w:rPr>
        <w:t>2021</w:t>
      </w:r>
      <w:r>
        <w:rPr>
          <w:rFonts w:hint="eastAsia" w:ascii="仿宋_GB2312" w:hAnsi="仿宋_GB2312" w:eastAsia="仿宋_GB2312" w:cs="仿宋_GB2312"/>
          <w:color w:val="000000"/>
          <w:spacing w:val="0"/>
          <w:sz w:val="32"/>
          <w:szCs w:val="32"/>
          <w:lang w:eastAsia="zh-CN"/>
        </w:rPr>
        <w:t>〕</w:t>
      </w:r>
      <w:r>
        <w:rPr>
          <w:rFonts w:hint="eastAsia" w:ascii="仿宋_GB2312" w:hAnsi="仿宋_GB2312" w:eastAsia="仿宋_GB2312" w:cs="仿宋_GB2312"/>
          <w:color w:val="000000"/>
          <w:spacing w:val="0"/>
          <w:sz w:val="32"/>
          <w:szCs w:val="32"/>
          <w:lang w:val="en-US" w:eastAsia="zh-CN"/>
        </w:rPr>
        <w:t>163号</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方正小标宋简体" w:hAnsi="宋体" w:eastAsia="方正小标宋简体"/>
          <w:color w:val="000000"/>
          <w:spacing w:val="0"/>
          <w:sz w:val="44"/>
        </w:rPr>
      </w:pP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olor w:val="auto"/>
          <w:sz w:val="44"/>
        </w:rPr>
      </w:pPr>
      <w:r>
        <w:rPr>
          <w:rFonts w:hint="eastAsia" w:ascii="方正小标宋简体" w:hAnsi="方正小标宋简体" w:eastAsia="方正小标宋简体"/>
          <w:color w:val="auto"/>
          <w:sz w:val="44"/>
        </w:rPr>
        <w:t>关于</w:t>
      </w:r>
      <w:r>
        <w:rPr>
          <w:rFonts w:hint="eastAsia" w:ascii="方正小标宋简体" w:hAnsi="方正小标宋简体" w:eastAsia="方正小标宋简体"/>
          <w:color w:val="auto"/>
          <w:sz w:val="44"/>
          <w:lang w:eastAsia="zh-CN"/>
        </w:rPr>
        <w:t>印</w:t>
      </w:r>
      <w:r>
        <w:rPr>
          <w:rFonts w:hint="eastAsia" w:ascii="方正小标宋简体" w:hAnsi="方正小标宋简体" w:eastAsia="方正小标宋简体"/>
          <w:color w:val="auto"/>
          <w:sz w:val="44"/>
          <w:lang w:val="en-US" w:eastAsia="zh-CN"/>
        </w:rPr>
        <w:t>发《焦作市</w:t>
      </w:r>
      <w:r>
        <w:rPr>
          <w:rFonts w:hint="eastAsia" w:ascii="方正小标宋简体" w:hAnsi="方正小标宋简体" w:eastAsia="方正小标宋简体"/>
          <w:color w:val="auto"/>
          <w:sz w:val="44"/>
        </w:rPr>
        <w:t>老年人家庭适老化</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olor w:val="auto"/>
          <w:sz w:val="44"/>
          <w:lang w:val="en-US" w:eastAsia="zh-CN"/>
        </w:rPr>
      </w:pPr>
      <w:r>
        <w:rPr>
          <w:rFonts w:hint="eastAsia" w:ascii="方正小标宋简体" w:hAnsi="方正小标宋简体" w:eastAsia="方正小标宋简体"/>
          <w:color w:val="auto"/>
          <w:sz w:val="44"/>
        </w:rPr>
        <w:t>改造</w:t>
      </w:r>
      <w:r>
        <w:rPr>
          <w:rFonts w:hint="eastAsia" w:ascii="方正小标宋简体" w:hAnsi="方正小标宋简体" w:eastAsia="方正小标宋简体"/>
          <w:color w:val="auto"/>
          <w:sz w:val="44"/>
          <w:lang w:val="en-US" w:eastAsia="zh-CN"/>
        </w:rPr>
        <w:t>工作</w:t>
      </w:r>
      <w:r>
        <w:rPr>
          <w:rFonts w:hint="eastAsia" w:ascii="方正小标宋简体" w:hAnsi="方正小标宋简体" w:eastAsia="方正小标宋简体"/>
          <w:color w:val="auto"/>
          <w:sz w:val="44"/>
        </w:rPr>
        <w:t>方案</w:t>
      </w:r>
      <w:r>
        <w:rPr>
          <w:rFonts w:hint="eastAsia" w:ascii="方正小标宋简体" w:hAnsi="方正小标宋简体" w:eastAsia="方正小标宋简体"/>
          <w:color w:val="auto"/>
          <w:sz w:val="44"/>
          <w:lang w:eastAsia="zh-CN"/>
        </w:rPr>
        <w:t>》</w:t>
      </w:r>
      <w:r>
        <w:rPr>
          <w:rFonts w:hint="eastAsia" w:ascii="方正小标宋简体" w:hAnsi="方正小标宋简体" w:eastAsia="方正小标宋简体"/>
          <w:color w:val="auto"/>
          <w:sz w:val="44"/>
          <w:lang w:val="en-US" w:eastAsia="zh-CN"/>
        </w:rPr>
        <w:t>的通知</w:t>
      </w:r>
    </w:p>
    <w:p>
      <w:pPr>
        <w:keepNext w:val="0"/>
        <w:keepLines w:val="0"/>
        <w:pageBreakBefore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olor w:val="auto"/>
          <w:sz w:val="44"/>
          <w:lang w:val="en-US" w:eastAsia="zh-CN"/>
        </w:rPr>
      </w:pPr>
    </w:p>
    <w:p>
      <w:pPr>
        <w:keepNext w:val="0"/>
        <w:keepLines w:val="0"/>
        <w:pageBreakBefore w:val="0"/>
        <w:kinsoku/>
        <w:wordWrap/>
        <w:overflowPunct/>
        <w:topLinePunct w:val="0"/>
        <w:autoSpaceDE/>
        <w:autoSpaceDN/>
        <w:bidi w:val="0"/>
        <w:adjustRightInd/>
        <w:snapToGrid/>
        <w:spacing w:line="640" w:lineRule="exact"/>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rPr>
        <w:t>各</w:t>
      </w:r>
      <w:r>
        <w:rPr>
          <w:rFonts w:hint="eastAsia" w:ascii="仿宋_GB2312" w:hAnsi="仿宋_GB2312" w:eastAsia="仿宋_GB2312"/>
          <w:color w:val="auto"/>
          <w:sz w:val="32"/>
          <w:lang w:val="en-US" w:eastAsia="zh-CN"/>
        </w:rPr>
        <w:t>县（</w:t>
      </w:r>
      <w:r>
        <w:rPr>
          <w:rFonts w:hint="eastAsia" w:ascii="仿宋_GB2312" w:hAnsi="仿宋_GB2312" w:eastAsia="仿宋_GB2312"/>
          <w:color w:val="auto"/>
          <w:sz w:val="32"/>
        </w:rPr>
        <w:t>市</w:t>
      </w:r>
      <w:r>
        <w:rPr>
          <w:rFonts w:hint="eastAsia" w:ascii="仿宋_GB2312" w:hAnsi="仿宋_GB2312" w:eastAsia="仿宋_GB2312"/>
          <w:color w:val="auto"/>
          <w:sz w:val="32"/>
          <w:lang w:val="en-US" w:eastAsia="zh-CN"/>
        </w:rPr>
        <w:t>）</w:t>
      </w:r>
      <w:r>
        <w:rPr>
          <w:rFonts w:hint="eastAsia" w:ascii="仿宋_GB2312" w:hAnsi="仿宋_GB2312" w:eastAsia="仿宋_GB2312"/>
          <w:color w:val="auto"/>
          <w:sz w:val="32"/>
        </w:rPr>
        <w:t>区民政局，</w:t>
      </w:r>
      <w:r>
        <w:rPr>
          <w:rFonts w:hint="eastAsia" w:ascii="仿宋_GB2312" w:hAnsi="仿宋_GB2312" w:eastAsia="仿宋_GB2312"/>
          <w:color w:val="auto"/>
          <w:sz w:val="32"/>
          <w:lang w:val="en-US" w:eastAsia="zh-CN"/>
        </w:rPr>
        <w:t>市城乡一体化示范区民政和退役军人事务</w:t>
      </w:r>
      <w:r>
        <w:rPr>
          <w:rFonts w:hint="eastAsia" w:ascii="仿宋_GB2312" w:hAnsi="仿宋_GB2312" w:eastAsia="仿宋_GB2312"/>
          <w:color w:val="auto"/>
          <w:sz w:val="32"/>
        </w:rPr>
        <w:t>局：</w:t>
      </w:r>
    </w:p>
    <w:p>
      <w:pPr>
        <w:keepNext w:val="0"/>
        <w:keepLines w:val="0"/>
        <w:pageBreakBefore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olor w:val="auto"/>
          <w:sz w:val="32"/>
        </w:rPr>
      </w:pPr>
      <w:r>
        <w:rPr>
          <w:rFonts w:hint="eastAsia" w:ascii="仿宋_GB2312" w:hAnsi="仿宋_GB2312" w:eastAsia="仿宋_GB2312"/>
          <w:color w:val="auto"/>
          <w:sz w:val="32"/>
          <w:lang w:val="en-US" w:eastAsia="zh-CN"/>
        </w:rPr>
        <w:t>现将《焦作市老年人家庭适老化改造工作方案》印发你们,请结合实际遵照执行。</w:t>
      </w:r>
      <w:r>
        <w:rPr>
          <w:rFonts w:hint="eastAsia" w:ascii="仿宋_GB2312" w:hAnsi="仿宋_GB2312" w:eastAsia="仿宋_GB2312"/>
          <w:color w:val="auto"/>
          <w:sz w:val="32"/>
        </w:rPr>
        <w:t xml:space="preserve"> </w:t>
      </w:r>
    </w:p>
    <w:p>
      <w:pPr>
        <w:keepNext w:val="0"/>
        <w:keepLines w:val="0"/>
        <w:pageBreakBefore w:val="0"/>
        <w:kinsoku/>
        <w:wordWrap/>
        <w:overflowPunct/>
        <w:topLinePunct w:val="0"/>
        <w:autoSpaceDE/>
        <w:autoSpaceDN/>
        <w:bidi w:val="0"/>
        <w:adjustRightInd/>
        <w:snapToGrid/>
        <w:spacing w:line="640" w:lineRule="exact"/>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rPr>
        <w:t xml:space="preserve"> </w:t>
      </w:r>
    </w:p>
    <w:p>
      <w:pPr>
        <w:keepNext w:val="0"/>
        <w:keepLines w:val="0"/>
        <w:pageBreakBefore w:val="0"/>
        <w:kinsoku/>
        <w:wordWrap/>
        <w:overflowPunct/>
        <w:topLinePunct w:val="0"/>
        <w:autoSpaceDE/>
        <w:autoSpaceDN/>
        <w:bidi w:val="0"/>
        <w:adjustRightInd/>
        <w:snapToGrid/>
        <w:spacing w:line="640" w:lineRule="exact"/>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rPr>
        <w:t xml:space="preserve"> </w:t>
      </w:r>
    </w:p>
    <w:p>
      <w:pPr>
        <w:keepNext w:val="0"/>
        <w:keepLines w:val="0"/>
        <w:pageBreakBefore w:val="0"/>
        <w:kinsoku/>
        <w:wordWrap/>
        <w:overflowPunct/>
        <w:topLinePunct w:val="0"/>
        <w:autoSpaceDE/>
        <w:autoSpaceDN/>
        <w:bidi w:val="0"/>
        <w:adjustRightInd/>
        <w:snapToGrid/>
        <w:spacing w:line="640" w:lineRule="exact"/>
        <w:ind w:firstLine="6080" w:firstLineChars="1900"/>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lang w:val="en-US" w:eastAsia="zh-CN"/>
        </w:rPr>
        <w:t xml:space="preserve"> </w:t>
      </w:r>
      <w:r>
        <w:rPr>
          <w:rFonts w:hint="eastAsia" w:ascii="仿宋_GB2312" w:hAnsi="仿宋_GB2312" w:eastAsia="仿宋_GB2312"/>
          <w:color w:val="auto"/>
          <w:sz w:val="32"/>
        </w:rPr>
        <w:t xml:space="preserve">           </w:t>
      </w:r>
    </w:p>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olor w:val="auto"/>
          <w:sz w:val="32"/>
        </w:rPr>
      </w:pPr>
      <w:r>
        <w:rPr>
          <w:rFonts w:hint="eastAsia" w:ascii="仿宋_GB2312" w:hAnsi="仿宋_GB2312" w:eastAsia="仿宋_GB2312"/>
          <w:color w:val="auto"/>
          <w:sz w:val="32"/>
          <w:lang w:val="en-US" w:eastAsia="zh-CN"/>
        </w:rPr>
        <w:t xml:space="preserve">                          </w:t>
      </w:r>
      <w:r>
        <w:rPr>
          <w:rFonts w:hint="eastAsia" w:ascii="仿宋_GB2312" w:hAnsi="仿宋_GB2312" w:eastAsia="仿宋_GB2312"/>
          <w:color w:val="auto"/>
          <w:sz w:val="32"/>
        </w:rPr>
        <w:t>2021年</w:t>
      </w:r>
      <w:r>
        <w:rPr>
          <w:rFonts w:hint="eastAsia" w:ascii="仿宋_GB2312" w:hAnsi="仿宋_GB2312" w:eastAsia="仿宋_GB2312"/>
          <w:color w:val="auto"/>
          <w:sz w:val="32"/>
          <w:lang w:val="en-US" w:eastAsia="zh-CN"/>
        </w:rPr>
        <w:t>9</w:t>
      </w:r>
      <w:r>
        <w:rPr>
          <w:rFonts w:hint="eastAsia" w:ascii="仿宋_GB2312" w:hAnsi="仿宋_GB2312" w:eastAsia="仿宋_GB2312"/>
          <w:color w:val="auto"/>
          <w:sz w:val="32"/>
        </w:rPr>
        <w:t>月</w:t>
      </w:r>
      <w:r>
        <w:rPr>
          <w:rFonts w:hint="eastAsia" w:ascii="仿宋_GB2312" w:hAnsi="仿宋_GB2312" w:eastAsia="仿宋_GB2312"/>
          <w:color w:val="auto"/>
          <w:sz w:val="32"/>
          <w:lang w:val="en-US" w:eastAsia="zh-CN"/>
        </w:rPr>
        <w:t>29</w:t>
      </w:r>
      <w:r>
        <w:rPr>
          <w:rFonts w:hint="eastAsia" w:ascii="仿宋_GB2312" w:hAnsi="仿宋_GB2312" w:eastAsia="仿宋_GB2312"/>
          <w:color w:val="auto"/>
          <w:sz w:val="32"/>
        </w:rPr>
        <w:t xml:space="preserve">日 </w:t>
      </w:r>
    </w:p>
    <w:p>
      <w:pPr>
        <w:keepNext w:val="0"/>
        <w:keepLines w:val="0"/>
        <w:pageBreakBefore w:val="0"/>
        <w:kinsoku/>
        <w:wordWrap/>
        <w:overflowPunct/>
        <w:topLinePunct w:val="0"/>
        <w:autoSpaceDE/>
        <w:autoSpaceDN/>
        <w:bidi w:val="0"/>
        <w:adjustRightInd/>
        <w:snapToGrid/>
        <w:spacing w:line="640" w:lineRule="exact"/>
        <w:jc w:val="left"/>
        <w:textAlignment w:val="auto"/>
        <w:rPr>
          <w:rFonts w:hint="eastAsia" w:ascii="方正小标宋简体" w:hAnsi="方正小标宋简体" w:eastAsia="方正小标宋简体"/>
          <w:color w:val="auto"/>
          <w:sz w:val="44"/>
        </w:rPr>
      </w:pPr>
      <w:r>
        <w:rPr>
          <w:rFonts w:hint="eastAsia" w:ascii="方正小标宋简体" w:hAnsi="方正小标宋简体" w:eastAsia="方正小标宋简体"/>
          <w:color w:val="auto"/>
          <w:sz w:val="44"/>
        </w:rPr>
        <w:br w:type="page"/>
      </w:r>
    </w:p>
    <w:p>
      <w:pPr>
        <w:keepNext w:val="0"/>
        <w:keepLines w:val="0"/>
        <w:pageBreakBefore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olor w:val="auto"/>
          <w:sz w:val="44"/>
          <w:lang w:val="en-US" w:eastAsia="zh-CN"/>
        </w:rPr>
      </w:pPr>
    </w:p>
    <w:p>
      <w:pPr>
        <w:keepNext w:val="0"/>
        <w:keepLines w:val="0"/>
        <w:pageBreakBefore w:val="0"/>
        <w:kinsoku/>
        <w:wordWrap/>
        <w:overflowPunct/>
        <w:topLinePunct w:val="0"/>
        <w:autoSpaceDE/>
        <w:autoSpaceDN/>
        <w:bidi w:val="0"/>
        <w:adjustRightInd/>
        <w:snapToGrid/>
        <w:spacing w:line="620" w:lineRule="exact"/>
        <w:jc w:val="center"/>
        <w:textAlignment w:val="auto"/>
        <w:rPr>
          <w:rFonts w:hint="eastAsia" w:ascii="方正小标宋简体" w:hAnsi="方正小标宋简体" w:eastAsia="方正小标宋简体"/>
          <w:color w:val="auto"/>
          <w:sz w:val="44"/>
        </w:rPr>
      </w:pPr>
      <w:r>
        <w:rPr>
          <w:rFonts w:hint="eastAsia" w:ascii="方正小标宋简体" w:hAnsi="方正小标宋简体" w:eastAsia="方正小标宋简体"/>
          <w:color w:val="auto"/>
          <w:sz w:val="44"/>
          <w:lang w:val="en-US" w:eastAsia="zh-CN"/>
        </w:rPr>
        <w:t>焦作市</w:t>
      </w:r>
      <w:r>
        <w:rPr>
          <w:rFonts w:hint="eastAsia" w:ascii="方正小标宋简体" w:hAnsi="方正小标宋简体" w:eastAsia="方正小标宋简体"/>
          <w:color w:val="auto"/>
          <w:sz w:val="44"/>
        </w:rPr>
        <w:t>老年人家庭适老化改造</w:t>
      </w:r>
      <w:r>
        <w:rPr>
          <w:rFonts w:hint="eastAsia" w:ascii="方正小标宋简体" w:hAnsi="方正小标宋简体" w:eastAsia="方正小标宋简体"/>
          <w:color w:val="auto"/>
          <w:sz w:val="44"/>
          <w:lang w:val="en-US" w:eastAsia="zh-CN"/>
        </w:rPr>
        <w:t>工作</w:t>
      </w:r>
      <w:r>
        <w:rPr>
          <w:rFonts w:hint="eastAsia" w:ascii="方正小标宋简体" w:hAnsi="方正小标宋简体" w:eastAsia="方正小标宋简体"/>
          <w:color w:val="auto"/>
          <w:sz w:val="44"/>
        </w:rPr>
        <w:t>方案</w:t>
      </w:r>
    </w:p>
    <w:p>
      <w:pPr>
        <w:keepNext w:val="0"/>
        <w:keepLines w:val="0"/>
        <w:pageBreakBefore w:val="0"/>
        <w:kinsoku/>
        <w:wordWrap/>
        <w:overflowPunct/>
        <w:topLinePunct w:val="0"/>
        <w:autoSpaceDE/>
        <w:autoSpaceDN/>
        <w:bidi w:val="0"/>
        <w:adjustRightInd/>
        <w:snapToGrid/>
        <w:spacing w:line="620" w:lineRule="exact"/>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rPr>
        <w:t>为贯彻落实《国务院办公厅关于推进养老服务发展的意见》（国办发〔2019〕5号）、民政部等9部门《关于加快实施老年人家庭适老化改造工程的指导意见》（民发〔2020〕86号）、《</w:t>
      </w:r>
      <w:r>
        <w:rPr>
          <w:rFonts w:hint="eastAsia" w:ascii="仿宋_GB2312" w:hAnsi="仿宋_GB2312" w:eastAsia="仿宋_GB2312"/>
          <w:color w:val="auto"/>
          <w:sz w:val="32"/>
          <w:lang w:val="en-US" w:eastAsia="zh-CN"/>
        </w:rPr>
        <w:t>河南</w:t>
      </w:r>
      <w:r>
        <w:rPr>
          <w:rFonts w:hint="eastAsia" w:ascii="仿宋_GB2312" w:hAnsi="仿宋_GB2312" w:eastAsia="仿宋_GB2312"/>
          <w:color w:val="auto"/>
          <w:sz w:val="32"/>
        </w:rPr>
        <w:t>省</w:t>
      </w:r>
      <w:r>
        <w:rPr>
          <w:rFonts w:hint="eastAsia" w:ascii="仿宋_GB2312" w:hAnsi="仿宋_GB2312" w:eastAsia="仿宋_GB2312"/>
          <w:color w:val="auto"/>
          <w:sz w:val="32"/>
          <w:lang w:val="en-US" w:eastAsia="zh-CN"/>
        </w:rPr>
        <w:t>民政厅关于加快推进养老服务重点任务落实的通知</w:t>
      </w:r>
      <w:r>
        <w:rPr>
          <w:rFonts w:hint="eastAsia" w:ascii="仿宋_GB2312" w:hAnsi="仿宋_GB2312" w:eastAsia="仿宋_GB2312"/>
          <w:color w:val="auto"/>
          <w:sz w:val="32"/>
        </w:rPr>
        <w:t>》（</w:t>
      </w:r>
      <w:r>
        <w:rPr>
          <w:rFonts w:hint="eastAsia" w:ascii="仿宋_GB2312" w:hAnsi="仿宋_GB2312" w:eastAsia="仿宋_GB2312"/>
          <w:color w:val="auto"/>
          <w:sz w:val="32"/>
          <w:lang w:val="en-US" w:eastAsia="zh-CN"/>
        </w:rPr>
        <w:t>豫民文</w:t>
      </w:r>
      <w:r>
        <w:rPr>
          <w:rFonts w:hint="eastAsia" w:ascii="仿宋_GB2312" w:hAnsi="仿宋_GB2312" w:eastAsia="仿宋_GB2312"/>
          <w:color w:val="auto"/>
          <w:sz w:val="32"/>
        </w:rPr>
        <w:t>〔20</w:t>
      </w:r>
      <w:r>
        <w:rPr>
          <w:rFonts w:hint="eastAsia" w:ascii="仿宋_GB2312" w:hAnsi="仿宋_GB2312" w:eastAsia="仿宋_GB2312"/>
          <w:color w:val="auto"/>
          <w:sz w:val="32"/>
          <w:lang w:val="en-US" w:eastAsia="zh-CN"/>
        </w:rPr>
        <w:t>2</w:t>
      </w:r>
      <w:r>
        <w:rPr>
          <w:rFonts w:hint="eastAsia" w:ascii="仿宋_GB2312" w:hAnsi="仿宋_GB2312" w:eastAsia="仿宋_GB2312"/>
          <w:color w:val="auto"/>
          <w:sz w:val="32"/>
        </w:rPr>
        <w:t>1〕</w:t>
      </w:r>
      <w:r>
        <w:rPr>
          <w:rFonts w:hint="eastAsia" w:ascii="仿宋_GB2312" w:hAnsi="仿宋_GB2312" w:eastAsia="仿宋_GB2312"/>
          <w:color w:val="auto"/>
          <w:sz w:val="32"/>
          <w:lang w:val="en-US" w:eastAsia="zh-CN"/>
        </w:rPr>
        <w:t>124</w:t>
      </w:r>
      <w:r>
        <w:rPr>
          <w:rFonts w:hint="eastAsia" w:ascii="仿宋_GB2312" w:hAnsi="仿宋_GB2312" w:eastAsia="仿宋_GB2312"/>
          <w:color w:val="auto"/>
          <w:sz w:val="32"/>
        </w:rPr>
        <w:t>号）等文件，缓解老年人因生理机能退化导致的生活不适应，提升老年人生活自理能力和居家生活品质，巩固家庭养老基础地位、促进养老服务消费升级，</w:t>
      </w:r>
      <w:r>
        <w:rPr>
          <w:rFonts w:hint="eastAsia" w:ascii="仿宋_GB2312" w:hAnsi="仿宋_GB2312" w:eastAsia="仿宋_GB2312" w:cs="仿宋_GB2312"/>
          <w:color w:val="auto"/>
          <w:sz w:val="32"/>
          <w:szCs w:val="32"/>
          <w:lang w:val="en-US" w:eastAsia="zh-CN"/>
        </w:rPr>
        <w:t>更好地建设居家社区机构相协调、医养康养相结合的养老服务体系</w:t>
      </w:r>
      <w:r>
        <w:rPr>
          <w:rFonts w:hint="eastAsia" w:ascii="仿宋_GB2312" w:hAnsi="仿宋_GB2312" w:eastAsia="仿宋_GB2312"/>
          <w:color w:val="auto"/>
          <w:sz w:val="32"/>
        </w:rPr>
        <w:t xml:space="preserve">，现就深入推进全市老年人家庭适老化改造制定如下方案。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olor w:val="auto"/>
          <w:sz w:val="32"/>
        </w:rPr>
      </w:pPr>
      <w:r>
        <w:rPr>
          <w:rFonts w:hint="eastAsia" w:ascii="黑体" w:hAnsi="黑体" w:eastAsia="黑体"/>
          <w:color w:val="auto"/>
          <w:sz w:val="32"/>
        </w:rPr>
        <w:t xml:space="preserve">一、目标任务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仿宋_GB2312" w:hAnsi="仿宋_GB2312" w:eastAsia="仿宋_GB2312"/>
          <w:color w:val="auto"/>
          <w:sz w:val="32"/>
          <w:lang w:val="en-US" w:eastAsia="zh-CN"/>
        </w:rPr>
        <w:t>2021-2022年</w:t>
      </w:r>
      <w:r>
        <w:rPr>
          <w:rFonts w:hint="eastAsia" w:ascii="仿宋_GB2312" w:hAnsi="仿宋_GB2312" w:eastAsia="仿宋_GB2312"/>
          <w:color w:val="auto"/>
          <w:sz w:val="32"/>
        </w:rPr>
        <w:t>，全市</w:t>
      </w:r>
      <w:r>
        <w:rPr>
          <w:rFonts w:hint="eastAsia" w:ascii="仿宋_GB2312" w:hAnsi="仿宋_GB2312" w:eastAsia="仿宋_GB2312"/>
          <w:color w:val="auto"/>
          <w:sz w:val="32"/>
          <w:lang w:val="en-US" w:eastAsia="zh-CN"/>
        </w:rPr>
        <w:t>将补贴4000户</w:t>
      </w:r>
      <w:r>
        <w:rPr>
          <w:rFonts w:hint="eastAsia" w:ascii="仿宋_GB2312" w:hAnsi="仿宋_GB2312" w:eastAsia="仿宋_GB2312"/>
          <w:color w:val="auto"/>
          <w:sz w:val="32"/>
        </w:rPr>
        <w:t>有需求的老年人家庭进行适老化改造</w:t>
      </w:r>
      <w:r>
        <w:rPr>
          <w:rFonts w:hint="eastAsia" w:ascii="仿宋_GB2312" w:hAnsi="仿宋_GB2312" w:eastAsia="仿宋_GB2312"/>
          <w:color w:val="auto"/>
          <w:sz w:val="32"/>
          <w:lang w:eastAsia="zh-CN"/>
        </w:rPr>
        <w:t>，</w:t>
      </w:r>
      <w:r>
        <w:rPr>
          <w:rFonts w:hint="eastAsia" w:ascii="仿宋_GB2312" w:hAnsi="仿宋_GB2312" w:eastAsia="仿宋_GB2312" w:cs="仿宋_GB2312"/>
          <w:color w:val="auto"/>
          <w:sz w:val="32"/>
          <w:szCs w:val="32"/>
          <w:lang w:val="en-US" w:eastAsia="zh-CN"/>
        </w:rPr>
        <w:t>提升老年人生活自理能力和居家生活品质，使更多老年人享受公平可及的社会发展成果。引导有实际建设需求和强烈居家养老上门服务意愿的老年人家庭进行适老化改造，改</w:t>
      </w:r>
      <w:r>
        <w:rPr>
          <w:rFonts w:hint="eastAsia" w:ascii="仿宋_GB2312" w:hAnsi="仿宋_GB2312" w:eastAsia="仿宋_GB2312"/>
          <w:color w:val="auto"/>
          <w:sz w:val="32"/>
        </w:rPr>
        <w:t>善老年人的居家生活环境，提升老年人的获得感、安全感</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幸福感。</w:t>
      </w:r>
      <w:r>
        <w:rPr>
          <w:rFonts w:hint="eastAsia" w:ascii="仿宋_GB2312" w:hAnsi="仿宋_GB2312" w:eastAsia="仿宋_GB2312" w:cs="仿宋_GB2312"/>
          <w:color w:val="auto"/>
          <w:sz w:val="32"/>
          <w:szCs w:val="32"/>
          <w:lang w:val="en-US" w:eastAsia="zh-CN"/>
        </w:rPr>
        <w:t>鼓励有条件的县（市）区可探索出台支持性政策，培育养老服务市场，扭转老年人消费理念。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olor w:val="auto"/>
          <w:sz w:val="32"/>
          <w:lang w:val="en-US" w:eastAsia="zh-CN"/>
        </w:rPr>
      </w:pPr>
      <w:r>
        <w:rPr>
          <w:rFonts w:hint="eastAsia" w:ascii="黑体" w:hAnsi="黑体" w:eastAsia="黑体"/>
          <w:color w:val="auto"/>
          <w:sz w:val="32"/>
        </w:rPr>
        <w:t>二、</w:t>
      </w:r>
      <w:r>
        <w:rPr>
          <w:rFonts w:hint="eastAsia" w:ascii="黑体" w:hAnsi="黑体" w:eastAsia="黑体"/>
          <w:color w:val="auto"/>
          <w:sz w:val="32"/>
          <w:lang w:val="en-US" w:eastAsia="zh-CN"/>
        </w:rPr>
        <w:t>实施对象及补贴政策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olor w:val="auto"/>
          <w:sz w:val="32"/>
        </w:rPr>
      </w:pPr>
      <w:r>
        <w:rPr>
          <w:rFonts w:hint="eastAsia" w:ascii="仿宋_GB2312" w:hAnsi="仿宋_GB2312" w:eastAsia="仿宋_GB2312" w:cs="仿宋_GB2312"/>
          <w:color w:val="auto"/>
          <w:sz w:val="32"/>
          <w:szCs w:val="32"/>
          <w:lang w:val="en-US" w:eastAsia="zh-CN"/>
        </w:rPr>
        <w:t>各级财政应优先对有建设家庭养老床位意愿的分散供养特困人员、低保户、符合河南省社会救助家庭经济状况认定办法的低保边缘户、有特殊贡献的失能、半失能、残疾、高龄老年人家庭予以补贴支持。申请享受家庭养老床位政策补贴的老年人应持二级以上医疗机构依据《老年人能力评估》（民政行业标准）出具的评估报告，对其能力进行规范认定。</w:t>
      </w:r>
      <w:r>
        <w:rPr>
          <w:rFonts w:hint="eastAsia" w:ascii="仿宋_GB2312" w:hAnsi="仿宋_GB2312" w:eastAsia="仿宋_GB2312"/>
          <w:color w:val="auto"/>
          <w:sz w:val="32"/>
        </w:rPr>
        <w:t>适老化改造</w:t>
      </w:r>
      <w:r>
        <w:rPr>
          <w:rFonts w:hint="eastAsia" w:ascii="仿宋_GB2312" w:hAnsi="仿宋_GB2312" w:eastAsia="仿宋_GB2312"/>
          <w:color w:val="auto"/>
          <w:sz w:val="32"/>
          <w:lang w:val="en-US" w:eastAsia="zh-CN"/>
        </w:rPr>
        <w:t>平均每户3000元，具体补贴标准和比例由县（市）区民政部门根据实际情况确定</w:t>
      </w:r>
      <w:r>
        <w:rPr>
          <w:rFonts w:hint="eastAsia" w:ascii="仿宋_GB2312" w:hAnsi="仿宋_GB2312" w:eastAsia="仿宋_GB2312"/>
          <w:color w:val="auto"/>
          <w:sz w:val="32"/>
        </w:rPr>
        <w:t>。</w:t>
      </w:r>
      <w:r>
        <w:rPr>
          <w:rFonts w:hint="eastAsia" w:ascii="仿宋_GB2312" w:hAnsi="仿宋_GB2312" w:eastAsia="仿宋_GB2312"/>
          <w:color w:val="auto"/>
          <w:sz w:val="32"/>
          <w:lang w:eastAsia="zh-CN"/>
        </w:rPr>
        <w:t>焦作</w:t>
      </w:r>
      <w:r>
        <w:rPr>
          <w:rFonts w:hint="eastAsia" w:ascii="仿宋_GB2312" w:hAnsi="仿宋_GB2312" w:eastAsia="仿宋_GB2312"/>
          <w:color w:val="auto"/>
          <w:sz w:val="32"/>
        </w:rPr>
        <w:t>户籍老年人家庭每户只能申请一次政府适老化改造补贴</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对于已经享受过政府补贴无障碍化改造的家庭不得纳入此次适老化改造补贴范围</w:t>
      </w:r>
      <w:r>
        <w:rPr>
          <w:rFonts w:hint="eastAsia" w:ascii="仿宋_GB2312" w:hAnsi="仿宋_GB2312" w:eastAsia="仿宋_GB2312"/>
          <w:color w:val="auto"/>
          <w:sz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olor w:val="auto"/>
          <w:sz w:val="32"/>
        </w:rPr>
      </w:pPr>
      <w:r>
        <w:rPr>
          <w:rFonts w:hint="eastAsia" w:ascii="黑体" w:hAnsi="黑体" w:eastAsia="黑体"/>
          <w:color w:val="auto"/>
          <w:sz w:val="32"/>
          <w:lang w:val="en-US" w:eastAsia="zh-CN"/>
        </w:rPr>
        <w:t>三、改造</w:t>
      </w:r>
      <w:r>
        <w:rPr>
          <w:rFonts w:hint="eastAsia" w:ascii="黑体" w:hAnsi="黑体" w:eastAsia="黑体"/>
          <w:color w:val="auto"/>
          <w:sz w:val="32"/>
        </w:rPr>
        <w:t xml:space="preserve">原则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（一）坚持需求导向，自愿申请。</w:t>
      </w:r>
      <w:r>
        <w:rPr>
          <w:rFonts w:hint="eastAsia" w:ascii="仿宋_GB2312" w:hAnsi="仿宋_GB2312" w:eastAsia="仿宋_GB2312"/>
          <w:color w:val="auto"/>
          <w:sz w:val="32"/>
        </w:rPr>
        <w:t xml:space="preserve">家庭适老化改造应顺应广大老年人居家养老的意愿与趋势，以满足其居家生活照料、起居行走、康复护理等需求为核心，改善居家生活照护条件，增强居家生活设施设备安全性、便利性和舒适性，提升居家养老服务品质。同时，要遵循老年人及其家庭愿意，以自愿申请为前提，结合老年人家庭实际环境及老年人身体健康状况、家庭经济状况、居住房屋现状、改造急需程度和施工时效等情况确定改造顺序。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楷体" w:hAnsi="楷体" w:eastAsia="楷体"/>
          <w:color w:val="auto"/>
          <w:sz w:val="32"/>
        </w:rPr>
        <w:t>（二）坚持市场驱动，激励消费。</w:t>
      </w:r>
      <w:r>
        <w:rPr>
          <w:rFonts w:hint="eastAsia" w:ascii="仿宋_GB2312" w:hAnsi="仿宋_GB2312" w:eastAsia="仿宋_GB2312" w:cs="仿宋_GB2312"/>
          <w:color w:val="auto"/>
          <w:sz w:val="32"/>
          <w:szCs w:val="32"/>
          <w:lang w:val="en-US" w:eastAsia="zh-CN"/>
        </w:rPr>
        <w:t>按照居家社区机构养老协调发展的要求，依托有资质的养老服务企业或组织，通过智能化、适老化改造，将专业照护服务延伸至失能、部分失能老年人家中。</w:t>
      </w:r>
      <w:r>
        <w:rPr>
          <w:rFonts w:hint="eastAsia" w:ascii="仿宋_GB2312" w:hAnsi="仿宋_GB2312" w:eastAsia="仿宋_GB2312"/>
          <w:color w:val="auto"/>
          <w:sz w:val="32"/>
        </w:rPr>
        <w:t xml:space="preserve">家庭适老化改造应遵循市场要求，通过需求评估后制定改造方案、具体实施改造。在保障好经济困难老年人家庭适老化改造的同时，通过政府适当补贴引导有需求的老年人家庭进行适老化改造，激发市场活力，提升供给品质，释放养老服务消费潜能，发展壮大养老服务、居家养老设施、老年用品等消费市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（三）坚持因地制宜，合理改造。</w:t>
      </w:r>
      <w:r>
        <w:rPr>
          <w:rFonts w:hint="eastAsia" w:ascii="仿宋_GB2312" w:hAnsi="仿宋_GB2312" w:eastAsia="仿宋_GB2312"/>
          <w:color w:val="auto"/>
          <w:sz w:val="32"/>
        </w:rPr>
        <w:t>家庭适老化改造应注重老年人家庭实际情况因地制宜实施，既要根据老年人身体状况、养老服务需求、居住环境</w:t>
      </w:r>
      <w:r>
        <w:rPr>
          <w:rFonts w:hint="eastAsia" w:ascii="仿宋_GB2312" w:hAnsi="仿宋_GB2312" w:eastAsia="仿宋_GB2312"/>
          <w:color w:val="auto"/>
          <w:sz w:val="32"/>
          <w:lang w:eastAsia="zh-CN"/>
        </w:rPr>
        <w:t>等</w:t>
      </w:r>
      <w:r>
        <w:rPr>
          <w:rFonts w:hint="eastAsia" w:ascii="仿宋_GB2312" w:hAnsi="仿宋_GB2312" w:eastAsia="仿宋_GB2312"/>
          <w:color w:val="auto"/>
          <w:sz w:val="32"/>
        </w:rPr>
        <w:t>特点和适老化需求评估结果，又要结合我市经济社会发展情况，按照“一户一策”，在助行、助力、助浴、助急、防滑等方面选择老年人居家生活最适合、最迫切的改造项目，合理设计方案，帮助老年人防范生活风险，改善老年人居家养老环境。</w:t>
      </w:r>
      <w:r>
        <w:rPr>
          <w:rFonts w:hint="eastAsia" w:ascii="仿宋_GB2312" w:hAnsi="仿宋_GB2312" w:eastAsia="仿宋_GB2312" w:cs="仿宋_GB2312"/>
          <w:color w:val="auto"/>
          <w:sz w:val="32"/>
          <w:szCs w:val="32"/>
          <w:lang w:val="en-US" w:eastAsia="zh-CN"/>
        </w:rPr>
        <w:t>改造建设内容应聚焦老年人安全、健康、功能性补偿等符合老年人实际需求的适配项目。按照《民政部 国家发展改革委 财政部 住房和城乡建设部 国家卫生健康委 银保监会 国务院 扶贫办 中国残联 全国老龄办关于加快实施老年人居家适老化改造工程的指导意见》（民发〔2020〕86号）要求，优先保障建设符合个性化实际需求的基础项目。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（四）坚持公开规范，务求实效。</w:t>
      </w:r>
      <w:r>
        <w:rPr>
          <w:rFonts w:hint="eastAsia" w:ascii="仿宋_GB2312" w:hAnsi="仿宋_GB2312" w:eastAsia="仿宋_GB2312"/>
          <w:color w:val="auto"/>
          <w:sz w:val="32"/>
        </w:rPr>
        <w:t>家庭适老化改造应公开透明、规范程序，在申请审核、评估设计、改造实施、验收审计等环节，严格按照程序执行，落实监管责任，及时利用信息化手段收集改造相关资料建档留存。适老化改造前，要明确具体改造事项和标准；改造过程中严把质量关，杜绝脱离实际的“形象工程”，确保家庭适老化改造方便实用，按时高效完成。市民政局</w:t>
      </w:r>
      <w:r>
        <w:rPr>
          <w:rFonts w:hint="eastAsia" w:ascii="仿宋_GB2312" w:hAnsi="仿宋_GB2312" w:eastAsia="仿宋_GB2312"/>
          <w:color w:val="auto"/>
          <w:sz w:val="32"/>
          <w:lang w:eastAsia="zh-CN"/>
        </w:rPr>
        <w:t>将视情况</w:t>
      </w:r>
      <w:r>
        <w:rPr>
          <w:rFonts w:hint="eastAsia" w:ascii="仿宋_GB2312" w:hAnsi="仿宋_GB2312" w:eastAsia="仿宋_GB2312"/>
          <w:color w:val="auto"/>
          <w:sz w:val="32"/>
        </w:rPr>
        <w:t>对参与适老化改造的服务提供机构负责人、项目管理人</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项目验收人等</w:t>
      </w:r>
      <w:r>
        <w:rPr>
          <w:rFonts w:hint="eastAsia" w:ascii="仿宋_GB2312" w:hAnsi="仿宋_GB2312" w:eastAsia="仿宋_GB2312"/>
          <w:color w:val="auto"/>
          <w:sz w:val="32"/>
        </w:rPr>
        <w:t>进行培训，</w:t>
      </w:r>
      <w:r>
        <w:rPr>
          <w:rFonts w:hint="eastAsia" w:ascii="仿宋_GB2312" w:hAnsi="仿宋_GB2312" w:eastAsia="仿宋_GB2312"/>
          <w:color w:val="auto"/>
          <w:sz w:val="32"/>
          <w:lang w:val="en-US" w:eastAsia="zh-CN"/>
        </w:rPr>
        <w:t>确保施工安全和改造高质量</w:t>
      </w:r>
      <w:r>
        <w:rPr>
          <w:rFonts w:hint="eastAsia" w:ascii="仿宋_GB2312" w:hAnsi="仿宋_GB2312" w:eastAsia="仿宋_GB2312"/>
          <w:color w:val="auto"/>
          <w:sz w:val="32"/>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（五）坚持协调融合，突出重点。</w:t>
      </w:r>
      <w:r>
        <w:rPr>
          <w:rFonts w:hint="eastAsia" w:ascii="仿宋_GB2312" w:hAnsi="仿宋_GB2312" w:eastAsia="仿宋_GB2312"/>
          <w:color w:val="auto"/>
          <w:sz w:val="32"/>
        </w:rPr>
        <w:t>家庭适老化改造作为省、市政府</w:t>
      </w:r>
      <w:r>
        <w:rPr>
          <w:rFonts w:hint="eastAsia" w:ascii="仿宋_GB2312" w:hAnsi="仿宋_GB2312" w:eastAsia="仿宋_GB2312"/>
          <w:color w:val="auto"/>
          <w:sz w:val="32"/>
          <w:lang w:val="en-US" w:eastAsia="zh-CN"/>
        </w:rPr>
        <w:t>养老服务</w:t>
      </w:r>
      <w:r>
        <w:rPr>
          <w:rFonts w:hint="eastAsia" w:ascii="仿宋_GB2312" w:hAnsi="仿宋_GB2312" w:eastAsia="仿宋_GB2312"/>
          <w:color w:val="auto"/>
          <w:sz w:val="32"/>
        </w:rPr>
        <w:t>年度重点工作，要与经济社会发展相协调，与居家养老服务质量提升相融合，与</w:t>
      </w:r>
      <w:r>
        <w:rPr>
          <w:rFonts w:hint="eastAsia" w:ascii="仿宋_GB2312" w:hAnsi="仿宋_GB2312" w:eastAsia="仿宋_GB2312"/>
          <w:color w:val="auto"/>
          <w:sz w:val="32"/>
          <w:lang w:val="en-US" w:eastAsia="zh-CN"/>
        </w:rPr>
        <w:t>康复辅助器具社区租赁服务</w:t>
      </w:r>
      <w:r>
        <w:rPr>
          <w:rFonts w:hint="eastAsia" w:ascii="仿宋_GB2312" w:hAnsi="仿宋_GB2312" w:eastAsia="仿宋_GB2312"/>
          <w:color w:val="auto"/>
          <w:sz w:val="32"/>
        </w:rPr>
        <w:t>相结合，改造对象突出特困老年人、低保及低保边缘、低收入、计划生育特别扶助对象及高龄空巢等</w:t>
      </w:r>
      <w:r>
        <w:rPr>
          <w:rFonts w:hint="eastAsia" w:ascii="仿宋_GB2312" w:hAnsi="仿宋_GB2312" w:eastAsia="仿宋_GB2312"/>
          <w:color w:val="auto"/>
          <w:sz w:val="32"/>
          <w:lang w:eastAsia="zh-CN"/>
        </w:rPr>
        <w:t>有</w:t>
      </w:r>
      <w:r>
        <w:rPr>
          <w:rFonts w:hint="eastAsia" w:ascii="仿宋_GB2312" w:hAnsi="仿宋_GB2312" w:eastAsia="仿宋_GB2312"/>
          <w:color w:val="auto"/>
          <w:sz w:val="32"/>
          <w:lang w:val="en-US" w:eastAsia="zh-CN"/>
        </w:rPr>
        <w:t>特殊困难</w:t>
      </w:r>
      <w:r>
        <w:rPr>
          <w:rFonts w:hint="eastAsia" w:ascii="仿宋_GB2312" w:hAnsi="仿宋_GB2312" w:eastAsia="仿宋_GB2312"/>
          <w:color w:val="auto"/>
          <w:sz w:val="32"/>
        </w:rPr>
        <w:t>老年人家庭</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改造区域</w:t>
      </w:r>
      <w:r>
        <w:rPr>
          <w:rFonts w:hint="eastAsia" w:ascii="仿宋_GB2312" w:hAnsi="仿宋_GB2312" w:eastAsia="仿宋_GB2312"/>
          <w:color w:val="auto"/>
          <w:sz w:val="32"/>
          <w:lang w:val="en-US" w:eastAsia="zh-CN"/>
        </w:rPr>
        <w:t>与国家、省示范性老年友好型社区有机结合，</w:t>
      </w:r>
      <w:r>
        <w:rPr>
          <w:rFonts w:hint="eastAsia" w:ascii="仿宋_GB2312" w:hAnsi="仿宋_GB2312" w:eastAsia="仿宋_GB2312"/>
          <w:color w:val="auto"/>
          <w:sz w:val="32"/>
        </w:rPr>
        <w:t>突出老龄化较高的社区（村）或住宅小区</w:t>
      </w:r>
      <w:r>
        <w:rPr>
          <w:rFonts w:hint="eastAsia" w:ascii="仿宋_GB2312" w:hAnsi="仿宋_GB2312" w:eastAsia="仿宋_GB2312"/>
          <w:color w:val="auto"/>
          <w:sz w:val="32"/>
          <w:lang w:val="en-US" w:eastAsia="zh-CN"/>
        </w:rPr>
        <w:t>。</w:t>
      </w:r>
      <w:r>
        <w:rPr>
          <w:rFonts w:hint="eastAsia" w:ascii="仿宋_GB2312" w:hAnsi="仿宋_GB2312" w:eastAsia="仿宋_GB2312"/>
          <w:color w:val="auto"/>
          <w:sz w:val="32"/>
        </w:rPr>
        <w:t>改造步骤突出评估和监管，抓实抓细老年人家庭适老化改造工作。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olor w:val="auto"/>
          <w:sz w:val="32"/>
        </w:rPr>
      </w:pPr>
      <w:r>
        <w:rPr>
          <w:rFonts w:hint="eastAsia" w:ascii="黑体" w:hAnsi="黑体" w:eastAsia="黑体"/>
          <w:color w:val="auto"/>
          <w:sz w:val="32"/>
          <w:lang w:val="en-US" w:eastAsia="zh-CN"/>
        </w:rPr>
        <w:t>四</w:t>
      </w:r>
      <w:r>
        <w:rPr>
          <w:rFonts w:hint="eastAsia" w:ascii="黑体" w:hAnsi="黑体" w:eastAsia="黑体"/>
          <w:color w:val="auto"/>
          <w:sz w:val="32"/>
        </w:rPr>
        <w:t xml:space="preserve">、改造内容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rPr>
        <w:t>聚焦老年人安全、健康等功能性需求，围绕“如厕洗澡安全，室内行走便利，居家环境改善</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智能监测跟进，辅具配备到位”</w:t>
      </w:r>
      <w:r>
        <w:rPr>
          <w:rFonts w:hint="eastAsia" w:ascii="仿宋_GB2312" w:hAnsi="仿宋_GB2312" w:eastAsia="仿宋_GB2312"/>
          <w:color w:val="auto"/>
          <w:sz w:val="32"/>
          <w:lang w:val="en-US" w:eastAsia="zh-CN"/>
        </w:rPr>
        <w:t>五</w:t>
      </w:r>
      <w:r>
        <w:rPr>
          <w:rFonts w:hint="eastAsia" w:ascii="仿宋_GB2312" w:hAnsi="仿宋_GB2312" w:eastAsia="仿宋_GB2312"/>
          <w:color w:val="auto"/>
          <w:sz w:val="32"/>
        </w:rPr>
        <w:t xml:space="preserve">个方面，可根据实际需求评估情况，选择适配性产品组成不同居家场景的服务包，开展包括地面、墙体、卧室、客厅、厨房间、卫生间等施工改造服务，以提升老年人生活自理能力和居家生活品质。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（一）如厕洗澡安全。</w:t>
      </w:r>
      <w:r>
        <w:rPr>
          <w:rFonts w:hint="eastAsia" w:ascii="仿宋_GB2312" w:hAnsi="仿宋_GB2312" w:eastAsia="仿宋_GB2312"/>
          <w:color w:val="auto"/>
          <w:sz w:val="32"/>
        </w:rPr>
        <w:t xml:space="preserve">卫生间、浴室地面防滑处理，配备坐便器、洗澡椅，安装扶手等，降低意外风险。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（二）室内行走便利。</w:t>
      </w:r>
      <w:r>
        <w:rPr>
          <w:rFonts w:hint="eastAsia" w:ascii="仿宋_GB2312" w:hAnsi="仿宋_GB2312" w:eastAsia="仿宋_GB2312"/>
          <w:color w:val="auto"/>
          <w:sz w:val="32"/>
        </w:rPr>
        <w:t xml:space="preserve">出入通道无障碍改造、室内墙体安装扶手（抓杆）、加装夜间照明装置等，处理地面高差，便于老年人行走或轮椅移动。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（三）居家环境改善</w:t>
      </w:r>
      <w:r>
        <w:rPr>
          <w:rFonts w:hint="eastAsia" w:ascii="楷体" w:hAnsi="楷体" w:eastAsia="楷体"/>
          <w:color w:val="auto"/>
          <w:sz w:val="32"/>
          <w:lang w:eastAsia="zh-CN"/>
        </w:rPr>
        <w:t>。</w:t>
      </w:r>
      <w:r>
        <w:rPr>
          <w:rFonts w:hint="eastAsia" w:ascii="仿宋_GB2312" w:hAnsi="仿宋_GB2312" w:eastAsia="仿宋_GB2312"/>
          <w:color w:val="auto"/>
          <w:sz w:val="32"/>
        </w:rPr>
        <w:t>对腐蚀水管老化裸露用电线路等进行改造，改善居住环境。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lang w:eastAsia="zh-CN"/>
        </w:rPr>
        <w:t>（</w:t>
      </w:r>
      <w:r>
        <w:rPr>
          <w:rFonts w:hint="eastAsia" w:ascii="楷体" w:hAnsi="楷体" w:eastAsia="楷体"/>
          <w:color w:val="auto"/>
          <w:sz w:val="32"/>
          <w:lang w:val="en-US" w:eastAsia="zh-CN"/>
        </w:rPr>
        <w:t>四</w:t>
      </w:r>
      <w:r>
        <w:rPr>
          <w:rFonts w:hint="eastAsia" w:ascii="楷体" w:hAnsi="楷体" w:eastAsia="楷体"/>
          <w:color w:val="auto"/>
          <w:sz w:val="32"/>
          <w:lang w:eastAsia="zh-CN"/>
        </w:rPr>
        <w:t>）</w:t>
      </w:r>
      <w:r>
        <w:rPr>
          <w:rFonts w:hint="eastAsia" w:ascii="楷体" w:hAnsi="楷体" w:eastAsia="楷体"/>
          <w:color w:val="auto"/>
          <w:sz w:val="32"/>
        </w:rPr>
        <w:t>智能监测跟进。</w:t>
      </w:r>
      <w:r>
        <w:rPr>
          <w:rFonts w:hint="eastAsia" w:ascii="仿宋_GB2312" w:hAnsi="仿宋_GB2312" w:eastAsia="仿宋_GB2312"/>
          <w:color w:val="auto"/>
          <w:sz w:val="32"/>
        </w:rPr>
        <w:t xml:space="preserve">安装水、电、气监测报警器等，做好老年人安全监护。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w:t>
      </w:r>
      <w:r>
        <w:rPr>
          <w:rFonts w:hint="eastAsia" w:ascii="楷体" w:hAnsi="楷体" w:eastAsia="楷体"/>
          <w:color w:val="auto"/>
          <w:sz w:val="32"/>
          <w:lang w:val="en-US" w:eastAsia="zh-CN"/>
        </w:rPr>
        <w:t>五</w:t>
      </w:r>
      <w:r>
        <w:rPr>
          <w:rFonts w:hint="eastAsia" w:ascii="楷体" w:hAnsi="楷体" w:eastAsia="楷体"/>
          <w:color w:val="auto"/>
          <w:sz w:val="32"/>
        </w:rPr>
        <w:t>）</w:t>
      </w:r>
      <w:r>
        <w:rPr>
          <w:rFonts w:hint="eastAsia" w:ascii="仿宋_GB2312" w:hAnsi="仿宋_GB2312" w:eastAsia="仿宋_GB2312"/>
          <w:color w:val="auto"/>
          <w:sz w:val="32"/>
        </w:rPr>
        <w:t xml:space="preserve"> </w:t>
      </w:r>
      <w:r>
        <w:rPr>
          <w:rFonts w:hint="eastAsia" w:ascii="楷体" w:hAnsi="楷体" w:eastAsia="楷体"/>
          <w:color w:val="auto"/>
          <w:sz w:val="32"/>
        </w:rPr>
        <w:t>辅具配备到位。</w:t>
      </w:r>
      <w:r>
        <w:rPr>
          <w:rFonts w:hint="eastAsia" w:ascii="仿宋_GB2312" w:hAnsi="仿宋_GB2312" w:eastAsia="仿宋_GB2312"/>
          <w:color w:val="auto"/>
          <w:sz w:val="32"/>
        </w:rPr>
        <w:t xml:space="preserve">适配康复辅助器具等，补偿缺失的生理功能，适应居家生活。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olor w:val="auto"/>
          <w:sz w:val="32"/>
        </w:rPr>
      </w:pPr>
      <w:r>
        <w:rPr>
          <w:rFonts w:hint="eastAsia" w:ascii="黑体" w:hAnsi="黑体" w:eastAsia="黑体"/>
          <w:color w:val="auto"/>
          <w:sz w:val="32"/>
        </w:rPr>
        <w:t xml:space="preserve">五、实施步骤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（一）政策宣传</w:t>
      </w:r>
      <w:r>
        <w:rPr>
          <w:rFonts w:hint="eastAsia" w:ascii="楷体" w:hAnsi="楷体" w:eastAsia="楷体"/>
          <w:color w:val="auto"/>
          <w:sz w:val="32"/>
          <w:lang w:eastAsia="zh-CN"/>
        </w:rPr>
        <w:t>（</w:t>
      </w:r>
      <w:r>
        <w:rPr>
          <w:rFonts w:hint="eastAsia" w:ascii="楷体" w:hAnsi="楷体" w:eastAsia="楷体"/>
          <w:color w:val="auto"/>
          <w:sz w:val="32"/>
          <w:lang w:val="en-US" w:eastAsia="zh-CN"/>
        </w:rPr>
        <w:t>2021年10月-11月</w:t>
      </w:r>
      <w:r>
        <w:rPr>
          <w:rFonts w:hint="eastAsia" w:ascii="楷体" w:hAnsi="楷体" w:eastAsia="楷体"/>
          <w:color w:val="auto"/>
          <w:sz w:val="32"/>
          <w:lang w:eastAsia="zh-CN"/>
        </w:rPr>
        <w:t>）</w:t>
      </w:r>
      <w:r>
        <w:rPr>
          <w:rFonts w:hint="eastAsia" w:ascii="楷体" w:hAnsi="楷体" w:eastAsia="楷体"/>
          <w:color w:val="auto"/>
          <w:sz w:val="32"/>
        </w:rPr>
        <w:t>。</w:t>
      </w:r>
      <w:r>
        <w:rPr>
          <w:rFonts w:hint="eastAsia" w:ascii="仿宋_GB2312" w:hAnsi="仿宋_GB2312" w:eastAsia="仿宋_GB2312"/>
          <w:color w:val="auto"/>
          <w:sz w:val="32"/>
        </w:rPr>
        <w:t>各</w:t>
      </w:r>
      <w:r>
        <w:rPr>
          <w:rFonts w:hint="eastAsia" w:ascii="仿宋_GB2312" w:hAnsi="仿宋_GB2312" w:eastAsia="仿宋_GB2312"/>
          <w:color w:val="auto"/>
          <w:sz w:val="32"/>
          <w:lang w:val="en-US" w:eastAsia="zh-CN"/>
        </w:rPr>
        <w:t>县（</w:t>
      </w:r>
      <w:r>
        <w:rPr>
          <w:rFonts w:hint="eastAsia" w:ascii="仿宋_GB2312" w:hAnsi="仿宋_GB2312" w:eastAsia="仿宋_GB2312"/>
          <w:color w:val="auto"/>
          <w:sz w:val="32"/>
        </w:rPr>
        <w:t>市</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区、各</w:t>
      </w:r>
      <w:r>
        <w:rPr>
          <w:rFonts w:hint="eastAsia" w:ascii="仿宋_GB2312" w:hAnsi="仿宋_GB2312" w:eastAsia="仿宋_GB2312"/>
          <w:color w:val="auto"/>
          <w:sz w:val="32"/>
          <w:lang w:eastAsia="zh-CN"/>
        </w:rPr>
        <w:t>乡</w:t>
      </w:r>
      <w:r>
        <w:rPr>
          <w:rFonts w:hint="eastAsia" w:ascii="仿宋_GB2312" w:hAnsi="仿宋_GB2312" w:eastAsia="仿宋_GB2312"/>
          <w:color w:val="auto"/>
          <w:sz w:val="32"/>
        </w:rPr>
        <w:t xml:space="preserve">镇（街道）及各社区（村）通过广播电视、现代媒介、报刊杂志、宣传手册等手段广泛宣传老年人家庭适老化改造相关政策，引导老年人家庭了解适老化改造的好处，积极申请进行家庭适老化改造。各适老化改造服务提供机构可深入社区（村）、住宅小区或老年人家庭进行相关适老化改造政策、产品的宣传，让老年人及其家庭更多了解适老化改造常识。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lang w:eastAsia="zh-CN"/>
        </w:rPr>
      </w:pPr>
      <w:r>
        <w:rPr>
          <w:rFonts w:hint="eastAsia" w:ascii="楷体" w:hAnsi="楷体" w:eastAsia="楷体"/>
          <w:color w:val="auto"/>
          <w:sz w:val="32"/>
        </w:rPr>
        <w:t>（二）改造申请</w:t>
      </w:r>
      <w:r>
        <w:rPr>
          <w:rFonts w:hint="eastAsia" w:ascii="楷体" w:hAnsi="楷体" w:eastAsia="楷体"/>
          <w:color w:val="auto"/>
          <w:sz w:val="32"/>
          <w:lang w:eastAsia="zh-CN"/>
        </w:rPr>
        <w:t>（</w:t>
      </w:r>
      <w:r>
        <w:rPr>
          <w:rFonts w:hint="eastAsia" w:ascii="楷体" w:hAnsi="楷体" w:eastAsia="楷体"/>
          <w:color w:val="auto"/>
          <w:sz w:val="32"/>
          <w:lang w:val="en-US" w:eastAsia="zh-CN"/>
        </w:rPr>
        <w:t>2021年10月15日-11月15日</w:t>
      </w:r>
      <w:r>
        <w:rPr>
          <w:rFonts w:hint="eastAsia" w:ascii="楷体" w:hAnsi="楷体" w:eastAsia="楷体"/>
          <w:color w:val="auto"/>
          <w:sz w:val="32"/>
          <w:lang w:eastAsia="zh-CN"/>
        </w:rPr>
        <w:t>）</w:t>
      </w:r>
      <w:r>
        <w:rPr>
          <w:rFonts w:hint="eastAsia" w:ascii="楷体" w:hAnsi="楷体" w:eastAsia="楷体"/>
          <w:color w:val="auto"/>
          <w:sz w:val="32"/>
        </w:rPr>
        <w:t>。</w:t>
      </w:r>
      <w:r>
        <w:rPr>
          <w:rFonts w:hint="eastAsia" w:ascii="仿宋_GB2312" w:hAnsi="仿宋_GB2312" w:eastAsia="仿宋_GB2312"/>
          <w:color w:val="auto"/>
          <w:sz w:val="32"/>
        </w:rPr>
        <w:t>有改造意愿的老年人或其监护人</w:t>
      </w:r>
      <w:r>
        <w:rPr>
          <w:rFonts w:hint="eastAsia" w:ascii="仿宋_GB2312" w:hAnsi="仿宋_GB2312" w:eastAsia="仿宋_GB2312"/>
          <w:color w:val="auto"/>
          <w:sz w:val="32"/>
          <w:lang w:val="en-US" w:eastAsia="zh-CN"/>
        </w:rPr>
        <w:t>向</w:t>
      </w:r>
      <w:r>
        <w:rPr>
          <w:rFonts w:hint="eastAsia" w:ascii="仿宋_GB2312" w:hAnsi="仿宋_GB2312" w:eastAsia="仿宋_GB2312"/>
          <w:color w:val="auto"/>
          <w:sz w:val="32"/>
        </w:rPr>
        <w:t>社区（村）工作人员</w:t>
      </w:r>
      <w:r>
        <w:rPr>
          <w:rFonts w:hint="eastAsia" w:ascii="仿宋_GB2312" w:hAnsi="仿宋_GB2312" w:eastAsia="仿宋_GB2312"/>
          <w:color w:val="auto"/>
          <w:sz w:val="32"/>
          <w:lang w:val="en-US" w:eastAsia="zh-CN"/>
        </w:rPr>
        <w:t>提交</w:t>
      </w:r>
      <w:r>
        <w:rPr>
          <w:rFonts w:hint="eastAsia" w:ascii="仿宋_GB2312" w:hAnsi="仿宋_GB2312" w:eastAsia="仿宋_GB2312"/>
          <w:color w:val="auto"/>
          <w:sz w:val="32"/>
        </w:rPr>
        <w:t>申请。对城乡特困、低保、</w:t>
      </w:r>
      <w:r>
        <w:rPr>
          <w:rFonts w:hint="eastAsia" w:ascii="仿宋_GB2312" w:hAnsi="仿宋_GB2312" w:eastAsia="仿宋_GB2312"/>
          <w:color w:val="auto"/>
          <w:sz w:val="32"/>
          <w:lang w:eastAsia="zh-CN"/>
        </w:rPr>
        <w:t>低保边缘户</w:t>
      </w:r>
      <w:r>
        <w:rPr>
          <w:rFonts w:hint="eastAsia" w:ascii="仿宋_GB2312" w:hAnsi="仿宋_GB2312" w:eastAsia="仿宋_GB2312"/>
          <w:color w:val="auto"/>
          <w:sz w:val="32"/>
        </w:rPr>
        <w:t>、计划生育特别扶助对象、高龄等老年人家庭，社区（村）可采取主动上门服务帮助老年人申请。申请适老化改造的老年人家庭需提交以下材料：（1）老年人身份证、户籍信息；（2）拟进行适老化改造的住房信息（如房产证等）。</w:t>
      </w:r>
      <w:r>
        <w:rPr>
          <w:rFonts w:hint="eastAsia" w:ascii="仿宋_GB2312" w:hAnsi="仿宋_GB2312" w:eastAsia="仿宋_GB2312"/>
          <w:color w:val="auto"/>
          <w:sz w:val="32"/>
          <w:lang w:val="en-US" w:eastAsia="zh-CN"/>
        </w:rPr>
        <w:t>申请家庭应对改造房屋</w:t>
      </w:r>
      <w:r>
        <w:rPr>
          <w:rFonts w:hint="eastAsia" w:ascii="仿宋_GB2312" w:hAnsi="仿宋_GB2312" w:eastAsia="仿宋_GB2312"/>
          <w:color w:val="auto"/>
          <w:sz w:val="32"/>
        </w:rPr>
        <w:t>拥有产权或长期居住权且近期没有纳入动迁规划</w:t>
      </w:r>
      <w:r>
        <w:rPr>
          <w:rFonts w:hint="eastAsia" w:ascii="仿宋_GB2312" w:hAnsi="仿宋_GB2312" w:eastAsia="仿宋_GB2312"/>
          <w:color w:val="auto"/>
          <w:sz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（三）审核确定</w:t>
      </w:r>
      <w:r>
        <w:rPr>
          <w:rFonts w:hint="eastAsia" w:ascii="楷体" w:hAnsi="楷体" w:eastAsia="楷体"/>
          <w:color w:val="auto"/>
          <w:sz w:val="32"/>
          <w:lang w:eastAsia="zh-CN"/>
        </w:rPr>
        <w:t>（</w:t>
      </w:r>
      <w:r>
        <w:rPr>
          <w:rFonts w:hint="eastAsia" w:ascii="楷体" w:hAnsi="楷体" w:eastAsia="楷体"/>
          <w:color w:val="auto"/>
          <w:sz w:val="32"/>
          <w:lang w:val="en-US" w:eastAsia="zh-CN"/>
        </w:rPr>
        <w:t>2021年11月20日-11月30日</w:t>
      </w:r>
      <w:r>
        <w:rPr>
          <w:rFonts w:hint="eastAsia" w:ascii="楷体" w:hAnsi="楷体" w:eastAsia="楷体"/>
          <w:color w:val="auto"/>
          <w:sz w:val="32"/>
          <w:lang w:eastAsia="zh-CN"/>
        </w:rPr>
        <w:t>）</w:t>
      </w:r>
      <w:r>
        <w:rPr>
          <w:rFonts w:hint="eastAsia" w:ascii="楷体" w:hAnsi="楷体" w:eastAsia="楷体"/>
          <w:color w:val="auto"/>
          <w:sz w:val="32"/>
        </w:rPr>
        <w:t>。</w:t>
      </w:r>
      <w:r>
        <w:rPr>
          <w:rFonts w:hint="eastAsia" w:ascii="仿宋_GB2312" w:hAnsi="仿宋_GB2312" w:eastAsia="仿宋_GB2312"/>
          <w:color w:val="auto"/>
          <w:sz w:val="32"/>
        </w:rPr>
        <w:t>申请政府补贴的适老化改造对象，经社区（村）、</w:t>
      </w:r>
      <w:r>
        <w:rPr>
          <w:rFonts w:hint="eastAsia" w:ascii="仿宋_GB2312" w:hAnsi="仿宋_GB2312" w:eastAsia="仿宋_GB2312"/>
          <w:color w:val="auto"/>
          <w:sz w:val="32"/>
          <w:lang w:eastAsia="zh-CN"/>
        </w:rPr>
        <w:t>乡</w:t>
      </w:r>
      <w:r>
        <w:rPr>
          <w:rFonts w:hint="eastAsia" w:ascii="仿宋_GB2312" w:hAnsi="仿宋_GB2312" w:eastAsia="仿宋_GB2312"/>
          <w:color w:val="auto"/>
          <w:sz w:val="32"/>
        </w:rPr>
        <w:t>镇（街道）初审</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报县（市）区民政局</w:t>
      </w:r>
      <w:r>
        <w:rPr>
          <w:rFonts w:hint="eastAsia" w:ascii="仿宋_GB2312" w:hAnsi="仿宋_GB2312" w:eastAsia="仿宋_GB2312"/>
          <w:color w:val="auto"/>
          <w:sz w:val="32"/>
        </w:rPr>
        <w:t>审核，确定补贴比例标准</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审定结果应在村（居）委会和县（市）区网站进行公示，确保公开公平公正。</w:t>
      </w:r>
      <w:r>
        <w:rPr>
          <w:rFonts w:hint="eastAsia" w:ascii="仿宋_GB2312" w:hAnsi="仿宋_GB2312" w:eastAsia="仿宋_GB2312"/>
          <w:color w:val="auto"/>
          <w:sz w:val="32"/>
        </w:rPr>
        <w:t>非</w:t>
      </w:r>
      <w:r>
        <w:rPr>
          <w:rFonts w:hint="eastAsia" w:ascii="仿宋_GB2312" w:hAnsi="仿宋_GB2312" w:eastAsia="仿宋_GB2312"/>
          <w:color w:val="auto"/>
          <w:sz w:val="32"/>
          <w:lang w:val="en-US" w:eastAsia="zh-CN"/>
        </w:rPr>
        <w:t>焦作</w:t>
      </w:r>
      <w:r>
        <w:rPr>
          <w:rFonts w:hint="eastAsia" w:ascii="仿宋_GB2312" w:hAnsi="仿宋_GB2312" w:eastAsia="仿宋_GB2312"/>
          <w:color w:val="auto"/>
          <w:sz w:val="32"/>
        </w:rPr>
        <w:t xml:space="preserve">户籍老年人家庭及不需申请政府补贴的适老化改造对象可自行开展家庭适老化改造。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楷体" w:hAnsi="楷体" w:eastAsia="楷体"/>
          <w:color w:val="auto"/>
          <w:sz w:val="32"/>
        </w:rPr>
        <w:t>（四）改造设计</w:t>
      </w:r>
      <w:r>
        <w:rPr>
          <w:rFonts w:hint="eastAsia" w:ascii="楷体" w:hAnsi="楷体" w:eastAsia="楷体"/>
          <w:color w:val="auto"/>
          <w:sz w:val="32"/>
          <w:lang w:val="en-US" w:eastAsia="zh-CN"/>
        </w:rPr>
        <w:t>实施</w:t>
      </w:r>
      <w:r>
        <w:rPr>
          <w:rFonts w:hint="eastAsia" w:ascii="楷体" w:hAnsi="楷体" w:eastAsia="楷体"/>
          <w:color w:val="auto"/>
          <w:sz w:val="32"/>
          <w:lang w:eastAsia="zh-CN"/>
        </w:rPr>
        <w:t>（</w:t>
      </w:r>
      <w:r>
        <w:rPr>
          <w:rFonts w:hint="eastAsia" w:ascii="楷体" w:hAnsi="楷体" w:eastAsia="楷体"/>
          <w:color w:val="auto"/>
          <w:sz w:val="32"/>
          <w:lang w:val="en-US" w:eastAsia="zh-CN"/>
        </w:rPr>
        <w:t>2021年12月-2022年2月</w:t>
      </w:r>
      <w:r>
        <w:rPr>
          <w:rFonts w:hint="eastAsia" w:ascii="楷体" w:hAnsi="楷体" w:eastAsia="楷体"/>
          <w:color w:val="auto"/>
          <w:sz w:val="32"/>
          <w:lang w:eastAsia="zh-CN"/>
        </w:rPr>
        <w:t>）</w:t>
      </w:r>
      <w:r>
        <w:rPr>
          <w:rFonts w:hint="eastAsia" w:ascii="楷体" w:hAnsi="楷体" w:eastAsia="楷体"/>
          <w:color w:val="auto"/>
          <w:sz w:val="32"/>
        </w:rPr>
        <w:t>。</w:t>
      </w:r>
      <w:r>
        <w:rPr>
          <w:rFonts w:hint="eastAsia" w:ascii="仿宋_GB2312" w:hAnsi="仿宋_GB2312" w:eastAsia="仿宋_GB2312"/>
          <w:color w:val="auto"/>
          <w:sz w:val="32"/>
        </w:rPr>
        <w:t>已确定需要适老化改造的家庭，由适老化改造服务提供机构上门对老年人的身体状态、居家生活环境等情况进行评估，设计改造方案</w:t>
      </w:r>
      <w:r>
        <w:rPr>
          <w:rFonts w:hint="eastAsia" w:ascii="仿宋_GB2312" w:hAnsi="仿宋_GB2312" w:eastAsia="仿宋_GB2312"/>
          <w:color w:val="auto"/>
          <w:sz w:val="32"/>
          <w:lang w:val="en-US" w:eastAsia="zh-CN"/>
        </w:rPr>
        <w:t>必须</w:t>
      </w:r>
      <w:r>
        <w:rPr>
          <w:rFonts w:hint="eastAsia" w:ascii="仿宋_GB2312" w:hAnsi="仿宋_GB2312" w:eastAsia="仿宋_GB2312"/>
          <w:color w:val="auto"/>
          <w:sz w:val="32"/>
        </w:rPr>
        <w:t>经老年人或监护人签字确认。适老化改造服务提供机构与老年人家庭协调具体改造时间，签订家庭适老化改造、维护维修和安全使用协议，并承诺质保维护期自验收合格起不低于</w:t>
      </w:r>
      <w:r>
        <w:rPr>
          <w:rFonts w:hint="eastAsia" w:ascii="仿宋_GB2312" w:hAnsi="仿宋_GB2312" w:eastAsia="仿宋_GB2312"/>
          <w:color w:val="auto"/>
          <w:sz w:val="32"/>
          <w:lang w:val="en-US" w:eastAsia="zh-CN"/>
        </w:rPr>
        <w:t>3</w:t>
      </w:r>
      <w:r>
        <w:rPr>
          <w:rFonts w:hint="eastAsia" w:ascii="仿宋_GB2312" w:hAnsi="仿宋_GB2312" w:eastAsia="仿宋_GB2312"/>
          <w:color w:val="auto"/>
          <w:sz w:val="32"/>
        </w:rPr>
        <w:t>年。改造实施中，实时保留改造信息，将改造前后图片、使用产品图片及相关说明等资料</w:t>
      </w:r>
      <w:r>
        <w:rPr>
          <w:rFonts w:hint="eastAsia" w:ascii="仿宋_GB2312" w:hAnsi="仿宋_GB2312" w:eastAsia="仿宋_GB2312"/>
          <w:color w:val="auto"/>
          <w:sz w:val="32"/>
          <w:lang w:eastAsia="zh-CN"/>
        </w:rPr>
        <w:t>妥善留存</w:t>
      </w:r>
      <w:r>
        <w:rPr>
          <w:rFonts w:hint="eastAsia" w:ascii="仿宋_GB2312" w:hAnsi="仿宋_GB2312" w:eastAsia="仿宋_GB2312"/>
          <w:color w:val="auto"/>
          <w:sz w:val="32"/>
        </w:rPr>
        <w:t>。</w:t>
      </w:r>
      <w:r>
        <w:rPr>
          <w:rFonts w:hint="eastAsia" w:ascii="仿宋_GB2312" w:hAnsi="仿宋_GB2312" w:eastAsia="仿宋_GB2312" w:cs="仿宋_GB2312"/>
          <w:color w:val="auto"/>
          <w:sz w:val="32"/>
          <w:szCs w:val="32"/>
          <w:lang w:val="en-US" w:eastAsia="zh-CN"/>
        </w:rPr>
        <w:t>项目管理实行智慧化，做到全程监管、全程留痕、全程可溯，必要时可邀请社区工作人员、邻居参与见证。</w:t>
      </w:r>
      <w:r>
        <w:rPr>
          <w:rFonts w:hint="eastAsia" w:ascii="仿宋_GB2312" w:hAnsi="仿宋_GB2312" w:eastAsia="仿宋_GB2312"/>
          <w:color w:val="auto"/>
          <w:sz w:val="32"/>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楷体" w:hAnsi="楷体" w:eastAsia="楷体"/>
          <w:color w:val="auto"/>
          <w:sz w:val="32"/>
        </w:rPr>
        <w:t>（五）</w:t>
      </w:r>
      <w:r>
        <w:rPr>
          <w:rFonts w:hint="eastAsia" w:ascii="楷体" w:hAnsi="楷体" w:eastAsia="楷体"/>
          <w:color w:val="auto"/>
          <w:sz w:val="32"/>
          <w:lang w:val="en-US" w:eastAsia="zh-CN"/>
        </w:rPr>
        <w:t>绩效</w:t>
      </w:r>
      <w:r>
        <w:rPr>
          <w:rFonts w:hint="eastAsia" w:ascii="楷体" w:hAnsi="楷体" w:eastAsia="楷体"/>
          <w:color w:val="auto"/>
          <w:sz w:val="32"/>
        </w:rPr>
        <w:t>监管</w:t>
      </w:r>
      <w:r>
        <w:rPr>
          <w:rFonts w:hint="eastAsia" w:ascii="楷体" w:hAnsi="楷体" w:eastAsia="楷体"/>
          <w:color w:val="auto"/>
          <w:sz w:val="32"/>
          <w:lang w:eastAsia="zh-CN"/>
        </w:rPr>
        <w:t>（</w:t>
      </w:r>
      <w:r>
        <w:rPr>
          <w:rFonts w:hint="eastAsia" w:ascii="楷体" w:hAnsi="楷体" w:eastAsia="楷体"/>
          <w:color w:val="auto"/>
          <w:sz w:val="32"/>
          <w:lang w:val="en-US" w:eastAsia="zh-CN"/>
        </w:rPr>
        <w:t>全程</w:t>
      </w:r>
      <w:r>
        <w:rPr>
          <w:rFonts w:hint="eastAsia" w:ascii="楷体" w:hAnsi="楷体" w:eastAsia="楷体"/>
          <w:color w:val="auto"/>
          <w:sz w:val="32"/>
          <w:lang w:eastAsia="zh-CN"/>
        </w:rPr>
        <w:t>）</w:t>
      </w:r>
      <w:r>
        <w:rPr>
          <w:rFonts w:hint="eastAsia" w:ascii="楷体" w:hAnsi="楷体" w:eastAsia="楷体"/>
          <w:color w:val="auto"/>
          <w:sz w:val="32"/>
        </w:rPr>
        <w:t>。</w:t>
      </w:r>
      <w:r>
        <w:rPr>
          <w:rFonts w:hint="eastAsia" w:ascii="仿宋_GB2312" w:hAnsi="仿宋_GB2312" w:eastAsia="仿宋_GB2312" w:cs="仿宋_GB2312"/>
          <w:color w:val="auto"/>
          <w:sz w:val="32"/>
          <w:szCs w:val="32"/>
          <w:lang w:val="en-US" w:eastAsia="zh-CN"/>
        </w:rPr>
        <w:t>各县（市）区对于家庭养老床位建设中的设施设备应实行集中采购，同厂同类性能产品价格在全省范围内应保持合理价位。参与智能监测设施的项目单位应至少保持五年以上的良性运转和升级叠代。对于可移运辅具设备、护理床等推荐采取无偿或低偿租赁方式解决，避免资源浪费。对签订居家养老上门服务的政府补贴应定期拨付老年人账户。</w:t>
      </w:r>
      <w:r>
        <w:rPr>
          <w:rFonts w:hint="eastAsia" w:ascii="仿宋_GB2312" w:hAnsi="仿宋_GB2312" w:eastAsia="仿宋_GB2312"/>
          <w:color w:val="auto"/>
          <w:sz w:val="32"/>
          <w:lang w:val="en-US" w:eastAsia="zh-CN"/>
        </w:rPr>
        <w:t>项目建设聘请第三方专业机构</w:t>
      </w:r>
      <w:r>
        <w:rPr>
          <w:rFonts w:hint="eastAsia" w:ascii="仿宋_GB2312" w:hAnsi="仿宋_GB2312" w:eastAsia="仿宋_GB2312" w:cs="仿宋_GB2312"/>
          <w:color w:val="auto"/>
          <w:sz w:val="32"/>
          <w:szCs w:val="32"/>
          <w:lang w:val="en-US" w:eastAsia="zh-CN"/>
        </w:rPr>
        <w:t>进行事前绩效评估、事中绩效监控、事后绩效评价。</w:t>
      </w:r>
      <w:r>
        <w:rPr>
          <w:rFonts w:hint="eastAsia" w:ascii="仿宋_GB2312" w:hAnsi="仿宋_GB2312" w:eastAsia="仿宋_GB2312"/>
          <w:color w:val="auto"/>
          <w:sz w:val="32"/>
        </w:rPr>
        <w:t>对虚报冒领适老化改造补贴资金的追究相应机构及相关人员责任，违法违纪的依法依规查处。市民政局视情对改造项目进行实地督查检查。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olor w:val="auto"/>
          <w:sz w:val="32"/>
        </w:rPr>
      </w:pPr>
      <w:r>
        <w:rPr>
          <w:rFonts w:hint="eastAsia" w:ascii="黑体" w:hAnsi="黑体" w:eastAsia="黑体"/>
          <w:color w:val="auto"/>
          <w:sz w:val="32"/>
        </w:rPr>
        <w:t xml:space="preserve">六、组织保障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楷体" w:hAnsi="楷体" w:eastAsia="楷体"/>
          <w:color w:val="auto"/>
          <w:sz w:val="32"/>
        </w:rPr>
        <w:t>（一）提高站位，加强政策宣传。</w:t>
      </w:r>
      <w:r>
        <w:rPr>
          <w:rFonts w:hint="eastAsia" w:ascii="仿宋_GB2312" w:hAnsi="仿宋_GB2312" w:eastAsia="仿宋_GB2312"/>
          <w:color w:val="auto"/>
          <w:sz w:val="32"/>
        </w:rPr>
        <w:t>开展家庭适老化改造工程是《国务院办公厅关于推进养老服务发展的意见》（国办发〔2019〕5号）部署的重要任务，是省</w:t>
      </w:r>
      <w:r>
        <w:rPr>
          <w:rFonts w:hint="eastAsia" w:ascii="仿宋_GB2312" w:hAnsi="仿宋_GB2312" w:eastAsia="仿宋_GB2312"/>
          <w:color w:val="auto"/>
          <w:sz w:val="32"/>
          <w:lang w:val="en-US" w:eastAsia="zh-CN"/>
        </w:rPr>
        <w:t>委书记娄阳生和市委书记葛巧红亲自抓的“我为群众办实事”的重要内容</w:t>
      </w:r>
      <w:r>
        <w:rPr>
          <w:rFonts w:hint="eastAsia" w:ascii="仿宋_GB2312" w:hAnsi="仿宋_GB2312" w:eastAsia="仿宋_GB2312"/>
          <w:color w:val="auto"/>
          <w:sz w:val="32"/>
        </w:rPr>
        <w:t>，各地要提高政治站位，深刻认识实施家庭适老化改造是满足老年人居家生活需要、提高生活品质的有效途</w:t>
      </w:r>
      <w:r>
        <w:rPr>
          <w:rFonts w:hint="eastAsia" w:ascii="仿宋_GB2312" w:hAnsi="仿宋_GB2312" w:eastAsia="仿宋_GB2312"/>
          <w:color w:val="auto"/>
          <w:sz w:val="32"/>
          <w:lang w:eastAsia="zh-CN"/>
        </w:rPr>
        <w:t>经</w:t>
      </w:r>
      <w:r>
        <w:rPr>
          <w:rFonts w:hint="eastAsia" w:ascii="仿宋_GB2312" w:hAnsi="仿宋_GB2312" w:eastAsia="仿宋_GB2312"/>
          <w:color w:val="auto"/>
          <w:sz w:val="32"/>
        </w:rPr>
        <w:t>，是巩固家庭养老基础地位、促进养老服务消费提升、推动居家养老服务提质扩容的重要抓手，是</w:t>
      </w:r>
      <w:r>
        <w:rPr>
          <w:rFonts w:hint="eastAsia" w:ascii="仿宋_GB2312" w:hAnsi="仿宋_GB2312" w:eastAsia="仿宋_GB2312"/>
          <w:color w:val="auto"/>
          <w:sz w:val="32"/>
          <w:lang w:val="en-US" w:eastAsia="zh-CN"/>
        </w:rPr>
        <w:t>居家和</w:t>
      </w:r>
      <w:r>
        <w:rPr>
          <w:rFonts w:hint="eastAsia" w:ascii="仿宋_GB2312" w:hAnsi="仿宋_GB2312" w:eastAsia="仿宋_GB2312"/>
          <w:color w:val="auto"/>
          <w:sz w:val="32"/>
        </w:rPr>
        <w:t>社区</w:t>
      </w:r>
      <w:r>
        <w:rPr>
          <w:rFonts w:hint="eastAsia" w:ascii="仿宋_GB2312" w:hAnsi="仿宋_GB2312" w:eastAsia="仿宋_GB2312"/>
          <w:color w:val="auto"/>
          <w:sz w:val="32"/>
          <w:lang w:val="en-US" w:eastAsia="zh-CN"/>
        </w:rPr>
        <w:t>养老服务体系</w:t>
      </w:r>
      <w:r>
        <w:rPr>
          <w:rFonts w:hint="eastAsia" w:ascii="仿宋_GB2312" w:hAnsi="仿宋_GB2312" w:eastAsia="仿宋_GB2312"/>
          <w:color w:val="auto"/>
          <w:sz w:val="32"/>
        </w:rPr>
        <w:t xml:space="preserve">建设的重要内容。各级要把老年人家庭适老化改造作为重要民生实事项目抓紧抓好，要通过多渠道、多形式加强家庭适老化改造政策和内容的宣传引导，增强老年人及其家庭和社会对开展家庭适老化、营造居家安全环境的认识；积极引导开展适合老年人生理特点及安全需要的设施改造和老年用品配置，满足老年人生活起居需求，方便家庭成员照料服务，发挥居家养老的基础作用。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楷体" w:hAnsi="楷体" w:eastAsia="楷体"/>
          <w:color w:val="auto"/>
          <w:sz w:val="32"/>
        </w:rPr>
        <w:t>（二）加强协调，强化组织保障。</w:t>
      </w:r>
      <w:r>
        <w:rPr>
          <w:rFonts w:hint="eastAsia" w:ascii="仿宋_GB2312" w:hAnsi="仿宋_GB2312" w:eastAsia="仿宋_GB2312" w:cs="仿宋_GB2312"/>
          <w:color w:val="auto"/>
          <w:sz w:val="32"/>
          <w:szCs w:val="32"/>
          <w:lang w:val="en-US" w:eastAsia="zh-CN"/>
        </w:rPr>
        <w:t>县（市）区政府是当地老年人适老化改造的责任主体，应整合财政、慈善等资金对于适老化改造和居家养老上门服务予以政策和资金支持。</w:t>
      </w:r>
      <w:r>
        <w:rPr>
          <w:rFonts w:hint="eastAsia" w:ascii="仿宋_GB2312" w:hAnsi="仿宋_GB2312" w:eastAsia="仿宋_GB2312"/>
          <w:color w:val="auto"/>
          <w:sz w:val="32"/>
        </w:rPr>
        <w:t>各级民政部门是本地适老化改造工作的主管部门，要明确专人负责，将家庭适老化改造作为养老服务工作的重要内容，加强统筹协调、督促落实和绩效评价</w:t>
      </w:r>
      <w:r>
        <w:rPr>
          <w:rFonts w:hint="eastAsia" w:ascii="仿宋_GB2312" w:hAnsi="仿宋_GB2312" w:eastAsia="仿宋_GB2312"/>
          <w:color w:val="auto"/>
          <w:sz w:val="32"/>
          <w:lang w:eastAsia="zh-CN"/>
        </w:rPr>
        <w:t>。</w:t>
      </w:r>
      <w:r>
        <w:rPr>
          <w:rFonts w:hint="eastAsia" w:ascii="仿宋_GB2312" w:hAnsi="仿宋_GB2312" w:eastAsia="仿宋_GB2312" w:cs="仿宋_GB2312"/>
          <w:color w:val="auto"/>
          <w:sz w:val="32"/>
          <w:szCs w:val="32"/>
          <w:lang w:val="en-US" w:eastAsia="zh-CN"/>
        </w:rPr>
        <w:t>适老化改造家庭应在县级民政部门指导下，与施工单位签订施工合同，确保质量可靠、工期合理、维保可持续。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lang w:eastAsia="zh-CN"/>
        </w:rPr>
      </w:pPr>
      <w:r>
        <w:rPr>
          <w:rFonts w:hint="eastAsia" w:ascii="楷体" w:hAnsi="楷体" w:eastAsia="楷体"/>
          <w:color w:val="auto"/>
          <w:sz w:val="32"/>
        </w:rPr>
        <w:t>（三）严密组织，确保改造质量。</w:t>
      </w:r>
      <w:r>
        <w:rPr>
          <w:rFonts w:hint="eastAsia" w:ascii="仿宋_GB2312" w:hAnsi="仿宋_GB2312" w:eastAsia="仿宋_GB2312"/>
          <w:color w:val="auto"/>
          <w:sz w:val="32"/>
        </w:rPr>
        <w:t>各</w:t>
      </w:r>
      <w:r>
        <w:rPr>
          <w:rFonts w:hint="eastAsia" w:ascii="仿宋_GB2312" w:hAnsi="仿宋_GB2312" w:eastAsia="仿宋_GB2312"/>
          <w:color w:val="auto"/>
          <w:sz w:val="32"/>
          <w:lang w:val="en-US" w:eastAsia="zh-CN"/>
        </w:rPr>
        <w:t>县（</w:t>
      </w:r>
      <w:r>
        <w:rPr>
          <w:rFonts w:hint="eastAsia" w:ascii="仿宋_GB2312" w:hAnsi="仿宋_GB2312" w:eastAsia="仿宋_GB2312"/>
          <w:color w:val="auto"/>
          <w:sz w:val="32"/>
        </w:rPr>
        <w:t>市</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rPr>
        <w:t>区要根据</w:t>
      </w:r>
      <w:r>
        <w:rPr>
          <w:rFonts w:hint="eastAsia" w:ascii="仿宋_GB2312" w:hAnsi="仿宋_GB2312" w:eastAsia="仿宋_GB2312"/>
          <w:color w:val="auto"/>
          <w:sz w:val="32"/>
          <w:lang w:val="en-US" w:eastAsia="zh-CN"/>
        </w:rPr>
        <w:t>市级</w:t>
      </w:r>
      <w:r>
        <w:rPr>
          <w:rFonts w:hint="eastAsia" w:ascii="仿宋_GB2312" w:hAnsi="仿宋_GB2312" w:eastAsia="仿宋_GB2312"/>
          <w:color w:val="auto"/>
          <w:sz w:val="32"/>
        </w:rPr>
        <w:t>方案</w:t>
      </w:r>
      <w:r>
        <w:rPr>
          <w:rFonts w:hint="eastAsia" w:ascii="仿宋_GB2312" w:hAnsi="仿宋_GB2312" w:eastAsia="仿宋_GB2312"/>
          <w:color w:val="auto"/>
          <w:sz w:val="32"/>
          <w:lang w:val="en-US" w:eastAsia="zh-CN"/>
        </w:rPr>
        <w:t>制定本地实施细则方案。</w:t>
      </w:r>
      <w:r>
        <w:rPr>
          <w:rFonts w:hint="eastAsia" w:ascii="仿宋_GB2312" w:hAnsi="仿宋_GB2312" w:eastAsia="仿宋_GB2312" w:cs="仿宋_GB2312"/>
          <w:color w:val="auto"/>
          <w:sz w:val="32"/>
          <w:szCs w:val="32"/>
          <w:lang w:val="en-US" w:eastAsia="zh-CN"/>
        </w:rPr>
        <w:t>鼓励在当地运营社区养老服务设施和有居家上门服务经验的养老服务机构参与老年人家庭适老化改造和家庭养老床位建设。</w:t>
      </w:r>
      <w:r>
        <w:rPr>
          <w:rFonts w:hint="eastAsia" w:ascii="仿宋_GB2312" w:hAnsi="仿宋_GB2312" w:eastAsia="仿宋_GB2312"/>
          <w:color w:val="auto"/>
          <w:sz w:val="32"/>
        </w:rPr>
        <w:t>老年人家庭适老化改造服务提供机构通过公开招标或推荐遴选等</w:t>
      </w:r>
      <w:r>
        <w:rPr>
          <w:rFonts w:hint="eastAsia" w:ascii="仿宋_GB2312" w:hAnsi="仿宋_GB2312" w:eastAsia="仿宋_GB2312"/>
          <w:color w:val="auto"/>
          <w:sz w:val="32"/>
          <w:lang w:val="en-US" w:eastAsia="zh-CN"/>
        </w:rPr>
        <w:t>政府采购有关规定</w:t>
      </w:r>
      <w:r>
        <w:rPr>
          <w:rFonts w:hint="eastAsia" w:ascii="仿宋_GB2312" w:hAnsi="仿宋_GB2312" w:eastAsia="仿宋_GB2312"/>
          <w:color w:val="auto"/>
          <w:sz w:val="32"/>
        </w:rPr>
        <w:t>方式确定</w:t>
      </w:r>
      <w:r>
        <w:rPr>
          <w:rFonts w:hint="eastAsia" w:ascii="仿宋_GB2312" w:hAnsi="仿宋_GB2312" w:eastAsia="仿宋_GB2312"/>
          <w:color w:val="auto"/>
          <w:sz w:val="32"/>
          <w:lang w:eastAsia="zh-CN"/>
        </w:rPr>
        <w:t>。</w:t>
      </w:r>
      <w:r>
        <w:rPr>
          <w:rFonts w:hint="eastAsia" w:ascii="仿宋_GB2312" w:hAnsi="仿宋_GB2312" w:eastAsia="仿宋_GB2312"/>
          <w:color w:val="auto"/>
          <w:sz w:val="32"/>
          <w:lang w:val="en-US" w:eastAsia="zh-CN"/>
        </w:rPr>
        <w:t>各县（市）区应</w:t>
      </w:r>
      <w:r>
        <w:rPr>
          <w:rFonts w:hint="eastAsia" w:ascii="仿宋_GB2312" w:hAnsi="仿宋_GB2312" w:eastAsia="仿宋_GB2312"/>
          <w:color w:val="auto"/>
          <w:sz w:val="32"/>
        </w:rPr>
        <w:t>建立适老化改造产品展示</w:t>
      </w:r>
      <w:r>
        <w:rPr>
          <w:rFonts w:hint="eastAsia" w:ascii="仿宋_GB2312" w:hAnsi="仿宋_GB2312" w:eastAsia="仿宋_GB2312"/>
          <w:color w:val="auto"/>
          <w:sz w:val="32"/>
          <w:lang w:val="en-US" w:eastAsia="zh-CN"/>
        </w:rPr>
        <w:t>平台</w:t>
      </w:r>
      <w:r>
        <w:rPr>
          <w:rFonts w:hint="eastAsia" w:ascii="仿宋_GB2312" w:hAnsi="仿宋_GB2312" w:eastAsia="仿宋_GB2312"/>
          <w:color w:val="auto"/>
          <w:sz w:val="32"/>
        </w:rPr>
        <w:t>，让有适老化改造需求的老年人及其家庭能自主选择需要的适老化改造产品。全过程各环节公正、透明，改造补贴资金使用合理。各服务提供机构要及时做好改造前后图片、文档等台账资料。</w:t>
      </w:r>
      <w:r>
        <w:rPr>
          <w:rFonts w:hint="eastAsia" w:ascii="仿宋_GB2312" w:hAnsi="仿宋_GB2312" w:eastAsia="仿宋_GB2312"/>
          <w:color w:val="auto"/>
          <w:sz w:val="32"/>
          <w:lang w:eastAsia="zh-CN"/>
        </w:rPr>
        <w:t>县（市）</w:t>
      </w:r>
      <w:bookmarkStart w:id="0" w:name="_GoBack"/>
      <w:bookmarkEnd w:id="0"/>
      <w:r>
        <w:rPr>
          <w:rFonts w:hint="eastAsia" w:ascii="仿宋_GB2312" w:hAnsi="仿宋_GB2312" w:eastAsia="仿宋_GB2312"/>
          <w:color w:val="auto"/>
          <w:sz w:val="32"/>
          <w:lang w:eastAsia="zh-CN"/>
        </w:rPr>
        <w:t>区民政局应组织专业第三方逐户验收，确保改造成效。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olor w:val="auto"/>
          <w:sz w:val="32"/>
        </w:rPr>
      </w:pPr>
      <w:r>
        <w:rPr>
          <w:rFonts w:hint="eastAsia" w:ascii="楷体" w:hAnsi="楷体" w:eastAsia="楷体"/>
          <w:color w:val="auto"/>
          <w:sz w:val="32"/>
          <w:lang w:eastAsia="zh-CN"/>
        </w:rPr>
        <w:t>（</w:t>
      </w:r>
      <w:r>
        <w:rPr>
          <w:rFonts w:hint="eastAsia" w:ascii="楷体" w:hAnsi="楷体" w:eastAsia="楷体"/>
          <w:color w:val="auto"/>
          <w:sz w:val="32"/>
          <w:lang w:val="en-US" w:eastAsia="zh-CN"/>
        </w:rPr>
        <w:t>四</w:t>
      </w:r>
      <w:r>
        <w:rPr>
          <w:rFonts w:hint="eastAsia" w:ascii="楷体" w:hAnsi="楷体" w:eastAsia="楷体"/>
          <w:color w:val="auto"/>
          <w:sz w:val="32"/>
          <w:lang w:eastAsia="zh-CN"/>
        </w:rPr>
        <w:t>）</w:t>
      </w:r>
      <w:r>
        <w:rPr>
          <w:rFonts w:hint="eastAsia" w:ascii="楷体" w:hAnsi="楷体" w:eastAsia="楷体"/>
          <w:color w:val="auto"/>
          <w:sz w:val="32"/>
          <w:lang w:val="en-US" w:eastAsia="zh-CN"/>
        </w:rPr>
        <w:t>政策支持，制定服务清单。</w:t>
      </w:r>
      <w:r>
        <w:rPr>
          <w:rFonts w:hint="eastAsia" w:ascii="仿宋_GB2312" w:hAnsi="仿宋_GB2312" w:eastAsia="仿宋_GB2312" w:cs="仿宋_GB2312"/>
          <w:color w:val="auto"/>
          <w:sz w:val="32"/>
          <w:szCs w:val="32"/>
          <w:lang w:val="en-US" w:eastAsia="zh-CN"/>
        </w:rPr>
        <w:t>一是各县（市）区应将养老服务列入政府购买清单内容。服务清单内容以贴近老年人实际需求的低频、低风险护理为主。二是运营补贴政策拓展。各县（市）区应出台政策对于运营设立家庭养老床位的养老服务企业应给予养老机构同等标准的运营补贴。三是各县（市）区对老年人家庭适老化改造项目承诺的财政配套资金应足额按标准落实到位，用于满足基本的入户探访等服务，避免出现突破道德底线的事件发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olor w:val="auto"/>
          <w:sz w:val="32"/>
        </w:rPr>
      </w:pPr>
      <w:r>
        <w:rPr>
          <w:rFonts w:hint="eastAsia" w:ascii="仿宋_GB2312" w:hAnsi="仿宋_GB2312" w:eastAsia="仿宋_GB2312"/>
          <w:color w:val="auto"/>
          <w:sz w:val="32"/>
        </w:rPr>
        <w:t>附件：</w:t>
      </w:r>
      <w:r>
        <w:rPr>
          <w:rFonts w:hint="eastAsia" w:ascii="仿宋_GB2312" w:hAnsi="仿宋_GB2312" w:eastAsia="仿宋_GB2312"/>
          <w:color w:val="auto"/>
          <w:sz w:val="32"/>
          <w:lang w:eastAsia="zh-CN"/>
        </w:rPr>
        <w:t>焦作市</w:t>
      </w:r>
      <w:r>
        <w:rPr>
          <w:rFonts w:hint="eastAsia" w:ascii="仿宋_GB2312" w:hAnsi="仿宋_GB2312" w:eastAsia="仿宋_GB2312"/>
          <w:color w:val="auto"/>
          <w:sz w:val="32"/>
        </w:rPr>
        <w:t>老年人家庭适老化改造任务表</w:t>
      </w: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color w:val="auto"/>
          <w:sz w:val="32"/>
        </w:rPr>
      </w:pP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color w:val="auto"/>
          <w:sz w:val="32"/>
        </w:rPr>
      </w:pP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color w:val="auto"/>
          <w:sz w:val="32"/>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olor w:val="auto"/>
          <w:sz w:val="32"/>
        </w:rPr>
      </w:pPr>
      <w:r>
        <w:rPr>
          <w:rFonts w:hint="eastAsia" w:ascii="仿宋_GB2312" w:hAnsi="仿宋_GB2312" w:eastAsia="仿宋_GB2312"/>
          <w:color w:val="auto"/>
          <w:sz w:val="32"/>
          <w:lang w:val="en-US" w:eastAsia="zh-CN"/>
        </w:rPr>
        <w:t xml:space="preserve">                     </w:t>
      </w:r>
      <w:r>
        <w:rPr>
          <w:rFonts w:hint="eastAsia" w:ascii="仿宋_GB2312" w:hAnsi="仿宋_GB2312" w:eastAsia="仿宋_GB2312"/>
          <w:color w:val="auto"/>
          <w:sz w:val="32"/>
        </w:rPr>
        <w:t>2021年</w:t>
      </w:r>
      <w:r>
        <w:rPr>
          <w:rFonts w:hint="eastAsia" w:ascii="仿宋_GB2312" w:hAnsi="仿宋_GB2312" w:eastAsia="仿宋_GB2312"/>
          <w:color w:val="auto"/>
          <w:sz w:val="32"/>
          <w:lang w:val="en-US" w:eastAsia="zh-CN"/>
        </w:rPr>
        <w:t>9</w:t>
      </w:r>
      <w:r>
        <w:rPr>
          <w:rFonts w:hint="eastAsia" w:ascii="仿宋_GB2312" w:hAnsi="仿宋_GB2312" w:eastAsia="仿宋_GB2312"/>
          <w:color w:val="auto"/>
          <w:sz w:val="32"/>
        </w:rPr>
        <w:t>月</w:t>
      </w:r>
      <w:r>
        <w:rPr>
          <w:rFonts w:hint="eastAsia" w:ascii="仿宋_GB2312" w:hAnsi="仿宋_GB2312" w:eastAsia="仿宋_GB2312"/>
          <w:color w:val="auto"/>
          <w:sz w:val="32"/>
          <w:lang w:val="en-US" w:eastAsia="zh-CN"/>
        </w:rPr>
        <w:t>29</w:t>
      </w:r>
      <w:r>
        <w:rPr>
          <w:rFonts w:hint="eastAsia" w:ascii="仿宋_GB2312" w:hAnsi="仿宋_GB2312" w:eastAsia="仿宋_GB2312"/>
          <w:color w:val="auto"/>
          <w:sz w:val="32"/>
        </w:rPr>
        <w:t xml:space="preserve">日 </w:t>
      </w: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color w:val="auto"/>
          <w:sz w:val="32"/>
        </w:rPr>
      </w:pPr>
    </w:p>
    <w:p>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黑体" w:hAnsi="黑体" w:eastAsia="黑体" w:cs="黑体"/>
          <w:color w:val="auto"/>
          <w:sz w:val="32"/>
        </w:rPr>
      </w:pPr>
    </w:p>
    <w:p>
      <w:pPr>
        <w:keepNext w:val="0"/>
        <w:keepLines w:val="0"/>
        <w:pageBreakBefore w:val="0"/>
        <w:kinsoku/>
        <w:wordWrap/>
        <w:overflowPunct/>
        <w:topLinePunct w:val="0"/>
        <w:autoSpaceDE/>
        <w:autoSpaceDN/>
        <w:bidi w:val="0"/>
        <w:adjustRightInd/>
        <w:snapToGrid/>
        <w:spacing w:line="640" w:lineRule="exact"/>
        <w:jc w:val="left"/>
        <w:textAlignment w:val="auto"/>
        <w:rPr>
          <w:rFonts w:hint="eastAsia" w:ascii="黑体" w:hAnsi="黑体" w:eastAsia="黑体" w:cs="黑体"/>
          <w:color w:val="auto"/>
          <w:sz w:val="32"/>
        </w:rPr>
      </w:pPr>
      <w:r>
        <w:rPr>
          <w:rFonts w:hint="eastAsia" w:ascii="黑体" w:hAnsi="黑体" w:eastAsia="黑体" w:cs="黑体"/>
          <w:color w:val="auto"/>
          <w:sz w:val="32"/>
        </w:rPr>
        <w:t>附件</w:t>
      </w:r>
    </w:p>
    <w:p>
      <w:pPr>
        <w:keepNext w:val="0"/>
        <w:keepLines w:val="0"/>
        <w:pageBreakBefore w:val="0"/>
        <w:kinsoku/>
        <w:wordWrap/>
        <w:overflowPunct/>
        <w:topLinePunct w:val="0"/>
        <w:autoSpaceDE/>
        <w:autoSpaceDN/>
        <w:bidi w:val="0"/>
        <w:adjustRightInd/>
        <w:snapToGrid/>
        <w:spacing w:line="640" w:lineRule="exact"/>
        <w:jc w:val="left"/>
        <w:textAlignment w:val="auto"/>
        <w:rPr>
          <w:rFonts w:hint="eastAsia"/>
          <w:color w:val="auto"/>
          <w:sz w:val="32"/>
        </w:rPr>
      </w:pPr>
      <w:r>
        <w:rPr>
          <w:rFonts w:hint="eastAsia"/>
          <w:color w:val="auto"/>
          <w:sz w:val="32"/>
        </w:rPr>
        <w:t xml:space="preserve"> </w:t>
      </w:r>
    </w:p>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color w:val="auto"/>
          <w:sz w:val="40"/>
        </w:rPr>
      </w:pPr>
      <w:r>
        <w:rPr>
          <w:rFonts w:hint="eastAsia" w:ascii="方正小标宋简体" w:hAnsi="方正小标宋简体" w:eastAsia="方正小标宋简体"/>
          <w:color w:val="auto"/>
          <w:sz w:val="44"/>
          <w:lang w:eastAsia="zh-CN"/>
        </w:rPr>
        <w:t>焦作市</w:t>
      </w:r>
      <w:r>
        <w:rPr>
          <w:rFonts w:hint="eastAsia" w:ascii="方正小标宋简体" w:hAnsi="方正小标宋简体" w:eastAsia="方正小标宋简体"/>
          <w:color w:val="auto"/>
          <w:sz w:val="44"/>
        </w:rPr>
        <w:t>老年人家庭适老化改造任务表</w:t>
      </w:r>
    </w:p>
    <w:tbl>
      <w:tblPr>
        <w:tblStyle w:val="5"/>
        <w:tblpPr w:leftFromText="180" w:rightFromText="180" w:vertAnchor="text" w:horzAnchor="page" w:tblpX="1521" w:tblpY="451"/>
        <w:tblOverlap w:val="never"/>
        <w:tblW w:w="90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3"/>
        <w:gridCol w:w="5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黑体" w:hAnsi="黑体" w:eastAsia="黑体" w:cs="黑体"/>
                <w:color w:val="auto"/>
                <w:sz w:val="28"/>
              </w:rPr>
            </w:pPr>
            <w:r>
              <w:rPr>
                <w:rFonts w:hint="eastAsia" w:ascii="黑体" w:hAnsi="黑体" w:eastAsia="黑体" w:cs="黑体"/>
                <w:color w:val="auto"/>
                <w:sz w:val="28"/>
                <w:lang w:val="en-US" w:eastAsia="zh-CN"/>
              </w:rPr>
              <w:t>县（</w:t>
            </w:r>
            <w:r>
              <w:rPr>
                <w:rFonts w:hint="eastAsia" w:ascii="黑体" w:hAnsi="黑体" w:eastAsia="黑体" w:cs="黑体"/>
                <w:color w:val="auto"/>
                <w:sz w:val="28"/>
              </w:rPr>
              <w:t>市</w:t>
            </w:r>
            <w:r>
              <w:rPr>
                <w:rFonts w:hint="eastAsia" w:ascii="黑体" w:hAnsi="黑体" w:eastAsia="黑体" w:cs="黑体"/>
                <w:color w:val="auto"/>
                <w:sz w:val="28"/>
                <w:lang w:eastAsia="zh-CN"/>
              </w:rPr>
              <w:t>）</w:t>
            </w:r>
            <w:r>
              <w:rPr>
                <w:rFonts w:hint="eastAsia" w:ascii="黑体" w:hAnsi="黑体" w:eastAsia="黑体" w:cs="黑体"/>
                <w:color w:val="auto"/>
                <w:sz w:val="28"/>
              </w:rPr>
              <w:t>区</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黑体" w:hAnsi="黑体" w:eastAsia="黑体" w:cs="黑体"/>
                <w:color w:val="auto"/>
                <w:sz w:val="28"/>
                <w:lang w:eastAsia="zh-CN"/>
              </w:rPr>
            </w:pPr>
            <w:r>
              <w:rPr>
                <w:rFonts w:hint="eastAsia" w:ascii="黑体" w:hAnsi="黑体" w:eastAsia="黑体" w:cs="黑体"/>
                <w:color w:val="auto"/>
                <w:sz w:val="28"/>
              </w:rPr>
              <w:t>改造任务</w:t>
            </w:r>
            <w:r>
              <w:rPr>
                <w:rFonts w:hint="eastAsia" w:ascii="黑体" w:hAnsi="黑体" w:eastAsia="黑体" w:cs="黑体"/>
                <w:color w:val="auto"/>
                <w:sz w:val="28"/>
                <w:lang w:eastAsia="zh-CN"/>
              </w:rPr>
              <w:t>（户）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解放区</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山阳区</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中站区</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马村区</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示范区</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沁阳市</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孟州市</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武陟县</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温  县</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博爱县</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修武县</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3903"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全市合计</w:t>
            </w:r>
          </w:p>
        </w:tc>
        <w:tc>
          <w:tcPr>
            <w:tcW w:w="5176" w:type="dxa"/>
            <w:tcBorders>
              <w:top w:val="single" w:color="auto" w:sz="4" w:space="0"/>
              <w:left w:val="single" w:color="auto" w:sz="4" w:space="0"/>
              <w:bottom w:val="single" w:color="auto" w:sz="4" w:space="0"/>
              <w:right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640" w:lineRule="exact"/>
              <w:jc w:val="center"/>
              <w:textAlignment w:val="auto"/>
              <w:rPr>
                <w:rFonts w:hint="eastAsia" w:ascii="仿宋_GB2312" w:hAnsi="仿宋_GB2312" w:eastAsia="仿宋_GB2312" w:cs="仿宋_GB2312"/>
                <w:color w:val="auto"/>
                <w:sz w:val="28"/>
                <w:lang w:val="en-US" w:eastAsia="zh-CN"/>
              </w:rPr>
            </w:pPr>
            <w:r>
              <w:rPr>
                <w:rFonts w:hint="eastAsia" w:ascii="仿宋_GB2312" w:hAnsi="仿宋_GB2312" w:eastAsia="仿宋_GB2312" w:cs="仿宋_GB2312"/>
                <w:color w:val="auto"/>
                <w:sz w:val="28"/>
                <w:lang w:val="en-US" w:eastAsia="zh-CN"/>
              </w:rPr>
              <w:t>4000</w:t>
            </w:r>
          </w:p>
        </w:tc>
      </w:tr>
    </w:tbl>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ind w:firstLine="280" w:firstLineChars="100"/>
        <w:jc w:val="both"/>
        <w:textAlignment w:val="auto"/>
        <w:rPr>
          <w:rFonts w:hint="eastAsia"/>
          <w:color w:val="auto"/>
        </w:rPr>
      </w:pPr>
      <w:r>
        <w:rPr>
          <w:b w:val="0"/>
          <w:bCs w:val="0"/>
          <w:sz w:val="28"/>
        </w:rPr>
        <mc:AlternateContent>
          <mc:Choice Requires="wps">
            <w:drawing>
              <wp:anchor distT="0" distB="0" distL="114300" distR="114300" simplePos="0" relativeHeight="251658240" behindDoc="0" locked="0" layoutInCell="1" allowOverlap="1">
                <wp:simplePos x="0" y="0"/>
                <wp:positionH relativeFrom="column">
                  <wp:posOffset>3175</wp:posOffset>
                </wp:positionH>
                <wp:positionV relativeFrom="paragraph">
                  <wp:posOffset>449580</wp:posOffset>
                </wp:positionV>
                <wp:extent cx="558165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25pt;margin-top:35.4pt;height:0.05pt;width:439.5pt;z-index:251658240;mso-width-relative:page;mso-height-relative:page;" filled="f" stroked="t" coordsize="21600,21600" o:gfxdata="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DHaMLTTAAAABgEAAA8AAAAA&#10;AAAAAQAgAAAAIgAAAGRycy9kb3ducmV2LnhtbFBLAQIUABQAAAAIAIdO4kCSmP0p4AEAAKYDAAAO&#10;AAAAAAAAAAEAIAAAACIBAABkcnMvZTJvRG9jLnhtbFBLBQYAAAAABgAGAFkBAAB0BQAAAAA=&#10;">
                <v:fill on="f" focussize="0,0"/>
                <v:stroke color="#000000" joinstyle="round"/>
                <v:imagedata o:title=""/>
                <o:lock v:ext="edit" aspectratio="f"/>
              </v:line>
            </w:pict>
          </mc:Fallback>
        </mc:AlternateContent>
      </w:r>
      <w:r>
        <w:rPr>
          <w:b w:val="0"/>
          <w:bCs w:val="0"/>
          <w:sz w:val="28"/>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20955</wp:posOffset>
                </wp:positionV>
                <wp:extent cx="5581650"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81650"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pt;margin-top:1.65pt;height:0.05pt;width:439.5pt;z-index:251659264;mso-width-relative:page;mso-height-relative:page;" filled="f" stroked="t" coordsize="21600,21600" o:gfxdata="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zZaGDTAAAABQEAAA8AAAAA&#10;AAAAAQAgAAAAIgAAAGRycy9kb3ducmV2LnhtbFBLAQIUABQAAAAIAIdO4kCSWi4R4AEAAKYDAAAO&#10;AAAAAAAAAAEAIAAAACIBAABkcnMvZTJvRG9jLnhtbFBLBQYAAAAABgAGAFkBAAB0BQAAAAA=&#10;">
                <v:fill on="f" focussize="0,0"/>
                <v:stroke color="#000000" joinstyle="round"/>
                <v:imagedata o:title=""/>
                <o:lock v:ext="edit" aspectratio="f"/>
              </v:line>
            </w:pict>
          </mc:Fallback>
        </mc:AlternateContent>
      </w:r>
      <w:r>
        <w:rPr>
          <w:rFonts w:hint="default" w:ascii="Times New Roman" w:hAnsi="Times New Roman" w:eastAsia="仿宋_GB2312" w:cs="Times New Roman"/>
          <w:b w:val="0"/>
          <w:bCs w:val="0"/>
          <w:color w:val="000000"/>
          <w:spacing w:val="0"/>
          <w:sz w:val="28"/>
          <w:szCs w:val="28"/>
          <w:lang w:val="en-US" w:eastAsia="zh-CN"/>
        </w:rPr>
        <w:t>焦作市民政局</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Times New Roman" w:hAnsi="Times New Roman" w:eastAsia="仿宋_GB2312" w:cs="Times New Roman"/>
          <w:b w:val="0"/>
          <w:bCs w:val="0"/>
          <w:color w:val="000000"/>
          <w:spacing w:val="0"/>
          <w:sz w:val="28"/>
          <w:szCs w:val="28"/>
          <w:lang w:val="en-US" w:eastAsia="zh-CN"/>
        </w:rPr>
        <w:t xml:space="preserve"> </w:t>
      </w:r>
      <w:r>
        <w:rPr>
          <w:rFonts w:hint="default" w:ascii="Times New Roman" w:hAnsi="Times New Roman" w:eastAsia="仿宋_GB2312" w:cs="Times New Roman"/>
          <w:b w:val="0"/>
          <w:bCs w:val="0"/>
          <w:color w:val="000000"/>
          <w:spacing w:val="0"/>
          <w:sz w:val="28"/>
          <w:szCs w:val="28"/>
        </w:rPr>
        <w:t xml:space="preserve">  </w:t>
      </w:r>
      <w:r>
        <w:rPr>
          <w:rFonts w:hint="eastAsia" w:ascii="仿宋_GB2312" w:hAnsi="仿宋_GB2312" w:eastAsia="仿宋_GB2312" w:cs="仿宋_GB2312"/>
          <w:b w:val="0"/>
          <w:bCs w:val="0"/>
          <w:color w:val="000000"/>
          <w:spacing w:val="0"/>
          <w:sz w:val="28"/>
          <w:szCs w:val="28"/>
        </w:rPr>
        <w:t xml:space="preserve">  202</w:t>
      </w:r>
      <w:r>
        <w:rPr>
          <w:rFonts w:hint="eastAsia" w:ascii="仿宋_GB2312" w:hAnsi="仿宋_GB2312" w:eastAsia="仿宋_GB2312" w:cs="仿宋_GB2312"/>
          <w:b w:val="0"/>
          <w:bCs w:val="0"/>
          <w:color w:val="000000"/>
          <w:spacing w:val="0"/>
          <w:sz w:val="28"/>
          <w:szCs w:val="28"/>
          <w:lang w:val="en-US" w:eastAsia="zh-CN"/>
        </w:rPr>
        <w:t>1</w:t>
      </w:r>
      <w:r>
        <w:rPr>
          <w:rFonts w:hint="eastAsia" w:ascii="仿宋_GB2312" w:hAnsi="仿宋_GB2312" w:eastAsia="仿宋_GB2312" w:cs="仿宋_GB2312"/>
          <w:b w:val="0"/>
          <w:bCs w:val="0"/>
          <w:color w:val="000000"/>
          <w:spacing w:val="0"/>
          <w:sz w:val="28"/>
          <w:szCs w:val="28"/>
        </w:rPr>
        <w:t>年</w:t>
      </w:r>
      <w:r>
        <w:rPr>
          <w:rFonts w:hint="eastAsia" w:ascii="仿宋_GB2312" w:hAnsi="仿宋_GB2312" w:eastAsia="仿宋_GB2312" w:cs="仿宋_GB2312"/>
          <w:b w:val="0"/>
          <w:bCs w:val="0"/>
          <w:color w:val="000000"/>
          <w:spacing w:val="0"/>
          <w:sz w:val="28"/>
          <w:szCs w:val="28"/>
          <w:lang w:val="en-US" w:eastAsia="zh-CN"/>
        </w:rPr>
        <w:t>9</w:t>
      </w:r>
      <w:r>
        <w:rPr>
          <w:rFonts w:hint="eastAsia" w:ascii="仿宋_GB2312" w:hAnsi="仿宋_GB2312" w:eastAsia="仿宋_GB2312" w:cs="仿宋_GB2312"/>
          <w:b w:val="0"/>
          <w:bCs w:val="0"/>
          <w:color w:val="000000"/>
          <w:spacing w:val="0"/>
          <w:sz w:val="28"/>
          <w:szCs w:val="28"/>
        </w:rPr>
        <w:t>月</w:t>
      </w:r>
      <w:r>
        <w:rPr>
          <w:rFonts w:hint="eastAsia" w:ascii="仿宋_GB2312" w:hAnsi="仿宋_GB2312" w:eastAsia="仿宋_GB2312" w:cs="仿宋_GB2312"/>
          <w:b w:val="0"/>
          <w:bCs w:val="0"/>
          <w:color w:val="000000"/>
          <w:spacing w:val="0"/>
          <w:sz w:val="28"/>
          <w:szCs w:val="28"/>
          <w:lang w:val="en-US" w:eastAsia="zh-CN"/>
        </w:rPr>
        <w:t>29</w:t>
      </w:r>
      <w:r>
        <w:rPr>
          <w:rFonts w:hint="eastAsia" w:ascii="仿宋_GB2312" w:hAnsi="仿宋_GB2312" w:eastAsia="仿宋_GB2312" w:cs="仿宋_GB2312"/>
          <w:b w:val="0"/>
          <w:bCs w:val="0"/>
          <w:color w:val="000000"/>
          <w:spacing w:val="0"/>
          <w:sz w:val="28"/>
          <w:szCs w:val="28"/>
        </w:rPr>
        <w:t>日印</w:t>
      </w:r>
      <w:r>
        <w:rPr>
          <w:rFonts w:hint="eastAsia" w:ascii="仿宋_GB2312" w:hAnsi="仿宋_GB2312" w:eastAsia="仿宋_GB2312" w:cs="仿宋_GB2312"/>
          <w:b w:val="0"/>
          <w:bCs w:val="0"/>
          <w:color w:val="000000"/>
          <w:spacing w:val="0"/>
          <w:sz w:val="28"/>
          <w:szCs w:val="28"/>
          <w:lang w:eastAsia="zh-CN"/>
        </w:rPr>
        <w:t>发</w:t>
      </w:r>
    </w:p>
    <w:sectPr>
      <w:footerReference r:id="rId3" w:type="default"/>
      <w:type w:val="continuous"/>
      <w:pgSz w:w="11907" w:h="16839"/>
      <w:pgMar w:top="1871" w:right="1531" w:bottom="1871" w:left="1531" w:header="720" w:footer="1134" w:gutter="0"/>
      <w:paperSrc/>
      <w:lnNumType w:countBy="0" w:distance="360"/>
      <w:pgNumType w:fmt="numberInDash"/>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swiss"/>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">
              <v:fill on="f" focussize="0,0"/>
              <v:stroke on="f" weight="0.5pt"/>
              <v:imagedata o:title=""/>
              <o:lock v:ext="edit" aspectratio="f"/>
              <v:textbox inset="0mm,0mm,0mm,0mm" style="mso-fit-shape-to-text:t;">
                <w:txbxContent>
                  <w:p>
                    <w:pPr>
                      <w:pStyle w:val="3"/>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3"/>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2C772E"/>
    <w:rsid w:val="04082536"/>
    <w:rsid w:val="05BE22C3"/>
    <w:rsid w:val="06D52851"/>
    <w:rsid w:val="0A207586"/>
    <w:rsid w:val="0A672756"/>
    <w:rsid w:val="0BAB78DC"/>
    <w:rsid w:val="11543B25"/>
    <w:rsid w:val="11CA3C3A"/>
    <w:rsid w:val="127718FC"/>
    <w:rsid w:val="159A24A8"/>
    <w:rsid w:val="17ED43CF"/>
    <w:rsid w:val="18B6727A"/>
    <w:rsid w:val="1ACF224F"/>
    <w:rsid w:val="1C7C3390"/>
    <w:rsid w:val="1E020ED0"/>
    <w:rsid w:val="213F19B7"/>
    <w:rsid w:val="22B464C1"/>
    <w:rsid w:val="22BA3ACE"/>
    <w:rsid w:val="2E836820"/>
    <w:rsid w:val="2FD225DE"/>
    <w:rsid w:val="31DD08F5"/>
    <w:rsid w:val="36B456DF"/>
    <w:rsid w:val="382D29A1"/>
    <w:rsid w:val="39A11C0A"/>
    <w:rsid w:val="3A0D3F2B"/>
    <w:rsid w:val="3B745BD3"/>
    <w:rsid w:val="3C285EDF"/>
    <w:rsid w:val="3CC25195"/>
    <w:rsid w:val="3DE2202F"/>
    <w:rsid w:val="3F4D296A"/>
    <w:rsid w:val="4133242D"/>
    <w:rsid w:val="43987CD8"/>
    <w:rsid w:val="4CAF7768"/>
    <w:rsid w:val="4E657366"/>
    <w:rsid w:val="4F0F6E1C"/>
    <w:rsid w:val="511F754B"/>
    <w:rsid w:val="550109D9"/>
    <w:rsid w:val="5530329F"/>
    <w:rsid w:val="5A6F5AAE"/>
    <w:rsid w:val="5D7966C8"/>
    <w:rsid w:val="5DE56EBC"/>
    <w:rsid w:val="5F672103"/>
    <w:rsid w:val="615E6812"/>
    <w:rsid w:val="61F42CFC"/>
    <w:rsid w:val="62140791"/>
    <w:rsid w:val="62E80344"/>
    <w:rsid w:val="64234EA8"/>
    <w:rsid w:val="64BA028E"/>
    <w:rsid w:val="64C61BD5"/>
    <w:rsid w:val="6A391ADB"/>
    <w:rsid w:val="6A7809EA"/>
    <w:rsid w:val="6E4A784F"/>
    <w:rsid w:val="6EA84A4C"/>
    <w:rsid w:val="6EEC70FD"/>
    <w:rsid w:val="6FE3384B"/>
    <w:rsid w:val="73D47A9C"/>
    <w:rsid w:val="73DF4AFF"/>
    <w:rsid w:val="749675FD"/>
    <w:rsid w:val="769B4D4F"/>
    <w:rsid w:val="76D06ABD"/>
    <w:rsid w:val="78473ABB"/>
    <w:rsid w:val="797F6947"/>
    <w:rsid w:val="79F1565C"/>
    <w:rsid w:val="7A583274"/>
    <w:rsid w:val="7CD05969"/>
    <w:rsid w:val="7EC10B15"/>
    <w:rsid w:val="7EFE713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semiHidden="0" w:name="index heading"/>
    <w:lsdException w:qFormat="1" w:unhideWhenUsed="0" w:uiPriority="99"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99"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qFormat="1" w:unhideWhenUsed="0" w:uiPriority="99" w:semiHidden="0" w:name="Closing"/>
    <w:lsdException w:qFormat="1" w:unhideWhenUsed="0" w:uiPriority="99" w:semiHidden="0" w:name="Signature"/>
    <w:lsdException w:uiPriority="99" w:semiHidden="0" w:name="Default Paragraph Font"/>
    <w:lsdException w:unhideWhenUsed="0" w:uiPriority="0"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nhideWhenUsed="0" w:uiPriority="99" w:semiHidden="0" w:name="Normal Table"/>
    <w:lsdException w:qFormat="1" w:unhideWhenUsed="0" w:uiPriority="99" w:semiHidden="0" w:name="annotation subject"/>
    <w:lsdException w:qFormat="1" w:unhideWhenUsed="0" w:uiPriority="99" w:semiHidden="0" w:name="Table Simple 1"/>
    <w:lsdException w:qFormat="1" w:unhideWhenUsed="0" w:uiPriority="99" w:semiHidden="0" w:name="Table Simple 2"/>
    <w:lsdException w:qFormat="1" w:unhideWhenUsed="0" w:uiPriority="99" w:semiHidden="0" w:name="Table Simple 3"/>
    <w:lsdException w:qFormat="1" w:unhideWhenUsed="0" w:uiPriority="99" w:semiHidden="0" w:name="Table Classic 1"/>
    <w:lsdException w:qFormat="1" w:unhideWhenUsed="0" w:uiPriority="99" w:semiHidden="0" w:name="Table Classic 2"/>
    <w:lsdException w:qFormat="1" w:unhideWhenUsed="0" w:uiPriority="99" w:semiHidden="0" w:name="Table Classic 3"/>
    <w:lsdException w:qFormat="1" w:unhideWhenUsed="0" w:uiPriority="99" w:semiHidden="0" w:name="Table Classic 4"/>
    <w:lsdException w:qFormat="1" w:unhideWhenUsed="0" w:uiPriority="99" w:semiHidden="0" w:name="Table Colorful 1"/>
    <w:lsdException w:qFormat="1" w:unhideWhenUsed="0" w:uiPriority="99" w:semiHidden="0" w:name="Table Colorful 2"/>
    <w:lsdException w:qFormat="1" w:unhideWhenUsed="0" w:uiPriority="99" w:semiHidden="0" w:name="Table Colorful 3"/>
    <w:lsdException w:qFormat="1" w:unhideWhenUsed="0" w:uiPriority="99" w:semiHidden="0" w:name="Table Columns 1"/>
    <w:lsdException w:qFormat="1" w:unhideWhenUsed="0" w:uiPriority="99" w:semiHidden="0" w:name="Table Columns 2"/>
    <w:lsdException w:qFormat="1" w:unhideWhenUsed="0" w:uiPriority="99" w:semiHidden="0" w:name="Table Columns 3"/>
    <w:lsdException w:qFormat="1" w:unhideWhenUsed="0" w:uiPriority="99" w:semiHidden="0" w:name="Table Columns 4"/>
    <w:lsdException w:qFormat="1" w:unhideWhenUsed="0" w:uiPriority="99" w:semiHidden="0" w:name="Table Columns 5"/>
    <w:lsdException w:qFormat="1" w:unhideWhenUsed="0" w:uiPriority="99" w:semiHidden="0" w:name="Table Grid 1"/>
    <w:lsdException w:qFormat="1" w:unhideWhenUsed="0" w:uiPriority="99" w:semiHidden="0" w:name="Table Grid 2"/>
    <w:lsdException w:qFormat="1" w:unhideWhenUsed="0" w:uiPriority="99" w:semiHidden="0" w:name="Table Grid 3"/>
    <w:lsdException w:qFormat="1" w:unhideWhenUsed="0" w:uiPriority="99" w:semiHidden="0" w:name="Table Grid 4"/>
    <w:lsdException w:qFormat="1" w:unhideWhenUsed="0" w:uiPriority="99" w:semiHidden="0" w:name="Table Grid 5"/>
    <w:lsdException w:qFormat="1" w:unhideWhenUsed="0" w:uiPriority="99" w:semiHidden="0" w:name="Table Grid 6"/>
    <w:lsdException w:qFormat="1" w:unhideWhenUsed="0" w:uiPriority="99" w:semiHidden="0" w:name="Table Grid 7"/>
    <w:lsdException w:qFormat="1" w:unhideWhenUsed="0" w:uiPriority="99" w:semiHidden="0" w:name="Table Grid 8"/>
    <w:lsdException w:qFormat="1" w:unhideWhenUsed="0" w:uiPriority="99" w:semiHidden="0" w:name="Table List 1"/>
    <w:lsdException w:qFormat="1" w:unhideWhenUsed="0" w:uiPriority="99" w:semiHidden="0" w:name="Table List 2"/>
    <w:lsdException w:qFormat="1" w:unhideWhenUsed="0" w:uiPriority="99" w:semiHidden="0" w:name="Table List 3"/>
    <w:lsdException w:qFormat="1" w:unhideWhenUsed="0" w:uiPriority="99" w:semiHidden="0" w:name="Table List 4"/>
    <w:lsdException w:qFormat="1" w:unhideWhenUsed="0" w:uiPriority="99" w:semiHidden="0" w:name="Table List 5"/>
    <w:lsdException w:qFormat="1" w:unhideWhenUsed="0" w:uiPriority="99" w:semiHidden="0" w:name="Table List 6"/>
    <w:lsdException w:qFormat="1" w:unhideWhenUsed="0" w:uiPriority="99" w:semiHidden="0" w:name="Table List 7"/>
    <w:lsdException w:qFormat="1" w:unhideWhenUsed="0" w:uiPriority="99" w:semiHidden="0" w:name="Table List 8"/>
    <w:lsdException w:qFormat="1" w:unhideWhenUsed="0" w:uiPriority="99" w:semiHidden="0" w:name="Table 3D effects 1"/>
    <w:lsdException w:qFormat="1" w:unhideWhenUsed="0" w:uiPriority="99" w:semiHidden="0" w:name="Table 3D effects 2"/>
    <w:lsdException w:qFormat="1" w:unhideWhenUsed="0" w:uiPriority="99" w:semiHidden="0" w:name="Table 3D effects 3"/>
    <w:lsdException w:qFormat="1" w:unhideWhenUsed="0" w:uiPriority="99" w:semiHidden="0" w:name="Table Contemporary"/>
    <w:lsdException w:qFormat="1" w:unhideWhenUsed="0" w:uiPriority="99" w:semiHidden="0" w:name="Table Elegant"/>
    <w:lsdException w:qFormat="1" w:unhideWhenUsed="0" w:uiPriority="99" w:semiHidden="0" w:name="Table Professional"/>
    <w:lsdException w:qFormat="1" w:unhideWhenUsed="0" w:uiPriority="99" w:semiHidden="0" w:name="Table Subtle 1"/>
    <w:lsdException w:qFormat="1" w:unhideWhenUsed="0" w:uiPriority="99" w:semiHidden="0" w:name="Table Subtle 2"/>
    <w:lsdException w:qFormat="1" w:unhideWhenUsed="0" w:uiPriority="99" w:semiHidden="0" w:name="Table Web 1"/>
    <w:lsdException w:qFormat="1" w:unhideWhenUsed="0" w:uiPriority="99" w:semiHidden="0" w:name="Table Web 2"/>
    <w:lsdException w:qFormat="1" w:unhideWhenUsed="0" w:uiPriority="99" w:semiHidden="0" w:name="Table Web 3"/>
    <w:lsdException w:qFormat="1" w:unhideWhenUsed="0" w:uiPriority="99" w:semiHidden="0" w:name="Balloon Text"/>
    <w:lsdException w:qFormat="1" w:unhideWhenUsed="0" w:uiPriority="99" w:semiHidden="0" w:name="Table Grid"/>
    <w:lsdException w:qFormat="1"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jc w:val="both"/>
    </w:pPr>
    <w:rPr>
      <w:rFonts w:hint="eastAsia" w:ascii="Times New Roman" w:hAnsi="Times New Roman" w:eastAsia="Times New Roman" w:cs="Times New Roman"/>
      <w:kern w:val="2"/>
      <w:sz w:val="21"/>
    </w:rPr>
  </w:style>
  <w:style w:type="character" w:default="1" w:styleId="6">
    <w:name w:val="Default Paragraph Font"/>
    <w:unhideWhenUsed/>
    <w:uiPriority w:val="99"/>
    <w:rPr>
      <w:rFonts w:hint="default"/>
      <w:sz w:val="24"/>
    </w:rPr>
  </w:style>
  <w:style w:type="table" w:default="1" w:styleId="5">
    <w:name w:val="Normal Table"/>
    <w:qFormat/>
    <w:uiPriority w:val="99"/>
    <w:tblPr>
      <w:tblCellMar>
        <w:top w:w="0" w:type="dxa"/>
        <w:left w:w="108" w:type="dxa"/>
        <w:bottom w:w="0" w:type="dxa"/>
        <w:right w:w="108" w:type="dxa"/>
      </w:tblCellMar>
    </w:tblPr>
  </w:style>
  <w:style w:type="paragraph" w:styleId="2">
    <w:name w:val="Body Text"/>
    <w:basedOn w:val="1"/>
    <w:next w:val="1"/>
    <w:uiPriority w:val="0"/>
    <w:pPr>
      <w:jc w:val="center"/>
    </w:pPr>
    <w:rPr>
      <w:sz w:val="36"/>
    </w:rPr>
  </w:style>
  <w:style w:type="paragraph" w:styleId="3">
    <w:name w:val="footer"/>
    <w:basedOn w:val="1"/>
    <w:unhideWhenUsed/>
    <w:qFormat/>
    <w:uiPriority w:val="99"/>
    <w:pPr>
      <w:tabs>
        <w:tab w:val="center" w:pos="4153"/>
        <w:tab w:val="right" w:pos="8306"/>
      </w:tabs>
      <w:snapToGrid w:val="0"/>
      <w:jc w:val="left"/>
    </w:pPr>
    <w:rPr>
      <w:rFonts w:hint="eastAsia"/>
      <w:sz w:val="18"/>
    </w:rPr>
  </w:style>
  <w:style w:type="paragraph" w:styleId="4">
    <w:name w:val="header"/>
    <w:basedOn w:val="1"/>
    <w:unhideWhenUsed/>
    <w:qFormat/>
    <w:uiPriority w:val="99"/>
    <w:pPr>
      <w:tabs>
        <w:tab w:val="center" w:pos="4153"/>
        <w:tab w:val="right" w:pos="8306"/>
      </w:tabs>
      <w:snapToGrid w:val="0"/>
    </w:pPr>
    <w:rPr>
      <w:rFonts w:hint="eastAsia"/>
      <w:sz w:val="18"/>
    </w:rPr>
  </w:style>
  <w:style w:type="paragraph" w:customStyle="1" w:styleId="7">
    <w:name w:val="Default"/>
    <w:unhideWhenUsed/>
    <w:qFormat/>
    <w:uiPriority w:val="99"/>
    <w:pPr>
      <w:widowControl w:val="0"/>
      <w:autoSpaceDE w:val="0"/>
      <w:autoSpaceDN w:val="0"/>
      <w:adjustRightInd w:val="0"/>
      <w:spacing w:beforeLines="0" w:afterLines="0"/>
    </w:pPr>
    <w:rPr>
      <w:rFonts w:hint="eastAsia" w:ascii="华文中宋" w:hAnsi="华文中宋" w:eastAsia="华文中宋" w:cs="Times New Roman"/>
      <w:color w:val="00000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28</TotalTime>
  <ScaleCrop>false</ScaleCrop>
  <LinksUpToDate>false</LinksUpToDate>
  <Application>WPS Office_11.1.0.9912_F1E327BC-269C-435d-A152-05C5408002CA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2021-08-06T08:52:00Z</dcterms:created>
  <dc:creator>acer</dc:creator>
  <cp:lastModifiedBy>Administrator</cp:lastModifiedBy>
  <cp:lastPrinted>2021-10-13T01:56:52Z</cp:lastPrinted>
  <dcterms:modified xsi:type="dcterms:W3CDTF">2021-10-13T02:07:12Z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ICV">
    <vt:lpwstr>0D2DE499A4DD472E8E21A34C482FDEEA</vt:lpwstr>
  </property>
</Properties>
</file>