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7923"/>
        </w:tabs>
        <w:spacing w:before="240" w:line="360" w:lineRule="auto"/>
        <w:jc w:val="center"/>
        <w:rPr>
          <w:rFonts w:hint="eastAsia" w:ascii="宋体" w:hAnsi="宋体" w:cs="Arial"/>
          <w:b/>
          <w:kern w:val="0"/>
          <w:sz w:val="48"/>
          <w:szCs w:val="48"/>
        </w:rPr>
      </w:pPr>
    </w:p>
    <w:p>
      <w:pPr>
        <w:widowControl/>
        <w:tabs>
          <w:tab w:val="left" w:pos="7923"/>
        </w:tabs>
        <w:spacing w:before="240" w:line="36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72"/>
          <w:szCs w:val="72"/>
        </w:rPr>
        <w:t>2022年焦作市第十二届</w:t>
      </w:r>
    </w:p>
    <w:p>
      <w:pPr>
        <w:widowControl/>
        <w:tabs>
          <w:tab w:val="left" w:pos="7923"/>
        </w:tabs>
        <w:spacing w:before="240" w:line="36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72"/>
          <w:szCs w:val="72"/>
        </w:rPr>
        <w:t>职业技能大赛</w:t>
      </w:r>
    </w:p>
    <w:p>
      <w:pPr>
        <w:widowControl/>
        <w:tabs>
          <w:tab w:val="left" w:pos="7923"/>
        </w:tabs>
        <w:spacing w:before="240" w:line="360" w:lineRule="auto"/>
        <w:jc w:val="center"/>
        <w:rPr>
          <w:rFonts w:hint="eastAsia" w:ascii="楷体_GB2312" w:hAnsi="楷体_GB2312" w:eastAsia="楷体_GB2312" w:cs="楷体_GB2312"/>
          <w:b w:val="0"/>
          <w:bCs/>
          <w:kern w:val="0"/>
          <w:sz w:val="44"/>
          <w:szCs w:val="44"/>
        </w:rPr>
      </w:pPr>
      <w:r>
        <w:rPr>
          <w:rFonts w:hint="eastAsia" w:ascii="楷体_GB2312" w:hAnsi="楷体_GB2312" w:eastAsia="楷体_GB2312" w:cs="楷体_GB2312"/>
          <w:b w:val="0"/>
          <w:bCs/>
          <w:kern w:val="0"/>
          <w:sz w:val="44"/>
          <w:szCs w:val="44"/>
        </w:rPr>
        <w:t>无人机装调检修工</w:t>
      </w:r>
      <w:r>
        <w:rPr>
          <w:rFonts w:hint="eastAsia" w:ascii="楷体_GB2312" w:hAnsi="楷体_GB2312" w:eastAsia="楷体_GB2312" w:cs="楷体_GB2312"/>
          <w:b w:val="0"/>
          <w:bCs/>
          <w:kern w:val="0"/>
          <w:sz w:val="44"/>
          <w:szCs w:val="44"/>
          <w:lang w:val="en-US" w:eastAsia="zh-CN"/>
        </w:rPr>
        <w:t>赛项</w:t>
      </w:r>
    </w:p>
    <w:p>
      <w:pPr>
        <w:keepNext w:val="0"/>
        <w:keepLines w:val="0"/>
        <w:pageBreakBefore w:val="0"/>
        <w:widowControl/>
        <w:tabs>
          <w:tab w:val="left" w:pos="7923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40" w:line="240" w:lineRule="auto"/>
        <w:jc w:val="center"/>
        <w:textAlignment w:val="auto"/>
        <w:rPr>
          <w:rFonts w:ascii="宋体" w:hAnsi="宋体" w:cs="Arial"/>
          <w:b/>
          <w:kern w:val="0"/>
          <w:sz w:val="72"/>
          <w:szCs w:val="72"/>
        </w:rPr>
      </w:pPr>
      <w:r>
        <w:rPr>
          <w:rFonts w:hint="eastAsia" w:ascii="宋体" w:hAnsi="宋体" w:cs="Arial"/>
          <w:b/>
          <w:kern w:val="0"/>
          <w:sz w:val="72"/>
          <w:szCs w:val="72"/>
        </w:rPr>
        <w:t>技</w:t>
      </w:r>
    </w:p>
    <w:p>
      <w:pPr>
        <w:keepNext w:val="0"/>
        <w:keepLines w:val="0"/>
        <w:pageBreakBefore w:val="0"/>
        <w:widowControl/>
        <w:tabs>
          <w:tab w:val="left" w:pos="7923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40" w:line="240" w:lineRule="auto"/>
        <w:jc w:val="center"/>
        <w:textAlignment w:val="auto"/>
        <w:rPr>
          <w:rFonts w:ascii="宋体" w:hAnsi="宋体" w:cs="Arial"/>
          <w:b/>
          <w:kern w:val="0"/>
          <w:sz w:val="72"/>
          <w:szCs w:val="72"/>
        </w:rPr>
      </w:pPr>
      <w:r>
        <w:rPr>
          <w:rFonts w:hint="eastAsia" w:ascii="宋体" w:hAnsi="宋体" w:cs="Arial"/>
          <w:b/>
          <w:kern w:val="0"/>
          <w:sz w:val="72"/>
          <w:szCs w:val="72"/>
        </w:rPr>
        <w:t>术</w:t>
      </w:r>
    </w:p>
    <w:p>
      <w:pPr>
        <w:keepNext w:val="0"/>
        <w:keepLines w:val="0"/>
        <w:pageBreakBefore w:val="0"/>
        <w:widowControl/>
        <w:tabs>
          <w:tab w:val="left" w:pos="7923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40" w:line="240" w:lineRule="auto"/>
        <w:jc w:val="center"/>
        <w:textAlignment w:val="auto"/>
        <w:rPr>
          <w:rFonts w:ascii="宋体" w:hAnsi="宋体" w:cs="Arial"/>
          <w:b/>
          <w:kern w:val="0"/>
          <w:sz w:val="72"/>
          <w:szCs w:val="72"/>
        </w:rPr>
      </w:pPr>
      <w:r>
        <w:rPr>
          <w:rFonts w:hint="eastAsia" w:ascii="宋体" w:hAnsi="宋体" w:cs="Arial"/>
          <w:b/>
          <w:kern w:val="0"/>
          <w:sz w:val="72"/>
          <w:szCs w:val="72"/>
        </w:rPr>
        <w:t>文</w:t>
      </w:r>
    </w:p>
    <w:p>
      <w:pPr>
        <w:keepNext w:val="0"/>
        <w:keepLines w:val="0"/>
        <w:pageBreakBefore w:val="0"/>
        <w:widowControl/>
        <w:tabs>
          <w:tab w:val="left" w:pos="7923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40" w:line="240" w:lineRule="auto"/>
        <w:jc w:val="center"/>
        <w:textAlignment w:val="auto"/>
        <w:rPr>
          <w:rFonts w:ascii="宋体" w:hAnsi="宋体" w:cs="Arial"/>
          <w:b/>
          <w:kern w:val="0"/>
          <w:sz w:val="72"/>
          <w:szCs w:val="72"/>
        </w:rPr>
      </w:pPr>
      <w:r>
        <w:rPr>
          <w:rFonts w:hint="eastAsia" w:ascii="宋体" w:hAnsi="宋体" w:cs="Arial"/>
          <w:b/>
          <w:kern w:val="0"/>
          <w:sz w:val="72"/>
          <w:szCs w:val="72"/>
        </w:rPr>
        <w:t>件</w:t>
      </w:r>
    </w:p>
    <w:p>
      <w:pPr>
        <w:jc w:val="center"/>
        <w:rPr>
          <w:rFonts w:ascii="仿宋_GB2312" w:hAnsi="宋体" w:eastAsia="仿宋_GB2312"/>
          <w:b/>
          <w:color w:val="000000"/>
          <w:sz w:val="52"/>
          <w:szCs w:val="52"/>
        </w:rPr>
      </w:pPr>
    </w:p>
    <w:p>
      <w:pPr>
        <w:jc w:val="center"/>
        <w:rPr>
          <w:rFonts w:hint="eastAsia" w:ascii="楷体_GB2312" w:hAnsi="楷体_GB2312" w:eastAsia="楷体_GB2312" w:cs="楷体_GB2312"/>
          <w:bCs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bCs/>
          <w:color w:val="000000"/>
          <w:sz w:val="32"/>
          <w:szCs w:val="32"/>
        </w:rPr>
        <w:t>焦作市第十二届职业技能大赛组委会</w:t>
      </w:r>
    </w:p>
    <w:p>
      <w:pPr>
        <w:jc w:val="center"/>
        <w:rPr>
          <w:rFonts w:hint="eastAsia" w:ascii="楷体_GB2312" w:hAnsi="楷体_GB2312" w:eastAsia="楷体_GB2312" w:cs="楷体_GB2312"/>
          <w:sz w:val="32"/>
          <w:szCs w:val="32"/>
        </w:rPr>
      </w:pPr>
    </w:p>
    <w:p>
      <w:pPr>
        <w:jc w:val="center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二〇二二年九月</w:t>
      </w:r>
    </w:p>
    <w:sdt>
      <w:sdtPr>
        <w:rPr>
          <w:rFonts w:ascii="宋体" w:hAnsi="宋体" w:eastAsia="宋体"/>
          <w:sz w:val="48"/>
          <w:szCs w:val="52"/>
        </w:rPr>
        <w:id w:val="147470675"/>
        <w:docPartObj>
          <w:docPartGallery w:val="Table of Contents"/>
          <w:docPartUnique/>
        </w:docPartObj>
      </w:sdtPr>
      <w:sdtEndPr>
        <w:rPr>
          <w:rFonts w:ascii="仿宋" w:hAnsi="仿宋" w:eastAsia="仿宋"/>
          <w:sz w:val="22"/>
          <w:szCs w:val="22"/>
        </w:rPr>
      </w:sdtEndPr>
      <w:sdtContent>
        <w:p>
          <w:pPr>
            <w:spacing w:line="560" w:lineRule="exact"/>
            <w:jc w:val="center"/>
          </w:pPr>
          <w:r>
            <w:rPr>
              <w:rFonts w:hint="eastAsia" w:ascii="宋体" w:hAnsi="宋体" w:eastAsia="宋体"/>
              <w:sz w:val="48"/>
              <w:szCs w:val="52"/>
            </w:rPr>
            <w:t>目录</w:t>
          </w:r>
          <w:r>
            <w:fldChar w:fldCharType="begin"/>
          </w:r>
          <w:r>
            <w:instrText xml:space="preserve">TOC \o "1-3" \h \u </w:instrText>
          </w:r>
          <w:r>
            <w:fldChar w:fldCharType="separate"/>
          </w:r>
        </w:p>
        <w:p>
          <w:pPr>
            <w:pStyle w:val="8"/>
            <w:tabs>
              <w:tab w:val="right" w:leader="dot" w:pos="8849"/>
            </w:tabs>
            <w:spacing w:line="560" w:lineRule="exact"/>
            <w:ind w:left="0" w:leftChars="0"/>
            <w:rPr>
              <w:rFonts w:ascii="宋体" w:hAnsi="宋体" w:eastAsia="宋体" w:cs="宋体"/>
              <w:sz w:val="32"/>
              <w:szCs w:val="32"/>
            </w:rPr>
          </w:pPr>
          <w:r>
            <w:fldChar w:fldCharType="begin"/>
          </w:r>
          <w:r>
            <w:instrText xml:space="preserve"> HYPERLINK \l "_Toc14809"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pacing w:val="-4"/>
              <w:sz w:val="32"/>
              <w:szCs w:val="32"/>
            </w:rPr>
            <w:t>一、命题</w:t>
          </w:r>
          <w:r>
            <w:rPr>
              <w:rFonts w:hint="eastAsia" w:ascii="宋体" w:hAnsi="宋体" w:eastAsia="宋体" w:cs="宋体"/>
              <w:spacing w:val="-7"/>
              <w:sz w:val="32"/>
              <w:szCs w:val="32"/>
            </w:rPr>
            <w:t>标准</w:t>
          </w:r>
          <w:r>
            <w:rPr>
              <w:rFonts w:hint="eastAsia" w:ascii="宋体" w:hAnsi="宋体" w:eastAsia="宋体" w:cs="宋体"/>
              <w:sz w:val="32"/>
              <w:szCs w:val="32"/>
            </w:rPr>
            <w:tab/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sz w:val="32"/>
              <w:szCs w:val="32"/>
            </w:rPr>
            <w:instrText xml:space="preserve"> PAGEREF _Toc14809 \h </w:instrText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separate"/>
          </w:r>
          <w:r>
            <w:rPr>
              <w:rFonts w:ascii="宋体" w:hAnsi="宋体" w:eastAsia="宋体" w:cs="宋体"/>
              <w:sz w:val="32"/>
              <w:szCs w:val="32"/>
            </w:rPr>
            <w:t>1</w:t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end"/>
          </w:r>
        </w:p>
        <w:p>
          <w:pPr>
            <w:pStyle w:val="8"/>
            <w:tabs>
              <w:tab w:val="right" w:leader="dot" w:pos="8849"/>
            </w:tabs>
            <w:spacing w:line="560" w:lineRule="exact"/>
            <w:ind w:left="0" w:leftChars="0"/>
            <w:rPr>
              <w:rFonts w:ascii="宋体" w:hAnsi="宋体" w:eastAsia="宋体" w:cs="宋体"/>
              <w:sz w:val="32"/>
              <w:szCs w:val="32"/>
            </w:rPr>
          </w:pPr>
          <w:r>
            <w:fldChar w:fldCharType="begin"/>
          </w:r>
          <w:r>
            <w:instrText xml:space="preserve"> HYPERLINK \l "_Toc5198"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pacing w:val="-4"/>
              <w:sz w:val="32"/>
              <w:szCs w:val="32"/>
            </w:rPr>
            <w:t>二、竞赛内</w:t>
          </w:r>
          <w:r>
            <w:rPr>
              <w:rFonts w:hint="eastAsia" w:ascii="宋体" w:hAnsi="宋体" w:eastAsia="宋体" w:cs="宋体"/>
              <w:spacing w:val="-10"/>
              <w:sz w:val="32"/>
              <w:szCs w:val="32"/>
            </w:rPr>
            <w:t>容</w:t>
          </w:r>
          <w:r>
            <w:rPr>
              <w:rFonts w:hint="eastAsia" w:ascii="宋体" w:hAnsi="宋体" w:eastAsia="宋体" w:cs="宋体"/>
              <w:sz w:val="32"/>
              <w:szCs w:val="32"/>
            </w:rPr>
            <w:tab/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sz w:val="32"/>
              <w:szCs w:val="32"/>
            </w:rPr>
            <w:instrText xml:space="preserve"> PAGEREF _Toc5198 \h </w:instrText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separate"/>
          </w:r>
          <w:r>
            <w:rPr>
              <w:rFonts w:ascii="宋体" w:hAnsi="宋体" w:eastAsia="宋体" w:cs="宋体"/>
              <w:sz w:val="32"/>
              <w:szCs w:val="32"/>
            </w:rPr>
            <w:t>1</w:t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end"/>
          </w:r>
        </w:p>
        <w:p>
          <w:pPr>
            <w:pStyle w:val="8"/>
            <w:tabs>
              <w:tab w:val="right" w:leader="dot" w:pos="8849"/>
            </w:tabs>
            <w:spacing w:line="560" w:lineRule="exact"/>
            <w:ind w:left="440"/>
            <w:rPr>
              <w:rFonts w:ascii="宋体" w:hAnsi="宋体" w:eastAsia="宋体" w:cs="宋体"/>
              <w:sz w:val="32"/>
              <w:szCs w:val="32"/>
            </w:rPr>
          </w:pPr>
          <w:r>
            <w:fldChar w:fldCharType="begin"/>
          </w:r>
          <w:r>
            <w:instrText xml:space="preserve"> HYPERLINK \l "_Toc20551"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pacing w:val="-4"/>
              <w:sz w:val="32"/>
              <w:szCs w:val="32"/>
            </w:rPr>
            <w:t>（一）理论知识</w:t>
          </w:r>
          <w:r>
            <w:rPr>
              <w:rFonts w:hint="eastAsia" w:ascii="宋体" w:hAnsi="宋体" w:eastAsia="宋体" w:cs="宋体"/>
              <w:spacing w:val="-7"/>
              <w:sz w:val="32"/>
              <w:szCs w:val="32"/>
            </w:rPr>
            <w:t>竞赛</w:t>
          </w:r>
          <w:r>
            <w:rPr>
              <w:rFonts w:hint="eastAsia" w:ascii="宋体" w:hAnsi="宋体" w:eastAsia="宋体" w:cs="宋体"/>
              <w:sz w:val="32"/>
              <w:szCs w:val="32"/>
            </w:rPr>
            <w:tab/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sz w:val="32"/>
              <w:szCs w:val="32"/>
            </w:rPr>
            <w:instrText xml:space="preserve"> PAGEREF _Toc20551 \h </w:instrText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separate"/>
          </w:r>
          <w:r>
            <w:rPr>
              <w:rFonts w:ascii="宋体" w:hAnsi="宋体" w:eastAsia="宋体" w:cs="宋体"/>
              <w:sz w:val="32"/>
              <w:szCs w:val="32"/>
            </w:rPr>
            <w:t>2</w:t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end"/>
          </w:r>
        </w:p>
        <w:p>
          <w:pPr>
            <w:pStyle w:val="8"/>
            <w:tabs>
              <w:tab w:val="right" w:leader="dot" w:pos="8849"/>
            </w:tabs>
            <w:spacing w:line="560" w:lineRule="exact"/>
            <w:ind w:left="440"/>
            <w:rPr>
              <w:rFonts w:ascii="宋体" w:hAnsi="宋体" w:eastAsia="宋体" w:cs="宋体"/>
              <w:sz w:val="32"/>
              <w:szCs w:val="32"/>
            </w:rPr>
          </w:pPr>
          <w:r>
            <w:fldChar w:fldCharType="begin"/>
          </w:r>
          <w:r>
            <w:instrText xml:space="preserve"> HYPERLINK \l "_Toc5308"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pacing w:val="-4"/>
              <w:sz w:val="32"/>
              <w:szCs w:val="32"/>
            </w:rPr>
            <w:t>（二）技能操作</w:t>
          </w:r>
          <w:r>
            <w:rPr>
              <w:rFonts w:hint="eastAsia" w:ascii="宋体" w:hAnsi="宋体" w:eastAsia="宋体" w:cs="宋体"/>
              <w:spacing w:val="-7"/>
              <w:sz w:val="32"/>
              <w:szCs w:val="32"/>
            </w:rPr>
            <w:t>竞赛</w:t>
          </w:r>
          <w:r>
            <w:rPr>
              <w:rFonts w:hint="eastAsia" w:ascii="宋体" w:hAnsi="宋体" w:eastAsia="宋体" w:cs="宋体"/>
              <w:sz w:val="32"/>
              <w:szCs w:val="32"/>
            </w:rPr>
            <w:tab/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sz w:val="32"/>
              <w:szCs w:val="32"/>
            </w:rPr>
            <w:instrText xml:space="preserve"> PAGEREF _Toc5308 \h </w:instrText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separate"/>
          </w:r>
          <w:r>
            <w:rPr>
              <w:rFonts w:ascii="宋体" w:hAnsi="宋体" w:eastAsia="宋体" w:cs="宋体"/>
              <w:sz w:val="32"/>
              <w:szCs w:val="32"/>
            </w:rPr>
            <w:t>2</w:t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end"/>
          </w:r>
        </w:p>
        <w:p>
          <w:pPr>
            <w:pStyle w:val="8"/>
            <w:tabs>
              <w:tab w:val="right" w:leader="dot" w:pos="8849"/>
            </w:tabs>
            <w:spacing w:line="560" w:lineRule="exact"/>
            <w:ind w:left="0" w:leftChars="0"/>
            <w:rPr>
              <w:rFonts w:ascii="宋体" w:hAnsi="宋体" w:eastAsia="宋体" w:cs="宋体"/>
              <w:sz w:val="32"/>
              <w:szCs w:val="32"/>
            </w:rPr>
          </w:pPr>
          <w:r>
            <w:fldChar w:fldCharType="begin"/>
          </w:r>
          <w:r>
            <w:instrText xml:space="preserve"> HYPERLINK \l "_Toc7138"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pacing w:val="-4"/>
              <w:sz w:val="32"/>
              <w:szCs w:val="32"/>
            </w:rPr>
            <w:t>三、竞赛</w:t>
          </w:r>
          <w:r>
            <w:rPr>
              <w:rFonts w:hint="eastAsia" w:ascii="宋体" w:hAnsi="宋体" w:eastAsia="宋体" w:cs="宋体"/>
              <w:spacing w:val="-7"/>
              <w:sz w:val="32"/>
              <w:szCs w:val="32"/>
            </w:rPr>
            <w:t>规则</w:t>
          </w:r>
          <w:r>
            <w:rPr>
              <w:rFonts w:hint="eastAsia" w:ascii="宋体" w:hAnsi="宋体" w:eastAsia="宋体" w:cs="宋体"/>
              <w:sz w:val="32"/>
              <w:szCs w:val="32"/>
            </w:rPr>
            <w:tab/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sz w:val="32"/>
              <w:szCs w:val="32"/>
            </w:rPr>
            <w:instrText xml:space="preserve"> PAGEREF _Toc7138 \h </w:instrText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separate"/>
          </w:r>
          <w:r>
            <w:rPr>
              <w:rFonts w:ascii="宋体" w:hAnsi="宋体" w:eastAsia="宋体" w:cs="宋体"/>
              <w:sz w:val="32"/>
              <w:szCs w:val="32"/>
            </w:rPr>
            <w:t>5</w:t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end"/>
          </w:r>
        </w:p>
        <w:p>
          <w:pPr>
            <w:pStyle w:val="8"/>
            <w:tabs>
              <w:tab w:val="right" w:leader="dot" w:pos="8849"/>
            </w:tabs>
            <w:spacing w:line="560" w:lineRule="exact"/>
            <w:ind w:left="440"/>
            <w:rPr>
              <w:rFonts w:ascii="宋体" w:hAnsi="宋体" w:eastAsia="宋体" w:cs="宋体"/>
              <w:sz w:val="32"/>
              <w:szCs w:val="32"/>
            </w:rPr>
          </w:pPr>
          <w:r>
            <w:fldChar w:fldCharType="begin"/>
          </w:r>
          <w:r>
            <w:instrText xml:space="preserve"> HYPERLINK \l "_Toc14196"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pacing w:val="-4"/>
              <w:sz w:val="32"/>
              <w:szCs w:val="32"/>
            </w:rPr>
            <w:t>（一）竞赛流程及相应</w:t>
          </w:r>
          <w:r>
            <w:rPr>
              <w:rFonts w:hint="eastAsia" w:ascii="宋体" w:hAnsi="宋体" w:eastAsia="宋体" w:cs="宋体"/>
              <w:spacing w:val="-7"/>
              <w:sz w:val="32"/>
              <w:szCs w:val="32"/>
            </w:rPr>
            <w:t>规则</w:t>
          </w:r>
          <w:r>
            <w:rPr>
              <w:rFonts w:hint="eastAsia" w:ascii="宋体" w:hAnsi="宋体" w:eastAsia="宋体" w:cs="宋体"/>
              <w:sz w:val="32"/>
              <w:szCs w:val="32"/>
            </w:rPr>
            <w:tab/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sz w:val="32"/>
              <w:szCs w:val="32"/>
            </w:rPr>
            <w:instrText xml:space="preserve"> PAGEREF _Toc14196 \h </w:instrText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separate"/>
          </w:r>
          <w:r>
            <w:rPr>
              <w:rFonts w:ascii="宋体" w:hAnsi="宋体" w:eastAsia="宋体" w:cs="宋体"/>
              <w:sz w:val="32"/>
              <w:szCs w:val="32"/>
            </w:rPr>
            <w:t>5</w:t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end"/>
          </w:r>
        </w:p>
        <w:p>
          <w:pPr>
            <w:pStyle w:val="8"/>
            <w:tabs>
              <w:tab w:val="right" w:leader="dot" w:pos="8849"/>
            </w:tabs>
            <w:spacing w:line="560" w:lineRule="exact"/>
            <w:ind w:left="440"/>
            <w:rPr>
              <w:rFonts w:ascii="宋体" w:hAnsi="宋体" w:eastAsia="宋体" w:cs="宋体"/>
              <w:sz w:val="32"/>
              <w:szCs w:val="32"/>
            </w:rPr>
          </w:pPr>
          <w:r>
            <w:fldChar w:fldCharType="begin"/>
          </w:r>
          <w:r>
            <w:instrText xml:space="preserve"> HYPERLINK \l "_Toc15474"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pacing w:val="-4"/>
              <w:sz w:val="32"/>
              <w:szCs w:val="32"/>
            </w:rPr>
            <w:t>（二）竞赛过程</w:t>
          </w:r>
          <w:r>
            <w:rPr>
              <w:rFonts w:hint="eastAsia" w:ascii="宋体" w:hAnsi="宋体" w:eastAsia="宋体" w:cs="宋体"/>
              <w:spacing w:val="-7"/>
              <w:sz w:val="32"/>
              <w:szCs w:val="32"/>
            </w:rPr>
            <w:t>监控</w:t>
          </w:r>
          <w:r>
            <w:rPr>
              <w:rFonts w:hint="eastAsia" w:ascii="宋体" w:hAnsi="宋体" w:eastAsia="宋体" w:cs="宋体"/>
              <w:sz w:val="32"/>
              <w:szCs w:val="32"/>
            </w:rPr>
            <w:tab/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sz w:val="32"/>
              <w:szCs w:val="32"/>
            </w:rPr>
            <w:instrText xml:space="preserve"> PAGEREF _Toc15474 \h </w:instrText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separate"/>
          </w:r>
          <w:r>
            <w:rPr>
              <w:rFonts w:ascii="宋体" w:hAnsi="宋体" w:eastAsia="宋体" w:cs="宋体"/>
              <w:sz w:val="32"/>
              <w:szCs w:val="32"/>
            </w:rPr>
            <w:t>5</w:t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end"/>
          </w:r>
        </w:p>
        <w:p>
          <w:pPr>
            <w:pStyle w:val="8"/>
            <w:tabs>
              <w:tab w:val="right" w:leader="dot" w:pos="8849"/>
            </w:tabs>
            <w:spacing w:line="560" w:lineRule="exact"/>
            <w:ind w:left="440"/>
            <w:rPr>
              <w:rFonts w:ascii="宋体" w:hAnsi="宋体" w:eastAsia="宋体" w:cs="宋体"/>
              <w:sz w:val="32"/>
              <w:szCs w:val="32"/>
            </w:rPr>
          </w:pPr>
          <w:r>
            <w:fldChar w:fldCharType="begin"/>
          </w:r>
          <w:r>
            <w:instrText xml:space="preserve"> HYPERLINK \l "_Toc3535"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pacing w:val="-4"/>
              <w:sz w:val="32"/>
              <w:szCs w:val="32"/>
            </w:rPr>
            <w:t>（三）特殊说</w:t>
          </w:r>
          <w:r>
            <w:rPr>
              <w:rFonts w:hint="eastAsia" w:ascii="宋体" w:hAnsi="宋体" w:eastAsia="宋体" w:cs="宋体"/>
              <w:spacing w:val="-10"/>
              <w:sz w:val="32"/>
              <w:szCs w:val="32"/>
            </w:rPr>
            <w:t>明</w:t>
          </w:r>
          <w:r>
            <w:rPr>
              <w:rFonts w:hint="eastAsia" w:ascii="宋体" w:hAnsi="宋体" w:eastAsia="宋体" w:cs="宋体"/>
              <w:sz w:val="32"/>
              <w:szCs w:val="32"/>
            </w:rPr>
            <w:tab/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sz w:val="32"/>
              <w:szCs w:val="32"/>
            </w:rPr>
            <w:instrText xml:space="preserve"> PAGEREF _Toc3535 \h </w:instrText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separate"/>
          </w:r>
          <w:r>
            <w:rPr>
              <w:rFonts w:ascii="宋体" w:hAnsi="宋体" w:eastAsia="宋体" w:cs="宋体"/>
              <w:sz w:val="32"/>
              <w:szCs w:val="32"/>
            </w:rPr>
            <w:t>6</w:t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end"/>
          </w:r>
        </w:p>
        <w:p>
          <w:pPr>
            <w:pStyle w:val="8"/>
            <w:tabs>
              <w:tab w:val="right" w:leader="dot" w:pos="8849"/>
            </w:tabs>
            <w:spacing w:line="560" w:lineRule="exact"/>
            <w:ind w:left="0" w:leftChars="0"/>
            <w:rPr>
              <w:rFonts w:ascii="宋体" w:hAnsi="宋体" w:eastAsia="宋体" w:cs="宋体"/>
              <w:sz w:val="32"/>
              <w:szCs w:val="32"/>
            </w:rPr>
          </w:pPr>
          <w:r>
            <w:fldChar w:fldCharType="begin"/>
          </w:r>
          <w:r>
            <w:instrText xml:space="preserve"> HYPERLINK \l "_Toc27343"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pacing w:val="-4"/>
              <w:sz w:val="32"/>
              <w:szCs w:val="32"/>
            </w:rPr>
            <w:t>四、评分</w:t>
          </w:r>
          <w:r>
            <w:rPr>
              <w:rFonts w:hint="eastAsia" w:ascii="宋体" w:hAnsi="宋体" w:eastAsia="宋体" w:cs="宋体"/>
              <w:spacing w:val="-7"/>
              <w:sz w:val="32"/>
              <w:szCs w:val="32"/>
            </w:rPr>
            <w:t>标准</w:t>
          </w:r>
          <w:r>
            <w:rPr>
              <w:rFonts w:hint="eastAsia" w:ascii="宋体" w:hAnsi="宋体" w:eastAsia="宋体" w:cs="宋体"/>
              <w:sz w:val="32"/>
              <w:szCs w:val="32"/>
            </w:rPr>
            <w:tab/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sz w:val="32"/>
              <w:szCs w:val="32"/>
            </w:rPr>
            <w:instrText xml:space="preserve"> PAGEREF _Toc27343 \h </w:instrText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separate"/>
          </w:r>
          <w:r>
            <w:rPr>
              <w:rFonts w:ascii="宋体" w:hAnsi="宋体" w:eastAsia="宋体" w:cs="宋体"/>
              <w:sz w:val="32"/>
              <w:szCs w:val="32"/>
            </w:rPr>
            <w:t>6</w:t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end"/>
          </w:r>
        </w:p>
        <w:p>
          <w:pPr>
            <w:pStyle w:val="8"/>
            <w:tabs>
              <w:tab w:val="right" w:leader="dot" w:pos="8849"/>
            </w:tabs>
            <w:spacing w:line="560" w:lineRule="exact"/>
            <w:ind w:left="440"/>
            <w:rPr>
              <w:rFonts w:ascii="宋体" w:hAnsi="宋体" w:eastAsia="宋体" w:cs="宋体"/>
              <w:sz w:val="32"/>
              <w:szCs w:val="32"/>
            </w:rPr>
          </w:pPr>
          <w:r>
            <w:fldChar w:fldCharType="begin"/>
          </w:r>
          <w:r>
            <w:instrText xml:space="preserve"> HYPERLINK \l "_Toc20533"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pacing w:val="-4"/>
              <w:sz w:val="32"/>
              <w:szCs w:val="32"/>
            </w:rPr>
            <w:t>（一）成绩评定</w:t>
          </w:r>
          <w:r>
            <w:rPr>
              <w:rFonts w:hint="eastAsia" w:ascii="宋体" w:hAnsi="宋体" w:eastAsia="宋体" w:cs="宋体"/>
              <w:spacing w:val="-7"/>
              <w:sz w:val="32"/>
              <w:szCs w:val="32"/>
            </w:rPr>
            <w:t>原则</w:t>
          </w:r>
          <w:r>
            <w:rPr>
              <w:rFonts w:hint="eastAsia" w:ascii="宋体" w:hAnsi="宋体" w:eastAsia="宋体" w:cs="宋体"/>
              <w:sz w:val="32"/>
              <w:szCs w:val="32"/>
            </w:rPr>
            <w:tab/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sz w:val="32"/>
              <w:szCs w:val="32"/>
            </w:rPr>
            <w:instrText xml:space="preserve"> PAGEREF _Toc20533 \h </w:instrText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separate"/>
          </w:r>
          <w:r>
            <w:rPr>
              <w:rFonts w:ascii="宋体" w:hAnsi="宋体" w:eastAsia="宋体" w:cs="宋体"/>
              <w:sz w:val="32"/>
              <w:szCs w:val="32"/>
            </w:rPr>
            <w:t>6</w:t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end"/>
          </w:r>
        </w:p>
        <w:p>
          <w:pPr>
            <w:pStyle w:val="8"/>
            <w:tabs>
              <w:tab w:val="right" w:leader="dot" w:pos="8849"/>
            </w:tabs>
            <w:spacing w:line="560" w:lineRule="exact"/>
            <w:ind w:left="440"/>
            <w:rPr>
              <w:rFonts w:ascii="宋体" w:hAnsi="宋体" w:eastAsia="宋体" w:cs="宋体"/>
              <w:sz w:val="32"/>
              <w:szCs w:val="32"/>
            </w:rPr>
          </w:pPr>
          <w:r>
            <w:fldChar w:fldCharType="begin"/>
          </w:r>
          <w:r>
            <w:instrText xml:space="preserve"> HYPERLINK \l "_Toc7102"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pacing w:val="-4"/>
              <w:sz w:val="32"/>
              <w:szCs w:val="32"/>
            </w:rPr>
            <w:t>（二）评分方</w:t>
          </w:r>
          <w:r>
            <w:rPr>
              <w:rFonts w:hint="eastAsia" w:ascii="宋体" w:hAnsi="宋体" w:eastAsia="宋体" w:cs="宋体"/>
              <w:spacing w:val="-10"/>
              <w:sz w:val="32"/>
              <w:szCs w:val="32"/>
            </w:rPr>
            <w:t>法</w:t>
          </w:r>
          <w:r>
            <w:rPr>
              <w:rFonts w:hint="eastAsia" w:ascii="宋体" w:hAnsi="宋体" w:eastAsia="宋体" w:cs="宋体"/>
              <w:sz w:val="32"/>
              <w:szCs w:val="32"/>
            </w:rPr>
            <w:tab/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sz w:val="32"/>
              <w:szCs w:val="32"/>
            </w:rPr>
            <w:instrText xml:space="preserve"> PAGEREF _Toc7102 \h </w:instrText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separate"/>
          </w:r>
          <w:r>
            <w:rPr>
              <w:rFonts w:ascii="宋体" w:hAnsi="宋体" w:eastAsia="宋体" w:cs="宋体"/>
              <w:sz w:val="32"/>
              <w:szCs w:val="32"/>
            </w:rPr>
            <w:t>6</w:t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end"/>
          </w:r>
        </w:p>
        <w:p>
          <w:pPr>
            <w:pStyle w:val="8"/>
            <w:tabs>
              <w:tab w:val="right" w:leader="dot" w:pos="8849"/>
            </w:tabs>
            <w:spacing w:line="560" w:lineRule="exact"/>
            <w:ind w:left="440"/>
            <w:rPr>
              <w:rFonts w:ascii="宋体" w:hAnsi="宋体" w:eastAsia="宋体" w:cs="宋体"/>
              <w:sz w:val="32"/>
              <w:szCs w:val="32"/>
            </w:rPr>
          </w:pPr>
          <w:r>
            <w:fldChar w:fldCharType="begin"/>
          </w:r>
          <w:r>
            <w:instrText xml:space="preserve"> HYPERLINK \l "_Toc13095"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pacing w:val="-4"/>
              <w:sz w:val="32"/>
              <w:szCs w:val="32"/>
            </w:rPr>
            <w:t>（三）评分细</w:t>
          </w:r>
          <w:r>
            <w:rPr>
              <w:rFonts w:hint="eastAsia" w:ascii="宋体" w:hAnsi="宋体" w:eastAsia="宋体" w:cs="宋体"/>
              <w:spacing w:val="-10"/>
              <w:sz w:val="32"/>
              <w:szCs w:val="32"/>
            </w:rPr>
            <w:t>则</w:t>
          </w:r>
          <w:r>
            <w:rPr>
              <w:rFonts w:hint="eastAsia" w:ascii="宋体" w:hAnsi="宋体" w:eastAsia="宋体" w:cs="宋体"/>
              <w:sz w:val="32"/>
              <w:szCs w:val="32"/>
            </w:rPr>
            <w:tab/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sz w:val="32"/>
              <w:szCs w:val="32"/>
            </w:rPr>
            <w:instrText xml:space="preserve"> PAGEREF _Toc13095 \h </w:instrText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separate"/>
          </w:r>
          <w:r>
            <w:rPr>
              <w:rFonts w:ascii="宋体" w:hAnsi="宋体" w:eastAsia="宋体" w:cs="宋体"/>
              <w:sz w:val="32"/>
              <w:szCs w:val="32"/>
            </w:rPr>
            <w:t>6</w:t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end"/>
          </w:r>
        </w:p>
        <w:p>
          <w:pPr>
            <w:pStyle w:val="8"/>
            <w:tabs>
              <w:tab w:val="right" w:leader="dot" w:pos="8849"/>
            </w:tabs>
            <w:spacing w:line="560" w:lineRule="exact"/>
            <w:ind w:left="0" w:leftChars="0"/>
            <w:rPr>
              <w:rFonts w:ascii="宋体" w:hAnsi="宋体" w:eastAsia="宋体" w:cs="宋体"/>
              <w:sz w:val="32"/>
              <w:szCs w:val="32"/>
            </w:rPr>
          </w:pPr>
          <w:r>
            <w:fldChar w:fldCharType="begin"/>
          </w:r>
          <w:r>
            <w:instrText xml:space="preserve"> HYPERLINK \l "_Toc30544"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pacing w:val="-4"/>
              <w:sz w:val="32"/>
              <w:szCs w:val="32"/>
            </w:rPr>
            <w:t>五、竞赛安全操作</w:t>
          </w:r>
          <w:r>
            <w:rPr>
              <w:rFonts w:hint="eastAsia" w:ascii="宋体" w:hAnsi="宋体" w:eastAsia="宋体" w:cs="宋体"/>
              <w:spacing w:val="-7"/>
              <w:sz w:val="32"/>
              <w:szCs w:val="32"/>
            </w:rPr>
            <w:t>规则</w:t>
          </w:r>
          <w:r>
            <w:rPr>
              <w:rFonts w:hint="eastAsia" w:ascii="宋体" w:hAnsi="宋体" w:eastAsia="宋体" w:cs="宋体"/>
              <w:sz w:val="32"/>
              <w:szCs w:val="32"/>
            </w:rPr>
            <w:tab/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sz w:val="32"/>
              <w:szCs w:val="32"/>
            </w:rPr>
            <w:instrText xml:space="preserve"> PAGEREF _Toc30544 \h </w:instrText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separate"/>
          </w:r>
          <w:r>
            <w:rPr>
              <w:rFonts w:ascii="宋体" w:hAnsi="宋体" w:eastAsia="宋体" w:cs="宋体"/>
              <w:sz w:val="32"/>
              <w:szCs w:val="32"/>
            </w:rPr>
            <w:t>10</w:t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end"/>
          </w:r>
        </w:p>
        <w:p>
          <w:pPr>
            <w:pStyle w:val="8"/>
            <w:tabs>
              <w:tab w:val="right" w:leader="dot" w:pos="8849"/>
            </w:tabs>
            <w:spacing w:line="560" w:lineRule="exact"/>
            <w:ind w:left="0" w:leftChars="0"/>
            <w:rPr>
              <w:rFonts w:ascii="宋体" w:hAnsi="宋体" w:eastAsia="宋体" w:cs="宋体"/>
              <w:sz w:val="32"/>
              <w:szCs w:val="32"/>
            </w:rPr>
          </w:pPr>
          <w:r>
            <w:fldChar w:fldCharType="begin"/>
          </w:r>
          <w:r>
            <w:instrText xml:space="preserve"> HYPERLINK \l "_Toc14015"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pacing w:val="-4"/>
              <w:sz w:val="32"/>
              <w:szCs w:val="32"/>
            </w:rPr>
            <w:t>六、竞赛须</w:t>
          </w:r>
          <w:r>
            <w:rPr>
              <w:rFonts w:hint="eastAsia" w:ascii="宋体" w:hAnsi="宋体" w:eastAsia="宋体" w:cs="宋体"/>
              <w:spacing w:val="-10"/>
              <w:sz w:val="32"/>
              <w:szCs w:val="32"/>
            </w:rPr>
            <w:t>知</w:t>
          </w:r>
          <w:r>
            <w:rPr>
              <w:rFonts w:hint="eastAsia" w:ascii="宋体" w:hAnsi="宋体" w:eastAsia="宋体" w:cs="宋体"/>
              <w:sz w:val="32"/>
              <w:szCs w:val="32"/>
            </w:rPr>
            <w:tab/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sz w:val="32"/>
              <w:szCs w:val="32"/>
            </w:rPr>
            <w:instrText xml:space="preserve"> PAGEREF _Toc14015 \h </w:instrText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separate"/>
          </w:r>
          <w:r>
            <w:rPr>
              <w:rFonts w:ascii="宋体" w:hAnsi="宋体" w:eastAsia="宋体" w:cs="宋体"/>
              <w:sz w:val="32"/>
              <w:szCs w:val="32"/>
            </w:rPr>
            <w:t>10</w:t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end"/>
          </w:r>
        </w:p>
        <w:p>
          <w:pPr>
            <w:pStyle w:val="8"/>
            <w:tabs>
              <w:tab w:val="right" w:leader="dot" w:pos="8849"/>
            </w:tabs>
            <w:spacing w:line="560" w:lineRule="exact"/>
            <w:ind w:left="440"/>
            <w:rPr>
              <w:rFonts w:ascii="宋体" w:hAnsi="宋体" w:eastAsia="宋体" w:cs="宋体"/>
              <w:sz w:val="32"/>
              <w:szCs w:val="32"/>
            </w:rPr>
          </w:pPr>
          <w:r>
            <w:fldChar w:fldCharType="begin"/>
          </w:r>
          <w:r>
            <w:instrText xml:space="preserve"> HYPERLINK \l "_Toc1358"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pacing w:val="-4"/>
              <w:sz w:val="32"/>
              <w:szCs w:val="32"/>
            </w:rPr>
            <w:t>（一）竞赛抽</w:t>
          </w:r>
          <w:r>
            <w:rPr>
              <w:rFonts w:hint="eastAsia" w:ascii="宋体" w:hAnsi="宋体" w:eastAsia="宋体" w:cs="宋体"/>
              <w:spacing w:val="-10"/>
              <w:sz w:val="32"/>
              <w:szCs w:val="32"/>
            </w:rPr>
            <w:t>签</w:t>
          </w:r>
          <w:r>
            <w:rPr>
              <w:rFonts w:hint="eastAsia" w:ascii="宋体" w:hAnsi="宋体" w:eastAsia="宋体" w:cs="宋体"/>
              <w:sz w:val="32"/>
              <w:szCs w:val="32"/>
            </w:rPr>
            <w:tab/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sz w:val="32"/>
              <w:szCs w:val="32"/>
            </w:rPr>
            <w:instrText xml:space="preserve"> PAGEREF _Toc1358 \h </w:instrText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separate"/>
          </w:r>
          <w:r>
            <w:rPr>
              <w:rFonts w:ascii="宋体" w:hAnsi="宋体" w:eastAsia="宋体" w:cs="宋体"/>
              <w:sz w:val="32"/>
              <w:szCs w:val="32"/>
            </w:rPr>
            <w:t>10</w:t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end"/>
          </w:r>
        </w:p>
        <w:p>
          <w:pPr>
            <w:pStyle w:val="8"/>
            <w:tabs>
              <w:tab w:val="right" w:leader="dot" w:pos="8849"/>
            </w:tabs>
            <w:spacing w:line="560" w:lineRule="exact"/>
            <w:ind w:left="440"/>
            <w:rPr>
              <w:rFonts w:ascii="宋体" w:hAnsi="宋体" w:eastAsia="宋体" w:cs="宋体"/>
              <w:sz w:val="32"/>
              <w:szCs w:val="32"/>
            </w:rPr>
          </w:pPr>
          <w:r>
            <w:fldChar w:fldCharType="begin"/>
          </w:r>
          <w:r>
            <w:instrText xml:space="preserve"> HYPERLINK \l "_Toc20897"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pacing w:val="-4"/>
              <w:sz w:val="32"/>
              <w:szCs w:val="32"/>
            </w:rPr>
            <w:t>（二）选</w:t>
          </w:r>
          <w:r>
            <w:rPr>
              <w:rFonts w:hint="eastAsia" w:ascii="宋体" w:hAnsi="宋体" w:eastAsia="宋体" w:cs="宋体"/>
              <w:spacing w:val="-10"/>
              <w:sz w:val="32"/>
              <w:szCs w:val="32"/>
            </w:rPr>
            <w:t>手要求</w:t>
          </w:r>
          <w:r>
            <w:rPr>
              <w:rFonts w:hint="eastAsia" w:ascii="宋体" w:hAnsi="宋体" w:eastAsia="宋体" w:cs="宋体"/>
              <w:sz w:val="32"/>
              <w:szCs w:val="32"/>
            </w:rPr>
            <w:tab/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sz w:val="32"/>
              <w:szCs w:val="32"/>
            </w:rPr>
            <w:instrText xml:space="preserve"> PAGEREF _Toc20897 \h </w:instrText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separate"/>
          </w:r>
          <w:r>
            <w:rPr>
              <w:rFonts w:ascii="宋体" w:hAnsi="宋体" w:eastAsia="宋体" w:cs="宋体"/>
              <w:sz w:val="32"/>
              <w:szCs w:val="32"/>
            </w:rPr>
            <w:t>10</w:t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end"/>
          </w:r>
        </w:p>
        <w:p>
          <w:pPr>
            <w:pStyle w:val="8"/>
            <w:tabs>
              <w:tab w:val="right" w:leader="dot" w:pos="8849"/>
            </w:tabs>
            <w:spacing w:line="560" w:lineRule="exact"/>
            <w:ind w:left="440"/>
            <w:rPr>
              <w:rFonts w:ascii="宋体" w:hAnsi="宋体" w:eastAsia="宋体" w:cs="宋体"/>
              <w:sz w:val="32"/>
              <w:szCs w:val="32"/>
            </w:rPr>
          </w:pPr>
          <w:r>
            <w:fldChar w:fldCharType="begin"/>
          </w:r>
          <w:r>
            <w:instrText xml:space="preserve"> HYPERLINK \l "_Toc12888"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pacing w:val="-4"/>
              <w:sz w:val="32"/>
              <w:szCs w:val="32"/>
            </w:rPr>
            <w:t>（三）赛场纪</w:t>
          </w:r>
          <w:r>
            <w:rPr>
              <w:rFonts w:hint="eastAsia" w:ascii="宋体" w:hAnsi="宋体" w:eastAsia="宋体" w:cs="宋体"/>
              <w:spacing w:val="-10"/>
              <w:sz w:val="32"/>
              <w:szCs w:val="32"/>
            </w:rPr>
            <w:t>律</w:t>
          </w:r>
          <w:r>
            <w:rPr>
              <w:rFonts w:hint="eastAsia" w:ascii="宋体" w:hAnsi="宋体" w:eastAsia="宋体" w:cs="宋体"/>
              <w:sz w:val="32"/>
              <w:szCs w:val="32"/>
            </w:rPr>
            <w:tab/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sz w:val="32"/>
              <w:szCs w:val="32"/>
            </w:rPr>
            <w:instrText xml:space="preserve"> PAGEREF _Toc12888 \h </w:instrText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separate"/>
          </w:r>
          <w:r>
            <w:rPr>
              <w:rFonts w:ascii="宋体" w:hAnsi="宋体" w:eastAsia="宋体" w:cs="宋体"/>
              <w:sz w:val="32"/>
              <w:szCs w:val="32"/>
            </w:rPr>
            <w:t>10</w:t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end"/>
          </w:r>
        </w:p>
        <w:p>
          <w:pPr>
            <w:pStyle w:val="3"/>
            <w:tabs>
              <w:tab w:val="right" w:leader="dot" w:pos="8849"/>
            </w:tabs>
            <w:spacing w:line="560" w:lineRule="exact"/>
            <w:ind w:left="0" w:leftChars="0"/>
            <w:rPr>
              <w:rFonts w:ascii="宋体" w:hAnsi="宋体" w:eastAsia="宋体" w:cs="宋体"/>
              <w:sz w:val="32"/>
              <w:szCs w:val="32"/>
            </w:rPr>
          </w:pPr>
          <w:r>
            <w:fldChar w:fldCharType="begin"/>
          </w:r>
          <w:r>
            <w:instrText xml:space="preserve"> HYPERLINK \l "_Toc13840"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pacing w:val="-2"/>
              <w:sz w:val="32"/>
              <w:szCs w:val="32"/>
            </w:rPr>
            <w:t>附件：1.</w:t>
          </w:r>
          <w:r>
            <w:rPr>
              <w:rFonts w:hint="eastAsia" w:ascii="宋体" w:hAnsi="宋体" w:eastAsia="宋体" w:cs="宋体"/>
              <w:spacing w:val="-3"/>
              <w:sz w:val="32"/>
              <w:szCs w:val="32"/>
            </w:rPr>
            <w:t>无人机装调检修工技能操作竞赛样题</w:t>
          </w:r>
          <w:r>
            <w:rPr>
              <w:rFonts w:hint="eastAsia" w:ascii="宋体" w:hAnsi="宋体" w:eastAsia="宋体" w:cs="宋体"/>
              <w:sz w:val="32"/>
              <w:szCs w:val="32"/>
            </w:rPr>
            <w:tab/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sz w:val="32"/>
              <w:szCs w:val="32"/>
            </w:rPr>
            <w:instrText xml:space="preserve"> PAGEREF _Toc13840 \h </w:instrText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separate"/>
          </w:r>
          <w:r>
            <w:rPr>
              <w:rFonts w:ascii="宋体" w:hAnsi="宋体" w:eastAsia="宋体" w:cs="宋体"/>
              <w:sz w:val="32"/>
              <w:szCs w:val="32"/>
            </w:rPr>
            <w:t>12</w:t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end"/>
          </w:r>
        </w:p>
        <w:p>
          <w:pPr>
            <w:pStyle w:val="3"/>
            <w:tabs>
              <w:tab w:val="right" w:leader="dot" w:pos="8849"/>
            </w:tabs>
            <w:spacing w:line="560" w:lineRule="exact"/>
            <w:ind w:left="880"/>
          </w:pPr>
          <w:r>
            <w:fldChar w:fldCharType="begin"/>
          </w:r>
          <w:r>
            <w:instrText xml:space="preserve"> HYPERLINK \l "_Toc5248"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pacing w:val="-2"/>
              <w:sz w:val="32"/>
              <w:szCs w:val="32"/>
            </w:rPr>
            <w:t>2.</w:t>
          </w:r>
          <w:r>
            <w:rPr>
              <w:rFonts w:hint="eastAsia" w:ascii="宋体" w:hAnsi="宋体" w:eastAsia="宋体" w:cs="宋体"/>
              <w:spacing w:val="-3"/>
              <w:sz w:val="32"/>
              <w:szCs w:val="32"/>
            </w:rPr>
            <w:t>无人机装调检修工理论知识竞赛试题集</w:t>
          </w:r>
          <w:r>
            <w:rPr>
              <w:rFonts w:hint="eastAsia" w:ascii="宋体" w:hAnsi="宋体" w:eastAsia="宋体" w:cs="宋体"/>
              <w:sz w:val="32"/>
              <w:szCs w:val="32"/>
            </w:rPr>
            <w:tab/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sz w:val="32"/>
              <w:szCs w:val="32"/>
            </w:rPr>
            <w:instrText xml:space="preserve"> PAGEREF _Toc5248 \h </w:instrText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separate"/>
          </w:r>
          <w:r>
            <w:rPr>
              <w:rFonts w:ascii="宋体" w:hAnsi="宋体" w:eastAsia="宋体" w:cs="宋体"/>
              <w:sz w:val="32"/>
              <w:szCs w:val="32"/>
            </w:rPr>
            <w:t>12</w:t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end"/>
          </w:r>
        </w:p>
        <w:p>
          <w:pPr>
            <w:spacing w:line="560" w:lineRule="exact"/>
            <w:jc w:val="center"/>
          </w:pPr>
          <w:r>
            <w:fldChar w:fldCharType="end"/>
          </w:r>
        </w:p>
      </w:sdtContent>
    </w:sdt>
    <w:p>
      <w:pPr>
        <w:tabs>
          <w:tab w:val="center" w:pos="5055"/>
        </w:tabs>
        <w:sectPr>
          <w:type w:val="continuous"/>
          <w:pgSz w:w="11910" w:h="16840"/>
          <w:pgMar w:top="2098" w:right="1474" w:bottom="1984" w:left="1587" w:header="720" w:footer="720" w:gutter="0"/>
          <w:cols w:space="0" w:num="1"/>
        </w:sectPr>
      </w:pPr>
    </w:p>
    <w:p>
      <w:pPr>
        <w:jc w:val="center"/>
        <w:rPr>
          <w:rFonts w:ascii="宋体" w:hAnsi="宋体" w:eastAsia="宋体" w:cs="宋体"/>
          <w:b/>
          <w:bCs/>
          <w:sz w:val="44"/>
          <w:szCs w:val="44"/>
        </w:rPr>
      </w:pPr>
      <w:bookmarkStart w:id="0" w:name="附件："/>
      <w:bookmarkEnd w:id="0"/>
      <w:bookmarkStart w:id="1" w:name="_bookmark3"/>
      <w:bookmarkEnd w:id="1"/>
      <w:bookmarkStart w:id="2" w:name="_bookmark10"/>
      <w:bookmarkEnd w:id="2"/>
      <w:bookmarkStart w:id="3" w:name="十一、竞赛须知"/>
      <w:bookmarkEnd w:id="3"/>
      <w:bookmarkStart w:id="4" w:name="_bookmark7"/>
      <w:bookmarkEnd w:id="4"/>
      <w:bookmarkStart w:id="5" w:name="郑州市第七届职业技能竞赛"/>
      <w:bookmarkEnd w:id="5"/>
      <w:bookmarkStart w:id="6" w:name="四、竞赛流程"/>
      <w:bookmarkEnd w:id="6"/>
      <w:bookmarkStart w:id="7" w:name="八、成绩评定与审核"/>
      <w:bookmarkEnd w:id="7"/>
      <w:bookmarkStart w:id="8" w:name="_bookmark5"/>
      <w:bookmarkEnd w:id="8"/>
      <w:bookmarkStart w:id="9" w:name="（二）成绩审核"/>
      <w:bookmarkEnd w:id="9"/>
      <w:bookmarkStart w:id="10" w:name="_bookmark8"/>
      <w:bookmarkEnd w:id="10"/>
      <w:bookmarkStart w:id="11" w:name="十二、竞赛应急预案"/>
      <w:bookmarkEnd w:id="11"/>
      <w:bookmarkStart w:id="12" w:name="六、裁判注意事项"/>
      <w:bookmarkEnd w:id="12"/>
      <w:bookmarkStart w:id="13" w:name="_bookmark11"/>
      <w:bookmarkEnd w:id="13"/>
      <w:bookmarkStart w:id="14" w:name="_bookmark14"/>
      <w:bookmarkEnd w:id="14"/>
      <w:bookmarkStart w:id="15" w:name="九、奖项设定"/>
      <w:bookmarkEnd w:id="15"/>
      <w:bookmarkStart w:id="16" w:name="_Toc16885"/>
      <w:bookmarkStart w:id="17" w:name="_Toc4206"/>
      <w:bookmarkStart w:id="18" w:name="_Toc2516"/>
      <w:r>
        <w:rPr>
          <w:rFonts w:hint="eastAsia" w:ascii="宋体" w:hAnsi="宋体" w:eastAsia="宋体" w:cs="宋体"/>
          <w:b/>
          <w:bCs/>
          <w:sz w:val="44"/>
          <w:szCs w:val="44"/>
        </w:rPr>
        <w:t>焦作市第十二届职业技能大赛</w:t>
      </w:r>
      <w:bookmarkEnd w:id="16"/>
      <w:bookmarkEnd w:id="17"/>
      <w:bookmarkEnd w:id="18"/>
    </w:p>
    <w:p>
      <w:pPr>
        <w:jc w:val="center"/>
        <w:rPr>
          <w:rFonts w:ascii="宋体" w:hAnsi="宋体" w:eastAsia="宋体" w:cs="宋体"/>
          <w:b/>
          <w:bCs/>
          <w:sz w:val="44"/>
          <w:szCs w:val="44"/>
        </w:rPr>
      </w:pPr>
      <w:bookmarkStart w:id="19" w:name="无人机装调检修工竞赛（学生竞赛）技术文件"/>
      <w:bookmarkEnd w:id="19"/>
      <w:bookmarkStart w:id="20" w:name="_Toc18669"/>
      <w:bookmarkStart w:id="21" w:name="_Toc17415"/>
      <w:bookmarkStart w:id="22" w:name="_Toc20950"/>
      <w:r>
        <w:rPr>
          <w:rFonts w:hint="eastAsia" w:ascii="宋体" w:hAnsi="宋体" w:eastAsia="宋体" w:cs="宋体"/>
          <w:b/>
          <w:bCs/>
          <w:sz w:val="44"/>
          <w:szCs w:val="44"/>
        </w:rPr>
        <w:t>无人机装调检修工(职工组/学生组)技术文件</w:t>
      </w:r>
      <w:bookmarkEnd w:id="20"/>
      <w:bookmarkEnd w:id="21"/>
      <w:bookmarkEnd w:id="22"/>
    </w:p>
    <w:p>
      <w:pPr>
        <w:jc w:val="center"/>
        <w:rPr>
          <w:rFonts w:ascii="宋体" w:hAnsi="宋体" w:eastAsia="宋体" w:cs="宋体"/>
          <w:b/>
          <w:bCs/>
          <w:sz w:val="28"/>
          <w:szCs w:val="28"/>
        </w:rPr>
      </w:pPr>
    </w:p>
    <w:p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bookmarkStart w:id="23" w:name="一、命题标准"/>
      <w:bookmarkEnd w:id="23"/>
      <w:bookmarkStart w:id="24" w:name="_Toc14809"/>
      <w:r>
        <w:rPr>
          <w:rFonts w:hint="eastAsia" w:ascii="黑体" w:hAnsi="黑体" w:eastAsia="黑体" w:cs="黑体"/>
          <w:sz w:val="32"/>
          <w:szCs w:val="32"/>
        </w:rPr>
        <w:t>一、命题标准</w:t>
      </w:r>
      <w:bookmarkEnd w:id="24"/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2020年2月25日,人力资源社会保障部与市场监管总局、国家统计局联合向社会发布了无人机装调检修工新职业,职业编码:6-23-03-15。职业定义为:使用设备、工装、工具和调试软件，对无人机进行配件选型、装配、调试、检修与维护的人员。</w:t>
      </w:r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该岗位主要工作任务:</w:t>
      </w:r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1.</w:t>
      </w:r>
      <w:r>
        <w:rPr>
          <w:sz w:val="32"/>
          <w:szCs w:val="32"/>
        </w:rPr>
        <w:t>根据无人机的产品性能等相关要求，对无人机进行配件选型、制作及测试；</w:t>
      </w:r>
    </w:p>
    <w:p>
      <w:pPr>
        <w:spacing w:line="560" w:lineRule="exact"/>
        <w:ind w:firstLine="640" w:firstLineChars="200"/>
        <w:rPr>
          <w:sz w:val="32"/>
          <w:szCs w:val="32"/>
        </w:rPr>
      </w:pPr>
      <w:bookmarkStart w:id="25" w:name="_Toc1863"/>
      <w:bookmarkStart w:id="26" w:name="_Toc25357"/>
      <w:bookmarkStart w:id="27" w:name="_Toc4355"/>
      <w:r>
        <w:rPr>
          <w:rFonts w:hint="eastAsia"/>
          <w:sz w:val="32"/>
          <w:szCs w:val="32"/>
        </w:rPr>
        <w:t>2.</w:t>
      </w:r>
      <w:r>
        <w:rPr>
          <w:sz w:val="32"/>
          <w:szCs w:val="32"/>
        </w:rPr>
        <w:t>按照装配图等相关要求，使用专用工具进行无人机的整机装</w:t>
      </w:r>
      <w:bookmarkEnd w:id="25"/>
      <w:bookmarkEnd w:id="26"/>
      <w:bookmarkEnd w:id="27"/>
      <w:r>
        <w:rPr>
          <w:sz w:val="32"/>
          <w:szCs w:val="32"/>
        </w:rPr>
        <w:t>配；</w:t>
      </w:r>
    </w:p>
    <w:p>
      <w:pPr>
        <w:spacing w:line="560" w:lineRule="exact"/>
        <w:ind w:firstLine="640" w:firstLineChars="200"/>
        <w:rPr>
          <w:sz w:val="32"/>
          <w:szCs w:val="32"/>
        </w:rPr>
      </w:pPr>
      <w:bookmarkStart w:id="28" w:name="_Toc7915"/>
      <w:bookmarkStart w:id="29" w:name="_Toc26954"/>
      <w:bookmarkStart w:id="30" w:name="_Toc6571"/>
      <w:r>
        <w:rPr>
          <w:rFonts w:hint="eastAsia"/>
          <w:sz w:val="32"/>
          <w:szCs w:val="32"/>
        </w:rPr>
        <w:t>3.</w:t>
      </w:r>
      <w:r>
        <w:rPr>
          <w:sz w:val="32"/>
          <w:szCs w:val="32"/>
        </w:rPr>
        <w:t>使用相关调试软件和工具，进行无人机系统和功能模块的联</w:t>
      </w:r>
      <w:bookmarkEnd w:id="28"/>
      <w:bookmarkEnd w:id="29"/>
      <w:bookmarkEnd w:id="30"/>
      <w:r>
        <w:rPr>
          <w:sz w:val="32"/>
          <w:szCs w:val="32"/>
        </w:rPr>
        <w:t>调与测试；</w:t>
      </w:r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4.</w:t>
      </w:r>
      <w:r>
        <w:rPr>
          <w:sz w:val="32"/>
          <w:szCs w:val="32"/>
        </w:rPr>
        <w:t>使用专用检测仪器及软件进行无人机各系统检测、故障分析和诊断；</w:t>
      </w:r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5.</w:t>
      </w:r>
      <w:r>
        <w:rPr>
          <w:sz w:val="32"/>
          <w:szCs w:val="32"/>
        </w:rPr>
        <w:t>使用相关工具，根据故障诊断结果进行无人机维修；</w:t>
      </w:r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6.</w:t>
      </w:r>
      <w:r>
        <w:rPr>
          <w:sz w:val="32"/>
          <w:szCs w:val="32"/>
        </w:rPr>
        <w:t>使用专用检测工具和软件对修复后的无人机进行性能测试；</w:t>
      </w:r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7.</w:t>
      </w:r>
      <w:r>
        <w:rPr>
          <w:sz w:val="32"/>
          <w:szCs w:val="32"/>
        </w:rPr>
        <w:t>根据维护保养手册，对无人机各功能模块进行维护保养；</w:t>
      </w:r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8.</w:t>
      </w:r>
      <w:r>
        <w:rPr>
          <w:sz w:val="32"/>
          <w:szCs w:val="32"/>
        </w:rPr>
        <w:t>编制无人机设备装配、测试、检修维修等报告。</w:t>
      </w:r>
    </w:p>
    <w:p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bookmarkStart w:id="31" w:name="二、竞赛项目"/>
      <w:bookmarkEnd w:id="31"/>
      <w:bookmarkStart w:id="32" w:name="_Toc5198"/>
      <w:r>
        <w:rPr>
          <w:rFonts w:hint="eastAsia" w:ascii="黑体" w:hAnsi="黑体" w:eastAsia="黑体" w:cs="黑体"/>
          <w:sz w:val="32"/>
          <w:szCs w:val="32"/>
        </w:rPr>
        <w:t>二、</w:t>
      </w:r>
      <w:bookmarkStart w:id="33" w:name="二、竞赛内容"/>
      <w:bookmarkEnd w:id="33"/>
      <w:bookmarkStart w:id="34" w:name="_bookmark1"/>
      <w:bookmarkEnd w:id="34"/>
      <w:r>
        <w:rPr>
          <w:rFonts w:hint="eastAsia" w:ascii="黑体" w:hAnsi="黑体" w:eastAsia="黑体" w:cs="黑体"/>
          <w:sz w:val="32"/>
          <w:szCs w:val="32"/>
        </w:rPr>
        <w:t>竞赛内容</w:t>
      </w:r>
      <w:bookmarkEnd w:id="32"/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无人机装调检修工竞赛包括理论知识竞赛、技能操作竞赛两部分，均实行百分制。本竞赛总成绩由理论知识成绩和技能操作成绩组成，理论知识成绩占总成绩的30%，技能操作成绩占总成绩的70%。</w:t>
      </w:r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理论知识竞赛采用机考方式，竞赛时长90分钟；技能操作竞赛采用现场实际操作方式，竞赛时长180分钟。竞赛时如遇特殊情况确需延时的，由裁判长裁定。</w:t>
      </w:r>
    </w:p>
    <w:p>
      <w:pPr>
        <w:spacing w:line="560" w:lineRule="exact"/>
        <w:ind w:left="640" w:leftChars="291"/>
        <w:rPr>
          <w:rFonts w:ascii="楷体" w:hAnsi="楷体" w:eastAsia="楷体" w:cs="楷体"/>
          <w:b/>
          <w:bCs/>
          <w:sz w:val="32"/>
          <w:szCs w:val="32"/>
        </w:rPr>
      </w:pPr>
      <w:bookmarkStart w:id="35" w:name="_Toc20551"/>
      <w:r>
        <w:rPr>
          <w:rFonts w:hint="eastAsia" w:ascii="楷体" w:hAnsi="楷体" w:eastAsia="楷体" w:cs="楷体"/>
          <w:b/>
          <w:bCs/>
          <w:sz w:val="32"/>
          <w:szCs w:val="32"/>
        </w:rPr>
        <w:t>（一）</w:t>
      </w:r>
      <w:bookmarkStart w:id="36" w:name="（一）理论知识竞赛"/>
      <w:bookmarkEnd w:id="36"/>
      <w:r>
        <w:rPr>
          <w:rFonts w:hint="eastAsia" w:ascii="楷体" w:hAnsi="楷体" w:eastAsia="楷体" w:cs="楷体"/>
          <w:b/>
          <w:bCs/>
          <w:sz w:val="32"/>
          <w:szCs w:val="32"/>
        </w:rPr>
        <w:t>理论知识竞赛</w:t>
      </w:r>
      <w:bookmarkEnd w:id="35"/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理论知识竞赛主要考核选手对无人机基础知识、无人机装调检修等相关知识的掌握程度。理论知识竞赛试题从公布的《理论知识试题集》中随机抽取（详见</w:t>
      </w:r>
      <w:r>
        <w:rPr>
          <w:rFonts w:hint="eastAsia"/>
          <w:sz w:val="32"/>
          <w:szCs w:val="32"/>
        </w:rPr>
        <w:t>附件2</w:t>
      </w:r>
      <w:r>
        <w:rPr>
          <w:sz w:val="32"/>
          <w:szCs w:val="32"/>
        </w:rPr>
        <w:t>）。理论知识竞赛题量为</w:t>
      </w:r>
      <w:r>
        <w:rPr>
          <w:rFonts w:hint="eastAsia"/>
          <w:sz w:val="32"/>
          <w:szCs w:val="32"/>
        </w:rPr>
        <w:t>2</w:t>
      </w:r>
      <w:r>
        <w:rPr>
          <w:sz w:val="32"/>
          <w:szCs w:val="32"/>
        </w:rPr>
        <w:t>00道，试题结构为单项选择题，竞赛时间为90min。</w:t>
      </w:r>
    </w:p>
    <w:p>
      <w:pPr>
        <w:spacing w:line="560" w:lineRule="exact"/>
        <w:ind w:left="640" w:leftChars="291"/>
        <w:rPr>
          <w:rFonts w:ascii="楷体" w:hAnsi="楷体" w:eastAsia="楷体" w:cs="楷体"/>
          <w:b/>
          <w:bCs/>
          <w:sz w:val="32"/>
          <w:szCs w:val="32"/>
        </w:rPr>
      </w:pPr>
      <w:bookmarkStart w:id="37" w:name="_Toc5308"/>
      <w:r>
        <w:rPr>
          <w:rFonts w:hint="eastAsia" w:ascii="楷体" w:hAnsi="楷体" w:eastAsia="楷体" w:cs="楷体"/>
          <w:b/>
          <w:bCs/>
          <w:sz w:val="32"/>
          <w:szCs w:val="32"/>
        </w:rPr>
        <w:t>（二）</w:t>
      </w:r>
      <w:bookmarkStart w:id="38" w:name="（二）技能操作竞赛"/>
      <w:bookmarkEnd w:id="38"/>
      <w:r>
        <w:rPr>
          <w:rFonts w:hint="eastAsia" w:ascii="楷体" w:hAnsi="楷体" w:eastAsia="楷体" w:cs="楷体"/>
          <w:b/>
          <w:bCs/>
          <w:sz w:val="32"/>
          <w:szCs w:val="32"/>
        </w:rPr>
        <w:t>技能操作竞赛</w:t>
      </w:r>
      <w:bookmarkEnd w:id="37"/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技能操作竞赛依照《国家职业技能标准》无人机装调检修工（国家职业技能标准三级）技能考核比重表中的内容和适当增设的新技术、新工艺操作内容。依据国家职业标准，注重基本技能和专业化操作，注重操作过程和质量控制，注重安全生产以及职业道德标准规范。适当增加新技术、新知识、新技能、等前沿相关知识,体现现代技术，结合生产实际，考核职业综合能力。技能操作竞赛内容涵盖以下几个方面：</w:t>
      </w:r>
    </w:p>
    <w:p>
      <w:pPr>
        <w:spacing w:line="560" w:lineRule="exact"/>
        <w:ind w:firstLine="640" w:firstLineChars="200"/>
        <w:rPr>
          <w:sz w:val="32"/>
          <w:szCs w:val="32"/>
        </w:rPr>
      </w:pPr>
      <w:bookmarkStart w:id="39" w:name="（一）无人机配置选型、组装调试、应用飞行"/>
      <w:bookmarkEnd w:id="39"/>
      <w:bookmarkStart w:id="40" w:name="_Toc4077"/>
      <w:bookmarkStart w:id="41" w:name="_Toc28403"/>
      <w:r>
        <w:rPr>
          <w:rFonts w:hint="eastAsia"/>
          <w:sz w:val="32"/>
          <w:szCs w:val="32"/>
        </w:rPr>
        <w:t>1.</w:t>
      </w:r>
      <w:r>
        <w:rPr>
          <w:sz w:val="32"/>
          <w:szCs w:val="32"/>
        </w:rPr>
        <w:t>无人机配置选型、组装调试、应用飞行</w:t>
      </w:r>
      <w:bookmarkEnd w:id="40"/>
      <w:bookmarkEnd w:id="41"/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根据试题要求，利用赛场提供的设备零件、工具、计算机和软件，完成无人机部件选型、整机组装、参数调试、测试及应用飞行。</w:t>
      </w:r>
    </w:p>
    <w:p>
      <w:pPr>
        <w:spacing w:line="560" w:lineRule="exact"/>
        <w:ind w:firstLine="640" w:firstLineChars="200"/>
        <w:rPr>
          <w:sz w:val="32"/>
          <w:szCs w:val="32"/>
        </w:rPr>
      </w:pPr>
      <w:bookmarkStart w:id="42" w:name="（二）职业素养"/>
      <w:bookmarkEnd w:id="42"/>
      <w:bookmarkStart w:id="43" w:name="_Toc30603"/>
      <w:bookmarkStart w:id="44" w:name="_Toc28577"/>
      <w:r>
        <w:rPr>
          <w:rFonts w:hint="eastAsia"/>
          <w:sz w:val="32"/>
          <w:szCs w:val="32"/>
        </w:rPr>
        <w:t>2.</w:t>
      </w:r>
      <w:r>
        <w:rPr>
          <w:sz w:val="32"/>
          <w:szCs w:val="32"/>
        </w:rPr>
        <w:t>职业素养</w:t>
      </w:r>
      <w:bookmarkEnd w:id="43"/>
      <w:bookmarkEnd w:id="44"/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设备操作的规范性；工具、仪器仪表的使用和摆放；现场的安全、文明生产及安全防护（含工作服、工作帽、护目镜的穿戴）；完成任务的计划性、条理性，以及遇到问题时的应对状况等。要求现场操作安全保护应符合安全操作规程；遵守赛场纪律，尊重赛场工作人员，爱惜赛场的设备和器材，保持赛位的整洁有序。</w:t>
      </w:r>
    </w:p>
    <w:p>
      <w:pPr>
        <w:numPr>
          <w:ilvl w:val="0"/>
          <w:numId w:val="1"/>
        </w:numPr>
        <w:spacing w:line="560" w:lineRule="exact"/>
        <w:ind w:left="640" w:hanging="640" w:hangingChars="200"/>
        <w:rPr>
          <w:sz w:val="32"/>
          <w:szCs w:val="32"/>
        </w:rPr>
      </w:pPr>
      <w:bookmarkStart w:id="45" w:name="1.具体竞赛内容、时间和配分如下：（共100分）"/>
      <w:bookmarkEnd w:id="45"/>
      <w:r>
        <w:rPr>
          <w:sz w:val="32"/>
          <w:szCs w:val="32"/>
        </w:rPr>
        <w:t>具体竞赛内容、时间和配分如下：（共100分）</w:t>
      </w:r>
    </w:p>
    <w:tbl>
      <w:tblPr>
        <w:tblStyle w:val="11"/>
        <w:tblpPr w:leftFromText="180" w:rightFromText="180" w:vertAnchor="text" w:horzAnchor="page" w:tblpX="1669" w:tblpY="1"/>
        <w:tblOverlap w:val="never"/>
        <w:tblW w:w="872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50"/>
        <w:gridCol w:w="4680"/>
        <w:gridCol w:w="1275"/>
        <w:gridCol w:w="91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185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bookmarkStart w:id="46" w:name="2.考核重点"/>
            <w:bookmarkEnd w:id="46"/>
            <w:r>
              <w:rPr>
                <w:sz w:val="28"/>
                <w:szCs w:val="28"/>
              </w:rPr>
              <w:t>竞赛任务</w:t>
            </w:r>
          </w:p>
        </w:tc>
        <w:tc>
          <w:tcPr>
            <w:tcW w:w="468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考核内容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竞赛时间</w:t>
            </w:r>
          </w:p>
        </w:tc>
        <w:tc>
          <w:tcPr>
            <w:tcW w:w="915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配分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2" w:hRule="atLeast"/>
        </w:trPr>
        <w:tc>
          <w:tcPr>
            <w:tcW w:w="1850" w:type="dxa"/>
            <w:vAlign w:val="center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A.配置选型</w:t>
            </w:r>
          </w:p>
        </w:tc>
        <w:tc>
          <w:tcPr>
            <w:tcW w:w="4680" w:type="dxa"/>
            <w:vAlign w:val="center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无人机动力系统、任务载荷系统选型</w:t>
            </w:r>
          </w:p>
        </w:tc>
        <w:tc>
          <w:tcPr>
            <w:tcW w:w="1275" w:type="dxa"/>
            <w:vMerge w:val="restart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0分钟</w:t>
            </w:r>
          </w:p>
        </w:tc>
        <w:tc>
          <w:tcPr>
            <w:tcW w:w="915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5" w:hRule="atLeast"/>
        </w:trPr>
        <w:tc>
          <w:tcPr>
            <w:tcW w:w="1850" w:type="dxa"/>
            <w:vAlign w:val="center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B.无人机装配</w:t>
            </w:r>
          </w:p>
        </w:tc>
        <w:tc>
          <w:tcPr>
            <w:tcW w:w="4680" w:type="dxa"/>
            <w:vAlign w:val="center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无人机整机装配及任务载荷系统装配</w:t>
            </w:r>
          </w:p>
        </w:tc>
        <w:tc>
          <w:tcPr>
            <w:tcW w:w="1275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5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2" w:hRule="atLeast"/>
        </w:trPr>
        <w:tc>
          <w:tcPr>
            <w:tcW w:w="1850" w:type="dxa"/>
            <w:vAlign w:val="center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C.无人机调试</w:t>
            </w:r>
          </w:p>
        </w:tc>
        <w:tc>
          <w:tcPr>
            <w:tcW w:w="4680" w:type="dxa"/>
            <w:vAlign w:val="center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无人机飞行控制系统调试及任务载荷调试</w:t>
            </w:r>
          </w:p>
        </w:tc>
        <w:tc>
          <w:tcPr>
            <w:tcW w:w="1275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5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2" w:hRule="atLeast"/>
        </w:trPr>
        <w:tc>
          <w:tcPr>
            <w:tcW w:w="1850" w:type="dxa"/>
            <w:vAlign w:val="center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D.任务载荷系统测试</w:t>
            </w:r>
          </w:p>
        </w:tc>
        <w:tc>
          <w:tcPr>
            <w:tcW w:w="4680" w:type="dxa"/>
            <w:vAlign w:val="center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任务载荷系统功能测试</w:t>
            </w:r>
          </w:p>
        </w:tc>
        <w:tc>
          <w:tcPr>
            <w:tcW w:w="1275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5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6" w:hRule="atLeast"/>
        </w:trPr>
        <w:tc>
          <w:tcPr>
            <w:tcW w:w="1850" w:type="dxa"/>
            <w:vAlign w:val="center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E.验证飞行</w:t>
            </w:r>
          </w:p>
        </w:tc>
        <w:tc>
          <w:tcPr>
            <w:tcW w:w="4680" w:type="dxa"/>
            <w:vAlign w:val="center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无人机搭载应用模块飞行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30分钟</w:t>
            </w:r>
          </w:p>
        </w:tc>
        <w:tc>
          <w:tcPr>
            <w:tcW w:w="915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35分</w:t>
            </w:r>
          </w:p>
        </w:tc>
      </w:tr>
    </w:tbl>
    <w:p>
      <w:pPr>
        <w:spacing w:line="560" w:lineRule="exact"/>
        <w:ind w:left="640" w:hanging="640" w:hanging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（2）</w:t>
      </w:r>
      <w:r>
        <w:rPr>
          <w:sz w:val="32"/>
          <w:szCs w:val="32"/>
        </w:rPr>
        <w:t>考核重点</w:t>
      </w:r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任务A：配置选型</w:t>
      </w:r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重点考核：无人机动力系统搭配及任务载荷系统选择的正确性。任务内容：根据任务要求，选取合适的动力电池、动力控制装置电子调速器、动力输出装置固定桨距螺旋桨。</w:t>
      </w:r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任务B：无人机装配</w:t>
      </w:r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重点考核：无人机各模块组装集成的正确性和熟练度。</w:t>
      </w:r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任务内容：使用规定的无人机模块部件、载荷模块、飞行控制模块，将无人机零部件装配成一架无人机整机。</w:t>
      </w:r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任务C：无人机调试</w:t>
      </w:r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重点考核：对飞行控制与导航系统及任务载荷系统调试能力的掌握程度。</w:t>
      </w:r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任务内容：组装后对无人机进行固件参数的刷写和各项传感器的校准，对应用模块进行调试，使无人机达到出厂指标的标准。</w:t>
      </w:r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任务D：任务载荷系统测试</w:t>
      </w:r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重点考核：对任务载荷功能性进行测试</w:t>
      </w:r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任务内容：使用遥控器，操纵无人机，控制任务载荷系统，验证任务载荷系统功能性。</w:t>
      </w:r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任务E:验证飞行</w:t>
      </w:r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重点考核：选手对无人机的操控能力</w:t>
      </w:r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任务内容：在地面人工挂载急救箱后起飞，按路线飞至投放区上空后，将急救箱投放至投放区域并返航。</w:t>
      </w:r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赛程采取裁判现场打分，根据飞行器整体组装完成度、参数调节正确度、功能验证完整度、无人机手动操控能力以及应用飞行任务完成情况等进行客观评分。</w:t>
      </w:r>
    </w:p>
    <w:p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bookmarkStart w:id="47" w:name="三、竞赛技术平台"/>
      <w:bookmarkEnd w:id="47"/>
      <w:bookmarkStart w:id="48" w:name="四、竞赛规则"/>
      <w:bookmarkEnd w:id="48"/>
      <w:bookmarkStart w:id="49" w:name="_Toc7138"/>
      <w:r>
        <w:rPr>
          <w:rFonts w:hint="eastAsia" w:ascii="黑体" w:hAnsi="黑体" w:eastAsia="黑体" w:cs="黑体"/>
          <w:sz w:val="32"/>
          <w:szCs w:val="32"/>
        </w:rPr>
        <w:t>三、竞赛规则</w:t>
      </w:r>
      <w:bookmarkEnd w:id="49"/>
      <w:bookmarkStart w:id="50" w:name="（一）竞赛流程及相应规则"/>
      <w:bookmarkEnd w:id="50"/>
      <w:bookmarkStart w:id="51" w:name="_Toc14196"/>
    </w:p>
    <w:p>
      <w:pPr>
        <w:ind w:firstLine="643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（一）竞赛流程及相应规则</w:t>
      </w:r>
      <w:bookmarkEnd w:id="51"/>
    </w:p>
    <w:p>
      <w:pPr>
        <w:spacing w:line="560" w:lineRule="exact"/>
        <w:ind w:firstLine="640" w:firstLineChars="200"/>
        <w:rPr>
          <w:sz w:val="32"/>
          <w:szCs w:val="32"/>
        </w:rPr>
      </w:pPr>
      <w:bookmarkStart w:id="52" w:name="_Toc30358"/>
      <w:bookmarkStart w:id="53" w:name="_Toc15467"/>
      <w:r>
        <w:rPr>
          <w:sz w:val="32"/>
          <w:szCs w:val="32"/>
        </w:rPr>
        <w:t>1.选手检录：</w:t>
      </w:r>
      <w:bookmarkEnd w:id="52"/>
      <w:bookmarkEnd w:id="53"/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(1)</w:t>
      </w:r>
      <w:r>
        <w:rPr>
          <w:sz w:val="32"/>
          <w:szCs w:val="32"/>
        </w:rPr>
        <w:t>选手按时到检录处检录，并审核相关证件；</w:t>
      </w:r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(2)</w:t>
      </w:r>
      <w:r>
        <w:rPr>
          <w:sz w:val="32"/>
          <w:szCs w:val="32"/>
        </w:rPr>
        <w:t>选手检录后，必须在侯赛区侯赛；</w:t>
      </w:r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(3)</w:t>
      </w:r>
      <w:r>
        <w:rPr>
          <w:sz w:val="32"/>
          <w:szCs w:val="32"/>
        </w:rPr>
        <w:t>指导教师以及其他无关人员按规定离场。</w:t>
      </w:r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2.</w:t>
      </w:r>
      <w:r>
        <w:rPr>
          <w:sz w:val="32"/>
          <w:szCs w:val="32"/>
        </w:rPr>
        <w:t>器材检测：选手到达指定工位，在规定时间内查验无人机部件及工具，并及时报告结果；开赛后且在组装评分结束前，确因配件质量原因可申请更换，但计入扣分项。</w:t>
      </w:r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3.</w:t>
      </w:r>
      <w:r>
        <w:rPr>
          <w:sz w:val="32"/>
          <w:szCs w:val="32"/>
        </w:rPr>
        <w:t>裁判长宣布竞赛开始，并计时开始，选手需在180分钟内组装完成配置选型、无人机装配、无人机调试、载荷系统测试、验证飞行任务：</w:t>
      </w:r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(1)</w:t>
      </w:r>
      <w:r>
        <w:rPr>
          <w:sz w:val="32"/>
          <w:szCs w:val="32"/>
        </w:rPr>
        <w:t>选手室内装配调试完成后，需立即停止工作并离开工作台，举手示意裁判进行评分，此时计时暂停；</w:t>
      </w:r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(2)</w:t>
      </w:r>
      <w:r>
        <w:rPr>
          <w:sz w:val="32"/>
          <w:szCs w:val="32"/>
        </w:rPr>
        <w:t>裁判在选手离座示意后，进行评分；</w:t>
      </w:r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(3)</w:t>
      </w:r>
      <w:r>
        <w:rPr>
          <w:sz w:val="32"/>
          <w:szCs w:val="32"/>
        </w:rPr>
        <w:t>裁判评判后选手签字确认，将设备转移到室外飞行场地；</w:t>
      </w:r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(4)</w:t>
      </w:r>
      <w:r>
        <w:rPr>
          <w:sz w:val="32"/>
          <w:szCs w:val="32"/>
        </w:rPr>
        <w:t>经裁判认可后，宣布计时继续时，选手方可继续完成竞赛项目。</w:t>
      </w:r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(5)</w:t>
      </w:r>
      <w:r>
        <w:rPr>
          <w:sz w:val="32"/>
          <w:szCs w:val="32"/>
        </w:rPr>
        <w:t>室外飞行任务由裁判现场进行打分，任务完成后，选手和裁判均需现场签字确认。</w:t>
      </w:r>
    </w:p>
    <w:p>
      <w:pPr>
        <w:spacing w:line="560" w:lineRule="exact"/>
        <w:ind w:firstLine="643" w:firstLineChars="200"/>
        <w:rPr>
          <w:rFonts w:ascii="楷体" w:hAnsi="楷体" w:eastAsia="楷体" w:cs="楷体"/>
          <w:b/>
          <w:bCs/>
          <w:sz w:val="32"/>
          <w:szCs w:val="32"/>
        </w:rPr>
      </w:pPr>
      <w:bookmarkStart w:id="54" w:name="（二）竞赛过程监控"/>
      <w:bookmarkEnd w:id="54"/>
      <w:bookmarkStart w:id="55" w:name="_Toc15474"/>
      <w:r>
        <w:rPr>
          <w:rFonts w:hint="eastAsia" w:ascii="楷体" w:hAnsi="楷体" w:eastAsia="楷体" w:cs="楷体"/>
          <w:b/>
          <w:bCs/>
          <w:sz w:val="32"/>
          <w:szCs w:val="32"/>
        </w:rPr>
        <w:t>（二）竞赛过程监控</w:t>
      </w:r>
      <w:bookmarkEnd w:id="55"/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赛场安装视频监控系统，自动记录全部选手的实况录像，便于执裁工作。</w:t>
      </w:r>
    </w:p>
    <w:p>
      <w:pPr>
        <w:spacing w:line="560" w:lineRule="exact"/>
        <w:ind w:firstLine="643" w:firstLineChars="200"/>
        <w:rPr>
          <w:rFonts w:ascii="楷体" w:hAnsi="楷体" w:eastAsia="楷体" w:cs="楷体"/>
          <w:b/>
          <w:bCs/>
          <w:sz w:val="32"/>
          <w:szCs w:val="32"/>
        </w:rPr>
      </w:pPr>
      <w:bookmarkStart w:id="56" w:name="（三）特殊说明"/>
      <w:bookmarkEnd w:id="56"/>
      <w:bookmarkStart w:id="57" w:name="_Toc3535"/>
      <w:r>
        <w:rPr>
          <w:rFonts w:hint="eastAsia" w:ascii="楷体" w:hAnsi="楷体" w:eastAsia="楷体" w:cs="楷体"/>
          <w:b/>
          <w:bCs/>
          <w:sz w:val="32"/>
          <w:szCs w:val="32"/>
        </w:rPr>
        <w:t>（三）特殊说明</w:t>
      </w:r>
      <w:bookmarkEnd w:id="57"/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竞赛前，由裁判组负责检查参赛无人机配件、工具等技术规格，不符合赛事技术文件要求的将被停止参赛。</w:t>
      </w:r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参赛队</w:t>
      </w:r>
      <w:r>
        <w:rPr>
          <w:rFonts w:hint="eastAsia"/>
          <w:sz w:val="32"/>
          <w:szCs w:val="32"/>
        </w:rPr>
        <w:t>如</w:t>
      </w:r>
      <w:r>
        <w:rPr>
          <w:sz w:val="32"/>
          <w:szCs w:val="32"/>
        </w:rPr>
        <w:t>自带一台装有调参软件的电脑及调试线。在竞赛前经查验合格后，将现场封存。</w:t>
      </w:r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室内装调评分结束后，选手仅可申请更换飞机电源电池；不得更换其他配件，因飞机故障无法继续参赛者，即停止竞赛。</w:t>
      </w:r>
    </w:p>
    <w:p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bookmarkStart w:id="58" w:name="五、无人机装调检修工技能操作竞赛评分标准"/>
      <w:bookmarkEnd w:id="58"/>
      <w:bookmarkStart w:id="59" w:name="_Toc27343"/>
      <w:r>
        <w:rPr>
          <w:rFonts w:hint="eastAsia" w:ascii="黑体" w:hAnsi="黑体" w:eastAsia="黑体" w:cs="黑体"/>
          <w:sz w:val="32"/>
          <w:szCs w:val="32"/>
        </w:rPr>
        <w:t>四、评分标准</w:t>
      </w:r>
      <w:bookmarkEnd w:id="59"/>
    </w:p>
    <w:p>
      <w:pPr>
        <w:spacing w:line="560" w:lineRule="exact"/>
        <w:ind w:firstLine="643" w:firstLineChars="200"/>
        <w:rPr>
          <w:sz w:val="32"/>
          <w:szCs w:val="32"/>
        </w:rPr>
      </w:pPr>
      <w:bookmarkStart w:id="60" w:name="（一）成绩评定原则"/>
      <w:bookmarkEnd w:id="60"/>
      <w:bookmarkStart w:id="61" w:name="_Toc20533"/>
      <w:r>
        <w:rPr>
          <w:rFonts w:hint="eastAsia" w:ascii="楷体" w:hAnsi="楷体" w:eastAsia="楷体" w:cs="楷体"/>
          <w:b/>
          <w:bCs/>
          <w:sz w:val="32"/>
          <w:szCs w:val="32"/>
        </w:rPr>
        <w:t>（一）成绩评定原则</w:t>
      </w:r>
      <w:bookmarkEnd w:id="61"/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成绩评定本着公开、公平、公正原则。竞赛名次按总成绩由高到低排序，总成绩相同者，以技能操作竞赛得分高者为先，技能操作竞赛成绩仍然相同时，以竞赛时间用时较少为先。</w:t>
      </w:r>
    </w:p>
    <w:p>
      <w:pPr>
        <w:spacing w:line="560" w:lineRule="exact"/>
        <w:ind w:firstLine="643" w:firstLineChars="200"/>
        <w:rPr>
          <w:sz w:val="32"/>
          <w:szCs w:val="32"/>
        </w:rPr>
      </w:pPr>
      <w:bookmarkStart w:id="62" w:name="（二）评分方法"/>
      <w:bookmarkEnd w:id="62"/>
      <w:bookmarkStart w:id="63" w:name="_Toc7102"/>
      <w:r>
        <w:rPr>
          <w:rFonts w:hint="eastAsia" w:ascii="楷体" w:hAnsi="楷体" w:eastAsia="楷体" w:cs="楷体"/>
          <w:b/>
          <w:bCs/>
          <w:sz w:val="32"/>
          <w:szCs w:val="32"/>
        </w:rPr>
        <w:t>（二）评分方法</w:t>
      </w:r>
      <w:bookmarkEnd w:id="63"/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无人机装调检修工技能操作竞赛评分方法为：按所有操作项目的分值总和为竞赛的最后总成绩。</w:t>
      </w:r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竞赛采取均值计分法，求出平均分数并保留至小数点后两位，现场不提供查分服务。评分如需涂改，需报裁判长批准；更正处需由至少两位裁判签字确认。</w:t>
      </w:r>
      <w:bookmarkStart w:id="64" w:name="（三）评分细则"/>
      <w:bookmarkEnd w:id="64"/>
    </w:p>
    <w:p>
      <w:pPr>
        <w:spacing w:line="560" w:lineRule="exact"/>
        <w:ind w:firstLine="643" w:firstLineChars="200"/>
        <w:rPr>
          <w:rFonts w:ascii="楷体" w:hAnsi="楷体" w:eastAsia="楷体" w:cs="楷体"/>
          <w:b/>
          <w:bCs/>
          <w:sz w:val="32"/>
          <w:szCs w:val="32"/>
        </w:rPr>
      </w:pPr>
      <w:bookmarkStart w:id="65" w:name="_Toc13095"/>
      <w:r>
        <w:rPr>
          <w:rFonts w:hint="eastAsia" w:ascii="楷体" w:hAnsi="楷体" w:eastAsia="楷体" w:cs="楷体"/>
          <w:b/>
          <w:bCs/>
          <w:sz w:val="32"/>
          <w:szCs w:val="32"/>
        </w:rPr>
        <w:t>（三）评分细则</w:t>
      </w:r>
      <w:bookmarkEnd w:id="65"/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具体评分细则见评分表：</w:t>
      </w:r>
    </w:p>
    <w:p>
      <w:pPr>
        <w:jc w:val="center"/>
        <w:rPr>
          <w:b/>
          <w:bCs/>
          <w:sz w:val="28"/>
          <w:szCs w:val="28"/>
        </w:rPr>
      </w:pPr>
      <w:bookmarkStart w:id="66" w:name="表一_无人机装调检修工室内选型装调评分表"/>
      <w:bookmarkEnd w:id="66"/>
    </w:p>
    <w:p>
      <w:pPr>
        <w:jc w:val="center"/>
        <w:rPr>
          <w:b/>
          <w:bCs/>
          <w:sz w:val="32"/>
          <w:szCs w:val="28"/>
        </w:rPr>
      </w:pPr>
      <w:r>
        <w:rPr>
          <w:rFonts w:hint="eastAsia"/>
          <w:b/>
          <w:bCs/>
          <w:sz w:val="32"/>
          <w:szCs w:val="28"/>
        </w:rPr>
        <w:t>表一 无人机装调检修工室内选型装调评分表</w:t>
      </w:r>
    </w:p>
    <w:tbl>
      <w:tblPr>
        <w:tblStyle w:val="11"/>
        <w:tblpPr w:leftFromText="180" w:rightFromText="180" w:vertAnchor="text" w:horzAnchor="page" w:tblpX="1549" w:tblpY="407"/>
        <w:tblOverlap w:val="never"/>
        <w:tblW w:w="885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75"/>
        <w:gridCol w:w="853"/>
        <w:gridCol w:w="959"/>
        <w:gridCol w:w="1800"/>
        <w:gridCol w:w="660"/>
        <w:gridCol w:w="1713"/>
        <w:gridCol w:w="480"/>
        <w:gridCol w:w="435"/>
        <w:gridCol w:w="48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0" w:hRule="atLeast"/>
        </w:trPr>
        <w:tc>
          <w:tcPr>
            <w:tcW w:w="147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项目</w:t>
            </w:r>
          </w:p>
        </w:tc>
        <w:tc>
          <w:tcPr>
            <w:tcW w:w="5985" w:type="dxa"/>
            <w:gridSpan w:val="5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评分标准</w:t>
            </w:r>
          </w:p>
        </w:tc>
        <w:tc>
          <w:tcPr>
            <w:tcW w:w="48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配分</w:t>
            </w:r>
          </w:p>
        </w:tc>
        <w:tc>
          <w:tcPr>
            <w:tcW w:w="43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扣分</w:t>
            </w:r>
          </w:p>
        </w:tc>
        <w:tc>
          <w:tcPr>
            <w:tcW w:w="48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得分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47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配置选型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（6分）</w:t>
            </w:r>
          </w:p>
        </w:tc>
        <w:tc>
          <w:tcPr>
            <w:tcW w:w="5985" w:type="dxa"/>
            <w:gridSpan w:val="5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正确选择合适的动力电池、动力控制装置电子调速器、动力输出装置固定桨距螺旋桨，每项错误扣2分，扣完给定分值为止</w:t>
            </w:r>
          </w:p>
        </w:tc>
        <w:tc>
          <w:tcPr>
            <w:tcW w:w="48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</w:t>
            </w:r>
          </w:p>
        </w:tc>
        <w:tc>
          <w:tcPr>
            <w:tcW w:w="43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65" w:hRule="atLeast"/>
        </w:trPr>
        <w:tc>
          <w:tcPr>
            <w:tcW w:w="1475" w:type="dxa"/>
            <w:vMerge w:val="restar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无人机装配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（25分）</w:t>
            </w:r>
          </w:p>
        </w:tc>
        <w:tc>
          <w:tcPr>
            <w:tcW w:w="5985" w:type="dxa"/>
            <w:gridSpan w:val="5"/>
            <w:vAlign w:val="center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正确组装机身结构模块，每项错误扣1分，扣完给定分值为止</w:t>
            </w:r>
          </w:p>
        </w:tc>
        <w:tc>
          <w:tcPr>
            <w:tcW w:w="48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</w:p>
        </w:tc>
        <w:tc>
          <w:tcPr>
            <w:tcW w:w="43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1" w:hRule="atLeast"/>
        </w:trPr>
        <w:tc>
          <w:tcPr>
            <w:tcW w:w="1475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85" w:type="dxa"/>
            <w:gridSpan w:val="5"/>
            <w:vAlign w:val="center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正确组装动力模块，连线正确无误，每项错误扣1分，扣完给定分值为止</w:t>
            </w:r>
          </w:p>
        </w:tc>
        <w:tc>
          <w:tcPr>
            <w:tcW w:w="48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</w:p>
        </w:tc>
        <w:tc>
          <w:tcPr>
            <w:tcW w:w="43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 w:hRule="atLeast"/>
        </w:trPr>
        <w:tc>
          <w:tcPr>
            <w:tcW w:w="1475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85" w:type="dxa"/>
            <w:gridSpan w:val="5"/>
            <w:vAlign w:val="center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正确安装控制模块，连线正确无误，每项错误扣1分，扣完给定分值为止</w:t>
            </w:r>
          </w:p>
        </w:tc>
        <w:tc>
          <w:tcPr>
            <w:tcW w:w="48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</w:t>
            </w:r>
          </w:p>
        </w:tc>
        <w:tc>
          <w:tcPr>
            <w:tcW w:w="43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475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85" w:type="dxa"/>
            <w:gridSpan w:val="5"/>
            <w:vAlign w:val="center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抛投器安装正确且连接无误，每项错误扣1分，扣完给定分值为止</w:t>
            </w:r>
          </w:p>
        </w:tc>
        <w:tc>
          <w:tcPr>
            <w:tcW w:w="48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</w:p>
        </w:tc>
        <w:tc>
          <w:tcPr>
            <w:tcW w:w="43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</w:trPr>
        <w:tc>
          <w:tcPr>
            <w:tcW w:w="1475" w:type="dxa"/>
            <w:vMerge w:val="restar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无人机调试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（29分）</w:t>
            </w:r>
          </w:p>
        </w:tc>
        <w:tc>
          <w:tcPr>
            <w:tcW w:w="5985" w:type="dxa"/>
            <w:gridSpan w:val="5"/>
            <w:vAlign w:val="center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加速度计校准完成，机身放置在地面上，地面站软件显示横滚轴水平误差不超过±2°则得分，否则按零分计</w:t>
            </w:r>
          </w:p>
        </w:tc>
        <w:tc>
          <w:tcPr>
            <w:tcW w:w="48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43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1" w:hRule="atLeast"/>
        </w:trPr>
        <w:tc>
          <w:tcPr>
            <w:tcW w:w="1475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85" w:type="dxa"/>
            <w:gridSpan w:val="5"/>
            <w:vAlign w:val="center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加速度计校准完成，机身放置在地面上，地面站软件显示俯仰轴水平误差不超过±2°则得分，否则按零分计</w:t>
            </w:r>
          </w:p>
        </w:tc>
        <w:tc>
          <w:tcPr>
            <w:tcW w:w="48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43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1" w:hRule="atLeast"/>
        </w:trPr>
        <w:tc>
          <w:tcPr>
            <w:tcW w:w="1475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85" w:type="dxa"/>
            <w:gridSpan w:val="5"/>
            <w:vAlign w:val="center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磁罗盘校准完成，地面站检查参数，各个方向磁罗盘校准值不超过±300则得分，否则按零分计</w:t>
            </w:r>
          </w:p>
        </w:tc>
        <w:tc>
          <w:tcPr>
            <w:tcW w:w="48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43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1475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85" w:type="dxa"/>
            <w:gridSpan w:val="5"/>
            <w:vAlign w:val="center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遥控器校准完成后，通过地面站检查参数，四个基础控制通道校准值必须处于（1000-2000）区间则得分，否则按零分计。</w:t>
            </w:r>
          </w:p>
        </w:tc>
        <w:tc>
          <w:tcPr>
            <w:tcW w:w="48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</w:p>
        </w:tc>
        <w:tc>
          <w:tcPr>
            <w:tcW w:w="43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25" w:hRule="atLeast"/>
        </w:trPr>
        <w:tc>
          <w:tcPr>
            <w:tcW w:w="1475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85" w:type="dxa"/>
            <w:gridSpan w:val="5"/>
            <w:vAlign w:val="center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使用遥控器能够正常解锁电机（4分），电机旋转方向无误（8分），每项错误扣2分</w:t>
            </w:r>
          </w:p>
        </w:tc>
        <w:tc>
          <w:tcPr>
            <w:tcW w:w="48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12</w:t>
            </w:r>
          </w:p>
        </w:tc>
        <w:tc>
          <w:tcPr>
            <w:tcW w:w="43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9" w:hRule="atLeast"/>
        </w:trPr>
        <w:tc>
          <w:tcPr>
            <w:tcW w:w="147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任务载荷测试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（5分）</w:t>
            </w:r>
          </w:p>
        </w:tc>
        <w:tc>
          <w:tcPr>
            <w:tcW w:w="5985" w:type="dxa"/>
            <w:gridSpan w:val="5"/>
            <w:vAlign w:val="center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使用遥控器能够正常控制抛投机构抓取得3分，松开得2分</w:t>
            </w:r>
          </w:p>
        </w:tc>
        <w:tc>
          <w:tcPr>
            <w:tcW w:w="48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</w:p>
        </w:tc>
        <w:tc>
          <w:tcPr>
            <w:tcW w:w="43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147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合计</w:t>
            </w:r>
          </w:p>
        </w:tc>
        <w:tc>
          <w:tcPr>
            <w:tcW w:w="5985" w:type="dxa"/>
            <w:gridSpan w:val="5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65</w:t>
            </w:r>
          </w:p>
        </w:tc>
        <w:tc>
          <w:tcPr>
            <w:tcW w:w="43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475" w:type="dxa"/>
            <w:tcBorders>
              <w:right w:val="nil"/>
            </w:tcBorders>
            <w:vAlign w:val="center"/>
          </w:tcPr>
          <w:p>
            <w:pPr>
              <w:jc w:val="both"/>
              <w:rPr>
                <w:sz w:val="28"/>
                <w:szCs w:val="24"/>
              </w:rPr>
            </w:pPr>
            <w:r>
              <w:rPr>
                <w:rFonts w:hint="eastAsia"/>
                <w:sz w:val="28"/>
                <w:szCs w:val="24"/>
              </w:rPr>
              <w:t>开始时间：</w:t>
            </w:r>
          </w:p>
        </w:tc>
        <w:tc>
          <w:tcPr>
            <w:tcW w:w="853" w:type="dxa"/>
            <w:tcBorders>
              <w:left w:val="nil"/>
              <w:right w:val="nil"/>
            </w:tcBorders>
            <w:vAlign w:val="center"/>
          </w:tcPr>
          <w:p>
            <w:pPr>
              <w:jc w:val="both"/>
              <w:rPr>
                <w:sz w:val="28"/>
                <w:szCs w:val="24"/>
              </w:rPr>
            </w:pPr>
            <w:r>
              <w:rPr>
                <w:rFonts w:hint="eastAsia"/>
                <w:sz w:val="28"/>
                <w:szCs w:val="24"/>
              </w:rPr>
              <w:t>分</w:t>
            </w:r>
          </w:p>
        </w:tc>
        <w:tc>
          <w:tcPr>
            <w:tcW w:w="959" w:type="dxa"/>
            <w:tcBorders>
              <w:left w:val="nil"/>
              <w:right w:val="nil"/>
            </w:tcBorders>
            <w:vAlign w:val="center"/>
          </w:tcPr>
          <w:p>
            <w:pPr>
              <w:jc w:val="both"/>
              <w:rPr>
                <w:sz w:val="28"/>
                <w:szCs w:val="24"/>
              </w:rPr>
            </w:pPr>
            <w:r>
              <w:rPr>
                <w:rFonts w:hint="eastAsia"/>
                <w:sz w:val="28"/>
                <w:szCs w:val="24"/>
              </w:rPr>
              <w:t>秒</w:t>
            </w:r>
          </w:p>
        </w:tc>
        <w:tc>
          <w:tcPr>
            <w:tcW w:w="1800" w:type="dxa"/>
            <w:tcBorders>
              <w:left w:val="nil"/>
              <w:right w:val="nil"/>
            </w:tcBorders>
            <w:vAlign w:val="center"/>
          </w:tcPr>
          <w:p>
            <w:pPr>
              <w:jc w:val="both"/>
              <w:rPr>
                <w:sz w:val="28"/>
                <w:szCs w:val="24"/>
              </w:rPr>
            </w:pPr>
            <w:r>
              <w:rPr>
                <w:rFonts w:hint="eastAsia"/>
                <w:sz w:val="28"/>
                <w:szCs w:val="24"/>
              </w:rPr>
              <w:t>结束时间：</w:t>
            </w:r>
          </w:p>
        </w:tc>
        <w:tc>
          <w:tcPr>
            <w:tcW w:w="660" w:type="dxa"/>
            <w:tcBorders>
              <w:left w:val="nil"/>
              <w:right w:val="nil"/>
            </w:tcBorders>
            <w:vAlign w:val="center"/>
          </w:tcPr>
          <w:p>
            <w:pPr>
              <w:jc w:val="both"/>
              <w:rPr>
                <w:sz w:val="28"/>
                <w:szCs w:val="24"/>
              </w:rPr>
            </w:pPr>
            <w:r>
              <w:rPr>
                <w:rFonts w:hint="eastAsia"/>
                <w:sz w:val="28"/>
                <w:szCs w:val="24"/>
              </w:rPr>
              <w:t>分</w:t>
            </w:r>
          </w:p>
        </w:tc>
        <w:tc>
          <w:tcPr>
            <w:tcW w:w="1713" w:type="dxa"/>
            <w:tcBorders>
              <w:left w:val="nil"/>
              <w:right w:val="nil"/>
            </w:tcBorders>
            <w:vAlign w:val="center"/>
          </w:tcPr>
          <w:p>
            <w:pPr>
              <w:jc w:val="both"/>
              <w:rPr>
                <w:sz w:val="28"/>
                <w:szCs w:val="24"/>
              </w:rPr>
            </w:pPr>
            <w:r>
              <w:rPr>
                <w:rFonts w:hint="eastAsia"/>
                <w:sz w:val="28"/>
                <w:szCs w:val="24"/>
              </w:rPr>
              <w:t>秒</w:t>
            </w:r>
          </w:p>
        </w:tc>
        <w:tc>
          <w:tcPr>
            <w:tcW w:w="480" w:type="dxa"/>
            <w:tcBorders>
              <w:left w:val="nil"/>
              <w:right w:val="nil"/>
            </w:tcBorders>
            <w:vAlign w:val="center"/>
          </w:tcPr>
          <w:p>
            <w:pPr>
              <w:jc w:val="both"/>
              <w:rPr>
                <w:sz w:val="28"/>
                <w:szCs w:val="24"/>
              </w:rPr>
            </w:pPr>
          </w:p>
        </w:tc>
        <w:tc>
          <w:tcPr>
            <w:tcW w:w="435" w:type="dxa"/>
            <w:tcBorders>
              <w:left w:val="nil"/>
              <w:right w:val="nil"/>
            </w:tcBorders>
            <w:vAlign w:val="center"/>
          </w:tcPr>
          <w:p>
            <w:pPr>
              <w:jc w:val="both"/>
              <w:rPr>
                <w:sz w:val="28"/>
                <w:szCs w:val="24"/>
              </w:rPr>
            </w:pPr>
          </w:p>
        </w:tc>
        <w:tc>
          <w:tcPr>
            <w:tcW w:w="480" w:type="dxa"/>
            <w:tcBorders>
              <w:left w:val="nil"/>
            </w:tcBorders>
            <w:vAlign w:val="center"/>
          </w:tcPr>
          <w:p>
            <w:pPr>
              <w:jc w:val="both"/>
              <w:rPr>
                <w:sz w:val="28"/>
                <w:szCs w:val="24"/>
              </w:rPr>
            </w:pPr>
          </w:p>
        </w:tc>
      </w:tr>
    </w:tbl>
    <w:p>
      <w:pPr>
        <w:rPr>
          <w:sz w:val="28"/>
          <w:szCs w:val="24"/>
        </w:rPr>
      </w:pPr>
      <w:r>
        <w:rPr>
          <w:rFonts w:hint="eastAsia"/>
          <w:sz w:val="28"/>
          <w:szCs w:val="24"/>
        </w:rPr>
        <w:t>参赛选手场次：                                工位号：</w:t>
      </w:r>
    </w:p>
    <w:p>
      <w:pPr>
        <w:rPr>
          <w:sz w:val="24"/>
          <w:szCs w:val="24"/>
        </w:rPr>
      </w:pPr>
      <w:bookmarkStart w:id="67" w:name="裁判签名：____________选手签名：________________年_"/>
      <w:bookmarkEnd w:id="67"/>
    </w:p>
    <w:p>
      <w:pPr>
        <w:rPr>
          <w:sz w:val="24"/>
          <w:szCs w:val="24"/>
        </w:rPr>
      </w:pPr>
    </w:p>
    <w:p>
      <w:pPr>
        <w:jc w:val="both"/>
        <w:rPr>
          <w:sz w:val="28"/>
          <w:szCs w:val="28"/>
        </w:rPr>
      </w:pPr>
      <w:bookmarkStart w:id="68" w:name="表二_无人机装调检修工室外飞行测试评分表"/>
      <w:bookmarkEnd w:id="68"/>
      <w:r>
        <w:rPr>
          <w:rFonts w:hint="eastAsia"/>
          <w:sz w:val="28"/>
          <w:szCs w:val="28"/>
        </w:rPr>
        <w:t>裁判签名：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 xml:space="preserve">              选手签名：               年  月  日</w:t>
      </w:r>
    </w:p>
    <w:p>
      <w:pPr>
        <w:spacing w:line="560" w:lineRule="atLeast"/>
        <w:jc w:val="center"/>
        <w:rPr>
          <w:b/>
          <w:bCs/>
          <w:sz w:val="32"/>
          <w:szCs w:val="28"/>
        </w:rPr>
      </w:pPr>
      <w:r>
        <w:rPr>
          <w:rFonts w:hint="eastAsia"/>
          <w:b/>
          <w:bCs/>
          <w:sz w:val="32"/>
          <w:szCs w:val="28"/>
        </w:rPr>
        <w:t>表二 无人机装调检修工室外飞行测试评分表（学生组）</w:t>
      </w:r>
    </w:p>
    <w:tbl>
      <w:tblPr>
        <w:tblStyle w:val="11"/>
        <w:tblpPr w:leftFromText="180" w:rightFromText="180" w:vertAnchor="text" w:horzAnchor="page" w:tblpX="1564" w:tblpY="579"/>
        <w:tblOverlap w:val="never"/>
        <w:tblW w:w="890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08"/>
        <w:gridCol w:w="6057"/>
        <w:gridCol w:w="420"/>
        <w:gridCol w:w="435"/>
        <w:gridCol w:w="48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50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项目</w:t>
            </w:r>
          </w:p>
        </w:tc>
        <w:tc>
          <w:tcPr>
            <w:tcW w:w="605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评分标准</w:t>
            </w:r>
          </w:p>
        </w:tc>
        <w:tc>
          <w:tcPr>
            <w:tcW w:w="42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配分</w:t>
            </w:r>
          </w:p>
        </w:tc>
        <w:tc>
          <w:tcPr>
            <w:tcW w:w="43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扣分</w:t>
            </w:r>
          </w:p>
        </w:tc>
        <w:tc>
          <w:tcPr>
            <w:tcW w:w="48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得分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3" w:hRule="atLeast"/>
        </w:trPr>
        <w:tc>
          <w:tcPr>
            <w:tcW w:w="1508" w:type="dxa"/>
            <w:vMerge w:val="restar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基础操作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（5分）</w:t>
            </w:r>
          </w:p>
        </w:tc>
        <w:tc>
          <w:tcPr>
            <w:tcW w:w="6057" w:type="dxa"/>
            <w:vAlign w:val="center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起飞到2米以上高度，得1分；姿态平稳，无大于5度的俯仰或翻滚得1分，否则不得分</w:t>
            </w:r>
          </w:p>
        </w:tc>
        <w:tc>
          <w:tcPr>
            <w:tcW w:w="42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435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0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1508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57" w:type="dxa"/>
            <w:vAlign w:val="center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降落平稳，未出现弹跳得1分，否则不得分</w:t>
            </w:r>
          </w:p>
        </w:tc>
        <w:tc>
          <w:tcPr>
            <w:tcW w:w="42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435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0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5" w:hRule="atLeast"/>
        </w:trPr>
        <w:tc>
          <w:tcPr>
            <w:tcW w:w="1508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57" w:type="dxa"/>
            <w:vAlign w:val="center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降落在直径1米得圆内，得2分降落在直径2米得圆内，得1分降落在2米以外，得0分。机身压线视为在线外</w:t>
            </w:r>
          </w:p>
        </w:tc>
        <w:tc>
          <w:tcPr>
            <w:tcW w:w="42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435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0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</w:trPr>
        <w:tc>
          <w:tcPr>
            <w:tcW w:w="1508" w:type="dxa"/>
            <w:vMerge w:val="restar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普通操作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（对尾飞行）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（10分） </w:t>
            </w:r>
          </w:p>
        </w:tc>
        <w:tc>
          <w:tcPr>
            <w:tcW w:w="6057" w:type="dxa"/>
            <w:vAlign w:val="center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飞行过程无明显错舵，无卡顿，得3分</w:t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自旋过程中停顿或错舵每次扣1分，扣完为止</w:t>
            </w:r>
          </w:p>
        </w:tc>
        <w:tc>
          <w:tcPr>
            <w:tcW w:w="42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435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0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</w:trPr>
        <w:tc>
          <w:tcPr>
            <w:tcW w:w="1508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57" w:type="dxa"/>
            <w:vAlign w:val="center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自旋时间控制在5″-15″之内，得3分</w:t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自旋360度不在5″-15″之内，不得分</w:t>
            </w:r>
          </w:p>
        </w:tc>
        <w:tc>
          <w:tcPr>
            <w:tcW w:w="42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435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0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1508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57" w:type="dxa"/>
            <w:vAlign w:val="center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高度控制在1.5m到2.5m之间，得2分；否则不得分</w:t>
            </w:r>
          </w:p>
        </w:tc>
        <w:tc>
          <w:tcPr>
            <w:tcW w:w="42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435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0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1508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57" w:type="dxa"/>
            <w:vAlign w:val="center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漂移范围控制在半径1米之内得2分，否则不得分</w:t>
            </w:r>
          </w:p>
        </w:tc>
        <w:tc>
          <w:tcPr>
            <w:tcW w:w="42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435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0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1508" w:type="dxa"/>
            <w:vMerge w:val="restar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应用飞行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（20分）</w:t>
            </w:r>
          </w:p>
        </w:tc>
        <w:tc>
          <w:tcPr>
            <w:tcW w:w="6057" w:type="dxa"/>
            <w:vAlign w:val="center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无人机自起降区手动挂载急救箱后，在GPS模式下起飞，飞行高度超过1米即得2分，否则不得分</w:t>
            </w:r>
          </w:p>
        </w:tc>
        <w:tc>
          <w:tcPr>
            <w:tcW w:w="42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435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0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1508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57" w:type="dxa"/>
            <w:vAlign w:val="center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无人机在GPS模式下，按规定路线依序飞至投放区上空。</w:t>
            </w:r>
          </w:p>
        </w:tc>
        <w:tc>
          <w:tcPr>
            <w:tcW w:w="42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435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0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</w:trPr>
        <w:tc>
          <w:tcPr>
            <w:tcW w:w="1508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57" w:type="dxa"/>
            <w:vAlign w:val="center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无人机在GPS模式下，飞至投放区上空，将急救箱抛投至投放区。急救箱投放在红色区域得10分，黄色区域得5分，绿色区域得2分，投放区域外得0分，急救箱压线视为在线外。</w:t>
            </w:r>
          </w:p>
        </w:tc>
        <w:tc>
          <w:tcPr>
            <w:tcW w:w="42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</w:t>
            </w:r>
          </w:p>
        </w:tc>
        <w:tc>
          <w:tcPr>
            <w:tcW w:w="435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0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508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57" w:type="dxa"/>
            <w:vAlign w:val="center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无人机在GPS模式下，由投放区投放后，飞至起降区降 落。无人机完全降落在起降区内得2分，压线得1分，区域</w:t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外不得分</w:t>
            </w:r>
          </w:p>
        </w:tc>
        <w:tc>
          <w:tcPr>
            <w:tcW w:w="42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435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0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</w:trPr>
        <w:tc>
          <w:tcPr>
            <w:tcW w:w="1508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57" w:type="dxa"/>
            <w:vAlign w:val="center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安全文明操作，选手在飞行过程中遵守安全文明纪律，佩戴安全防护用具，每处错误扣1分，扣完为止</w:t>
            </w:r>
          </w:p>
        </w:tc>
        <w:tc>
          <w:tcPr>
            <w:tcW w:w="42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435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0" w:type="dxa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</w:trPr>
        <w:tc>
          <w:tcPr>
            <w:tcW w:w="1508" w:type="dxa"/>
            <w:vAlign w:val="center"/>
          </w:tcPr>
          <w:p>
            <w:pPr>
              <w:jc w:val="center"/>
              <w:rPr>
                <w:sz w:val="28"/>
                <w:szCs w:val="24"/>
              </w:rPr>
            </w:pPr>
            <w:r>
              <w:rPr>
                <w:rFonts w:hint="eastAsia"/>
                <w:sz w:val="28"/>
                <w:szCs w:val="24"/>
              </w:rPr>
              <w:t>合</w:t>
            </w:r>
            <w:r>
              <w:rPr>
                <w:rFonts w:hint="eastAsia"/>
                <w:sz w:val="28"/>
                <w:szCs w:val="24"/>
              </w:rPr>
              <w:tab/>
            </w:r>
            <w:r>
              <w:rPr>
                <w:rFonts w:hint="eastAsia"/>
                <w:sz w:val="28"/>
                <w:szCs w:val="24"/>
              </w:rPr>
              <w:t>计</w:t>
            </w:r>
          </w:p>
        </w:tc>
        <w:tc>
          <w:tcPr>
            <w:tcW w:w="6057" w:type="dxa"/>
          </w:tcPr>
          <w:p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420" w:type="dxa"/>
            <w:vAlign w:val="center"/>
          </w:tcPr>
          <w:p>
            <w:pPr>
              <w:jc w:val="center"/>
              <w:rPr>
                <w:sz w:val="28"/>
                <w:szCs w:val="24"/>
              </w:rPr>
            </w:pPr>
            <w:r>
              <w:rPr>
                <w:rFonts w:hint="eastAsia"/>
                <w:sz w:val="28"/>
                <w:szCs w:val="24"/>
              </w:rPr>
              <w:t>35</w:t>
            </w:r>
          </w:p>
        </w:tc>
        <w:tc>
          <w:tcPr>
            <w:tcW w:w="435" w:type="dxa"/>
          </w:tcPr>
          <w:p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480" w:type="dxa"/>
          </w:tcPr>
          <w:p>
            <w:pPr>
              <w:jc w:val="center"/>
              <w:rPr>
                <w:sz w:val="28"/>
                <w:szCs w:val="24"/>
              </w:rPr>
            </w:pPr>
          </w:p>
        </w:tc>
      </w:tr>
    </w:tbl>
    <w:p>
      <w:pPr>
        <w:spacing w:line="560" w:lineRule="atLeast"/>
        <w:rPr>
          <w:sz w:val="24"/>
          <w:szCs w:val="24"/>
        </w:rPr>
      </w:pPr>
      <w:r>
        <w:rPr>
          <w:rFonts w:hint="eastAsia"/>
          <w:sz w:val="28"/>
          <w:szCs w:val="24"/>
        </w:rPr>
        <w:t>参赛选手场次：                                 工位号：</w:t>
      </w: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rFonts w:hint="eastAsia"/>
          <w:sz w:val="28"/>
          <w:szCs w:val="28"/>
        </w:rPr>
        <w:t>裁判签名：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 xml:space="preserve">              选手签名：               年  月  日</w:t>
      </w:r>
    </w:p>
    <w:p>
      <w:pPr>
        <w:spacing w:line="560" w:lineRule="atLeast"/>
        <w:jc w:val="center"/>
        <w:rPr>
          <w:b/>
          <w:bCs/>
          <w:sz w:val="32"/>
          <w:szCs w:val="28"/>
        </w:rPr>
      </w:pPr>
      <w:r>
        <w:rPr>
          <w:rFonts w:hint="eastAsia"/>
          <w:b/>
          <w:bCs/>
          <w:sz w:val="32"/>
          <w:szCs w:val="28"/>
        </w:rPr>
        <w:t>表三 无人机装调检修工室外飞行测试评分表（职工组）</w:t>
      </w:r>
    </w:p>
    <w:p>
      <w:pPr>
        <w:spacing w:line="560" w:lineRule="atLeast"/>
        <w:rPr>
          <w:sz w:val="28"/>
          <w:szCs w:val="24"/>
        </w:rPr>
      </w:pPr>
      <w:r>
        <w:rPr>
          <w:rFonts w:hint="eastAsia"/>
          <w:sz w:val="28"/>
          <w:szCs w:val="24"/>
        </w:rPr>
        <w:t>参赛选手场次：</w:t>
      </w:r>
      <w:r>
        <w:rPr>
          <w:rFonts w:hint="eastAsia"/>
          <w:sz w:val="28"/>
          <w:szCs w:val="24"/>
        </w:rPr>
        <w:tab/>
      </w:r>
      <w:r>
        <w:rPr>
          <w:rFonts w:hint="eastAsia"/>
          <w:sz w:val="28"/>
          <w:szCs w:val="24"/>
        </w:rPr>
        <w:t xml:space="preserve">                                工位号：</w:t>
      </w:r>
    </w:p>
    <w:tbl>
      <w:tblPr>
        <w:tblStyle w:val="11"/>
        <w:tblW w:w="8828" w:type="dxa"/>
        <w:tblInd w:w="12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63"/>
        <w:gridCol w:w="6090"/>
        <w:gridCol w:w="450"/>
        <w:gridCol w:w="420"/>
        <w:gridCol w:w="40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463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项目</w:t>
            </w:r>
          </w:p>
        </w:tc>
        <w:tc>
          <w:tcPr>
            <w:tcW w:w="609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评分标准</w:t>
            </w:r>
          </w:p>
        </w:tc>
        <w:tc>
          <w:tcPr>
            <w:tcW w:w="45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配分</w:t>
            </w:r>
          </w:p>
        </w:tc>
        <w:tc>
          <w:tcPr>
            <w:tcW w:w="42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扣分</w:t>
            </w:r>
          </w:p>
        </w:tc>
        <w:tc>
          <w:tcPr>
            <w:tcW w:w="40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得分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3" w:hRule="atLeast"/>
        </w:trPr>
        <w:tc>
          <w:tcPr>
            <w:tcW w:w="1463" w:type="dxa"/>
            <w:vMerge w:val="restar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基础操作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（5分）</w:t>
            </w:r>
          </w:p>
        </w:tc>
        <w:tc>
          <w:tcPr>
            <w:tcW w:w="6090" w:type="dxa"/>
            <w:vAlign w:val="center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起飞到2米以上高度，得1分；姿态平稳，无大于5度的俯仰或翻滚得1分，否则不得分</w:t>
            </w:r>
          </w:p>
        </w:tc>
        <w:tc>
          <w:tcPr>
            <w:tcW w:w="45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420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1463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90" w:type="dxa"/>
            <w:vAlign w:val="center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降落平稳，未出现弹跳得1分，否则不得分</w:t>
            </w:r>
          </w:p>
        </w:tc>
        <w:tc>
          <w:tcPr>
            <w:tcW w:w="45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420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5" w:hRule="atLeast"/>
        </w:trPr>
        <w:tc>
          <w:tcPr>
            <w:tcW w:w="1463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90" w:type="dxa"/>
            <w:vAlign w:val="center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降落在直径1米得圆内，得2分降落在直径2米得圆内，得1分；降落在2米以外，得0分。机身压线视为在线外</w:t>
            </w:r>
          </w:p>
        </w:tc>
        <w:tc>
          <w:tcPr>
            <w:tcW w:w="45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420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7" w:hRule="atLeast"/>
        </w:trPr>
        <w:tc>
          <w:tcPr>
            <w:tcW w:w="1463" w:type="dxa"/>
            <w:vMerge w:val="restar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普通操作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（机头始终朝向前进方向）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（10分）</w:t>
            </w:r>
          </w:p>
        </w:tc>
        <w:tc>
          <w:tcPr>
            <w:tcW w:w="6090" w:type="dxa"/>
            <w:vAlign w:val="center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飞行过程无明显错舵，无卡顿，得3分</w:t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自旋过程中停顿或错舵每次扣1分，扣完为止</w:t>
            </w:r>
          </w:p>
        </w:tc>
        <w:tc>
          <w:tcPr>
            <w:tcW w:w="45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420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</w:trPr>
        <w:tc>
          <w:tcPr>
            <w:tcW w:w="1463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90" w:type="dxa"/>
            <w:vAlign w:val="center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自旋时间控制在5″-15″之内，得3分</w:t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自旋360度不在5″-15″之内，不得分</w:t>
            </w:r>
          </w:p>
        </w:tc>
        <w:tc>
          <w:tcPr>
            <w:tcW w:w="45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420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463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90" w:type="dxa"/>
            <w:vAlign w:val="center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高度控制在1.5m到2.5m之间，得2分；否则不得分</w:t>
            </w:r>
          </w:p>
        </w:tc>
        <w:tc>
          <w:tcPr>
            <w:tcW w:w="45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420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1463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90" w:type="dxa"/>
            <w:vAlign w:val="center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漂移范围控制在半径1米之内得2分，否则不得分</w:t>
            </w:r>
          </w:p>
        </w:tc>
        <w:tc>
          <w:tcPr>
            <w:tcW w:w="45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420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1463" w:type="dxa"/>
            <w:vMerge w:val="restar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应用飞行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（20分）</w:t>
            </w:r>
          </w:p>
        </w:tc>
        <w:tc>
          <w:tcPr>
            <w:tcW w:w="6090" w:type="dxa"/>
            <w:vAlign w:val="center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无人机自起降区手动挂载急救箱后，在姿态模式下起飞，飞行高度超过1米即得2分，否则不得分</w:t>
            </w:r>
          </w:p>
        </w:tc>
        <w:tc>
          <w:tcPr>
            <w:tcW w:w="45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420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1463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90" w:type="dxa"/>
            <w:vAlign w:val="center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无人机在姿态模式下飞至投放区上空。</w:t>
            </w:r>
          </w:p>
        </w:tc>
        <w:tc>
          <w:tcPr>
            <w:tcW w:w="45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420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</w:trPr>
        <w:tc>
          <w:tcPr>
            <w:tcW w:w="1463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90" w:type="dxa"/>
            <w:vAlign w:val="center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无人机在姿态模式下，飞至投放区上空，将急救箱抛投至投放区。急救箱投放在红色区域得10分，黄色区域得5分，绿色区域得2分，投放区域外得0分，急救箱压线视为在线外。</w:t>
            </w:r>
          </w:p>
        </w:tc>
        <w:tc>
          <w:tcPr>
            <w:tcW w:w="45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</w:t>
            </w:r>
          </w:p>
        </w:tc>
        <w:tc>
          <w:tcPr>
            <w:tcW w:w="420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463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90" w:type="dxa"/>
            <w:vAlign w:val="center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无人机在姿态模式下，由投放区投放后，飞至起降区降 落。无人机完全降落在起降区内得2分，压线得1分，区域</w:t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外不得分</w:t>
            </w:r>
          </w:p>
        </w:tc>
        <w:tc>
          <w:tcPr>
            <w:tcW w:w="45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420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</w:trPr>
        <w:tc>
          <w:tcPr>
            <w:tcW w:w="1463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90" w:type="dxa"/>
            <w:vAlign w:val="center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安全文明操作，选手在飞行过程中遵守安全文明纪律，佩戴安全防护用具，每处错误扣1分，扣完为止</w:t>
            </w:r>
          </w:p>
        </w:tc>
        <w:tc>
          <w:tcPr>
            <w:tcW w:w="45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420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1463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合计</w:t>
            </w:r>
          </w:p>
        </w:tc>
        <w:tc>
          <w:tcPr>
            <w:tcW w:w="6090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45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35</w:t>
            </w:r>
          </w:p>
        </w:tc>
        <w:tc>
          <w:tcPr>
            <w:tcW w:w="420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</w:tcPr>
          <w:p>
            <w:pPr>
              <w:rPr>
                <w:sz w:val="24"/>
                <w:szCs w:val="24"/>
              </w:rPr>
            </w:pPr>
          </w:p>
        </w:tc>
      </w:tr>
    </w:tbl>
    <w:p/>
    <w:p/>
    <w:p>
      <w:pPr>
        <w:jc w:val="both"/>
        <w:rPr>
          <w:sz w:val="28"/>
          <w:szCs w:val="28"/>
        </w:rPr>
      </w:pPr>
      <w:r>
        <w:rPr>
          <w:rFonts w:hint="eastAsia"/>
          <w:sz w:val="28"/>
          <w:szCs w:val="28"/>
        </w:rPr>
        <w:t>裁判签名：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 xml:space="preserve">              选手签名：               年  月  日</w:t>
      </w:r>
    </w:p>
    <w:p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bookmarkStart w:id="69" w:name="六、无人机装调检修工竞赛安全操作规则"/>
      <w:bookmarkEnd w:id="69"/>
      <w:bookmarkStart w:id="70" w:name="_Toc30544"/>
      <w:r>
        <w:rPr>
          <w:rFonts w:hint="eastAsia" w:ascii="黑体" w:hAnsi="黑体" w:eastAsia="黑体" w:cs="黑体"/>
          <w:sz w:val="32"/>
          <w:szCs w:val="32"/>
        </w:rPr>
        <w:t>五、竞赛安全操作规则</w:t>
      </w:r>
      <w:bookmarkEnd w:id="70"/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1.</w:t>
      </w:r>
      <w:r>
        <w:rPr>
          <w:sz w:val="32"/>
          <w:szCs w:val="32"/>
        </w:rPr>
        <w:t>参赛选手在竞赛过程中，必须按要求穿戴劳保用品（工装、护目镜等），女选手要求带工作帽，且长发不得外露。严禁戴手套、戒指、挂坠等物品操作。</w:t>
      </w:r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2.</w:t>
      </w:r>
      <w:r>
        <w:rPr>
          <w:sz w:val="32"/>
          <w:szCs w:val="32"/>
        </w:rPr>
        <w:t>现场裁判员将对参赛选手的安全防护、操作规范和工具、设备摆放状况进行检查，结果将作为选手职业素养评分依据。</w:t>
      </w:r>
    </w:p>
    <w:p>
      <w:pPr>
        <w:spacing w:line="560" w:lineRule="exact"/>
        <w:ind w:firstLine="640" w:firstLineChars="200"/>
        <w:rPr>
          <w:sz w:val="32"/>
          <w:szCs w:val="32"/>
        </w:rPr>
      </w:pPr>
      <w:bookmarkStart w:id="71" w:name="_Toc25172"/>
      <w:bookmarkStart w:id="72" w:name="_Toc9021"/>
      <w:bookmarkStart w:id="73" w:name="_Toc3948"/>
      <w:r>
        <w:rPr>
          <w:rFonts w:hint="eastAsia"/>
          <w:sz w:val="32"/>
          <w:szCs w:val="32"/>
        </w:rPr>
        <w:t>3.</w:t>
      </w:r>
      <w:r>
        <w:rPr>
          <w:sz w:val="32"/>
          <w:szCs w:val="32"/>
        </w:rPr>
        <w:t>室内组装调试严禁安装螺旋桨。</w:t>
      </w:r>
      <w:bookmarkEnd w:id="71"/>
      <w:bookmarkEnd w:id="72"/>
      <w:bookmarkEnd w:id="73"/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4.</w:t>
      </w:r>
      <w:r>
        <w:rPr>
          <w:sz w:val="32"/>
          <w:szCs w:val="32"/>
        </w:rPr>
        <w:t>室外测试飞行必须确保无人机与人员之间有防护网隔离，出现故障，必须首先关闭油门。</w:t>
      </w:r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5.</w:t>
      </w:r>
      <w:r>
        <w:rPr>
          <w:sz w:val="32"/>
          <w:szCs w:val="32"/>
        </w:rPr>
        <w:t>无人机出现故障需要调试时，必须将遥控器油门拉杆调至最低，经裁判核准后，方可接近无人机。</w:t>
      </w:r>
    </w:p>
    <w:p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bookmarkStart w:id="74" w:name="_Toc14015"/>
      <w:r>
        <w:rPr>
          <w:rFonts w:hint="eastAsia" w:ascii="黑体" w:hAnsi="黑体" w:eastAsia="黑体" w:cs="黑体"/>
          <w:sz w:val="32"/>
          <w:szCs w:val="32"/>
        </w:rPr>
        <w:t>六、竞赛须知</w:t>
      </w:r>
      <w:bookmarkEnd w:id="74"/>
    </w:p>
    <w:p>
      <w:pPr>
        <w:spacing w:line="560" w:lineRule="exact"/>
        <w:ind w:firstLine="643" w:firstLineChars="200"/>
        <w:rPr>
          <w:rFonts w:ascii="楷体" w:hAnsi="楷体" w:eastAsia="楷体" w:cs="楷体"/>
          <w:b/>
          <w:bCs/>
          <w:sz w:val="32"/>
          <w:szCs w:val="32"/>
        </w:rPr>
      </w:pPr>
      <w:bookmarkStart w:id="75" w:name="_Toc1358"/>
      <w:r>
        <w:rPr>
          <w:rFonts w:hint="eastAsia" w:ascii="楷体" w:hAnsi="楷体" w:eastAsia="楷体" w:cs="楷体"/>
          <w:b/>
          <w:bCs/>
          <w:sz w:val="32"/>
          <w:szCs w:val="32"/>
        </w:rPr>
        <w:t>（一）</w:t>
      </w:r>
      <w:bookmarkStart w:id="76" w:name="（二）竞赛抽签"/>
      <w:bookmarkEnd w:id="76"/>
      <w:r>
        <w:rPr>
          <w:rFonts w:hint="eastAsia" w:ascii="楷体" w:hAnsi="楷体" w:eastAsia="楷体" w:cs="楷体"/>
          <w:b/>
          <w:bCs/>
          <w:sz w:val="32"/>
          <w:szCs w:val="32"/>
        </w:rPr>
        <w:t>竞赛抽签</w:t>
      </w:r>
      <w:bookmarkEnd w:id="75"/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竞赛裁判长负责组织抽签</w:t>
      </w:r>
      <w:bookmarkStart w:id="77" w:name="_bookmark4"/>
      <w:bookmarkEnd w:id="77"/>
      <w:bookmarkStart w:id="78" w:name="五、竞赛规则"/>
      <w:bookmarkEnd w:id="78"/>
      <w:r>
        <w:rPr>
          <w:rFonts w:hint="eastAsia"/>
          <w:sz w:val="32"/>
          <w:szCs w:val="32"/>
        </w:rPr>
        <w:t>，</w:t>
      </w:r>
      <w:r>
        <w:rPr>
          <w:sz w:val="32"/>
          <w:szCs w:val="32"/>
        </w:rPr>
        <w:t>各参赛队领队负责参加抽签，经抽签确定各参赛队抽签顺序、场次，领队签字确认。参赛选手在竞赛检录时抽签确定竞赛工位号，并由参赛选手签名确认。</w:t>
      </w:r>
    </w:p>
    <w:p>
      <w:pPr>
        <w:spacing w:line="560" w:lineRule="exact"/>
        <w:ind w:firstLine="643" w:firstLineChars="200"/>
        <w:rPr>
          <w:rFonts w:ascii="楷体" w:hAnsi="楷体" w:eastAsia="楷体" w:cs="楷体"/>
          <w:b/>
          <w:bCs/>
          <w:sz w:val="32"/>
          <w:szCs w:val="32"/>
        </w:rPr>
      </w:pPr>
      <w:bookmarkStart w:id="79" w:name="_Toc20897"/>
      <w:r>
        <w:rPr>
          <w:rFonts w:hint="eastAsia" w:ascii="楷体" w:hAnsi="楷体" w:eastAsia="楷体" w:cs="楷体"/>
          <w:b/>
          <w:bCs/>
          <w:sz w:val="32"/>
          <w:szCs w:val="32"/>
        </w:rPr>
        <w:t>（二）</w:t>
      </w:r>
      <w:bookmarkStart w:id="80" w:name="（二）选手"/>
      <w:bookmarkEnd w:id="80"/>
      <w:r>
        <w:rPr>
          <w:rFonts w:hint="eastAsia" w:ascii="楷体" w:hAnsi="楷体" w:eastAsia="楷体" w:cs="楷体"/>
          <w:b/>
          <w:bCs/>
          <w:sz w:val="32"/>
          <w:szCs w:val="32"/>
        </w:rPr>
        <w:t>选手要求</w:t>
      </w:r>
      <w:bookmarkEnd w:id="79"/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参赛选手应持竞赛组委会颁发的参赛证，及有效身份证件参赛。参赛选手不遵守竞赛职业（工种）规程，有冒名顶替、作弊、扰乱赛场秩序等情形的，由竞赛组委会根据竞赛职业（工种）规程和相关要求，给予选手警告、终止竞赛、取消成绩等处分。</w:t>
      </w:r>
    </w:p>
    <w:p>
      <w:pPr>
        <w:spacing w:line="560" w:lineRule="exact"/>
        <w:ind w:firstLine="643" w:firstLineChars="200"/>
        <w:rPr>
          <w:rFonts w:ascii="楷体" w:hAnsi="楷体" w:eastAsia="楷体" w:cs="楷体"/>
          <w:b/>
          <w:bCs/>
          <w:sz w:val="32"/>
          <w:szCs w:val="32"/>
        </w:rPr>
      </w:pPr>
      <w:bookmarkStart w:id="81" w:name="_Toc12888"/>
      <w:r>
        <w:rPr>
          <w:rFonts w:hint="eastAsia" w:ascii="楷体" w:hAnsi="楷体" w:eastAsia="楷体" w:cs="楷体"/>
          <w:b/>
          <w:bCs/>
          <w:sz w:val="32"/>
          <w:szCs w:val="32"/>
        </w:rPr>
        <w:t>（三）</w:t>
      </w:r>
      <w:bookmarkStart w:id="82" w:name="（六）赛场纪律"/>
      <w:bookmarkEnd w:id="82"/>
      <w:r>
        <w:rPr>
          <w:rFonts w:hint="eastAsia" w:ascii="楷体" w:hAnsi="楷体" w:eastAsia="楷体" w:cs="楷体"/>
          <w:b/>
          <w:bCs/>
          <w:sz w:val="32"/>
          <w:szCs w:val="32"/>
        </w:rPr>
        <w:t>赛场纪律</w:t>
      </w:r>
      <w:bookmarkEnd w:id="81"/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参赛选手应提前30分钟到场，进入赛场前，由竞赛裁判、工作人员查验证件，选手应按抽签号就位。竞赛开始指令发出后，迟到15分钟及以上者不得入场，按自动弃权处理；竞赛开始30分钟后方可离开赛场，但不得在赛场周围逗留、喧哗。竞赛用笔、纸张由组委会统一提供，选手不得携带任何与竞赛无关物品进入赛场；违者由组委会取消竞赛成绩。</w:t>
      </w:r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参赛选手应服从裁判人员指挥，保持肃静，不准交头接耳，传递纸条，偷看他人工位以及进行其它作弊行为；违者由组委会取消竞赛成绩。</w:t>
      </w:r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参赛选手应按照赛场要求，在规定位置书写个人信息；在规定位置以外，不得有任何泄露、暗示选手身份的信息、标记、符号等，否则该项成绩作废。</w:t>
      </w:r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竞赛过程中，参赛选手遇有问题应向现场裁判举手示意，由现场裁判负责按照规定处理或上报。现场裁判对涉及竞赛试题内容的问题，不得有任何解释或暗示行为。</w:t>
      </w:r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竞赛过程中，经组委会特许人员（领导、媒体等）可以入场；否则任何人不得进入竞赛现场。其他人员只允许在组委会指定区域观摩。</w:t>
      </w:r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参赛选手在竞赛期间可休息、饮水、上洗手间，但其耗时一律计入竞赛时间。</w:t>
      </w:r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技能操作竞赛期间，参赛选手若遇到设备问题应向裁判举手示意，若为设备故障问题则停止计时，由工作人员进行处理。</w:t>
      </w:r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竞赛前，选手应核对工作任务书，若有字迹不清问题，可举手报告现场裁判，由现场裁判解决。裁判长宣布终止竞赛时，所有参赛选手应停止操作、退出工位；除需要补时的选手外，现场裁判指挥其他选手统一离开赛场；需要补时的选手按照裁判长的指挥，统一回到原工位，按要求进行补时操作。</w:t>
      </w:r>
      <w:bookmarkStart w:id="83" w:name="附件2"/>
      <w:bookmarkEnd w:id="83"/>
      <w:bookmarkStart w:id="84" w:name="附件1"/>
      <w:bookmarkEnd w:id="84"/>
      <w:bookmarkStart w:id="85" w:name="_GoBack"/>
      <w:bookmarkEnd w:id="85"/>
    </w:p>
    <w:sectPr>
      <w:footerReference r:id="rId3" w:type="default"/>
      <w:pgSz w:w="11910" w:h="16840"/>
      <w:pgMar w:top="2098" w:right="1474" w:bottom="1984" w:left="1587" w:header="720" w:footer="720" w:gutter="0"/>
      <w:pgNumType w:start="1"/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ind w:left="0"/>
      <w:rPr>
        <w:sz w:val="17"/>
      </w:rPr>
    </w:pPr>
    <w:r>
      <w:pict>
        <v:shape id="_x0000_s2049" o:spid="_x0000_s2049" o:spt="202" type="#_x0000_t202" style="position:absolute;left:0pt;margin-left:296.9pt;margin-top:775.25pt;height:11pt;width:20.5pt;mso-position-horizontal-relative:page;mso-position-vertical-relative:page;z-index:-25165721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line="220" w:lineRule="exact"/>
                  <w:ind w:left="60"/>
                  <w:rPr>
                    <w:rFonts w:ascii="宋体"/>
                    <w:sz w:val="18"/>
                  </w:rPr>
                </w:pPr>
                <w:r>
                  <w:rPr>
                    <w:rFonts w:ascii="宋体"/>
                    <w:spacing w:val="-5"/>
                    <w:sz w:val="18"/>
                  </w:rPr>
                  <w:fldChar w:fldCharType="begin"/>
                </w:r>
                <w:r>
                  <w:rPr>
                    <w:rFonts w:ascii="宋体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宋体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宋体"/>
                    <w:spacing w:val="-5"/>
                    <w:sz w:val="18"/>
                  </w:rPr>
                  <w:t>2</w:t>
                </w:r>
                <w:r>
                  <w:rPr>
                    <w:rFonts w:ascii="宋体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3A54EEF"/>
    <w:multiLevelType w:val="singleLevel"/>
    <w:tmpl w:val="C3A54EEF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compat>
    <w:ulTrailSpace/>
    <w:shapeLayoutLikeWW8/>
    <w:useFELayout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hYmY0MmZhN2Y0ZDgwOGJhYTc1YzMxYTg2MTdlNWYifQ=="/>
  </w:docVars>
  <w:rsids>
    <w:rsidRoot w:val="00127169"/>
    <w:rsid w:val="000138A3"/>
    <w:rsid w:val="000235EC"/>
    <w:rsid w:val="000D3BB2"/>
    <w:rsid w:val="00127169"/>
    <w:rsid w:val="00146B04"/>
    <w:rsid w:val="00190FF0"/>
    <w:rsid w:val="001B43F6"/>
    <w:rsid w:val="0025473E"/>
    <w:rsid w:val="0027184B"/>
    <w:rsid w:val="00282ADB"/>
    <w:rsid w:val="00296E96"/>
    <w:rsid w:val="00333B25"/>
    <w:rsid w:val="00370EF8"/>
    <w:rsid w:val="003C45DD"/>
    <w:rsid w:val="00432F7F"/>
    <w:rsid w:val="00452EEB"/>
    <w:rsid w:val="004A0CF5"/>
    <w:rsid w:val="004E5A14"/>
    <w:rsid w:val="005258BB"/>
    <w:rsid w:val="005D12F7"/>
    <w:rsid w:val="0065734D"/>
    <w:rsid w:val="00663060"/>
    <w:rsid w:val="006C288B"/>
    <w:rsid w:val="007B7317"/>
    <w:rsid w:val="008527CE"/>
    <w:rsid w:val="008702FA"/>
    <w:rsid w:val="008B0BBB"/>
    <w:rsid w:val="009221C4"/>
    <w:rsid w:val="0096451A"/>
    <w:rsid w:val="009A6064"/>
    <w:rsid w:val="00A828D6"/>
    <w:rsid w:val="00A87CB1"/>
    <w:rsid w:val="00AD09A5"/>
    <w:rsid w:val="00AD1EEF"/>
    <w:rsid w:val="00B10682"/>
    <w:rsid w:val="00B31EDE"/>
    <w:rsid w:val="00B730A5"/>
    <w:rsid w:val="00B96B20"/>
    <w:rsid w:val="00BF5D2B"/>
    <w:rsid w:val="00BF5E07"/>
    <w:rsid w:val="00C10836"/>
    <w:rsid w:val="00C54D33"/>
    <w:rsid w:val="00D05096"/>
    <w:rsid w:val="00DB3284"/>
    <w:rsid w:val="00DF51B2"/>
    <w:rsid w:val="00E012C4"/>
    <w:rsid w:val="00E33532"/>
    <w:rsid w:val="00E62D26"/>
    <w:rsid w:val="00E957AA"/>
    <w:rsid w:val="00ED0043"/>
    <w:rsid w:val="00EF3E0F"/>
    <w:rsid w:val="00F90299"/>
    <w:rsid w:val="018A0AEA"/>
    <w:rsid w:val="01D312FD"/>
    <w:rsid w:val="0251452D"/>
    <w:rsid w:val="05F67F28"/>
    <w:rsid w:val="0D06788F"/>
    <w:rsid w:val="0DE40111"/>
    <w:rsid w:val="0E553204"/>
    <w:rsid w:val="0EBC5E2E"/>
    <w:rsid w:val="102D327F"/>
    <w:rsid w:val="12415B32"/>
    <w:rsid w:val="14E12169"/>
    <w:rsid w:val="1B594F0F"/>
    <w:rsid w:val="1C721401"/>
    <w:rsid w:val="1CBE524F"/>
    <w:rsid w:val="1D872061"/>
    <w:rsid w:val="26187853"/>
    <w:rsid w:val="26783610"/>
    <w:rsid w:val="29F70B47"/>
    <w:rsid w:val="2A783C63"/>
    <w:rsid w:val="2CC90092"/>
    <w:rsid w:val="2D7F1751"/>
    <w:rsid w:val="301E039C"/>
    <w:rsid w:val="3217582B"/>
    <w:rsid w:val="327D4380"/>
    <w:rsid w:val="35471C97"/>
    <w:rsid w:val="35DF66B6"/>
    <w:rsid w:val="364C5B95"/>
    <w:rsid w:val="365E4BFE"/>
    <w:rsid w:val="369C4F93"/>
    <w:rsid w:val="380D779F"/>
    <w:rsid w:val="3A0B6022"/>
    <w:rsid w:val="3C383DA3"/>
    <w:rsid w:val="3C645ED7"/>
    <w:rsid w:val="3CA50080"/>
    <w:rsid w:val="3DEE4511"/>
    <w:rsid w:val="3F8D49E1"/>
    <w:rsid w:val="40523623"/>
    <w:rsid w:val="450241CA"/>
    <w:rsid w:val="47043CB3"/>
    <w:rsid w:val="48DA1770"/>
    <w:rsid w:val="4B5D7F53"/>
    <w:rsid w:val="51B64384"/>
    <w:rsid w:val="51C34722"/>
    <w:rsid w:val="5370349B"/>
    <w:rsid w:val="538848CB"/>
    <w:rsid w:val="55752AF3"/>
    <w:rsid w:val="56171622"/>
    <w:rsid w:val="57435BFB"/>
    <w:rsid w:val="5881127A"/>
    <w:rsid w:val="5AB142C2"/>
    <w:rsid w:val="5BFA79D4"/>
    <w:rsid w:val="5D0660DC"/>
    <w:rsid w:val="60447817"/>
    <w:rsid w:val="60552C89"/>
    <w:rsid w:val="60EA0710"/>
    <w:rsid w:val="619813A3"/>
    <w:rsid w:val="62961553"/>
    <w:rsid w:val="632C581A"/>
    <w:rsid w:val="68405DD6"/>
    <w:rsid w:val="6B431989"/>
    <w:rsid w:val="6E31797E"/>
    <w:rsid w:val="71550354"/>
    <w:rsid w:val="741B0EE8"/>
    <w:rsid w:val="74D95FC0"/>
    <w:rsid w:val="7560310C"/>
    <w:rsid w:val="758E00D6"/>
    <w:rsid w:val="75F21FF3"/>
    <w:rsid w:val="78B70A5B"/>
    <w:rsid w:val="79054FA9"/>
    <w:rsid w:val="79435AED"/>
    <w:rsid w:val="7A2A2092"/>
    <w:rsid w:val="7ECD4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400"/>
    </w:pPr>
    <w:rPr>
      <w:sz w:val="24"/>
      <w:szCs w:val="24"/>
    </w:rPr>
  </w:style>
  <w:style w:type="paragraph" w:styleId="3">
    <w:name w:val="toc 3"/>
    <w:basedOn w:val="1"/>
    <w:next w:val="1"/>
    <w:semiHidden/>
    <w:unhideWhenUsed/>
    <w:uiPriority w:val="39"/>
    <w:pPr>
      <w:ind w:left="840" w:leftChars="400"/>
    </w:pPr>
  </w:style>
  <w:style w:type="paragraph" w:styleId="4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header"/>
    <w:basedOn w:val="1"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7">
    <w:name w:val="toc 1"/>
    <w:basedOn w:val="1"/>
    <w:next w:val="1"/>
    <w:semiHidden/>
    <w:unhideWhenUsed/>
    <w:qFormat/>
    <w:uiPriority w:val="39"/>
  </w:style>
  <w:style w:type="paragraph" w:styleId="8">
    <w:name w:val="toc 2"/>
    <w:basedOn w:val="1"/>
    <w:next w:val="1"/>
    <w:semiHidden/>
    <w:unhideWhenUsed/>
    <w:uiPriority w:val="39"/>
    <w:pPr>
      <w:ind w:left="420" w:leftChars="200"/>
    </w:pPr>
  </w:style>
  <w:style w:type="table" w:customStyle="1" w:styleId="11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TOC 11"/>
    <w:basedOn w:val="1"/>
    <w:qFormat/>
    <w:uiPriority w:val="1"/>
    <w:pPr>
      <w:spacing w:before="25"/>
      <w:ind w:left="1039"/>
    </w:pPr>
    <w:rPr>
      <w:rFonts w:ascii="宋体" w:hAnsi="宋体" w:eastAsia="宋体" w:cs="宋体"/>
      <w:b/>
      <w:bCs/>
      <w:sz w:val="32"/>
      <w:szCs w:val="32"/>
    </w:rPr>
  </w:style>
  <w:style w:type="paragraph" w:customStyle="1" w:styleId="13">
    <w:name w:val="TOC 21"/>
    <w:basedOn w:val="1"/>
    <w:qFormat/>
    <w:uiPriority w:val="1"/>
    <w:pPr>
      <w:spacing w:before="199"/>
      <w:ind w:left="1039"/>
    </w:pPr>
    <w:rPr>
      <w:rFonts w:ascii="宋体" w:hAnsi="宋体" w:eastAsia="宋体" w:cs="宋体"/>
      <w:sz w:val="30"/>
      <w:szCs w:val="30"/>
    </w:rPr>
  </w:style>
  <w:style w:type="paragraph" w:customStyle="1" w:styleId="14">
    <w:name w:val="标题 11"/>
    <w:basedOn w:val="1"/>
    <w:qFormat/>
    <w:uiPriority w:val="1"/>
    <w:pPr>
      <w:spacing w:before="125"/>
      <w:ind w:left="400"/>
      <w:outlineLvl w:val="1"/>
    </w:pPr>
    <w:rPr>
      <w:sz w:val="32"/>
      <w:szCs w:val="32"/>
    </w:rPr>
  </w:style>
  <w:style w:type="paragraph" w:customStyle="1" w:styleId="15">
    <w:name w:val="标题 21"/>
    <w:basedOn w:val="1"/>
    <w:qFormat/>
    <w:uiPriority w:val="1"/>
    <w:pPr>
      <w:spacing w:before="3"/>
      <w:ind w:left="400"/>
      <w:outlineLvl w:val="2"/>
    </w:pPr>
    <w:rPr>
      <w:b/>
      <w:bCs/>
      <w:sz w:val="28"/>
      <w:szCs w:val="28"/>
    </w:rPr>
  </w:style>
  <w:style w:type="paragraph" w:styleId="16">
    <w:name w:val="List Paragraph"/>
    <w:basedOn w:val="1"/>
    <w:qFormat/>
    <w:uiPriority w:val="1"/>
    <w:pPr>
      <w:ind w:left="400"/>
    </w:pPr>
  </w:style>
  <w:style w:type="paragraph" w:customStyle="1" w:styleId="17">
    <w:name w:val="Table Paragraph"/>
    <w:basedOn w:val="1"/>
    <w:qFormat/>
    <w:uiPriority w:val="1"/>
  </w:style>
  <w:style w:type="paragraph" w:customStyle="1" w:styleId="18">
    <w:name w:val="WPSOffice手动目录 1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customStyle="1" w:styleId="19">
    <w:name w:val="WPSOffice手动目录 2"/>
    <w:qFormat/>
    <w:uiPriority w:val="0"/>
    <w:pPr>
      <w:ind w:left="200" w:leftChars="200"/>
    </w:pPr>
    <w:rPr>
      <w:rFonts w:asciiTheme="minorHAnsi" w:hAnsiTheme="minorHAnsi" w:eastAsiaTheme="minorEastAsia" w:cstheme="minorBidi"/>
      <w:lang w:val="en-US" w:eastAsia="zh-CN" w:bidi="ar-SA"/>
    </w:rPr>
  </w:style>
  <w:style w:type="paragraph" w:customStyle="1" w:styleId="20">
    <w:name w:val="WPSOffice手动目录 3"/>
    <w:qFormat/>
    <w:uiPriority w:val="0"/>
    <w:pPr>
      <w:ind w:left="400" w:leftChars="400"/>
    </w:pPr>
    <w:rPr>
      <w:rFonts w:asciiTheme="minorHAnsi" w:hAnsiTheme="minorHAnsi" w:eastAsiaTheme="minorEastAsia" w:cstheme="minorBidi"/>
      <w:lang w:val="en-US" w:eastAsia="zh-CN" w:bidi="ar-SA"/>
    </w:rPr>
  </w:style>
  <w:style w:type="character" w:customStyle="1" w:styleId="21">
    <w:name w:val="批注框文本 Char"/>
    <w:basedOn w:val="10"/>
    <w:link w:val="4"/>
    <w:semiHidden/>
    <w:qFormat/>
    <w:uiPriority w:val="99"/>
    <w:rPr>
      <w:rFonts w:ascii="仿宋" w:hAnsi="仿宋" w:eastAsia="仿宋" w:cs="仿宋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14</Pages>
  <Words>5503</Words>
  <Characters>5654</Characters>
  <Lines>52</Lines>
  <Paragraphs>14</Paragraphs>
  <TotalTime>0</TotalTime>
  <ScaleCrop>false</ScaleCrop>
  <LinksUpToDate>false</LinksUpToDate>
  <CharactersWithSpaces>5966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2022-09-16T01:06:00Z</dcterms:created>
  <dc:creator>作者</dc:creator>
  <cp:keywords>关键字</cp:keywords>
  <cp:lastModifiedBy>房子</cp:lastModifiedBy>
  <cp:lastPrinted>2022-09-17T01:56:00Z</cp:lastPrinted>
  <dcterms:modified xsi:type="dcterms:W3CDTF">2022-09-20T03:01:36Z</dcterms:modified>
  <dc:subject>科目</dc:subject>
  <dc:title>标题</dc:title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2021-08-31T00:00:00Z</vt:filetime>
  </property>
  <property fmtid="{D5CDD505-2E9C-101B-9397-08002B2CF9AE}" pid="3" name="Creator">
    <vt:lpwstr>WPS 文字</vt:lpwstr>
  </property>
  <property fmtid="{D5CDD505-2E9C-101B-9397-08002B2CF9AE}" pid="4" name="LastSaved">
    <vt:filetime>2022-09-16T00:00:00Z</vt:filetime>
  </property>
  <property fmtid="{D5CDD505-2E9C-101B-9397-08002B2CF9AE}" pid="5" name="SourceModified">
    <vt:lpwstr>D:20210831095842+01'58'</vt:lpwstr>
  </property>
  <property fmtid="{D5CDD505-2E9C-101B-9397-08002B2CF9AE}" pid="6" name="KSOProductBuildVer">
    <vt:lpwstr>2052-11.1.0.12358</vt:lpwstr>
  </property>
  <property fmtid="{D5CDD505-2E9C-101B-9397-08002B2CF9AE}" pid="7" name="ICV">
    <vt:lpwstr>99E3DD1735E843DBB8FC43AB43739D0F</vt:lpwstr>
  </property>
</Properties>
</file>