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60" w:lineRule="atLeas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焦作市专利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转移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转化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项目的奖补方案</w:t>
      </w:r>
    </w:p>
    <w:bookmarkEnd w:id="0"/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CESI仿宋-GB2312" w:cs="Times New Roman"/>
          <w:snapToGrid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为做好焦作市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专利转化专项计划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的奖补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工作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河南省知识产权局、河南省财政厅《关于印发&lt;河南省专利转化专项资金实施方案&gt;的通知》（豫知〔2022〕55号）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《河南省财政厅关于拨付中央服务业发展资金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（专利转化专项计划项目）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的通知》（豫财贸〔202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〕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37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号）中的相关规定，制定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本方案，具体内容如下：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一、奖补金额核定的方式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1.按照专利转化次数进行奖补，转化次数一次奖励金额为10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000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2.按实际交易金额的10%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奖励。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3.上述两项金额之和为奖补总金额。企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业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奖补总金额不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超过1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元，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若超过按1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进行奖补。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二、评审结果及公示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评审后，专家需出具奖补方案；奖补方案在市场监督管理局网站公示，时长不低于三天。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三、奖补方案的执行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无异议后由焦作市知识产权维权保护中心执行奖补方案。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W w:w="1150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5"/>
        <w:gridCol w:w="4659"/>
        <w:gridCol w:w="39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504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专利转移转化奖补项目奖补名单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县市区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企事业单位名称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建议奖补金额（元）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示范区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河南理工大学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孟州市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孟州农达生化制品有限公司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孟州市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孟州市陶氏爱农作物保护有限公司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孟州市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孟州市金玉米有限责任公司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温县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河南路矿科技有限公司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382800</w:t>
            </w:r>
          </w:p>
        </w:tc>
      </w:tr>
    </w:tbl>
    <w:p>
      <w:pPr>
        <w:pStyle w:val="2"/>
        <w:rPr>
          <w:rFonts w:hint="eastAsia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yOGM2NjUzOTcwZjZhZWFiMTg1M2FhZTE0ODU5NTYifQ=="/>
  </w:docVars>
  <w:rsids>
    <w:rsidRoot w:val="FDFF3C9B"/>
    <w:rsid w:val="07361D2E"/>
    <w:rsid w:val="25F3D6E3"/>
    <w:rsid w:val="393FD02E"/>
    <w:rsid w:val="457EC87B"/>
    <w:rsid w:val="4E9767A9"/>
    <w:rsid w:val="52F364A1"/>
    <w:rsid w:val="5FCFEE45"/>
    <w:rsid w:val="6BEC0A07"/>
    <w:rsid w:val="6F8F1ECC"/>
    <w:rsid w:val="7D5E27C3"/>
    <w:rsid w:val="7F967FF5"/>
    <w:rsid w:val="DF7FB6B1"/>
    <w:rsid w:val="EBF77495"/>
    <w:rsid w:val="EFDF79CB"/>
    <w:rsid w:val="F76398D7"/>
    <w:rsid w:val="F7F947CA"/>
    <w:rsid w:val="F9BFF148"/>
    <w:rsid w:val="FDDF2589"/>
    <w:rsid w:val="FDFF3C9B"/>
    <w:rsid w:val="FFBBE2F4"/>
    <w:rsid w:val="FFE5788B"/>
    <w:rsid w:val="FFF39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topLinePunct/>
      <w:ind w:firstLine="560" w:firstLineChars="200"/>
    </w:pPr>
    <w:rPr>
      <w:rFonts w:ascii="宋体" w:hAnsi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351</Words>
  <Characters>370</Characters>
  <Lines>0</Lines>
  <Paragraphs>0</Paragraphs>
  <TotalTime>1</TotalTime>
  <ScaleCrop>false</ScaleCrop>
  <LinksUpToDate>false</LinksUpToDate>
  <CharactersWithSpaces>370</CharactersWithSpaces>
  <Application>WPS Office_11.8.2.1122_F1E327BC-269C-435d-A152-05C5408002CA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2023-09-23T09:51:00Z</dcterms:created>
  <dc:creator>uos</dc:creator>
  <cp:lastModifiedBy>uos</cp:lastModifiedBy>
  <cp:lastPrinted>2023-11-22T09:48:00Z</cp:lastPrinted>
  <dcterms:modified xsi:type="dcterms:W3CDTF">2024-11-21T16:59:29Z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ICV">
    <vt:lpwstr>0930CCF35F826CF971F63E677D545B16</vt:lpwstr>
  </property>
</Properties>
</file>