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Times New Roman" w:hAnsi="Times New Roman" w:eastAsia="仿宋_GB2312" w:cs="仿宋_GB2312"/>
          <w:color w:val="000000"/>
          <w:sz w:val="32"/>
          <w:szCs w:val="32"/>
        </w:rPr>
      </w:pPr>
      <w:r>
        <w:rPr>
          <w:rFonts w:hint="eastAsia" w:ascii="Times New Roman" w:hAnsi="Times New Roman" w:eastAsia="黑体"/>
          <w:color w:val="000000"/>
          <w:sz w:val="32"/>
          <w:szCs w:val="32"/>
        </w:rPr>
        <w:t>附件1</w:t>
      </w:r>
    </w:p>
    <w:p>
      <w:pPr>
        <w:widowControl/>
        <w:jc w:val="left"/>
        <w:rPr>
          <w:rFonts w:hint="eastAsia" w:ascii="Times New Roman" w:hAnsi="Times New Roman" w:eastAsia="黑体" w:cs="宋体"/>
          <w:color w:val="000000"/>
          <w:kern w:val="0"/>
          <w:sz w:val="28"/>
          <w:szCs w:val="28"/>
        </w:rPr>
      </w:pPr>
    </w:p>
    <w:p>
      <w:pPr>
        <w:widowControl/>
        <w:jc w:val="left"/>
        <w:rPr>
          <w:rFonts w:hint="eastAsia" w:ascii="Times New Roman" w:hAnsi="Times New Roman" w:eastAsia="黑体" w:cs="宋体"/>
          <w:color w:val="000000"/>
          <w:kern w:val="0"/>
          <w:sz w:val="28"/>
          <w:szCs w:val="28"/>
        </w:rPr>
      </w:pPr>
    </w:p>
    <w:p>
      <w:pPr>
        <w:widowControl/>
        <w:jc w:val="left"/>
        <w:rPr>
          <w:rFonts w:hint="eastAsia" w:ascii="Times New Roman" w:hAnsi="Times New Roman" w:eastAsia="黑体" w:cs="宋体"/>
          <w:color w:val="000000"/>
          <w:kern w:val="0"/>
          <w:sz w:val="28"/>
          <w:szCs w:val="28"/>
        </w:rPr>
      </w:pPr>
    </w:p>
    <w:p>
      <w:pPr>
        <w:widowControl/>
        <w:jc w:val="left"/>
        <w:rPr>
          <w:rFonts w:hint="eastAsia" w:ascii="Times New Roman" w:hAnsi="Times New Roman" w:eastAsia="黑体" w:cs="宋体"/>
          <w:color w:val="000000"/>
          <w:kern w:val="0"/>
          <w:sz w:val="28"/>
          <w:szCs w:val="28"/>
        </w:rPr>
      </w:pPr>
    </w:p>
    <w:p>
      <w:pPr>
        <w:overflowPunct w:val="0"/>
        <w:adjustRightInd w:val="0"/>
        <w:snapToGrid w:val="0"/>
        <w:spacing w:line="240" w:lineRule="exact"/>
        <w:jc w:val="left"/>
        <w:rPr>
          <w:rFonts w:hint="eastAsia" w:ascii="Times New Roman" w:hAnsi="Times New Roman" w:eastAsia="黑体" w:cs="宋体"/>
          <w:color w:val="000000"/>
          <w:kern w:val="0"/>
          <w:sz w:val="28"/>
          <w:szCs w:val="28"/>
        </w:rPr>
      </w:pPr>
    </w:p>
    <w:p>
      <w:pPr>
        <w:jc w:val="center"/>
        <w:rPr>
          <w:rFonts w:hint="eastAsia" w:ascii="黑体" w:hAnsi="黑体" w:eastAsia="黑体" w:cs="黑体"/>
          <w:color w:val="000000"/>
          <w:sz w:val="52"/>
          <w:szCs w:val="52"/>
          <w:lang w:val="en-US" w:eastAsia="zh-CN"/>
        </w:rPr>
      </w:pPr>
      <w:r>
        <w:rPr>
          <w:rFonts w:hint="eastAsia" w:ascii="黑体" w:hAnsi="黑体" w:eastAsia="黑体" w:cs="黑体"/>
          <w:color w:val="000000"/>
          <w:sz w:val="52"/>
          <w:szCs w:val="52"/>
          <w:lang w:eastAsia="zh-CN"/>
        </w:rPr>
        <w:t>焦作市</w:t>
      </w:r>
      <w:r>
        <w:rPr>
          <w:rFonts w:hint="eastAsia" w:ascii="黑体" w:hAnsi="黑体" w:eastAsia="黑体" w:cs="黑体"/>
          <w:color w:val="000000"/>
          <w:sz w:val="52"/>
          <w:szCs w:val="52"/>
          <w:lang w:val="en-US" w:eastAsia="zh-CN"/>
        </w:rPr>
        <w:t>司法局（本级）</w:t>
      </w:r>
    </w:p>
    <w:p>
      <w:pPr>
        <w:jc w:val="center"/>
        <w:rPr>
          <w:rFonts w:hint="eastAsia" w:ascii="黑体" w:hAnsi="黑体" w:eastAsia="黑体" w:cs="黑体"/>
          <w:color w:val="000000"/>
          <w:sz w:val="52"/>
          <w:szCs w:val="52"/>
        </w:rPr>
      </w:pPr>
      <w:r>
        <w:rPr>
          <w:rFonts w:hint="eastAsia" w:ascii="黑体" w:hAnsi="黑体" w:eastAsia="黑体" w:cs="黑体"/>
          <w:color w:val="000000"/>
          <w:sz w:val="52"/>
          <w:szCs w:val="52"/>
        </w:rPr>
        <w:t>2022年度</w:t>
      </w:r>
      <w:r>
        <w:rPr>
          <w:rFonts w:hint="eastAsia" w:ascii="黑体" w:hAnsi="黑体" w:eastAsia="黑体" w:cs="黑体"/>
          <w:color w:val="000000"/>
          <w:sz w:val="52"/>
          <w:szCs w:val="52"/>
          <w:lang w:val="en-US" w:eastAsia="zh-CN"/>
        </w:rPr>
        <w:t>单位</w:t>
      </w:r>
      <w:r>
        <w:rPr>
          <w:rFonts w:hint="eastAsia" w:ascii="黑体" w:hAnsi="黑体" w:eastAsia="黑体" w:cs="黑体"/>
          <w:color w:val="000000"/>
          <w:sz w:val="52"/>
          <w:szCs w:val="52"/>
        </w:rPr>
        <w:t>预算</w:t>
      </w: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jc w:val="center"/>
        <w:rPr>
          <w:rFonts w:hint="eastAsia" w:ascii="Times New Roman" w:hAnsi="Times New Roman" w:eastAsia="黑体"/>
          <w:color w:val="000000"/>
          <w:sz w:val="52"/>
          <w:szCs w:val="52"/>
        </w:rPr>
      </w:pPr>
    </w:p>
    <w:p>
      <w:pPr>
        <w:adjustRightInd w:val="0"/>
        <w:snapToGrid w:val="0"/>
        <w:spacing w:line="360" w:lineRule="auto"/>
        <w:jc w:val="center"/>
        <w:rPr>
          <w:rFonts w:hint="eastAsia" w:ascii="Times New Roman" w:hAnsi="Times New Roman" w:eastAsia="黑体" w:cs="方正小标宋简体"/>
          <w:color w:val="000000"/>
          <w:sz w:val="44"/>
          <w:szCs w:val="44"/>
        </w:rPr>
      </w:pPr>
      <w:r>
        <w:rPr>
          <w:rFonts w:hint="eastAsia" w:ascii="Times New Roman" w:hAnsi="Times New Roman" w:eastAsia="黑体" w:cs="方正小标宋简体"/>
          <w:color w:val="000000"/>
          <w:sz w:val="32"/>
          <w:szCs w:val="32"/>
        </w:rPr>
        <w:t>二○二二年五月</w:t>
      </w:r>
    </w:p>
    <w:p>
      <w:pPr>
        <w:overflowPunct w:val="0"/>
        <w:adjustRightInd w:val="0"/>
        <w:snapToGrid w:val="0"/>
        <w:spacing w:line="550" w:lineRule="exact"/>
        <w:ind w:left="-142" w:right="51" w:firstLine="30" w:firstLineChars="7"/>
        <w:jc w:val="center"/>
        <w:rPr>
          <w:rFonts w:hint="eastAsia" w:ascii="Times New Roman" w:hAnsi="Times New Roman" w:eastAsia="方正小标宋简体" w:cs="仿宋_GB2312"/>
          <w:color w:val="000000"/>
          <w:sz w:val="44"/>
          <w:szCs w:val="44"/>
        </w:rPr>
      </w:pPr>
      <w:r>
        <w:rPr>
          <w:rFonts w:hint="eastAsia" w:ascii="Times New Roman" w:hAnsi="Times New Roman" w:eastAsia="方正小标宋简体" w:cs="仿宋_GB2312"/>
          <w:color w:val="000000"/>
          <w:sz w:val="44"/>
          <w:szCs w:val="44"/>
        </w:rPr>
        <w:br w:type="page"/>
      </w:r>
      <w:r>
        <w:rPr>
          <w:rFonts w:hint="eastAsia" w:ascii="Times New Roman" w:hAnsi="Times New Roman" w:eastAsia="方正小标宋简体" w:cs="仿宋_GB2312"/>
          <w:color w:val="000000"/>
          <w:sz w:val="44"/>
          <w:szCs w:val="44"/>
        </w:rPr>
        <w:t>目</w:t>
      </w:r>
      <w:r>
        <w:rPr>
          <w:rFonts w:hint="eastAsia" w:ascii="Times New Roman" w:hAnsi="Times New Roman" w:eastAsia="方正小标宋简体" w:cs="仿宋_GB2312"/>
          <w:color w:val="000000"/>
          <w:sz w:val="44"/>
          <w:szCs w:val="44"/>
          <w:lang w:val="en-US" w:eastAsia="zh-CN"/>
        </w:rPr>
        <w:t xml:space="preserve"> </w:t>
      </w:r>
      <w:r>
        <w:rPr>
          <w:rFonts w:hint="eastAsia" w:ascii="Times New Roman" w:hAnsi="Times New Roman" w:eastAsia="方正小标宋简体" w:cs="仿宋_GB2312"/>
          <w:color w:val="000000"/>
          <w:spacing w:val="2"/>
          <w:sz w:val="44"/>
          <w:szCs w:val="44"/>
        </w:rPr>
        <w:t xml:space="preserve"> </w:t>
      </w:r>
      <w:r>
        <w:rPr>
          <w:rFonts w:hint="eastAsia" w:ascii="Times New Roman" w:hAnsi="Times New Roman" w:eastAsia="方正小标宋简体" w:cs="仿宋_GB2312"/>
          <w:color w:val="000000"/>
          <w:sz w:val="44"/>
          <w:szCs w:val="44"/>
        </w:rPr>
        <w:t>录</w:t>
      </w:r>
    </w:p>
    <w:p>
      <w:pPr>
        <w:overflowPunct w:val="0"/>
        <w:adjustRightInd w:val="0"/>
        <w:snapToGrid w:val="0"/>
        <w:spacing w:line="550" w:lineRule="exact"/>
        <w:ind w:right="3569" w:firstLine="643" w:firstLineChars="200"/>
        <w:rPr>
          <w:rFonts w:hint="eastAsia" w:ascii="Times New Roman" w:hAnsi="Times New Roman" w:eastAsia="仿宋_GB2312" w:cs="仿宋_GB2312"/>
          <w:b/>
          <w:bCs/>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550" w:lineRule="exact"/>
        <w:ind w:right="3569" w:firstLine="640" w:firstLineChars="200"/>
        <w:textAlignment w:val="auto"/>
        <w:rPr>
          <w:rFonts w:hint="eastAsia" w:ascii="黑体" w:hAnsi="黑体" w:eastAsia="黑体" w:cs="黑体"/>
          <w:b w:val="0"/>
          <w:bCs w:val="0"/>
          <w:w w:val="99"/>
          <w:sz w:val="32"/>
          <w:szCs w:val="32"/>
        </w:rPr>
      </w:pPr>
      <w:r>
        <w:rPr>
          <w:rFonts w:hint="eastAsia" w:ascii="黑体" w:hAnsi="黑体" w:eastAsia="黑体" w:cs="黑体"/>
          <w:b w:val="0"/>
          <w:bCs w:val="0"/>
          <w:sz w:val="32"/>
          <w:szCs w:val="32"/>
        </w:rPr>
        <w:t>第一部分  概况</w:t>
      </w:r>
      <w:r>
        <w:rPr>
          <w:rFonts w:hint="eastAsia" w:ascii="黑体" w:hAnsi="黑体" w:eastAsia="黑体" w:cs="黑体"/>
          <w:b w:val="0"/>
          <w:bCs w:val="0"/>
          <w:w w:val="99"/>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right="3569"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一、主要职能</w:t>
      </w:r>
    </w:p>
    <w:p>
      <w:pPr>
        <w:keepNext w:val="0"/>
        <w:keepLines w:val="0"/>
        <w:pageBreakBefore w:val="0"/>
        <w:widowControl w:val="0"/>
        <w:kinsoku/>
        <w:wordWrap/>
        <w:overflowPunct w:val="0"/>
        <w:topLinePunct w:val="0"/>
        <w:autoSpaceDE/>
        <w:autoSpaceDN/>
        <w:bidi w:val="0"/>
        <w:adjustRightInd w:val="0"/>
        <w:snapToGrid w:val="0"/>
        <w:spacing w:line="550" w:lineRule="exact"/>
        <w:ind w:right="3569"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bookmarkStart w:id="0" w:name="_GoBack"/>
      <w:bookmarkEnd w:id="0"/>
      <w:r>
        <w:rPr>
          <w:rFonts w:hint="eastAsia" w:ascii="Times New Roman" w:hAnsi="Times New Roman" w:eastAsia="仿宋_GB2312" w:cs="仿宋_GB2312"/>
          <w:sz w:val="32"/>
          <w:szCs w:val="32"/>
        </w:rPr>
        <w:t>预算单位构成</w:t>
      </w:r>
    </w:p>
    <w:p>
      <w:pPr>
        <w:keepNext w:val="0"/>
        <w:keepLines w:val="0"/>
        <w:pageBreakBefore w:val="0"/>
        <w:widowControl w:val="0"/>
        <w:kinsoku/>
        <w:wordWrap/>
        <w:overflowPunct w:val="0"/>
        <w:topLinePunct w:val="0"/>
        <w:autoSpaceDE/>
        <w:autoSpaceDN/>
        <w:bidi w:val="0"/>
        <w:adjustRightInd w:val="0"/>
        <w:snapToGrid w:val="0"/>
        <w:spacing w:line="550" w:lineRule="exact"/>
        <w:ind w:right="521"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第二部分 </w:t>
      </w:r>
      <w:r>
        <w:rPr>
          <w:rFonts w:hint="eastAsia" w:ascii="黑体" w:hAnsi="黑体" w:eastAsia="黑体" w:cs="黑体"/>
          <w:b w:val="0"/>
          <w:bCs w:val="0"/>
          <w:sz w:val="32"/>
          <w:szCs w:val="32"/>
          <w:lang w:eastAsia="zh-CN"/>
        </w:rPr>
        <w:t>焦作市</w:t>
      </w:r>
      <w:r>
        <w:rPr>
          <w:rFonts w:hint="eastAsia" w:ascii="黑体" w:hAnsi="黑体" w:eastAsia="黑体" w:cs="黑体"/>
          <w:b w:val="0"/>
          <w:bCs w:val="0"/>
          <w:sz w:val="32"/>
          <w:szCs w:val="32"/>
          <w:lang w:val="en-US" w:eastAsia="zh-CN"/>
        </w:rPr>
        <w:t>司法局</w:t>
      </w:r>
      <w:r>
        <w:rPr>
          <w:rFonts w:hint="eastAsia" w:ascii="黑体" w:hAnsi="黑体" w:eastAsia="黑体" w:cs="黑体"/>
          <w:b w:val="0"/>
          <w:bCs w:val="0"/>
          <w:sz w:val="32"/>
          <w:szCs w:val="32"/>
        </w:rPr>
        <w:t>2022年预算情况说明</w:t>
      </w:r>
    </w:p>
    <w:p>
      <w:pPr>
        <w:keepNext w:val="0"/>
        <w:keepLines w:val="0"/>
        <w:pageBreakBefore w:val="0"/>
        <w:widowControl w:val="0"/>
        <w:kinsoku/>
        <w:wordWrap/>
        <w:overflowPunct w:val="0"/>
        <w:topLinePunct w:val="0"/>
        <w:autoSpaceDE/>
        <w:autoSpaceDN/>
        <w:bidi w:val="0"/>
        <w:adjustRightInd w:val="0"/>
        <w:snapToGrid w:val="0"/>
        <w:spacing w:line="550" w:lineRule="exact"/>
        <w:ind w:right="521"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第三部分 名词解释</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pacing w:val="-32"/>
          <w:sz w:val="32"/>
          <w:szCs w:val="32"/>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CN"/>
        </w:rPr>
        <w:t>焦作市</w:t>
      </w:r>
      <w:r>
        <w:rPr>
          <w:rFonts w:hint="eastAsia" w:ascii="Times New Roman" w:hAnsi="Times New Roman" w:eastAsia="仿宋_GB2312" w:cs="仿宋_GB2312"/>
          <w:sz w:val="32"/>
          <w:szCs w:val="32"/>
          <w:lang w:val="en-US" w:eastAsia="zh-CN"/>
        </w:rPr>
        <w:t>司法局</w:t>
      </w:r>
      <w:r>
        <w:rPr>
          <w:rFonts w:hint="eastAsia" w:ascii="Times New Roman" w:hAnsi="Times New Roman" w:eastAsia="仿宋_GB2312" w:cs="仿宋_GB2312"/>
          <w:sz w:val="32"/>
          <w:szCs w:val="32"/>
        </w:rPr>
        <w:t>2022年度预算表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eastAsia="zh-CN"/>
        </w:rPr>
        <w:t>单位</w:t>
      </w:r>
      <w:r>
        <w:rPr>
          <w:rFonts w:hint="eastAsia" w:ascii="Times New Roman" w:hAnsi="Times New Roman" w:eastAsia="仿宋_GB2312" w:cs="仿宋_GB2312"/>
          <w:sz w:val="32"/>
          <w:szCs w:val="32"/>
        </w:rPr>
        <w:t>收支预算表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default" w:ascii="Times New Roman" w:hAnsi="Times New Roman" w:eastAsia="仿宋_GB2312" w:cs="仿宋_GB2312"/>
          <w:sz w:val="32"/>
          <w:szCs w:val="32"/>
          <w:lang w:val="en-US"/>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val="en-US" w:eastAsia="zh-CN"/>
        </w:rPr>
        <w:t>单位收入预算表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w:t>
      </w:r>
      <w:r>
        <w:rPr>
          <w:rFonts w:hint="eastAsia" w:ascii="Times New Roman" w:hAnsi="Times New Roman" w:eastAsia="仿宋_GB2312" w:cs="仿宋_GB2312"/>
          <w:sz w:val="32"/>
          <w:szCs w:val="32"/>
          <w:lang w:val="en-US" w:eastAsia="zh-CN"/>
        </w:rPr>
        <w:t>单位</w:t>
      </w:r>
      <w:r>
        <w:rPr>
          <w:rFonts w:hint="eastAsia" w:ascii="Times New Roman" w:hAnsi="Times New Roman" w:eastAsia="仿宋_GB2312" w:cs="仿宋_GB2312"/>
          <w:sz w:val="32"/>
          <w:szCs w:val="32"/>
        </w:rPr>
        <w:t>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四、财政拨款收支预算表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五、一般公共预算支出预算表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六、一般公共预算基本支出预算表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七、一般公共预算基本支出明细表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八、支出经济分类汇总表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九、一般公共预算“三公”经费预算表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十、政府性基金支出预算表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十一、国有资本经营支出预算表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十二、项目支出预算表</w:t>
      </w:r>
    </w:p>
    <w:p>
      <w:pPr>
        <w:keepNext w:val="0"/>
        <w:keepLines w:val="0"/>
        <w:pageBreakBefore w:val="0"/>
        <w:widowControl w:val="0"/>
        <w:kinsoku/>
        <w:wordWrap/>
        <w:overflowPunct w:val="0"/>
        <w:topLinePunct w:val="0"/>
        <w:autoSpaceDE/>
        <w:autoSpaceDN/>
        <w:bidi w:val="0"/>
        <w:adjustRightInd w:val="0"/>
        <w:snapToGrid w:val="0"/>
        <w:spacing w:line="550" w:lineRule="exact"/>
        <w:ind w:right="51" w:firstLine="960" w:firstLineChars="3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十三、行政（事业）单位机构运行经费</w:t>
      </w:r>
    </w:p>
    <w:p>
      <w:pPr>
        <w:keepNext w:val="0"/>
        <w:keepLines w:val="0"/>
        <w:pageBreakBefore w:val="0"/>
        <w:widowControl w:val="0"/>
        <w:kinsoku/>
        <w:wordWrap/>
        <w:overflowPunct w:val="0"/>
        <w:topLinePunct w:val="0"/>
        <w:autoSpaceDE/>
        <w:autoSpaceDN/>
        <w:bidi w:val="0"/>
        <w:adjustRightInd w:val="0"/>
        <w:snapToGrid w:val="0"/>
        <w:spacing w:line="550" w:lineRule="exact"/>
        <w:ind w:firstLine="940" w:firstLineChars="294"/>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单位</w:t>
      </w:r>
      <w:r>
        <w:rPr>
          <w:rFonts w:hint="eastAsia" w:ascii="Times New Roman" w:hAnsi="Times New Roman" w:eastAsia="仿宋_GB2312" w:cs="仿宋_GB2312"/>
          <w:sz w:val="32"/>
          <w:szCs w:val="32"/>
        </w:rPr>
        <w:t>预算项目绩效目标表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940" w:firstLineChars="294"/>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50" w:lineRule="exact"/>
        <w:ind w:firstLine="940" w:firstLineChars="294"/>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50" w:lineRule="exact"/>
        <w:ind w:firstLine="0" w:firstLineChars="0"/>
        <w:jc w:val="center"/>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50" w:lineRule="exact"/>
        <w:ind w:firstLine="0" w:firstLineChars="0"/>
        <w:jc w:val="center"/>
        <w:textAlignment w:val="auto"/>
        <w:rPr>
          <w:rFonts w:hint="eastAsia" w:ascii="Times New Roman" w:hAnsi="Times New Roman" w:eastAsia="黑体" w:cs="仿宋_GB2312"/>
          <w:bCs/>
          <w:color w:val="000000"/>
          <w:sz w:val="36"/>
          <w:szCs w:val="36"/>
        </w:rPr>
      </w:pPr>
      <w:r>
        <w:rPr>
          <w:rFonts w:hint="eastAsia" w:ascii="Times New Roman" w:hAnsi="Times New Roman" w:eastAsia="黑体" w:cs="仿宋_GB2312"/>
          <w:bCs/>
          <w:color w:val="000000"/>
          <w:sz w:val="36"/>
          <w:szCs w:val="36"/>
        </w:rPr>
        <w:t>第一部分</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jc w:val="center"/>
        <w:textAlignment w:val="auto"/>
        <w:rPr>
          <w:rFonts w:hint="eastAsia" w:ascii="Times New Roman" w:hAnsi="Times New Roman" w:eastAsia="黑体" w:cs="仿宋_GB2312"/>
          <w:color w:val="000000"/>
          <w:sz w:val="36"/>
          <w:szCs w:val="36"/>
        </w:rPr>
      </w:pPr>
      <w:r>
        <w:rPr>
          <w:rFonts w:hint="eastAsia" w:ascii="Times New Roman" w:hAnsi="Times New Roman" w:eastAsia="黑体" w:cs="仿宋_GB2312"/>
          <w:bCs/>
          <w:color w:val="000000"/>
          <w:sz w:val="36"/>
          <w:szCs w:val="36"/>
          <w:lang w:eastAsia="zh-CN"/>
        </w:rPr>
        <w:t>焦作市</w:t>
      </w:r>
      <w:r>
        <w:rPr>
          <w:rFonts w:hint="eastAsia" w:ascii="Times New Roman" w:hAnsi="Times New Roman" w:eastAsia="黑体" w:cs="仿宋_GB2312"/>
          <w:bCs/>
          <w:color w:val="000000"/>
          <w:sz w:val="36"/>
          <w:szCs w:val="36"/>
          <w:lang w:val="en-US" w:eastAsia="zh-CN"/>
        </w:rPr>
        <w:t>司法局单位</w:t>
      </w:r>
      <w:r>
        <w:rPr>
          <w:rFonts w:hint="eastAsia" w:ascii="Times New Roman" w:hAnsi="Times New Roman" w:eastAsia="黑体" w:cs="仿宋_GB2312"/>
          <w:bCs/>
          <w:color w:val="000000"/>
          <w:sz w:val="36"/>
          <w:szCs w:val="36"/>
        </w:rPr>
        <w:t>概况</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jc w:val="center"/>
        <w:textAlignment w:val="auto"/>
        <w:rPr>
          <w:rFonts w:hint="eastAsia" w:ascii="Times New Roman" w:hAnsi="Times New Roman" w:eastAsia="仿宋_GB2312" w:cs="仿宋_GB2312"/>
          <w:color w:val="000000"/>
          <w:sz w:val="32"/>
          <w:szCs w:val="32"/>
        </w:rPr>
      </w:pPr>
    </w:p>
    <w:p>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4" w:lineRule="exact"/>
        <w:ind w:left="0" w:leftChars="0" w:right="0" w:firstLine="640" w:firstLineChars="200"/>
        <w:textAlignment w:val="auto"/>
        <w:outlineLvl w:val="0"/>
        <w:rPr>
          <w:rFonts w:hint="eastAsia" w:ascii="Times New Roman" w:hAnsi="Times New Roman" w:eastAsia="黑体" w:cs="仿宋_GB2312"/>
          <w:color w:val="000000"/>
          <w:sz w:val="32"/>
          <w:szCs w:val="32"/>
        </w:rPr>
      </w:pPr>
      <w:r>
        <w:rPr>
          <w:rFonts w:hint="eastAsia" w:ascii="Times New Roman" w:hAnsi="Times New Roman" w:eastAsia="黑体" w:cs="仿宋_GB2312"/>
          <w:color w:val="000000"/>
          <w:sz w:val="32"/>
          <w:szCs w:val="32"/>
        </w:rPr>
        <w:t>主要职能</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楷体_GB2312" w:cs="仿宋_GB2312"/>
          <w:color w:val="000000"/>
          <w:sz w:val="32"/>
          <w:szCs w:val="32"/>
        </w:rPr>
        <w:t>（一）机构设置情况</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焦作市司法局202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年度预算为局机关本级预算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含焦作市</w:t>
      </w:r>
      <w:r>
        <w:rPr>
          <w:rFonts w:hint="eastAsia" w:ascii="仿宋_GB2312" w:hAnsi="仿宋_GB2312" w:eastAsia="仿宋_GB2312" w:cs="仿宋_GB2312"/>
          <w:color w:val="000000"/>
          <w:sz w:val="32"/>
          <w:szCs w:val="32"/>
        </w:rPr>
        <w:t>示范区司法局</w:t>
      </w:r>
      <w:r>
        <w:rPr>
          <w:rFonts w:hint="eastAsia" w:ascii="仿宋_GB2312" w:hAnsi="仿宋_GB2312" w:eastAsia="仿宋_GB2312" w:cs="仿宋_GB2312"/>
          <w:color w:val="000000"/>
          <w:sz w:val="32"/>
          <w:szCs w:val="32"/>
          <w:lang w:val="en-US" w:eastAsia="zh-CN"/>
        </w:rPr>
        <w:t>和焦作市法律援助中心</w:t>
      </w:r>
      <w:r>
        <w:rPr>
          <w:rFonts w:hint="eastAsia" w:ascii="仿宋_GB2312" w:hAnsi="仿宋_GB2312" w:eastAsia="仿宋_GB2312" w:cs="仿宋_GB2312"/>
          <w:color w:val="000000"/>
          <w:sz w:val="32"/>
          <w:szCs w:val="32"/>
        </w:rPr>
        <w:t xml:space="preserve">）。局机关内设机构24 个，核定行政编制 </w:t>
      </w:r>
      <w:r>
        <w:rPr>
          <w:rFonts w:hint="eastAsia" w:ascii="仿宋_GB2312" w:hAnsi="仿宋_GB2312" w:eastAsia="仿宋_GB2312" w:cs="仿宋_GB2312"/>
          <w:color w:val="000000"/>
          <w:sz w:val="32"/>
          <w:szCs w:val="32"/>
          <w:lang w:val="en-US" w:eastAsia="zh-CN"/>
        </w:rPr>
        <w:t>82</w:t>
      </w:r>
      <w:r>
        <w:rPr>
          <w:rFonts w:hint="eastAsia" w:ascii="仿宋_GB2312" w:hAnsi="仿宋_GB2312" w:eastAsia="仿宋_GB2312" w:cs="仿宋_GB2312"/>
          <w:color w:val="000000"/>
          <w:sz w:val="32"/>
          <w:szCs w:val="32"/>
        </w:rPr>
        <w:t xml:space="preserve"> 个，实有人员 </w:t>
      </w:r>
      <w:r>
        <w:rPr>
          <w:rFonts w:hint="eastAsia" w:ascii="仿宋_GB2312" w:hAnsi="仿宋_GB2312" w:eastAsia="仿宋_GB2312" w:cs="仿宋_GB2312"/>
          <w:color w:val="000000"/>
          <w:sz w:val="32"/>
          <w:szCs w:val="32"/>
          <w:lang w:val="en-US" w:eastAsia="zh-CN"/>
        </w:rPr>
        <w:t>80</w:t>
      </w:r>
      <w:r>
        <w:rPr>
          <w:rFonts w:hint="eastAsia" w:ascii="仿宋_GB2312" w:hAnsi="仿宋_GB2312" w:eastAsia="仿宋_GB2312" w:cs="仿宋_GB2312"/>
          <w:color w:val="000000"/>
          <w:sz w:val="32"/>
          <w:szCs w:val="32"/>
        </w:rPr>
        <w:t>，工勤人员 2 人；法律援助中心核定编制 5 个，实有事业编 3 个。</w:t>
      </w:r>
    </w:p>
    <w:p>
      <w:pPr>
        <w:numPr>
          <w:ilvl w:val="0"/>
          <w:numId w:val="2"/>
        </w:numPr>
        <w:kinsoku w:val="0"/>
        <w:overflowPunct w:val="0"/>
        <w:adjustRightInd w:val="0"/>
        <w:snapToGrid w:val="0"/>
        <w:spacing w:line="580" w:lineRule="exact"/>
        <w:ind w:right="3569" w:firstLine="640" w:firstLineChars="200"/>
        <w:jc w:val="left"/>
        <w:rPr>
          <w:rFonts w:hint="eastAsia" w:ascii="楷体" w:hAnsi="楷体" w:eastAsia="楷体" w:cs="楷体"/>
          <w:color w:val="000000"/>
          <w:sz w:val="32"/>
          <w:szCs w:val="32"/>
        </w:rPr>
      </w:pPr>
      <w:r>
        <w:rPr>
          <w:rFonts w:hint="eastAsia" w:ascii="楷体" w:hAnsi="楷体" w:eastAsia="楷体" w:cs="楷体"/>
          <w:sz w:val="32"/>
          <w:szCs w:val="32"/>
          <w:lang w:val="en-US" w:eastAsia="zh-CN"/>
        </w:rPr>
        <w:t>焦作市司法局</w:t>
      </w:r>
      <w:r>
        <w:rPr>
          <w:rFonts w:hint="eastAsia" w:ascii="楷体" w:hAnsi="楷体" w:eastAsia="楷体" w:cs="楷体"/>
          <w:color w:val="000000"/>
          <w:sz w:val="32"/>
          <w:szCs w:val="32"/>
        </w:rPr>
        <w:t>职责</w:t>
      </w:r>
    </w:p>
    <w:p>
      <w:pPr>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贯彻落实国家、省司法行政工作方针、政策,拟订全市司法行政工作的规范性文件，制定全市司法行政工作的发展规划并组织实施。</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2、负责全市监狱管理工作, 管理和监督全市监狱刑罚执行、改造罪犯、重要设施建设等工作。</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3、负责全市司法行政系统强制隔离戒毒工作，监督全市司法行政系统强隔离戒毒措施执行工作。</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4、拟订全市法治宣传教育和依法治理工作规划并组织实施，指导全市法治宣传教育和依法治理工作。</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5、监督指导全市律师工作、公证工作并承担相应责任。</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6、监督管理全市法律援助工作。</w:t>
      </w:r>
    </w:p>
    <w:p>
      <w:pPr>
        <w:ind w:firstLine="1280" w:firstLineChars="4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7、监督指导全市司法所建设和人民调解、基层法律服务工作。</w:t>
      </w:r>
    </w:p>
    <w:p>
      <w:pPr>
        <w:ind w:firstLine="960" w:firstLineChars="3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8、监督管理全市社区矫正和帮教安置工作，指导开展社区矫正社会工作和志愿服务。</w:t>
      </w:r>
    </w:p>
    <w:p>
      <w:pPr>
        <w:ind w:firstLine="960" w:firstLineChars="3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9、组织实施全市国家司法考试工作。</w:t>
      </w:r>
    </w:p>
    <w:p>
      <w:pPr>
        <w:ind w:firstLine="960" w:firstLineChars="3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10、主管全市司法鉴定人和司法鉴定机构的登记管理工 作。</w:t>
      </w:r>
    </w:p>
    <w:p>
      <w:pPr>
        <w:ind w:firstLine="960" w:firstLineChars="3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11、负责全市司法行政系统枪支、弹药、服装和警车管理工作，指导监督全市司法行政系统计划财务工作，指导、监督直属单位的内部审计工作。</w:t>
      </w:r>
    </w:p>
    <w:p>
      <w:pPr>
        <w:ind w:firstLine="960" w:firstLineChars="3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12、指导监督全市司法行政队伍建设和思想作风、工作作风建设,负责全市司法行政系统警务管理和警务督察工作, 协助县（市）区党委管理司法局领导干部。</w:t>
      </w:r>
    </w:p>
    <w:p>
      <w:pPr>
        <w:ind w:firstLine="960" w:firstLineChars="3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13、承办法律、法规和规章规定的行政审批事项,其他事  项按权限规定办理。</w:t>
      </w:r>
    </w:p>
    <w:p>
      <w:pPr>
        <w:ind w:firstLine="960" w:firstLineChars="3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14、承办市政府交办的其他事项。</w:t>
      </w:r>
    </w:p>
    <w:p>
      <w:pPr>
        <w:kinsoku w:val="0"/>
        <w:overflowPunct w:val="0"/>
        <w:adjustRightInd w:val="0"/>
        <w:snapToGrid w:val="0"/>
        <w:spacing w:line="580" w:lineRule="exact"/>
        <w:ind w:right="3569" w:firstLine="640" w:firstLineChars="200"/>
        <w:jc w:val="left"/>
        <w:outlineLvl w:val="0"/>
        <w:rPr>
          <w:rFonts w:hint="eastAsia" w:ascii="黑体" w:hAnsi="仿宋_GB2312" w:eastAsia="黑体" w:cs="仿宋_GB2312"/>
          <w:color w:val="000000"/>
          <w:sz w:val="32"/>
          <w:szCs w:val="32"/>
        </w:rPr>
      </w:pPr>
      <w:r>
        <w:rPr>
          <w:rFonts w:hint="eastAsia" w:ascii="黑体" w:hAnsi="仿宋_GB2312" w:eastAsia="黑体" w:cs="仿宋_GB2312"/>
          <w:color w:val="000000"/>
          <w:sz w:val="32"/>
          <w:szCs w:val="32"/>
        </w:rPr>
        <w:t>二、</w:t>
      </w:r>
      <w:r>
        <w:rPr>
          <w:rFonts w:hint="eastAsia" w:ascii="黑体" w:hAnsi="仿宋_GB2312" w:eastAsia="黑体" w:cs="仿宋_GB2312"/>
          <w:color w:val="000000"/>
          <w:sz w:val="32"/>
          <w:szCs w:val="32"/>
          <w:lang w:val="en-US" w:eastAsia="zh-CN"/>
        </w:rPr>
        <w:t>焦作市司法局</w:t>
      </w:r>
      <w:r>
        <w:rPr>
          <w:rFonts w:hint="eastAsia" w:ascii="黑体" w:hAnsi="仿宋_GB2312" w:eastAsia="黑体" w:cs="仿宋_GB2312"/>
          <w:color w:val="000000"/>
          <w:sz w:val="32"/>
          <w:szCs w:val="32"/>
        </w:rPr>
        <w:t>预算单位成</w:t>
      </w:r>
    </w:p>
    <w:p>
      <w:pPr>
        <w:widowControl/>
        <w:shd w:val="clear" w:color="auto" w:fill="FFFFFF"/>
        <w:spacing w:line="580" w:lineRule="exact"/>
        <w:ind w:firstLine="828" w:firstLineChars="259"/>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焦作市司法局 2022年度预算为局机关本级预算（含焦作市示范区司法分局和焦作市法律援助中心）。</w:t>
      </w:r>
    </w:p>
    <w:p>
      <w:pPr>
        <w:ind w:firstLine="640" w:firstLineChars="200"/>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widowControl/>
        <w:shd w:val="clear" w:color="auto" w:fill="FFFFFF"/>
        <w:spacing w:line="580" w:lineRule="exact"/>
        <w:jc w:val="center"/>
        <w:rPr>
          <w:rFonts w:hint="eastAsia" w:ascii="黑体" w:hAnsi="仿宋_GB2312" w:eastAsia="黑体" w:cs="仿宋_GB2312"/>
          <w:bCs/>
          <w:color w:val="000000"/>
          <w:sz w:val="36"/>
          <w:szCs w:val="36"/>
        </w:rPr>
      </w:pPr>
    </w:p>
    <w:p>
      <w:pPr>
        <w:widowControl/>
        <w:shd w:val="clear" w:color="auto" w:fill="FFFFFF"/>
        <w:spacing w:line="580" w:lineRule="exact"/>
        <w:jc w:val="center"/>
        <w:rPr>
          <w:rFonts w:hint="eastAsia" w:ascii="黑体" w:hAnsi="仿宋_GB2312" w:eastAsia="黑体" w:cs="仿宋_GB2312"/>
          <w:bCs/>
          <w:color w:val="000000"/>
          <w:sz w:val="36"/>
          <w:szCs w:val="36"/>
        </w:rPr>
      </w:pPr>
      <w:r>
        <w:rPr>
          <w:rFonts w:hint="eastAsia" w:ascii="黑体" w:hAnsi="仿宋_GB2312" w:eastAsia="黑体" w:cs="仿宋_GB2312"/>
          <w:bCs/>
          <w:color w:val="000000"/>
          <w:sz w:val="36"/>
          <w:szCs w:val="36"/>
        </w:rPr>
        <w:t>第二部分</w:t>
      </w:r>
    </w:p>
    <w:p>
      <w:pPr>
        <w:widowControl/>
        <w:shd w:val="clear" w:color="auto" w:fill="FFFFFF"/>
        <w:spacing w:line="580" w:lineRule="exact"/>
        <w:jc w:val="center"/>
        <w:rPr>
          <w:rFonts w:hint="eastAsia" w:ascii="黑体" w:hAnsi="仿宋_GB2312" w:eastAsia="黑体" w:cs="仿宋_GB2312"/>
          <w:bCs/>
          <w:color w:val="000000"/>
          <w:sz w:val="36"/>
          <w:szCs w:val="36"/>
        </w:rPr>
      </w:pPr>
      <w:r>
        <w:rPr>
          <w:rFonts w:hint="eastAsia" w:ascii="黑体" w:hAnsi="仿宋_GB2312" w:eastAsia="黑体" w:cs="仿宋_GB2312"/>
          <w:bCs/>
          <w:color w:val="000000"/>
          <w:sz w:val="36"/>
          <w:szCs w:val="36"/>
          <w:lang w:val="en-US" w:eastAsia="zh-CN"/>
        </w:rPr>
        <w:t>焦作市司法局</w:t>
      </w:r>
      <w:r>
        <w:rPr>
          <w:rFonts w:hint="eastAsia" w:ascii="黑体" w:hAnsi="仿宋_GB2312" w:eastAsia="黑体" w:cs="仿宋_GB2312"/>
          <w:bCs/>
          <w:color w:val="000000"/>
          <w:sz w:val="36"/>
          <w:szCs w:val="36"/>
        </w:rPr>
        <w:t>202</w:t>
      </w:r>
      <w:r>
        <w:rPr>
          <w:rFonts w:hint="eastAsia" w:ascii="黑体" w:hAnsi="仿宋_GB2312" w:eastAsia="黑体" w:cs="仿宋_GB2312"/>
          <w:bCs/>
          <w:color w:val="000000"/>
          <w:sz w:val="36"/>
          <w:szCs w:val="36"/>
          <w:lang w:val="en-US" w:eastAsia="zh-CN"/>
        </w:rPr>
        <w:t>2</w:t>
      </w:r>
      <w:r>
        <w:rPr>
          <w:rFonts w:hint="eastAsia" w:ascii="黑体" w:hAnsi="仿宋_GB2312" w:eastAsia="黑体" w:cs="仿宋_GB2312"/>
          <w:bCs/>
          <w:color w:val="000000"/>
          <w:sz w:val="36"/>
          <w:szCs w:val="36"/>
        </w:rPr>
        <w:t>年度预算情况说明</w:t>
      </w:r>
    </w:p>
    <w:p>
      <w:pPr>
        <w:adjustRightInd w:val="0"/>
        <w:snapToGrid w:val="0"/>
        <w:spacing w:line="580" w:lineRule="exact"/>
        <w:ind w:firstLine="640" w:firstLineChars="200"/>
        <w:outlineLvl w:val="0"/>
        <w:rPr>
          <w:rFonts w:hint="eastAsia" w:ascii="仿宋_GB2312" w:hAnsi="仿宋_GB2312" w:eastAsia="仿宋_GB2312" w:cs="仿宋_GB2312"/>
          <w:color w:val="000000"/>
          <w:sz w:val="32"/>
          <w:szCs w:val="32"/>
        </w:rPr>
      </w:pPr>
    </w:p>
    <w:p>
      <w:pPr>
        <w:numPr>
          <w:ilvl w:val="0"/>
          <w:numId w:val="3"/>
        </w:numPr>
        <w:adjustRightInd w:val="0"/>
        <w:snapToGrid w:val="0"/>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收入支出预算总体情况说明</w:t>
      </w:r>
    </w:p>
    <w:p>
      <w:pPr>
        <w:adjustRightInd w:val="0"/>
        <w:snapToGrid w:val="0"/>
        <w:spacing w:line="580" w:lineRule="exact"/>
        <w:ind w:firstLine="640" w:firstLineChars="200"/>
        <w:rPr>
          <w:rFonts w:hint="eastAsia" w:ascii="Arial" w:hAnsi="Arial" w:eastAsia="仿宋_GB2312" w:cs="Arial"/>
          <w:color w:val="000000"/>
          <w:sz w:val="32"/>
          <w:szCs w:val="32"/>
        </w:rPr>
      </w:pPr>
      <w:r>
        <w:rPr>
          <w:rFonts w:hint="eastAsia" w:ascii="仿宋_GB2312" w:hAnsi="仿宋_GB2312" w:eastAsia="仿宋_GB2312" w:cs="仿宋_GB2312"/>
          <w:color w:val="000000"/>
          <w:sz w:val="32"/>
          <w:szCs w:val="32"/>
          <w:lang w:val="en-US" w:eastAsia="zh-CN"/>
        </w:rPr>
        <w:t>焦作市司法局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年收入总计</w:t>
      </w:r>
      <w:r>
        <w:rPr>
          <w:rFonts w:hint="eastAsia" w:ascii="Arial" w:hAnsi="Arial" w:eastAsia="仿宋_GB2312" w:cs="Arial"/>
          <w:color w:val="000000"/>
          <w:sz w:val="32"/>
          <w:szCs w:val="32"/>
          <w:lang w:val="en-US" w:eastAsia="zh-CN"/>
        </w:rPr>
        <w:t>2583.13</w:t>
      </w:r>
      <w:r>
        <w:rPr>
          <w:rFonts w:hint="eastAsia" w:ascii="仿宋_GB2312" w:hAnsi="仿宋_GB2312" w:eastAsia="仿宋_GB2312" w:cs="仿宋_GB2312"/>
          <w:color w:val="000000"/>
          <w:sz w:val="32"/>
          <w:szCs w:val="32"/>
        </w:rPr>
        <w:t>万元，支出总计</w:t>
      </w:r>
      <w:r>
        <w:rPr>
          <w:rFonts w:hint="eastAsia" w:ascii="Arial" w:hAnsi="Arial" w:eastAsia="仿宋_GB2312" w:cs="Arial"/>
          <w:color w:val="000000"/>
          <w:sz w:val="32"/>
          <w:szCs w:val="32"/>
          <w:lang w:val="en-US" w:eastAsia="zh-CN"/>
        </w:rPr>
        <w:t>2583.13</w:t>
      </w:r>
      <w:r>
        <w:rPr>
          <w:rFonts w:hint="eastAsia" w:ascii="仿宋_GB2312" w:hAnsi="仿宋_GB2312" w:eastAsia="仿宋_GB2312" w:cs="仿宋_GB2312"/>
          <w:color w:val="000000"/>
          <w:sz w:val="32"/>
          <w:szCs w:val="32"/>
        </w:rPr>
        <w:t>万元，与202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年相比，收、支总计各增加</w:t>
      </w:r>
      <w:r>
        <w:rPr>
          <w:rFonts w:hint="eastAsia" w:ascii="Arial" w:hAnsi="Arial" w:eastAsia="仿宋_GB2312" w:cs="Arial"/>
          <w:color w:val="000000"/>
          <w:sz w:val="32"/>
          <w:szCs w:val="32"/>
          <w:lang w:val="en-US" w:eastAsia="zh-CN"/>
        </w:rPr>
        <w:t>248.51</w:t>
      </w:r>
      <w:r>
        <w:rPr>
          <w:rFonts w:hint="eastAsia" w:ascii="仿宋_GB2312" w:hAnsi="仿宋_GB2312" w:eastAsia="仿宋_GB2312" w:cs="仿宋_GB2312"/>
          <w:color w:val="000000"/>
          <w:sz w:val="32"/>
          <w:szCs w:val="32"/>
        </w:rPr>
        <w:t>万元，增长</w:t>
      </w:r>
      <w:r>
        <w:rPr>
          <w:rFonts w:hint="eastAsia" w:ascii="Arial" w:hAnsi="Arial" w:eastAsia="仿宋_GB2312" w:cs="Arial"/>
          <w:color w:val="000000"/>
          <w:sz w:val="32"/>
          <w:szCs w:val="32"/>
          <w:lang w:val="en-US" w:eastAsia="zh-CN"/>
        </w:rPr>
        <w:t>10.64</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val="en-US" w:eastAsia="zh-CN"/>
        </w:rPr>
        <w:t>项目经费收支、</w:t>
      </w:r>
      <w:r>
        <w:rPr>
          <w:rFonts w:hint="eastAsia" w:ascii="仿宋_GB2312" w:hAnsi="仿宋_GB2312" w:eastAsia="仿宋_GB2312" w:cs="仿宋_GB2312"/>
          <w:color w:val="000000"/>
          <w:sz w:val="32"/>
          <w:szCs w:val="32"/>
        </w:rPr>
        <w:t>人员经费收支的增加</w:t>
      </w:r>
      <w:r>
        <w:rPr>
          <w:rFonts w:hint="eastAsia" w:ascii="Arial" w:hAnsi="Arial" w:eastAsia="仿宋_GB2312" w:cs="Arial"/>
          <w:color w:val="000000"/>
          <w:sz w:val="32"/>
          <w:szCs w:val="32"/>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rPr>
          <w:rFonts w:hint="eastAsia" w:ascii="Times New Roman" w:hAnsi="Times New Roman" w:eastAsia="黑体"/>
          <w:color w:val="000000"/>
          <w:sz w:val="32"/>
          <w:szCs w:val="32"/>
        </w:rPr>
      </w:pPr>
      <w:r>
        <w:rPr>
          <w:rFonts w:hint="eastAsia" w:ascii="Times New Roman" w:hAnsi="Times New Roman" w:eastAsia="黑体"/>
          <w:color w:val="000000"/>
          <w:sz w:val="32"/>
          <w:szCs w:val="32"/>
        </w:rPr>
        <w:t>二、收入预算总体情况说明</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焦作市</w:t>
      </w:r>
      <w:r>
        <w:rPr>
          <w:rFonts w:hint="eastAsia" w:ascii="仿宋" w:hAnsi="仿宋" w:eastAsia="仿宋" w:cs="仿宋"/>
          <w:color w:val="000000"/>
          <w:sz w:val="32"/>
          <w:szCs w:val="32"/>
          <w:lang w:val="en-US" w:eastAsia="zh-CN"/>
        </w:rPr>
        <w:t>司法局</w:t>
      </w:r>
      <w:r>
        <w:rPr>
          <w:rFonts w:hint="eastAsia" w:ascii="仿宋" w:hAnsi="仿宋" w:eastAsia="仿宋" w:cs="仿宋"/>
          <w:color w:val="000000"/>
          <w:sz w:val="32"/>
          <w:szCs w:val="32"/>
        </w:rPr>
        <w:t>2022年收入合计</w:t>
      </w:r>
      <w:r>
        <w:rPr>
          <w:rFonts w:hint="eastAsia" w:ascii="仿宋" w:hAnsi="仿宋" w:eastAsia="仿宋" w:cs="仿宋"/>
          <w:color w:val="000000"/>
          <w:sz w:val="32"/>
          <w:szCs w:val="32"/>
          <w:lang w:val="en-US" w:eastAsia="zh-CN"/>
        </w:rPr>
        <w:t>2583.13</w:t>
      </w:r>
      <w:r>
        <w:rPr>
          <w:rFonts w:hint="eastAsia" w:ascii="仿宋" w:hAnsi="仿宋" w:eastAsia="仿宋" w:cs="仿宋"/>
          <w:color w:val="000000"/>
          <w:sz w:val="32"/>
          <w:szCs w:val="32"/>
        </w:rPr>
        <w:t>万元，其中：一般公共预算收入</w:t>
      </w:r>
      <w:r>
        <w:rPr>
          <w:rFonts w:hint="eastAsia" w:ascii="仿宋" w:hAnsi="仿宋" w:eastAsia="仿宋" w:cs="仿宋"/>
          <w:color w:val="000000"/>
          <w:sz w:val="32"/>
          <w:szCs w:val="32"/>
          <w:lang w:val="en-US" w:eastAsia="zh-CN"/>
        </w:rPr>
        <w:t>2583.13</w:t>
      </w:r>
      <w:r>
        <w:rPr>
          <w:rFonts w:hint="eastAsia" w:ascii="仿宋" w:hAnsi="仿宋" w:eastAsia="仿宋" w:cs="仿宋"/>
          <w:color w:val="000000"/>
          <w:sz w:val="32"/>
          <w:szCs w:val="32"/>
        </w:rPr>
        <w:t>万元; 政府性基金预算收入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万元；国有资本经营预算收入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万元；财政专户管理资金收入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万元；其他收入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 xml:space="preserve">万元。 </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outlineLvl w:val="0"/>
        <w:rPr>
          <w:rFonts w:hint="eastAsia" w:ascii="Times New Roman" w:hAnsi="Times New Roman" w:eastAsia="仿宋_GB2312" w:cs="仿宋_GB2312"/>
          <w:color w:val="000000"/>
          <w:sz w:val="32"/>
          <w:szCs w:val="32"/>
        </w:rPr>
      </w:pPr>
      <w:r>
        <w:rPr>
          <w:rFonts w:hint="eastAsia" w:ascii="Times New Roman" w:hAnsi="Times New Roman" w:eastAsia="黑体"/>
          <w:color w:val="000000"/>
          <w:sz w:val="32"/>
          <w:szCs w:val="32"/>
        </w:rPr>
        <w:t>三、支出预算总体情况说明</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焦作市</w:t>
      </w:r>
      <w:r>
        <w:rPr>
          <w:rFonts w:hint="eastAsia" w:ascii="仿宋" w:hAnsi="仿宋" w:eastAsia="仿宋" w:cs="仿宋"/>
          <w:color w:val="000000"/>
          <w:sz w:val="32"/>
          <w:szCs w:val="32"/>
          <w:lang w:val="en-US" w:eastAsia="zh-CN"/>
        </w:rPr>
        <w:t>司法局</w:t>
      </w:r>
      <w:r>
        <w:rPr>
          <w:rFonts w:hint="eastAsia" w:ascii="仿宋" w:hAnsi="仿宋" w:eastAsia="仿宋" w:cs="仿宋"/>
          <w:color w:val="000000"/>
          <w:sz w:val="32"/>
          <w:szCs w:val="32"/>
        </w:rPr>
        <w:t>2022年支出合计</w:t>
      </w:r>
      <w:r>
        <w:rPr>
          <w:rFonts w:hint="eastAsia" w:ascii="仿宋" w:hAnsi="仿宋" w:eastAsia="仿宋" w:cs="仿宋"/>
          <w:color w:val="000000"/>
          <w:sz w:val="32"/>
          <w:szCs w:val="32"/>
          <w:lang w:val="en-US" w:eastAsia="zh-CN"/>
        </w:rPr>
        <w:t>2583.13</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1712.72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66.30</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870.41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33.70</w:t>
      </w:r>
      <w:r>
        <w:rPr>
          <w:rFonts w:hint="eastAsia" w:ascii="仿宋" w:hAnsi="仿宋" w:eastAsia="仿宋" w:cs="仿宋"/>
          <w:color w:val="000000"/>
          <w:sz w:val="32"/>
          <w:szCs w:val="32"/>
        </w:rPr>
        <w:t>%。</w:t>
      </w:r>
      <w:r>
        <w:rPr>
          <w:rFonts w:hint="eastAsia" w:ascii="Times New Roman" w:hAnsi="Times New Roman" w:eastAsia="仿宋_GB2312" w:cs="仿宋_GB2312"/>
          <w:color w:val="000000"/>
          <w:sz w:val="32"/>
          <w:szCs w:val="32"/>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outlineLvl w:val="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四、财政拨款收入支出预算总体情况说明</w:t>
      </w:r>
    </w:p>
    <w:p>
      <w:pPr>
        <w:pStyle w:val="2"/>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焦作市</w:t>
      </w:r>
      <w:r>
        <w:rPr>
          <w:rFonts w:hint="eastAsia" w:ascii="仿宋" w:hAnsi="仿宋" w:eastAsia="仿宋" w:cs="仿宋"/>
          <w:color w:val="000000"/>
          <w:sz w:val="32"/>
          <w:szCs w:val="32"/>
          <w:lang w:val="en-US" w:eastAsia="zh-CN"/>
        </w:rPr>
        <w:t>司法局</w:t>
      </w:r>
      <w:r>
        <w:rPr>
          <w:rFonts w:hint="eastAsia" w:ascii="仿宋" w:hAnsi="仿宋" w:eastAsia="仿宋" w:cs="仿宋"/>
          <w:color w:val="000000"/>
          <w:sz w:val="32"/>
          <w:szCs w:val="32"/>
        </w:rPr>
        <w:t>2022年一般公共预算收支预算</w:t>
      </w:r>
      <w:r>
        <w:rPr>
          <w:rFonts w:hint="eastAsia" w:ascii="仿宋" w:hAnsi="仿宋" w:eastAsia="仿宋" w:cs="仿宋"/>
          <w:color w:val="000000"/>
          <w:sz w:val="32"/>
          <w:szCs w:val="32"/>
          <w:lang w:val="en-US" w:eastAsia="zh-CN"/>
        </w:rPr>
        <w:t>2583.13</w:t>
      </w:r>
      <w:r>
        <w:rPr>
          <w:rFonts w:hint="eastAsia" w:ascii="仿宋" w:hAnsi="仿宋" w:eastAsia="仿宋" w:cs="仿宋"/>
          <w:color w:val="000000"/>
          <w:sz w:val="32"/>
          <w:szCs w:val="32"/>
        </w:rPr>
        <w:t>万元，政府性基金收支预算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万元。与 2021年相比，一般公共预算收支预算增加</w:t>
      </w:r>
      <w:r>
        <w:rPr>
          <w:rFonts w:hint="eastAsia" w:ascii="仿宋" w:hAnsi="仿宋" w:eastAsia="仿宋" w:cs="仿宋"/>
          <w:color w:val="000000"/>
          <w:sz w:val="32"/>
          <w:szCs w:val="32"/>
          <w:lang w:val="en-US" w:eastAsia="zh-CN"/>
        </w:rPr>
        <w:t>248.51</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10.64</w:t>
      </w:r>
      <w:r>
        <w:rPr>
          <w:rFonts w:hint="eastAsia" w:ascii="仿宋" w:hAnsi="仿宋" w:eastAsia="仿宋" w:cs="仿宋"/>
          <w:color w:val="000000"/>
          <w:sz w:val="32"/>
          <w:szCs w:val="32"/>
        </w:rPr>
        <w:t>%，主要原因：</w:t>
      </w:r>
      <w:r>
        <w:rPr>
          <w:rFonts w:hint="eastAsia" w:ascii="仿宋" w:hAnsi="仿宋" w:eastAsia="仿宋" w:cs="仿宋"/>
          <w:color w:val="000000"/>
          <w:sz w:val="32"/>
          <w:szCs w:val="32"/>
          <w:lang w:eastAsia="zh-CN"/>
        </w:rPr>
        <w:t>公用经费和项目支出增加</w:t>
      </w:r>
      <w:r>
        <w:rPr>
          <w:rFonts w:hint="eastAsia" w:ascii="仿宋" w:hAnsi="仿宋" w:eastAsia="仿宋" w:cs="仿宋"/>
          <w:color w:val="000000"/>
          <w:sz w:val="32"/>
          <w:szCs w:val="32"/>
        </w:rPr>
        <w:t>；政府性基金收支预算增加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五、一般公共预算支出预算情况说明</w:t>
      </w:r>
    </w:p>
    <w:p>
      <w:pPr>
        <w:widowControl/>
        <w:spacing w:line="580" w:lineRule="exact"/>
        <w:ind w:firstLine="622"/>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sz w:val="32"/>
          <w:szCs w:val="32"/>
          <w:lang w:val="en-US" w:eastAsia="zh-CN"/>
        </w:rPr>
        <w:t>焦作市司法局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年一般公共预算支出年初预算为</w:t>
      </w:r>
      <w:r>
        <w:rPr>
          <w:rFonts w:hint="eastAsia" w:ascii="Arial" w:hAnsi="Arial" w:eastAsia="仿宋_GB2312" w:cs="Arial"/>
          <w:color w:val="000000"/>
          <w:sz w:val="32"/>
          <w:szCs w:val="32"/>
          <w:highlight w:val="none"/>
          <w:lang w:val="en-US" w:eastAsia="zh-CN"/>
        </w:rPr>
        <w:t>2583.13</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rPr>
        <w:t>。主要用于以下方面：</w:t>
      </w:r>
      <w:r>
        <w:rPr>
          <w:rFonts w:hint="eastAsia" w:ascii="仿宋_GB2312" w:hAnsi="仿宋_GB2312" w:eastAsia="仿宋_GB2312" w:cs="仿宋_GB2312"/>
          <w:color w:val="000000"/>
          <w:kern w:val="0"/>
          <w:sz w:val="32"/>
          <w:szCs w:val="32"/>
          <w:lang w:val="en-US" w:eastAsia="zh-CN"/>
        </w:rPr>
        <w:t>公共安全</w:t>
      </w:r>
      <w:r>
        <w:rPr>
          <w:rFonts w:hint="eastAsia" w:ascii="仿宋_GB2312" w:hAnsi="仿宋_GB2312" w:eastAsia="仿宋_GB2312" w:cs="仿宋_GB2312"/>
          <w:color w:val="000000"/>
          <w:kern w:val="0"/>
          <w:sz w:val="32"/>
          <w:szCs w:val="32"/>
        </w:rPr>
        <w:t>支出</w:t>
      </w:r>
      <w:r>
        <w:rPr>
          <w:rFonts w:hint="eastAsia" w:ascii="Arial" w:hAnsi="Arial" w:eastAsia="仿宋_GB2312" w:cs="Arial"/>
          <w:color w:val="000000"/>
          <w:sz w:val="32"/>
          <w:szCs w:val="32"/>
          <w:lang w:val="en-US" w:eastAsia="zh-CN"/>
        </w:rPr>
        <w:t>1902.32</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73.64</w:t>
      </w:r>
      <w:r>
        <w:rPr>
          <w:rFonts w:hint="eastAsia" w:ascii="仿宋_GB2312" w:hAnsi="仿宋_GB2312" w:eastAsia="仿宋_GB2312" w:cs="仿宋_GB2312"/>
          <w:color w:val="000000"/>
          <w:kern w:val="0"/>
          <w:sz w:val="32"/>
          <w:szCs w:val="32"/>
        </w:rPr>
        <w:t>%；教育支出</w:t>
      </w:r>
      <w:r>
        <w:rPr>
          <w:rFonts w:hint="eastAsia" w:ascii="仿宋_GB2312" w:hAnsi="仿宋_GB2312" w:eastAsia="仿宋_GB2312" w:cs="仿宋_GB2312"/>
          <w:color w:val="000000"/>
          <w:kern w:val="0"/>
          <w:sz w:val="32"/>
          <w:szCs w:val="32"/>
          <w:lang w:val="en-US" w:eastAsia="zh-CN"/>
        </w:rPr>
        <w:t>5.22</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0.20</w:t>
      </w:r>
      <w:r>
        <w:rPr>
          <w:rFonts w:hint="eastAsia" w:ascii="仿宋_GB2312" w:hAnsi="仿宋_GB2312" w:eastAsia="仿宋_GB2312" w:cs="仿宋_GB2312"/>
          <w:color w:val="000000"/>
          <w:kern w:val="0"/>
          <w:sz w:val="32"/>
          <w:szCs w:val="32"/>
        </w:rPr>
        <w:t>%；社会保障和就业支出</w:t>
      </w:r>
      <w:r>
        <w:rPr>
          <w:rFonts w:hint="eastAsia" w:ascii="仿宋_GB2312" w:hAnsi="仿宋_GB2312" w:eastAsia="仿宋_GB2312" w:cs="仿宋_GB2312"/>
          <w:color w:val="000000"/>
          <w:kern w:val="0"/>
          <w:sz w:val="32"/>
          <w:szCs w:val="32"/>
          <w:lang w:val="en-US" w:eastAsia="zh-CN"/>
        </w:rPr>
        <w:t>256.68</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9.94</w:t>
      </w:r>
      <w:r>
        <w:rPr>
          <w:rFonts w:hint="eastAsia" w:ascii="仿宋_GB2312" w:hAnsi="仿宋_GB2312" w:eastAsia="仿宋_GB2312" w:cs="仿宋_GB2312"/>
          <w:color w:val="000000"/>
          <w:kern w:val="0"/>
          <w:sz w:val="32"/>
          <w:szCs w:val="32"/>
        </w:rPr>
        <w:t>%；卫生</w:t>
      </w:r>
      <w:r>
        <w:rPr>
          <w:rFonts w:hint="eastAsia" w:ascii="仿宋_GB2312" w:hAnsi="仿宋_GB2312" w:eastAsia="仿宋_GB2312" w:cs="仿宋_GB2312"/>
          <w:color w:val="000000"/>
          <w:kern w:val="0"/>
          <w:sz w:val="32"/>
          <w:szCs w:val="32"/>
          <w:lang w:val="en-US" w:eastAsia="zh-CN"/>
        </w:rPr>
        <w:t>健康</w:t>
      </w:r>
      <w:r>
        <w:rPr>
          <w:rFonts w:hint="eastAsia" w:ascii="仿宋_GB2312" w:hAnsi="仿宋_GB2312" w:eastAsia="仿宋_GB2312" w:cs="仿宋_GB2312"/>
          <w:color w:val="000000"/>
          <w:kern w:val="0"/>
          <w:sz w:val="32"/>
          <w:szCs w:val="32"/>
        </w:rPr>
        <w:t>支出</w:t>
      </w:r>
      <w:r>
        <w:rPr>
          <w:rFonts w:hint="eastAsia" w:ascii="仿宋_GB2312" w:hAnsi="仿宋_GB2312" w:eastAsia="仿宋_GB2312" w:cs="仿宋_GB2312"/>
          <w:color w:val="000000"/>
          <w:kern w:val="0"/>
          <w:sz w:val="32"/>
          <w:szCs w:val="32"/>
          <w:lang w:val="en-US" w:eastAsia="zh-CN"/>
        </w:rPr>
        <w:t>78.16</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3.03</w:t>
      </w:r>
      <w:r>
        <w:rPr>
          <w:rFonts w:hint="eastAsia" w:ascii="仿宋_GB2312" w:hAnsi="仿宋_GB2312" w:eastAsia="仿宋_GB2312" w:cs="仿宋_GB2312"/>
          <w:color w:val="000000"/>
          <w:kern w:val="0"/>
          <w:sz w:val="32"/>
          <w:szCs w:val="32"/>
        </w:rPr>
        <w:t>%；住房保障支出</w:t>
      </w:r>
      <w:r>
        <w:rPr>
          <w:rFonts w:hint="eastAsia" w:ascii="仿宋_GB2312" w:hAnsi="仿宋_GB2312" w:eastAsia="仿宋_GB2312" w:cs="仿宋_GB2312"/>
          <w:color w:val="000000"/>
          <w:kern w:val="0"/>
          <w:sz w:val="32"/>
          <w:szCs w:val="32"/>
          <w:lang w:val="en-US" w:eastAsia="zh-CN"/>
        </w:rPr>
        <w:t>69.46</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2.69</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年终结转结余271.29万元，占10.5%</w:t>
      </w:r>
      <w:r>
        <w:rPr>
          <w:rFonts w:hint="eastAsia" w:ascii="仿宋_GB2312" w:hAnsi="仿宋_GB2312" w:eastAsia="仿宋_GB2312" w:cs="仿宋_GB2312"/>
          <w:color w:val="000000"/>
          <w:kern w:val="0"/>
          <w:sz w:val="32"/>
          <w:szCs w:val="32"/>
          <w:lang w:eastAsia="zh-CN"/>
        </w:rPr>
        <w:t>。</w:t>
      </w:r>
    </w:p>
    <w:p>
      <w:pPr>
        <w:spacing w:line="580" w:lineRule="exact"/>
        <w:ind w:firstLine="640" w:firstLineChars="200"/>
        <w:outlineLvl w:val="0"/>
        <w:rPr>
          <w:rFonts w:hint="eastAsia"/>
          <w:lang w:eastAsia="zh-CN"/>
        </w:rPr>
      </w:pPr>
      <w:r>
        <w:rPr>
          <w:rFonts w:hint="eastAsia" w:ascii="黑体" w:hAnsi="黑体" w:eastAsia="黑体"/>
          <w:color w:val="000000"/>
          <w:kern w:val="0"/>
          <w:sz w:val="32"/>
          <w:szCs w:val="32"/>
        </w:rPr>
        <w:t>六、一般公共预算基本支出预算情况说明</w:t>
      </w:r>
    </w:p>
    <w:p>
      <w:pPr>
        <w:pStyle w:val="2"/>
        <w:spacing w:before="34" w:line="254" w:lineRule="auto"/>
        <w:ind w:left="120" w:right="112" w:firstLine="640" w:firstLineChars="200"/>
        <w:rPr>
          <w:rFonts w:hint="eastAsia" w:ascii="方正仿宋_GBK" w:hAnsi="方正仿宋_GBK" w:eastAsia="方正仿宋_GBK" w:cs="方正仿宋_GBK"/>
          <w:color w:val="000000"/>
          <w:kern w:val="0"/>
          <w:sz w:val="32"/>
          <w:szCs w:val="32"/>
          <w:highlight w:val="none"/>
          <w:lang w:eastAsia="zh-CN"/>
        </w:rPr>
      </w:pPr>
      <w:r>
        <w:rPr>
          <w:rFonts w:hint="eastAsia" w:ascii="仿宋_GB2312" w:hAnsi="仿宋_GB2312" w:eastAsia="仿宋_GB2312" w:cs="仿宋_GB2312"/>
          <w:color w:val="000000"/>
          <w:sz w:val="32"/>
          <w:szCs w:val="32"/>
          <w:lang w:val="en-US" w:eastAsia="zh-CN"/>
        </w:rPr>
        <w:t>焦作市司法局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年一般公共预算基本支出</w:t>
      </w:r>
      <w:r>
        <w:rPr>
          <w:rFonts w:hint="eastAsia" w:ascii="仿宋_GB2312" w:hAnsi="仿宋_GB2312" w:eastAsia="仿宋_GB2312" w:cs="仿宋_GB2312"/>
          <w:color w:val="000000"/>
          <w:kern w:val="0"/>
          <w:sz w:val="32"/>
          <w:szCs w:val="32"/>
          <w:lang w:val="en-US" w:eastAsia="zh-CN"/>
        </w:rPr>
        <w:t>1712.12</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b/>
          <w:color w:val="000000"/>
          <w:spacing w:val="-1"/>
          <w:kern w:val="0"/>
          <w:sz w:val="32"/>
          <w:szCs w:val="32"/>
        </w:rPr>
        <w:t>人员经费</w:t>
      </w:r>
      <w:r>
        <w:rPr>
          <w:rFonts w:hint="eastAsia" w:ascii="仿宋_GB2312" w:hAnsi="仿宋_GB2312" w:eastAsia="仿宋_GB2312" w:cs="仿宋_GB2312"/>
          <w:b/>
          <w:color w:val="000000"/>
          <w:kern w:val="0"/>
          <w:sz w:val="32"/>
          <w:szCs w:val="32"/>
          <w:lang w:val="en-US" w:eastAsia="zh-CN"/>
        </w:rPr>
        <w:t>1525.43</w:t>
      </w:r>
      <w:r>
        <w:rPr>
          <w:rFonts w:hint="eastAsia" w:ascii="仿宋_GB2312" w:hAnsi="仿宋_GB2312" w:eastAsia="仿宋_GB2312" w:cs="仿宋_GB2312"/>
          <w:b/>
          <w:color w:val="000000"/>
          <w:sz w:val="32"/>
          <w:szCs w:val="32"/>
        </w:rPr>
        <w:t>万元</w:t>
      </w:r>
      <w:r>
        <w:rPr>
          <w:rFonts w:hint="eastAsia" w:ascii="仿宋_GB2312" w:hAnsi="仿宋_GB2312" w:eastAsia="仿宋_GB2312" w:cs="仿宋_GB2312"/>
          <w:color w:val="000000"/>
          <w:sz w:val="32"/>
          <w:szCs w:val="32"/>
        </w:rPr>
        <w:t>，</w:t>
      </w:r>
      <w:r>
        <w:rPr>
          <w:rFonts w:hint="eastAsia" w:ascii="Times New Roman" w:hAnsi="Times New Roman" w:eastAsia="仿宋_GB2312" w:cs="仿宋_GB2312"/>
          <w:color w:val="000000"/>
          <w:sz w:val="32"/>
          <w:szCs w:val="32"/>
        </w:rPr>
        <w:t>主要包括：</w:t>
      </w:r>
      <w:r>
        <w:rPr>
          <w:rFonts w:hint="eastAsia" w:ascii="仿宋_GB2312" w:hAnsi="仿宋_GB2312" w:eastAsia="仿宋_GB2312" w:cs="仿宋_GB2312"/>
          <w:color w:val="000000"/>
          <w:sz w:val="32"/>
          <w:szCs w:val="32"/>
        </w:rPr>
        <w:t>基本工资、津贴补贴、奖金、绩效工资、机关事业单位基本养老保险缴费、职业年金缴费、</w:t>
      </w:r>
      <w:r>
        <w:rPr>
          <w:rFonts w:hint="eastAsia" w:ascii="仿宋_GB2312" w:hAnsi="仿宋_GB2312" w:eastAsia="仿宋_GB2312" w:cs="仿宋_GB2312"/>
          <w:color w:val="000000"/>
          <w:sz w:val="32"/>
          <w:szCs w:val="32"/>
          <w:lang w:val="en-US" w:eastAsia="zh-CN"/>
        </w:rPr>
        <w:t>职工基本</w:t>
      </w:r>
      <w:r>
        <w:rPr>
          <w:rFonts w:hint="eastAsia" w:ascii="仿宋_GB2312" w:hAnsi="仿宋_GB2312" w:eastAsia="仿宋_GB2312" w:cs="仿宋_GB2312"/>
          <w:color w:val="000000"/>
          <w:sz w:val="32"/>
          <w:szCs w:val="32"/>
        </w:rPr>
        <w:t>医疗保险缴费、其他社会保障缴费、住房公积金、</w:t>
      </w:r>
      <w:r>
        <w:rPr>
          <w:rFonts w:hint="eastAsia" w:ascii="仿宋_GB2312" w:hAnsi="仿宋_GB2312" w:eastAsia="仿宋_GB2312" w:cs="仿宋_GB2312"/>
          <w:color w:val="000000"/>
          <w:sz w:val="32"/>
          <w:szCs w:val="32"/>
          <w:highlight w:val="none"/>
        </w:rPr>
        <w:t>退休费、</w:t>
      </w:r>
      <w:r>
        <w:rPr>
          <w:rFonts w:hint="eastAsia" w:ascii="仿宋_GB2312" w:hAnsi="仿宋_GB2312" w:eastAsia="仿宋_GB2312" w:cs="仿宋_GB2312"/>
          <w:color w:val="000000"/>
          <w:sz w:val="32"/>
          <w:szCs w:val="32"/>
          <w:highlight w:val="none"/>
          <w:lang w:val="en-US" w:eastAsia="zh-CN"/>
        </w:rPr>
        <w:t>公务员医疗补助</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kern w:val="0"/>
          <w:sz w:val="32"/>
          <w:szCs w:val="32"/>
          <w:highlight w:val="none"/>
        </w:rPr>
        <w:t>公用经费</w:t>
      </w:r>
      <w:r>
        <w:rPr>
          <w:rFonts w:hint="eastAsia" w:ascii="仿宋_GB2312" w:hAnsi="仿宋_GB2312" w:eastAsia="仿宋_GB2312" w:cs="仿宋_GB2312"/>
          <w:b/>
          <w:bCs/>
          <w:color w:val="000000"/>
          <w:kern w:val="0"/>
          <w:sz w:val="32"/>
          <w:szCs w:val="32"/>
          <w:highlight w:val="none"/>
          <w:lang w:val="en-US" w:eastAsia="zh-CN"/>
        </w:rPr>
        <w:t>187.29</w:t>
      </w:r>
      <w:r>
        <w:rPr>
          <w:rFonts w:hint="eastAsia" w:ascii="仿宋_GB2312" w:hAnsi="仿宋_GB2312" w:eastAsia="仿宋_GB2312" w:cs="仿宋_GB2312"/>
          <w:b/>
          <w:bCs/>
          <w:color w:val="000000"/>
          <w:kern w:val="0"/>
          <w:sz w:val="32"/>
          <w:szCs w:val="32"/>
          <w:highlight w:val="none"/>
        </w:rPr>
        <w:t>万元</w:t>
      </w:r>
      <w:r>
        <w:rPr>
          <w:rFonts w:hint="eastAsia" w:ascii="仿宋_GB2312" w:hAnsi="仿宋_GB2312" w:eastAsia="仿宋_GB2312" w:cs="仿宋_GB2312"/>
          <w:color w:val="000000"/>
          <w:kern w:val="0"/>
          <w:sz w:val="32"/>
          <w:szCs w:val="32"/>
          <w:highlight w:val="none"/>
        </w:rPr>
        <w:t>，</w:t>
      </w:r>
      <w:r>
        <w:rPr>
          <w:rFonts w:hint="eastAsia" w:ascii="方正仿宋_GBK" w:hAnsi="方正仿宋_GBK" w:eastAsia="方正仿宋_GBK" w:cs="方正仿宋_GBK"/>
          <w:b w:val="0"/>
          <w:bCs w:val="0"/>
          <w:highlight w:val="none"/>
        </w:rPr>
        <w:t>主要包括：办公费、水费、电费、邮电费、</w:t>
      </w:r>
      <w:r>
        <w:rPr>
          <w:rFonts w:hint="eastAsia" w:ascii="方正仿宋_GBK" w:hAnsi="方正仿宋_GBK" w:eastAsia="方正仿宋_GBK" w:cs="方正仿宋_GBK"/>
          <w:b w:val="0"/>
          <w:bCs w:val="0"/>
          <w:spacing w:val="-1"/>
          <w:highlight w:val="none"/>
        </w:rPr>
        <w:t>差旅费、</w:t>
      </w:r>
      <w:r>
        <w:rPr>
          <w:rFonts w:hint="eastAsia" w:ascii="方正仿宋_GBK" w:hAnsi="方正仿宋_GBK" w:eastAsia="方正仿宋_GBK" w:cs="方正仿宋_GBK"/>
          <w:b w:val="0"/>
          <w:bCs w:val="0"/>
          <w:highlight w:val="none"/>
        </w:rPr>
        <w:t>维修（护）</w:t>
      </w:r>
      <w:r>
        <w:rPr>
          <w:rFonts w:hint="eastAsia" w:ascii="方正仿宋_GBK" w:hAnsi="方正仿宋_GBK" w:eastAsia="方正仿宋_GBK" w:cs="方正仿宋_GBK"/>
          <w:b w:val="0"/>
          <w:bCs w:val="0"/>
          <w:spacing w:val="-2"/>
          <w:highlight w:val="none"/>
        </w:rPr>
        <w:t>费、</w:t>
      </w:r>
      <w:r>
        <w:rPr>
          <w:rFonts w:hint="eastAsia" w:ascii="方正仿宋_GBK" w:hAnsi="方正仿宋_GBK" w:eastAsia="方正仿宋_GBK" w:cs="方正仿宋_GBK"/>
          <w:b w:val="0"/>
          <w:bCs w:val="0"/>
          <w:spacing w:val="-3"/>
          <w:highlight w:val="none"/>
        </w:rPr>
        <w:t>培</w:t>
      </w:r>
      <w:r>
        <w:rPr>
          <w:rFonts w:hint="eastAsia" w:ascii="方正仿宋_GBK" w:hAnsi="方正仿宋_GBK" w:eastAsia="方正仿宋_GBK" w:cs="方正仿宋_GBK"/>
          <w:spacing w:val="-3"/>
          <w:highlight w:val="none"/>
        </w:rPr>
        <w:t>训费、公务接待费、劳务费、福利费、公务用车运行维护费、其他交通费用、其他商品和服务支出</w:t>
      </w:r>
      <w:r>
        <w:rPr>
          <w:rFonts w:hint="eastAsia" w:ascii="方正仿宋_GBK" w:hAnsi="方正仿宋_GBK" w:eastAsia="方正仿宋_GBK" w:cs="方正仿宋_GBK"/>
          <w:spacing w:val="-3"/>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outlineLvl w:val="0"/>
        <w:rPr>
          <w:rFonts w:hint="eastAsia" w:ascii="Times New Roman" w:hAnsi="Times New Roman" w:eastAsia="仿宋_GB2312" w:cs="仿宋_GB2312"/>
          <w:color w:val="000000"/>
          <w:sz w:val="32"/>
          <w:szCs w:val="32"/>
        </w:rPr>
      </w:pPr>
      <w:r>
        <w:rPr>
          <w:rFonts w:hint="eastAsia" w:ascii="Times New Roman" w:hAnsi="Times New Roman" w:eastAsia="黑体"/>
          <w:color w:val="000000"/>
          <w:kern w:val="0"/>
          <w:sz w:val="32"/>
          <w:szCs w:val="32"/>
        </w:rPr>
        <w:t>七、政府性基金预算支出预算情况说明</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我单位2022年没有使用政府性基金预算拨款安排的支出。</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rPr>
          <w:rFonts w:hint="eastAsia" w:ascii="Times New Roman" w:hAnsi="Times New Roman" w:eastAsia="黑体"/>
          <w:color w:val="000000"/>
          <w:kern w:val="0"/>
          <w:sz w:val="32"/>
          <w:szCs w:val="32"/>
        </w:rPr>
      </w:pPr>
      <w:r>
        <w:rPr>
          <w:rFonts w:hint="eastAsia" w:ascii="Times New Roman" w:hAnsi="Times New Roman" w:eastAsia="黑体"/>
          <w:color w:val="000000"/>
          <w:sz w:val="32"/>
          <w:szCs w:val="32"/>
        </w:rPr>
        <w:t>八、</w:t>
      </w:r>
      <w:r>
        <w:rPr>
          <w:rFonts w:hint="eastAsia" w:ascii="Times New Roman" w:hAnsi="Times New Roman" w:eastAsia="黑体"/>
          <w:color w:val="000000"/>
          <w:kern w:val="0"/>
          <w:sz w:val="32"/>
          <w:szCs w:val="32"/>
        </w:rPr>
        <w:t>国有资本经营预算支出预算情况说明</w:t>
      </w:r>
    </w:p>
    <w:p>
      <w:pPr>
        <w:pStyle w:val="2"/>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我单位2022年没有使用国有资本经营预算拨款安排的支出。</w:t>
      </w:r>
    </w:p>
    <w:p>
      <w:pPr>
        <w:spacing w:line="580" w:lineRule="exact"/>
        <w:ind w:firstLine="640" w:firstLineChars="200"/>
        <w:outlineLvl w:val="0"/>
        <w:rPr>
          <w:rFonts w:hint="eastAsia" w:ascii="Times New Roman" w:hAnsi="Times New Roman" w:eastAsia="仿宋_GB2312" w:cs="仿宋_GB2312"/>
          <w:color w:val="000000"/>
          <w:sz w:val="32"/>
          <w:szCs w:val="32"/>
        </w:rPr>
      </w:pPr>
      <w:r>
        <w:rPr>
          <w:rFonts w:hint="eastAsia" w:ascii="黑体" w:hAnsi="黑体" w:eastAsia="黑体"/>
          <w:color w:val="000000"/>
          <w:kern w:val="0"/>
          <w:sz w:val="32"/>
          <w:szCs w:val="32"/>
        </w:rPr>
        <w:t>九、“三公”经费支出预算情况说明</w:t>
      </w:r>
    </w:p>
    <w:p>
      <w:pPr>
        <w:widowControl/>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焦作市司法局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年“三公”经费支出预算为</w:t>
      </w:r>
      <w:r>
        <w:rPr>
          <w:rFonts w:hint="eastAsia" w:ascii="仿宋_GB2312" w:hAnsi="仿宋_GB2312" w:eastAsia="仿宋_GB2312" w:cs="仿宋_GB2312"/>
          <w:color w:val="000000"/>
          <w:kern w:val="0"/>
          <w:sz w:val="32"/>
          <w:szCs w:val="32"/>
          <w:lang w:val="en-US" w:eastAsia="zh-CN"/>
        </w:rPr>
        <w:t>53.9</w:t>
      </w:r>
      <w:r>
        <w:rPr>
          <w:rFonts w:hint="eastAsia" w:ascii="仿宋_GB2312" w:hAnsi="仿宋_GB2312" w:eastAsia="仿宋_GB2312" w:cs="仿宋_GB2312"/>
          <w:color w:val="000000"/>
          <w:sz w:val="32"/>
          <w:szCs w:val="32"/>
        </w:rPr>
        <w:t>万元， 比 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年预算数</w:t>
      </w:r>
      <w:r>
        <w:rPr>
          <w:rFonts w:hint="eastAsia" w:ascii="仿宋_GB2312" w:hAnsi="仿宋_GB2312" w:eastAsia="仿宋_GB2312" w:cs="仿宋_GB2312"/>
          <w:color w:val="000000"/>
          <w:sz w:val="32"/>
          <w:szCs w:val="32"/>
          <w:lang w:val="en-US" w:eastAsia="zh-CN"/>
        </w:rPr>
        <w:t>增加35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增加185.19</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具体支出情况如下：</w:t>
      </w:r>
    </w:p>
    <w:p>
      <w:pPr>
        <w:numPr>
          <w:ilvl w:val="0"/>
          <w:numId w:val="4"/>
        </w:numPr>
        <w:kinsoku w:val="0"/>
        <w:overflowPunct w:val="0"/>
        <w:autoSpaceDE w:val="0"/>
        <w:autoSpaceDN w:val="0"/>
        <w:adjustRightInd w:val="0"/>
        <w:snapToGrid w:val="0"/>
        <w:spacing w:line="580" w:lineRule="exact"/>
        <w:ind w:firstLine="636"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pacing w:val="-1"/>
          <w:kern w:val="0"/>
          <w:sz w:val="32"/>
          <w:szCs w:val="32"/>
        </w:rPr>
        <w:t>因公出国（境）费</w:t>
      </w:r>
      <w:r>
        <w:rPr>
          <w:rFonts w:hint="eastAsia" w:ascii="楷体_GB2312" w:hAnsi="仿宋_GB2312" w:eastAsia="楷体_GB2312" w:cs="仿宋_GB2312"/>
          <w:color w:val="000000"/>
          <w:sz w:val="32"/>
          <w:szCs w:val="32"/>
        </w:rPr>
        <w:t xml:space="preserve"> </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预算数比2021年减少0万元，下降0%，我单位2021年以及2022年无因公出国（境）工作计划。</w:t>
      </w:r>
    </w:p>
    <w:p>
      <w:pPr>
        <w:numPr>
          <w:ilvl w:val="0"/>
          <w:numId w:val="0"/>
        </w:numPr>
        <w:kinsoku w:val="0"/>
        <w:overflowPunct w:val="0"/>
        <w:autoSpaceDE w:val="0"/>
        <w:autoSpaceDN w:val="0"/>
        <w:adjustRightInd w:val="0"/>
        <w:snapToGrid w:val="0"/>
        <w:spacing w:line="580" w:lineRule="exact"/>
        <w:ind w:firstLine="636"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pacing w:val="-1"/>
          <w:kern w:val="0"/>
          <w:sz w:val="32"/>
          <w:szCs w:val="32"/>
          <w:lang w:eastAsia="zh-CN"/>
        </w:rPr>
        <w:t>（</w:t>
      </w:r>
      <w:r>
        <w:rPr>
          <w:rFonts w:hint="eastAsia" w:ascii="楷体_GB2312" w:hAnsi="仿宋_GB2312" w:eastAsia="楷体_GB2312" w:cs="仿宋_GB2312"/>
          <w:color w:val="000000"/>
          <w:spacing w:val="-1"/>
          <w:kern w:val="0"/>
          <w:sz w:val="32"/>
          <w:szCs w:val="32"/>
          <w:lang w:val="en-US" w:eastAsia="zh-CN"/>
        </w:rPr>
        <w:t>二</w:t>
      </w:r>
      <w:r>
        <w:rPr>
          <w:rFonts w:hint="eastAsia" w:ascii="楷体_GB2312" w:hAnsi="仿宋_GB2312" w:eastAsia="楷体_GB2312" w:cs="仿宋_GB2312"/>
          <w:color w:val="000000"/>
          <w:spacing w:val="-1"/>
          <w:kern w:val="0"/>
          <w:sz w:val="32"/>
          <w:szCs w:val="32"/>
          <w:lang w:eastAsia="zh-CN"/>
        </w:rPr>
        <w:t>）</w:t>
      </w:r>
      <w:r>
        <w:rPr>
          <w:rFonts w:hint="eastAsia" w:ascii="楷体_GB2312" w:hAnsi="仿宋_GB2312" w:eastAsia="楷体_GB2312" w:cs="仿宋_GB2312"/>
          <w:color w:val="000000"/>
          <w:spacing w:val="-1"/>
          <w:kern w:val="0"/>
          <w:sz w:val="32"/>
          <w:szCs w:val="32"/>
        </w:rPr>
        <w:t>公务用车购置及运行费</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rPr>
        <w:t>万</w:t>
      </w:r>
      <w:r>
        <w:rPr>
          <w:rFonts w:hint="eastAsia" w:ascii="仿宋_GB2312" w:hAnsi="仿宋_GB2312" w:eastAsia="仿宋_GB2312" w:cs="仿宋_GB2312"/>
          <w:color w:val="000000"/>
          <w:sz w:val="32"/>
          <w:szCs w:val="32"/>
        </w:rPr>
        <w:t>元。其中公务车辆购置费</w:t>
      </w:r>
      <w:r>
        <w:rPr>
          <w:rFonts w:hint="eastAsia" w:ascii="仿宋_GB2312" w:hAnsi="仿宋_GB2312" w:eastAsia="仿宋_GB2312" w:cs="仿宋_GB2312"/>
          <w:color w:val="000000"/>
          <w:kern w:val="0"/>
          <w:sz w:val="32"/>
          <w:szCs w:val="32"/>
          <w:lang w:val="en-US" w:eastAsia="zh-CN"/>
        </w:rPr>
        <w:t>35</w:t>
      </w:r>
      <w:r>
        <w:rPr>
          <w:rFonts w:hint="eastAsia" w:ascii="仿宋_GB2312" w:hAnsi="仿宋_GB2312" w:eastAsia="仿宋_GB2312" w:cs="仿宋_GB2312"/>
          <w:color w:val="000000"/>
          <w:sz w:val="32"/>
          <w:szCs w:val="32"/>
        </w:rPr>
        <w:t>万元，比202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增加35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sz w:val="32"/>
          <w:szCs w:val="32"/>
          <w:lang w:val="en-US" w:eastAsia="zh-CN"/>
        </w:rPr>
        <w:t>今年有购车计划</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 xml:space="preserve">公务用车运行维护费 </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sz w:val="32"/>
          <w:szCs w:val="32"/>
        </w:rPr>
        <w:t>，主要用于车辆维修护</w:t>
      </w:r>
      <w:r>
        <w:rPr>
          <w:rFonts w:hint="eastAsia" w:ascii="仿宋_GB2312" w:hAnsi="仿宋_GB2312" w:eastAsia="仿宋_GB2312" w:cs="仿宋_GB2312"/>
          <w:color w:val="000000"/>
          <w:sz w:val="32"/>
          <w:szCs w:val="32"/>
          <w:lang w:val="en-US" w:eastAsia="zh-CN"/>
        </w:rPr>
        <w:t>理</w:t>
      </w:r>
      <w:r>
        <w:rPr>
          <w:rFonts w:hint="eastAsia" w:ascii="仿宋_GB2312" w:hAnsi="仿宋_GB2312" w:eastAsia="仿宋_GB2312" w:cs="仿宋_GB2312"/>
          <w:color w:val="000000"/>
          <w:sz w:val="32"/>
          <w:szCs w:val="32"/>
        </w:rPr>
        <w:t>,比202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年减少</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kern w:val="0"/>
          <w:sz w:val="32"/>
          <w:szCs w:val="32"/>
        </w:rPr>
        <w:t>万元，较上年下降</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highlight w:val="none"/>
          <w:lang w:val="en-US" w:eastAsia="zh-CN"/>
        </w:rPr>
        <w:t>我单位从严从紧控制公务用车运行消耗。</w:t>
      </w:r>
    </w:p>
    <w:p>
      <w:pPr>
        <w:numPr>
          <w:ilvl w:val="0"/>
          <w:numId w:val="0"/>
        </w:numPr>
        <w:spacing w:line="580" w:lineRule="exact"/>
        <w:ind w:firstLine="636" w:firstLineChars="200"/>
        <w:outlineLvl w:val="0"/>
        <w:rPr>
          <w:rFonts w:hint="eastAsia" w:ascii="仿宋_GB2312" w:hAnsi="仿宋_GB2312" w:eastAsia="仿宋_GB2312" w:cs="仿宋_GB2312"/>
          <w:color w:val="000000"/>
          <w:kern w:val="0"/>
          <w:sz w:val="32"/>
          <w:szCs w:val="32"/>
        </w:rPr>
      </w:pPr>
      <w:r>
        <w:rPr>
          <w:rFonts w:hint="eastAsia" w:ascii="楷体_GB2312" w:hAnsi="仿宋_GB2312" w:eastAsia="楷体_GB2312" w:cs="仿宋_GB2312"/>
          <w:color w:val="000000"/>
          <w:spacing w:val="-1"/>
          <w:kern w:val="0"/>
          <w:sz w:val="32"/>
          <w:szCs w:val="32"/>
          <w:lang w:eastAsia="zh-CN"/>
        </w:rPr>
        <w:t>（</w:t>
      </w:r>
      <w:r>
        <w:rPr>
          <w:rFonts w:hint="eastAsia" w:ascii="楷体_GB2312" w:hAnsi="仿宋_GB2312" w:eastAsia="楷体_GB2312" w:cs="仿宋_GB2312"/>
          <w:color w:val="000000"/>
          <w:spacing w:val="-1"/>
          <w:kern w:val="0"/>
          <w:sz w:val="32"/>
          <w:szCs w:val="32"/>
          <w:lang w:val="en-US" w:eastAsia="zh-CN"/>
        </w:rPr>
        <w:t>三</w:t>
      </w:r>
      <w:r>
        <w:rPr>
          <w:rFonts w:hint="eastAsia" w:ascii="楷体_GB2312" w:hAnsi="仿宋_GB2312" w:eastAsia="楷体_GB2312" w:cs="仿宋_GB2312"/>
          <w:color w:val="000000"/>
          <w:spacing w:val="-1"/>
          <w:kern w:val="0"/>
          <w:sz w:val="32"/>
          <w:szCs w:val="32"/>
          <w:lang w:eastAsia="zh-CN"/>
        </w:rPr>
        <w:t>）</w:t>
      </w:r>
      <w:r>
        <w:rPr>
          <w:rFonts w:hint="eastAsia" w:ascii="楷体_GB2312" w:hAnsi="仿宋_GB2312" w:eastAsia="楷体_GB2312" w:cs="仿宋_GB2312"/>
          <w:color w:val="000000"/>
          <w:spacing w:val="-1"/>
          <w:kern w:val="0"/>
          <w:sz w:val="32"/>
          <w:szCs w:val="32"/>
        </w:rPr>
        <w:t>公务接待费</w:t>
      </w:r>
      <w:r>
        <w:rPr>
          <w:rFonts w:hint="eastAsia" w:ascii="仿宋_GB2312" w:hAnsi="仿宋_GB2312" w:eastAsia="仿宋_GB2312" w:cs="仿宋_GB2312"/>
          <w:color w:val="000000"/>
          <w:kern w:val="0"/>
          <w:sz w:val="32"/>
          <w:szCs w:val="32"/>
          <w:lang w:val="en-US" w:eastAsia="zh-CN"/>
        </w:rPr>
        <w:t>3.9</w:t>
      </w:r>
      <w:r>
        <w:rPr>
          <w:rFonts w:hint="eastAsia" w:ascii="仿宋_GB2312" w:hAnsi="仿宋_GB2312" w:eastAsia="仿宋_GB2312" w:cs="仿宋_GB2312"/>
          <w:color w:val="000000"/>
          <w:sz w:val="32"/>
          <w:szCs w:val="32"/>
        </w:rPr>
        <w:t>万元，主要用于按规定开支的各</w:t>
      </w:r>
      <w:r>
        <w:rPr>
          <w:rFonts w:hint="eastAsia" w:ascii="仿宋_GB2312" w:hAnsi="仿宋_GB2312" w:eastAsia="仿宋_GB2312" w:cs="仿宋_GB2312"/>
          <w:color w:val="000000"/>
          <w:kern w:val="2"/>
          <w:sz w:val="32"/>
          <w:szCs w:val="32"/>
          <w:lang w:val="zh-CN" w:eastAsia="zh-CN" w:bidi="zh-CN"/>
        </w:rPr>
        <w:t>类公务接待支出</w:t>
      </w:r>
      <w:r>
        <w:rPr>
          <w:rFonts w:hint="eastAsia" w:ascii="仿宋_GB2312" w:hAnsi="仿宋_GB2312" w:eastAsia="仿宋_GB2312" w:cs="仿宋_GB2312"/>
          <w:color w:val="000000"/>
          <w:kern w:val="0"/>
          <w:sz w:val="32"/>
          <w:szCs w:val="32"/>
        </w:rPr>
        <w:t>，比202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年预算数减少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w:t>
      </w:r>
      <w:r>
        <w:rPr>
          <w:rFonts w:hint="eastAsia" w:ascii="方正仿宋_GBK" w:hAnsi="方正仿宋_GBK" w:eastAsia="方正仿宋_GBK" w:cs="方正仿宋_GBK"/>
          <w:color w:val="000000"/>
          <w:kern w:val="0"/>
          <w:sz w:val="32"/>
          <w:szCs w:val="32"/>
          <w:highlight w:val="none"/>
        </w:rPr>
        <w:t>主要原因</w:t>
      </w:r>
      <w:r>
        <w:rPr>
          <w:rFonts w:hint="eastAsia" w:ascii="方正仿宋_GBK" w:hAnsi="方正仿宋_GBK" w:eastAsia="方正仿宋_GBK" w:cs="方正仿宋_GBK"/>
          <w:color w:val="000000"/>
          <w:kern w:val="0"/>
          <w:sz w:val="32"/>
          <w:szCs w:val="32"/>
          <w:highlight w:val="none"/>
          <w:lang w:val="en-US" w:eastAsia="zh-CN"/>
        </w:rPr>
        <w:t>我单位2021年及2022年公务接待支出预算一样</w:t>
      </w:r>
      <w:r>
        <w:rPr>
          <w:rFonts w:hint="eastAsia" w:ascii="方正仿宋_GBK" w:hAnsi="方正仿宋_GBK" w:eastAsia="方正仿宋_GBK" w:cs="方正仿宋_GBK"/>
          <w:color w:val="000000"/>
          <w:kern w:val="0"/>
          <w:sz w:val="32"/>
          <w:szCs w:val="32"/>
          <w:highlight w:val="none"/>
        </w:rPr>
        <w:t>。</w:t>
      </w:r>
    </w:p>
    <w:p>
      <w:pPr>
        <w:kinsoku w:val="0"/>
        <w:overflowPunct w:val="0"/>
        <w:autoSpaceDE w:val="0"/>
        <w:autoSpaceDN w:val="0"/>
        <w:adjustRightInd w:val="0"/>
        <w:snapToGrid w:val="0"/>
        <w:spacing w:line="580" w:lineRule="exact"/>
        <w:ind w:firstLine="640"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kern w:val="0"/>
          <w:sz w:val="32"/>
          <w:szCs w:val="32"/>
        </w:rPr>
        <w:t xml:space="preserve"> </w:t>
      </w:r>
      <w:r>
        <w:rPr>
          <w:rFonts w:hint="eastAsia" w:ascii="黑体" w:hAnsi="黑体" w:eastAsia="黑体"/>
          <w:color w:val="000000"/>
          <w:spacing w:val="-1"/>
          <w:kern w:val="0"/>
          <w:sz w:val="32"/>
          <w:szCs w:val="32"/>
        </w:rPr>
        <w:t>十、其他重要事项的情况说明</w:t>
      </w:r>
    </w:p>
    <w:p>
      <w:pPr>
        <w:kinsoku w:val="0"/>
        <w:overflowPunct w:val="0"/>
        <w:autoSpaceDE w:val="0"/>
        <w:autoSpaceDN w:val="0"/>
        <w:adjustRightInd w:val="0"/>
        <w:snapToGrid w:val="0"/>
        <w:spacing w:line="580" w:lineRule="exact"/>
        <w:ind w:firstLine="640" w:firstLineChars="200"/>
        <w:outlineLvl w:val="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kern w:val="0"/>
          <w:sz w:val="32"/>
          <w:szCs w:val="32"/>
        </w:rPr>
        <w:t>（一）机关运行经费支出情况</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焦作市司法局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年机关运行经费支出预算</w:t>
      </w:r>
      <w:r>
        <w:rPr>
          <w:rFonts w:hint="eastAsia" w:ascii="仿宋_GB2312" w:hAnsi="仿宋_GB2312" w:eastAsia="仿宋_GB2312" w:cs="仿宋_GB2312"/>
          <w:color w:val="000000"/>
          <w:kern w:val="0"/>
          <w:sz w:val="32"/>
          <w:szCs w:val="32"/>
          <w:lang w:val="en-US" w:eastAsia="zh-CN"/>
        </w:rPr>
        <w:t>80.14</w:t>
      </w:r>
      <w:r>
        <w:rPr>
          <w:rFonts w:hint="eastAsia" w:ascii="仿宋_GB2312" w:hAnsi="仿宋_GB2312" w:eastAsia="仿宋_GB2312" w:cs="仿宋_GB2312"/>
          <w:color w:val="000000"/>
          <w:sz w:val="32"/>
          <w:szCs w:val="32"/>
        </w:rPr>
        <w:t>万元，主要保障机关机构正常运转及正常履职需要的办公费、水电费、物业费、维修费、差旅费等支出，比202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增加0.39</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val="en-US" w:eastAsia="zh-CN"/>
        </w:rPr>
        <w:t>增加0.49</w:t>
      </w:r>
      <w:r>
        <w:rPr>
          <w:rFonts w:hint="eastAsia" w:ascii="仿宋_GB2312" w:hAnsi="仿宋_GB2312" w:eastAsia="仿宋_GB2312" w:cs="仿宋_GB2312"/>
          <w:color w:val="000000"/>
          <w:kern w:val="0"/>
          <w:sz w:val="32"/>
          <w:szCs w:val="32"/>
        </w:rPr>
        <w:t>%，主要原因：</w:t>
      </w:r>
      <w:r>
        <w:rPr>
          <w:rFonts w:hint="eastAsia" w:ascii="仿宋_GB2312" w:hAnsi="仿宋_GB2312" w:eastAsia="仿宋_GB2312" w:cs="仿宋_GB2312"/>
          <w:color w:val="000000"/>
          <w:kern w:val="0"/>
          <w:sz w:val="32"/>
          <w:szCs w:val="32"/>
          <w:lang w:val="en-US" w:eastAsia="zh-CN"/>
        </w:rPr>
        <w:t>机关运行费用增加</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outlineLvl w:val="0"/>
        <w:rPr>
          <w:rFonts w:hint="eastAsia" w:ascii="Times New Roman" w:hAnsi="Times New Roman" w:eastAsia="楷体_GB2312" w:cs="仿宋_GB2312"/>
          <w:color w:val="000000"/>
          <w:kern w:val="0"/>
          <w:sz w:val="32"/>
          <w:szCs w:val="32"/>
        </w:rPr>
      </w:pPr>
      <w:r>
        <w:rPr>
          <w:rFonts w:hint="eastAsia" w:ascii="Times New Roman" w:hAnsi="Times New Roman" w:eastAsia="楷体_GB2312" w:cs="仿宋_GB2312"/>
          <w:color w:val="000000"/>
          <w:kern w:val="0"/>
          <w:sz w:val="32"/>
          <w:szCs w:val="32"/>
        </w:rPr>
        <w:t>（二）政府采购支出情况</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rPr>
          <w:rFonts w:hint="eastAsia" w:ascii="Times New Roman" w:hAnsi="Times New Roman" w:eastAsia="仿宋_GB2312" w:cs="仿宋_GB2312"/>
          <w:color w:val="000000"/>
          <w:spacing w:val="0"/>
          <w:sz w:val="32"/>
          <w:szCs w:val="32"/>
        </w:rPr>
      </w:pPr>
      <w:r>
        <w:rPr>
          <w:rFonts w:hint="eastAsia" w:ascii="Times New Roman" w:hAnsi="Times New Roman" w:eastAsia="仿宋_GB2312" w:cs="仿宋_GB2312"/>
          <w:color w:val="000000"/>
          <w:spacing w:val="0"/>
          <w:sz w:val="32"/>
          <w:szCs w:val="32"/>
        </w:rPr>
        <w:t>2022年政府采购预算安排</w:t>
      </w:r>
      <w:r>
        <w:rPr>
          <w:rFonts w:hint="eastAsia" w:ascii="Times New Roman" w:hAnsi="Times New Roman" w:eastAsia="仿宋_GB2312" w:cs="仿宋_GB2312"/>
          <w:color w:val="000000"/>
          <w:spacing w:val="0"/>
          <w:kern w:val="0"/>
          <w:sz w:val="32"/>
          <w:szCs w:val="32"/>
          <w:lang w:val="en-US" w:eastAsia="zh-CN"/>
        </w:rPr>
        <w:t>148.4</w:t>
      </w:r>
      <w:r>
        <w:rPr>
          <w:rFonts w:hint="eastAsia" w:ascii="Times New Roman" w:hAnsi="Times New Roman" w:eastAsia="仿宋_GB2312" w:cs="仿宋_GB2312"/>
          <w:color w:val="000000"/>
          <w:spacing w:val="0"/>
          <w:sz w:val="32"/>
          <w:szCs w:val="32"/>
        </w:rPr>
        <w:t>万元，其中：</w:t>
      </w:r>
      <w:r>
        <w:rPr>
          <w:rFonts w:hint="eastAsia" w:ascii="Times New Roman" w:hAnsi="Times New Roman" w:eastAsia="仿宋_GB2312" w:cs="仿宋_GB2312"/>
          <w:color w:val="000000"/>
          <w:spacing w:val="0"/>
          <w:kern w:val="0"/>
          <w:sz w:val="32"/>
          <w:szCs w:val="32"/>
        </w:rPr>
        <w:t>政府采购货物预算</w:t>
      </w:r>
      <w:r>
        <w:rPr>
          <w:rFonts w:hint="eastAsia" w:ascii="Times New Roman" w:hAnsi="Times New Roman" w:eastAsia="仿宋_GB2312" w:cs="仿宋_GB2312"/>
          <w:color w:val="000000"/>
          <w:spacing w:val="0"/>
          <w:kern w:val="0"/>
          <w:sz w:val="32"/>
          <w:szCs w:val="32"/>
          <w:lang w:val="en-US" w:eastAsia="zh-CN"/>
        </w:rPr>
        <w:t>148.4</w:t>
      </w:r>
      <w:r>
        <w:rPr>
          <w:rFonts w:hint="eastAsia" w:ascii="Times New Roman" w:hAnsi="Times New Roman" w:eastAsia="仿宋_GB2312" w:cs="仿宋_GB2312"/>
          <w:color w:val="000000"/>
          <w:spacing w:val="0"/>
          <w:kern w:val="0"/>
          <w:sz w:val="32"/>
          <w:szCs w:val="32"/>
        </w:rPr>
        <w:t>万元、政府采购工程预算</w:t>
      </w:r>
      <w:r>
        <w:rPr>
          <w:rFonts w:hint="eastAsia" w:ascii="Times New Roman" w:hAnsi="Times New Roman" w:eastAsia="仿宋_GB2312" w:cs="仿宋_GB2312"/>
          <w:color w:val="000000"/>
          <w:spacing w:val="0"/>
          <w:kern w:val="0"/>
          <w:sz w:val="32"/>
          <w:szCs w:val="32"/>
          <w:lang w:val="en-US" w:eastAsia="zh-CN"/>
        </w:rPr>
        <w:t>0</w:t>
      </w:r>
      <w:r>
        <w:rPr>
          <w:rFonts w:hint="eastAsia" w:ascii="Times New Roman" w:hAnsi="Times New Roman" w:eastAsia="仿宋_GB2312" w:cs="仿宋_GB2312"/>
          <w:color w:val="000000"/>
          <w:spacing w:val="0"/>
          <w:kern w:val="0"/>
          <w:sz w:val="32"/>
          <w:szCs w:val="32"/>
        </w:rPr>
        <w:t>万元、政府采购服务预算</w:t>
      </w:r>
      <w:r>
        <w:rPr>
          <w:rFonts w:hint="eastAsia" w:ascii="Times New Roman" w:hAnsi="Times New Roman" w:eastAsia="仿宋_GB2312" w:cs="仿宋_GB2312"/>
          <w:color w:val="000000"/>
          <w:spacing w:val="0"/>
          <w:kern w:val="0"/>
          <w:sz w:val="32"/>
          <w:szCs w:val="32"/>
          <w:lang w:val="en-US" w:eastAsia="zh-CN"/>
        </w:rPr>
        <w:t>0</w:t>
      </w:r>
      <w:r>
        <w:rPr>
          <w:rFonts w:hint="eastAsia" w:ascii="Times New Roman" w:hAnsi="Times New Roman" w:eastAsia="仿宋_GB2312" w:cs="仿宋_GB2312"/>
          <w:color w:val="000000"/>
          <w:spacing w:val="0"/>
          <w:kern w:val="0"/>
          <w:sz w:val="32"/>
          <w:szCs w:val="32"/>
        </w:rPr>
        <w:t>万元。</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outlineLvl w:val="0"/>
        <w:rPr>
          <w:rFonts w:hint="eastAsia" w:ascii="Times New Roman" w:hAnsi="Times New Roman" w:eastAsia="楷体_GB2312" w:cs="仿宋_GB2312"/>
          <w:color w:val="000000"/>
          <w:kern w:val="0"/>
          <w:sz w:val="32"/>
          <w:szCs w:val="32"/>
        </w:rPr>
      </w:pPr>
      <w:r>
        <w:rPr>
          <w:rFonts w:hint="eastAsia" w:ascii="Times New Roman" w:hAnsi="Times New Roman" w:eastAsia="楷体_GB2312" w:cs="仿宋_GB2312"/>
          <w:color w:val="000000"/>
          <w:kern w:val="0"/>
          <w:sz w:val="32"/>
          <w:szCs w:val="32"/>
        </w:rPr>
        <w:t>（三）关于预算绩效管理工作开展情况说明</w:t>
      </w:r>
    </w:p>
    <w:p>
      <w:pPr>
        <w:keepNext w:val="0"/>
        <w:keepLines w:val="0"/>
        <w:pageBreakBefore w:val="0"/>
        <w:widowControl w:val="0"/>
        <w:kinsoku/>
        <w:wordWrap/>
        <w:overflowPunct w:val="0"/>
        <w:topLinePunct w:val="0"/>
        <w:autoSpaceDE w:val="0"/>
        <w:autoSpaceDN w:val="0"/>
        <w:bidi w:val="0"/>
        <w:adjustRightInd w:val="0"/>
        <w:snapToGrid w:val="0"/>
        <w:spacing w:line="574" w:lineRule="exact"/>
        <w:ind w:left="0" w:leftChars="0" w:right="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2022年</w:t>
      </w:r>
      <w:r>
        <w:rPr>
          <w:rFonts w:hint="eastAsia" w:ascii="Times New Roman" w:hAnsi="Times New Roman" w:eastAsia="仿宋_GB2312" w:cs="仿宋_GB2312"/>
          <w:color w:val="000000"/>
          <w:kern w:val="0"/>
          <w:sz w:val="32"/>
          <w:szCs w:val="32"/>
          <w:lang w:eastAsia="zh-CN"/>
        </w:rPr>
        <w:t>焦作市</w:t>
      </w:r>
      <w:r>
        <w:rPr>
          <w:rFonts w:hint="eastAsia" w:ascii="Times New Roman" w:hAnsi="Times New Roman" w:eastAsia="仿宋_GB2312" w:cs="仿宋_GB2312"/>
          <w:color w:val="000000"/>
          <w:kern w:val="0"/>
          <w:sz w:val="32"/>
          <w:szCs w:val="32"/>
          <w:lang w:val="en-US" w:eastAsia="zh-CN"/>
        </w:rPr>
        <w:t>司法局</w:t>
      </w:r>
      <w:r>
        <w:rPr>
          <w:rFonts w:ascii="Times New Roman" w:hAnsi="Times New Roman" w:eastAsia="仿宋_GB2312" w:cs="仿宋_GB2312"/>
          <w:color w:val="000000"/>
          <w:sz w:val="32"/>
          <w:szCs w:val="32"/>
        </w:rPr>
        <w:t>按要求编制了绩效目标，</w:t>
      </w:r>
      <w:r>
        <w:rPr>
          <w:rFonts w:hint="eastAsia" w:ascii="Times New Roman" w:hAnsi="Times New Roman" w:eastAsia="仿宋_GB2312" w:cs="仿宋_GB2312"/>
          <w:color w:val="000000"/>
          <w:sz w:val="32"/>
          <w:szCs w:val="32"/>
        </w:rPr>
        <w:t>包括单位整体绩效目标和项目支出绩效目标，</w:t>
      </w:r>
      <w:r>
        <w:rPr>
          <w:rFonts w:ascii="Times New Roman" w:hAnsi="Times New Roman" w:eastAsia="仿宋_GB2312" w:cs="仿宋_GB2312"/>
          <w:color w:val="000000"/>
          <w:sz w:val="32"/>
          <w:szCs w:val="32"/>
        </w:rPr>
        <w:t>综合反映</w:t>
      </w:r>
      <w:r>
        <w:rPr>
          <w:rFonts w:hint="eastAsia" w:ascii="Times New Roman" w:hAnsi="Times New Roman" w:eastAsia="仿宋_GB2312" w:cs="仿宋_GB2312"/>
          <w:color w:val="000000"/>
          <w:sz w:val="32"/>
          <w:szCs w:val="32"/>
        </w:rPr>
        <w:t>了单位及各</w:t>
      </w:r>
      <w:r>
        <w:rPr>
          <w:rFonts w:ascii="Times New Roman" w:hAnsi="Times New Roman" w:eastAsia="仿宋_GB2312" w:cs="仿宋_GB2312"/>
          <w:color w:val="000000"/>
          <w:sz w:val="32"/>
          <w:szCs w:val="32"/>
        </w:rPr>
        <w:t>项目预期完成的数量、实效、质量</w:t>
      </w:r>
      <w:r>
        <w:rPr>
          <w:rFonts w:hint="eastAsia" w:ascii="Times New Roman" w:hAnsi="Times New Roman" w:eastAsia="仿宋_GB2312" w:cs="仿宋_GB2312"/>
          <w:color w:val="000000"/>
          <w:sz w:val="32"/>
          <w:szCs w:val="32"/>
        </w:rPr>
        <w:t>，产生的</w:t>
      </w:r>
      <w:r>
        <w:rPr>
          <w:rFonts w:ascii="Times New Roman" w:hAnsi="Times New Roman" w:eastAsia="仿宋_GB2312" w:cs="仿宋_GB2312"/>
          <w:color w:val="000000"/>
          <w:sz w:val="32"/>
          <w:szCs w:val="32"/>
        </w:rPr>
        <w:t>社会经济效益</w:t>
      </w:r>
      <w:r>
        <w:rPr>
          <w:rFonts w:hint="eastAsia" w:ascii="Times New Roman" w:hAnsi="Times New Roman" w:eastAsia="仿宋_GB2312" w:cs="仿宋_GB2312"/>
          <w:color w:val="000000"/>
          <w:sz w:val="32"/>
          <w:szCs w:val="32"/>
        </w:rPr>
        <w:t>和</w:t>
      </w:r>
      <w:r>
        <w:rPr>
          <w:rFonts w:ascii="Times New Roman" w:hAnsi="Times New Roman" w:eastAsia="仿宋_GB2312" w:cs="仿宋_GB2312"/>
          <w:color w:val="000000"/>
          <w:sz w:val="32"/>
          <w:szCs w:val="32"/>
        </w:rPr>
        <w:t>服务对象满意度等</w:t>
      </w:r>
      <w:r>
        <w:rPr>
          <w:rFonts w:hint="eastAsia" w:ascii="Times New Roman" w:hAnsi="Times New Roman" w:eastAsia="仿宋_GB2312" w:cs="仿宋_GB2312"/>
          <w:color w:val="000000"/>
          <w:sz w:val="32"/>
          <w:szCs w:val="32"/>
        </w:rPr>
        <w:t>情况</w:t>
      </w:r>
      <w:r>
        <w:rPr>
          <w:rFonts w:ascii="Times New Roman" w:hAnsi="Times New Roman" w:eastAsia="仿宋_GB2312" w:cs="仿宋_GB2312"/>
          <w:color w:val="000000"/>
          <w:sz w:val="32"/>
          <w:szCs w:val="32"/>
        </w:rPr>
        <w:t>。</w:t>
      </w:r>
      <w:r>
        <w:rPr>
          <w:rFonts w:hint="eastAsia" w:ascii="Times New Roman" w:hAnsi="Times New Roman"/>
          <w:color w:val="000000"/>
          <w:sz w:val="28"/>
          <w:szCs w:val="28"/>
        </w:rPr>
        <w:t xml:space="preserve"> </w:t>
      </w:r>
      <w:r>
        <w:rPr>
          <w:rFonts w:hint="eastAsia" w:ascii="Times New Roman" w:hAnsi="Times New Roman" w:eastAsia="仿宋_GB2312" w:cs="仿宋_GB2312"/>
          <w:color w:val="000000"/>
          <w:sz w:val="32"/>
          <w:szCs w:val="32"/>
        </w:rPr>
        <w:t>2022年，我单位纳入预算绩效管理的支出总额为</w:t>
      </w:r>
      <w:r>
        <w:rPr>
          <w:rFonts w:hint="eastAsia" w:ascii="Times New Roman" w:hAnsi="Times New Roman" w:eastAsia="仿宋_GB2312" w:cs="仿宋_GB2312"/>
          <w:color w:val="000000"/>
          <w:sz w:val="32"/>
          <w:szCs w:val="32"/>
          <w:lang w:val="en-US" w:eastAsia="zh-CN"/>
        </w:rPr>
        <w:t>2583.13</w:t>
      </w:r>
      <w:r>
        <w:rPr>
          <w:rFonts w:hint="eastAsia" w:ascii="Times New Roman" w:hAnsi="Times New Roman" w:eastAsia="仿宋_GB2312" w:cs="仿宋_GB2312"/>
          <w:color w:val="000000"/>
          <w:sz w:val="32"/>
          <w:szCs w:val="32"/>
        </w:rPr>
        <w:t>万元。其中：人员经费支出</w:t>
      </w:r>
      <w:r>
        <w:rPr>
          <w:rFonts w:hint="eastAsia" w:ascii="Times New Roman" w:hAnsi="Times New Roman" w:eastAsia="仿宋_GB2312" w:cs="仿宋_GB2312"/>
          <w:color w:val="000000"/>
          <w:kern w:val="0"/>
          <w:sz w:val="32"/>
          <w:szCs w:val="32"/>
          <w:lang w:val="en-US" w:eastAsia="zh-CN"/>
        </w:rPr>
        <w:t>1537.61</w:t>
      </w:r>
      <w:r>
        <w:rPr>
          <w:rFonts w:hint="eastAsia" w:ascii="Times New Roman" w:hAnsi="Times New Roman" w:eastAsia="仿宋_GB2312" w:cs="仿宋_GB2312"/>
          <w:color w:val="000000"/>
          <w:sz w:val="32"/>
          <w:szCs w:val="32"/>
        </w:rPr>
        <w:t>万元；公用经费支出</w:t>
      </w:r>
      <w:r>
        <w:rPr>
          <w:rFonts w:hint="eastAsia" w:ascii="Times New Roman" w:hAnsi="Times New Roman" w:eastAsia="仿宋_GB2312" w:cs="仿宋_GB2312"/>
          <w:color w:val="000000"/>
          <w:kern w:val="0"/>
          <w:sz w:val="32"/>
          <w:szCs w:val="32"/>
          <w:lang w:val="en-US" w:eastAsia="zh-CN"/>
        </w:rPr>
        <w:t>175.11</w:t>
      </w:r>
      <w:r>
        <w:rPr>
          <w:rFonts w:hint="eastAsia" w:ascii="Times New Roman" w:hAnsi="Times New Roman" w:eastAsia="仿宋_GB2312" w:cs="仿宋_GB2312"/>
          <w:color w:val="000000"/>
          <w:sz w:val="32"/>
          <w:szCs w:val="32"/>
        </w:rPr>
        <w:t>万元；项目支出</w:t>
      </w:r>
      <w:r>
        <w:rPr>
          <w:rFonts w:hint="eastAsia" w:ascii="Times New Roman" w:hAnsi="Times New Roman" w:eastAsia="仿宋_GB2312" w:cs="仿宋_GB2312"/>
          <w:color w:val="000000"/>
          <w:kern w:val="0"/>
          <w:sz w:val="32"/>
          <w:szCs w:val="32"/>
          <w:lang w:val="en-US" w:eastAsia="zh-CN"/>
        </w:rPr>
        <w:t>870.41</w:t>
      </w:r>
      <w:r>
        <w:rPr>
          <w:rFonts w:hint="eastAsia" w:ascii="Times New Roman" w:hAnsi="Times New Roman" w:eastAsia="仿宋_GB2312" w:cs="仿宋_GB2312"/>
          <w:color w:val="000000"/>
          <w:sz w:val="32"/>
          <w:szCs w:val="32"/>
        </w:rPr>
        <w:t>万元，涉及项目</w:t>
      </w:r>
      <w:r>
        <w:rPr>
          <w:rFonts w:hint="eastAsia" w:ascii="Times New Roman" w:hAnsi="Times New Roman" w:eastAsia="仿宋_GB2312" w:cs="仿宋_GB2312"/>
          <w:color w:val="000000"/>
          <w:kern w:val="0"/>
          <w:sz w:val="32"/>
          <w:szCs w:val="32"/>
          <w:lang w:val="en-US" w:eastAsia="zh-CN"/>
        </w:rPr>
        <w:t>24</w:t>
      </w:r>
      <w:r>
        <w:rPr>
          <w:rFonts w:hint="eastAsia" w:ascii="Times New Roman" w:hAnsi="Times New Roman" w:eastAsia="仿宋_GB2312" w:cs="仿宋_GB2312"/>
          <w:color w:val="000000"/>
          <w:sz w:val="32"/>
          <w:szCs w:val="32"/>
        </w:rPr>
        <w:t>个。</w:t>
      </w:r>
    </w:p>
    <w:p>
      <w:pPr>
        <w:spacing w:line="580" w:lineRule="exact"/>
        <w:ind w:left="420" w:leftChars="200"/>
        <w:rPr>
          <w:rFonts w:hint="eastAsia" w:ascii="楷体_GB2312" w:hAnsi="仿宋_GB2312" w:eastAsia="楷体_GB2312" w:cs="仿宋_GB2312"/>
          <w:bCs/>
          <w:color w:val="000000"/>
          <w:sz w:val="32"/>
          <w:szCs w:val="32"/>
        </w:rPr>
      </w:pPr>
      <w:r>
        <w:rPr>
          <w:rFonts w:hint="eastAsia" w:ascii="楷体_GB2312" w:hAnsi="仿宋_GB2312" w:eastAsia="楷体_GB2312" w:cs="仿宋_GB2312"/>
          <w:bCs/>
          <w:color w:val="000000"/>
          <w:sz w:val="32"/>
          <w:szCs w:val="32"/>
        </w:rPr>
        <w:t>（四）国有资产占用情况</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年期末，</w:t>
      </w:r>
      <w:r>
        <w:rPr>
          <w:rFonts w:hint="eastAsia" w:ascii="仿宋_GB2312" w:hAnsi="仿宋_GB2312" w:eastAsia="仿宋_GB2312" w:cs="仿宋_GB2312"/>
          <w:color w:val="000000"/>
          <w:kern w:val="0"/>
          <w:sz w:val="32"/>
          <w:szCs w:val="32"/>
          <w:lang w:val="en-US" w:eastAsia="zh-CN"/>
        </w:rPr>
        <w:t>焦作市司法局</w:t>
      </w:r>
      <w:r>
        <w:rPr>
          <w:rFonts w:hint="eastAsia" w:ascii="仿宋_GB2312" w:hAnsi="仿宋_GB2312" w:eastAsia="仿宋_GB2312" w:cs="仿宋_GB2312"/>
          <w:color w:val="000000"/>
          <w:kern w:val="0"/>
          <w:sz w:val="32"/>
          <w:szCs w:val="32"/>
        </w:rPr>
        <w:t>固定资产总额</w:t>
      </w:r>
      <w:r>
        <w:rPr>
          <w:rFonts w:hint="eastAsia" w:ascii="仿宋_GB2312" w:hAnsi="仿宋_GB2312" w:eastAsia="仿宋_GB2312" w:cs="仿宋_GB2312"/>
          <w:color w:val="000000"/>
          <w:kern w:val="0"/>
          <w:sz w:val="32"/>
          <w:szCs w:val="32"/>
          <w:lang w:val="en-US" w:eastAsia="zh-CN"/>
        </w:rPr>
        <w:t>1008.81</w:t>
      </w:r>
      <w:r>
        <w:rPr>
          <w:rFonts w:hint="eastAsia" w:ascii="仿宋_GB2312" w:hAnsi="仿宋_GB2312" w:eastAsia="仿宋_GB2312" w:cs="仿宋_GB2312"/>
          <w:color w:val="000000"/>
          <w:kern w:val="0"/>
          <w:sz w:val="32"/>
          <w:szCs w:val="32"/>
        </w:rPr>
        <w:t>万元，其中，房屋建筑物</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万元，车辆</w:t>
      </w:r>
      <w:r>
        <w:rPr>
          <w:rFonts w:hint="eastAsia" w:ascii="仿宋_GB2312" w:hAnsi="仿宋_GB2312" w:eastAsia="仿宋_GB2312" w:cs="仿宋_GB2312"/>
          <w:color w:val="000000"/>
          <w:kern w:val="0"/>
          <w:sz w:val="32"/>
          <w:szCs w:val="32"/>
          <w:lang w:val="en-US" w:eastAsia="zh-CN"/>
        </w:rPr>
        <w:t>124.17</w:t>
      </w:r>
      <w:r>
        <w:rPr>
          <w:rFonts w:hint="eastAsia" w:ascii="仿宋_GB2312" w:hAnsi="仿宋_GB2312" w:eastAsia="仿宋_GB2312" w:cs="仿宋_GB2312"/>
          <w:color w:val="000000"/>
          <w:kern w:val="0"/>
          <w:sz w:val="32"/>
          <w:szCs w:val="32"/>
        </w:rPr>
        <w:t>万元，办公设备</w:t>
      </w:r>
      <w:r>
        <w:rPr>
          <w:rFonts w:hint="eastAsia" w:ascii="仿宋_GB2312" w:hAnsi="仿宋_GB2312" w:eastAsia="仿宋_GB2312" w:cs="仿宋_GB2312"/>
          <w:color w:val="000000"/>
          <w:kern w:val="0"/>
          <w:sz w:val="32"/>
          <w:szCs w:val="32"/>
          <w:lang w:val="en-US" w:eastAsia="zh-CN"/>
        </w:rPr>
        <w:t>877.15</w:t>
      </w:r>
      <w:r>
        <w:rPr>
          <w:rFonts w:hint="eastAsia" w:ascii="仿宋_GB2312" w:hAnsi="仿宋_GB2312" w:eastAsia="仿宋_GB2312" w:cs="仿宋_GB2312"/>
          <w:color w:val="000000"/>
          <w:kern w:val="0"/>
          <w:sz w:val="32"/>
          <w:szCs w:val="32"/>
        </w:rPr>
        <w:t>万元，专用设备</w:t>
      </w:r>
      <w:r>
        <w:rPr>
          <w:rFonts w:hint="eastAsia" w:ascii="仿宋_GB2312" w:hAnsi="仿宋_GB2312" w:eastAsia="仿宋_GB2312" w:cs="仿宋_GB2312"/>
          <w:color w:val="000000"/>
          <w:kern w:val="0"/>
          <w:sz w:val="32"/>
          <w:szCs w:val="32"/>
          <w:lang w:val="en-US" w:eastAsia="zh-CN"/>
        </w:rPr>
        <w:t>7.49</w:t>
      </w:r>
      <w:r>
        <w:rPr>
          <w:rFonts w:hint="eastAsia" w:ascii="仿宋_GB2312" w:hAnsi="仿宋_GB2312" w:eastAsia="仿宋_GB2312" w:cs="仿宋_GB2312"/>
          <w:color w:val="000000"/>
          <w:kern w:val="0"/>
          <w:sz w:val="32"/>
          <w:szCs w:val="32"/>
        </w:rPr>
        <w:t>万元。车辆共有</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辆，其中：一般公务用车</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辆，执法执勤车</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辆，</w:t>
      </w:r>
      <w:r>
        <w:rPr>
          <w:rFonts w:hint="eastAsia" w:ascii="仿宋_GB2312" w:hAnsi="仿宋_GB2312" w:eastAsia="仿宋_GB2312" w:cs="仿宋_GB2312"/>
          <w:color w:val="000000"/>
          <w:sz w:val="32"/>
          <w:szCs w:val="32"/>
        </w:rPr>
        <w:t>单价50万元以上通用设备</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sz w:val="32"/>
          <w:szCs w:val="32"/>
        </w:rPr>
        <w:t>台（套），单位价值100万元以上专用设备</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sz w:val="32"/>
          <w:szCs w:val="32"/>
        </w:rPr>
        <w:t>台（套）</w:t>
      </w:r>
      <w:r>
        <w:rPr>
          <w:rFonts w:hint="eastAsia" w:ascii="仿宋_GB2312" w:hAnsi="宋体" w:eastAsia="仿宋_GB2312" w:cs="仿宋_GB2312"/>
          <w:color w:val="000000"/>
          <w:sz w:val="32"/>
          <w:szCs w:val="32"/>
        </w:rPr>
        <w:t>。</w:t>
      </w:r>
    </w:p>
    <w:p>
      <w:pPr>
        <w:widowControl/>
        <w:spacing w:line="580" w:lineRule="exact"/>
        <w:ind w:firstLine="640" w:firstLineChars="200"/>
        <w:rPr>
          <w:rFonts w:hint="eastAsia" w:ascii="楷体_GB2312" w:hAnsi="仿宋_GB2312" w:eastAsia="楷体_GB2312" w:cs="仿宋_GB2312"/>
          <w:color w:val="000000"/>
          <w:kern w:val="0"/>
          <w:sz w:val="32"/>
          <w:szCs w:val="32"/>
        </w:rPr>
      </w:pPr>
      <w:r>
        <w:rPr>
          <w:rFonts w:hint="eastAsia" w:ascii="楷体_GB2312" w:hAnsi="仿宋_GB2312" w:eastAsia="楷体_GB2312" w:cs="仿宋_GB2312"/>
          <w:color w:val="000000"/>
          <w:kern w:val="0"/>
          <w:sz w:val="32"/>
          <w:szCs w:val="32"/>
        </w:rPr>
        <w:t>（五）专项转移支付项目情况</w:t>
      </w:r>
    </w:p>
    <w:p>
      <w:pPr>
        <w:widowControl/>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单位没有</w:t>
      </w:r>
      <w:r>
        <w:rPr>
          <w:rFonts w:hint="eastAsia" w:ascii="仿宋_GB2312" w:hAnsi="仿宋_GB2312" w:eastAsia="仿宋_GB2312" w:cs="仿宋_GB2312"/>
          <w:color w:val="000000"/>
          <w:sz w:val="32"/>
          <w:szCs w:val="32"/>
        </w:rPr>
        <w:t>负责管理的专项转移支付项目</w:t>
      </w:r>
      <w:r>
        <w:rPr>
          <w:rFonts w:hint="eastAsia" w:ascii="仿宋_GB2312" w:hAnsi="仿宋_GB2312" w:eastAsia="仿宋_GB2312" w:cs="仿宋_GB2312"/>
          <w:color w:val="000000"/>
          <w:sz w:val="32"/>
          <w:szCs w:val="32"/>
          <w:lang w:eastAsia="zh-CN"/>
        </w:rPr>
        <w:t>。</w:t>
      </w:r>
    </w:p>
    <w:p>
      <w:pPr>
        <w:widowControl/>
        <w:spacing w:line="580" w:lineRule="exact"/>
        <w:ind w:firstLine="640" w:firstLineChars="200"/>
        <w:rPr>
          <w:rFonts w:hint="eastAsia" w:ascii="楷体_GB2312" w:hAnsi="仿宋_GB2312" w:eastAsia="楷体_GB2312" w:cs="仿宋_GB2312"/>
          <w:color w:val="000000"/>
          <w:kern w:val="0"/>
          <w:sz w:val="32"/>
          <w:szCs w:val="32"/>
        </w:rPr>
      </w:pPr>
      <w:r>
        <w:rPr>
          <w:rFonts w:hint="eastAsia" w:ascii="楷体_GB2312" w:hAnsi="仿宋_GB2312" w:eastAsia="楷体_GB2312" w:cs="仿宋_GB2312"/>
          <w:color w:val="000000"/>
          <w:kern w:val="0"/>
          <w:sz w:val="32"/>
          <w:szCs w:val="32"/>
        </w:rPr>
        <w:t>（六）关于预算部门构成说明</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年我单位按照市财政预算公开要求，将所属预算单位全部纳入预算公开范围。</w:t>
      </w:r>
    </w:p>
    <w:p>
      <w:pPr>
        <w:pStyle w:val="2"/>
        <w:rPr>
          <w:rFonts w:hint="eastAsia"/>
        </w:rPr>
      </w:pPr>
    </w:p>
    <w:p>
      <w:pPr>
        <w:pStyle w:val="2"/>
        <w:rPr>
          <w:rFonts w:hint="eastAsia"/>
        </w:rPr>
      </w:pPr>
    </w:p>
    <w:p>
      <w:pPr>
        <w:adjustRightInd w:val="0"/>
        <w:snapToGrid w:val="0"/>
        <w:spacing w:line="580" w:lineRule="exact"/>
        <w:jc w:val="center"/>
        <w:rPr>
          <w:rFonts w:hint="eastAsia" w:ascii="黑体" w:hAnsi="黑体" w:eastAsia="黑体"/>
          <w:bCs/>
          <w:color w:val="000000"/>
          <w:sz w:val="36"/>
          <w:szCs w:val="36"/>
        </w:rPr>
      </w:pPr>
      <w:r>
        <w:rPr>
          <w:rFonts w:hint="eastAsia" w:ascii="黑体" w:hAnsi="黑体" w:eastAsia="黑体"/>
          <w:bCs/>
          <w:color w:val="000000"/>
          <w:sz w:val="36"/>
          <w:szCs w:val="36"/>
        </w:rPr>
        <w:t>第三部分  名词解释</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一、财政拨款收入：是指市级财政当年拨付的资金。</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二、事业收入：是指事业单位开展专业活动及辅助活动所取 得的收入。</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宋体" w:eastAsia="仿宋_GB2312" w:cs="Courier New"/>
          <w:color w:val="000000"/>
          <w:sz w:val="32"/>
          <w:szCs w:val="32"/>
        </w:rPr>
        <w:t>七、机关运行经费：是指为保障行政</w:t>
      </w:r>
      <w:r>
        <w:rPr>
          <w:rFonts w:hint="eastAsia" w:ascii="仿宋_GB2312" w:hAnsi="仿宋_GB2312" w:eastAsia="仿宋_GB2312" w:cs="仿宋_GB2312"/>
          <w:color w:val="000000"/>
          <w:sz w:val="32"/>
          <w:szCs w:val="32"/>
        </w:rPr>
        <w:t>机构正常运转及正常履职需要的办公费、水电费、日常维修、物业费、维修费、差旅费、</w:t>
      </w:r>
      <w:r>
        <w:rPr>
          <w:rFonts w:hint="eastAsia" w:ascii="仿宋_GB2312" w:hAnsi="宋体" w:eastAsia="仿宋_GB2312" w:cs="Courier New"/>
          <w:color w:val="000000"/>
          <w:sz w:val="32"/>
          <w:szCs w:val="32"/>
        </w:rPr>
        <w:t>公务用车运行维护费以及其他费用</w:t>
      </w:r>
      <w:r>
        <w:rPr>
          <w:rFonts w:hint="eastAsia" w:ascii="仿宋_GB2312" w:hAnsi="仿宋_GB2312" w:eastAsia="仿宋_GB2312" w:cs="仿宋_GB2312"/>
          <w:color w:val="000000"/>
          <w:sz w:val="32"/>
          <w:szCs w:val="32"/>
        </w:rPr>
        <w:t>等支出。</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八、普法宣传工作经费：是指为普及法律常识而产生的相关  普法广告，宣传资料等费用。</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九、法律援助工作经费：是指为经济困难或特殊案件的人给予无偿提供法律服务而产生的费用。</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p>
    <w:p>
      <w:pPr>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焦作市司法局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年度预算表</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3"/>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08"/>
        <w:gridCol w:w="1641"/>
        <w:gridCol w:w="3008"/>
        <w:gridCol w:w="1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9300" w:type="dxa"/>
            <w:gridSpan w:val="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930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2022年单位收支预算表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300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4649"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643"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w:t>
            </w:r>
          </w:p>
        </w:tc>
        <w:tc>
          <w:tcPr>
            <w:tcW w:w="46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项目  </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金额  </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项目  </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二、政府性基金预算拨款收入</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三、国有资本经营预算拨款收入</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四、财政专户管理资金收入</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五、事业收入</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六、事业单位经营收入</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七、文化旅游体育与传媒</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七、上级补助收入</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八、附属单位上缴收入</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九、社会保险基金支出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九、其他收入</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收 入 合 计</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支 出 合 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 入 总 计</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3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 出 总 计</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r>
    </w:tbl>
    <w:p>
      <w:pPr>
        <w:pStyle w:val="2"/>
        <w:rPr>
          <w:rFonts w:hint="eastAsia"/>
        </w:rPr>
      </w:pPr>
    </w:p>
    <w:p>
      <w:pPr>
        <w:pStyle w:val="2"/>
        <w:rPr>
          <w:rFonts w:hint="eastAsia" w:ascii="Times New Roman" w:hAnsi="Times New Roman" w:eastAsia="仿宋_GB2312" w:cs="仿宋_GB2312"/>
          <w:color w:val="000000"/>
          <w:sz w:val="32"/>
          <w:szCs w:val="32"/>
          <w:lang w:eastAsia="zh-CN"/>
        </w:rPr>
      </w:pPr>
    </w:p>
    <w:p>
      <w:pPr>
        <w:pStyle w:val="2"/>
        <w:ind w:firstLine="640" w:firstLineChars="200"/>
        <w:rPr>
          <w:rFonts w:hint="eastAsia" w:ascii="仿宋" w:hAnsi="仿宋" w:eastAsia="仿宋" w:cs="仿宋"/>
          <w:color w:val="000000"/>
          <w:sz w:val="32"/>
          <w:szCs w:val="32"/>
        </w:rPr>
      </w:pPr>
    </w:p>
    <w:p>
      <w:pPr>
        <w:adjustRightInd w:val="0"/>
        <w:snapToGrid w:val="0"/>
        <w:spacing w:line="580" w:lineRule="exact"/>
        <w:ind w:firstLine="640" w:firstLineChars="200"/>
        <w:rPr>
          <w:rFonts w:hint="eastAsia" w:ascii="Arial" w:hAnsi="Arial" w:eastAsia="仿宋_GB2312" w:cs="Arial"/>
          <w:color w:val="000000"/>
          <w:sz w:val="32"/>
          <w:szCs w:val="32"/>
        </w:rPr>
      </w:pPr>
      <w:r>
        <w:rPr>
          <w:rFonts w:hint="eastAsia" w:ascii="Arial" w:hAnsi="Arial" w:eastAsia="仿宋_GB2312" w:cs="Arial"/>
          <w:color w:val="000000"/>
          <w:sz w:val="32"/>
          <w:szCs w:val="32"/>
        </w:rPr>
        <w:t xml:space="preserve">  </w:t>
      </w: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p>
      <w:pPr>
        <w:pStyle w:val="2"/>
        <w:rPr>
          <w:rFonts w:hint="eastAsia" w:ascii="Arial" w:hAnsi="Arial" w:eastAsia="仿宋_GB2312" w:cs="Arial"/>
          <w:color w:val="000000"/>
          <w:sz w:val="32"/>
          <w:szCs w:val="32"/>
        </w:rPr>
      </w:pPr>
    </w:p>
    <w:tbl>
      <w:tblPr>
        <w:tblStyle w:val="3"/>
        <w:tblW w:w="7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
        <w:gridCol w:w="353"/>
        <w:gridCol w:w="455"/>
        <w:gridCol w:w="455"/>
        <w:gridCol w:w="353"/>
        <w:gridCol w:w="353"/>
        <w:gridCol w:w="353"/>
        <w:gridCol w:w="455"/>
        <w:gridCol w:w="455"/>
        <w:gridCol w:w="455"/>
        <w:gridCol w:w="284"/>
        <w:gridCol w:w="284"/>
        <w:gridCol w:w="284"/>
        <w:gridCol w:w="284"/>
        <w:gridCol w:w="284"/>
        <w:gridCol w:w="284"/>
        <w:gridCol w:w="284"/>
        <w:gridCol w:w="284"/>
        <w:gridCol w:w="421"/>
        <w:gridCol w:w="421"/>
        <w:gridCol w:w="284"/>
        <w:gridCol w:w="284"/>
        <w:gridCol w:w="285"/>
        <w:gridCol w:w="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7860" w:type="dxa"/>
            <w:gridSpan w:val="2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7860"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2022年单位收入预算表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43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7097" w:type="dxa"/>
            <w:gridSpan w:val="2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33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部门（单位）代码</w:t>
            </w:r>
          </w:p>
        </w:tc>
        <w:tc>
          <w:tcPr>
            <w:tcW w:w="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部门（单位）名称</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本年收入</w:t>
            </w:r>
          </w:p>
        </w:tc>
        <w:tc>
          <w:tcPr>
            <w:tcW w:w="18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w:t>
            </w:r>
          </w:p>
        </w:tc>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9" w:hRule="atLeast"/>
        </w:trPr>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127101</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焦作市司法局</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Arial" w:hAnsi="Arial" w:eastAsia="仿宋_GB2312" w:cs="Arial"/>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sectPr>
          <w:pgSz w:w="11906" w:h="16838"/>
          <w:pgMar w:top="1440" w:right="1800" w:bottom="1440" w:left="1800" w:header="851" w:footer="992" w:gutter="0"/>
          <w:cols w:space="425" w:num="1"/>
          <w:docGrid w:type="lines" w:linePitch="312" w:charSpace="0"/>
        </w:sectPr>
      </w:pPr>
    </w:p>
    <w:tbl>
      <w:tblPr>
        <w:tblStyle w:val="3"/>
        <w:tblW w:w="14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68"/>
        <w:gridCol w:w="469"/>
        <w:gridCol w:w="756"/>
        <w:gridCol w:w="2384"/>
        <w:gridCol w:w="1403"/>
        <w:gridCol w:w="1403"/>
        <w:gridCol w:w="1208"/>
        <w:gridCol w:w="972"/>
        <w:gridCol w:w="1115"/>
        <w:gridCol w:w="989"/>
        <w:gridCol w:w="1170"/>
        <w:gridCol w:w="998"/>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4820" w:type="dxa"/>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482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2022年单位支出预算表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409"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12410"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00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31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1712.72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1361.37</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187.29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330.12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1712.72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1361.37</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187.29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330.12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2173.61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1303.20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1121.13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330.12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其他行政事业单位养老支出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行政单位医疗</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事业单位医疗</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20"/>
        <w:gridCol w:w="846"/>
        <w:gridCol w:w="2784"/>
        <w:gridCol w:w="1045"/>
        <w:gridCol w:w="986"/>
        <w:gridCol w:w="1016"/>
        <w:gridCol w:w="1053"/>
        <w:gridCol w:w="639"/>
        <w:gridCol w:w="610"/>
        <w:gridCol w:w="756"/>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532" w:type="dxa"/>
            <w:gridSpan w:val="11"/>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3532"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2022年财政拨款收支预算表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8295"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  </w:t>
            </w:r>
          </w:p>
        </w:tc>
        <w:tc>
          <w:tcPr>
            <w:tcW w:w="97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　额</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一般公共预算  </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小计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其中：上级专项转移支付安排支出</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一、本年收入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1902.32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1902.32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1902.32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（四）财政专户管理资金收入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（五）单位资金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二、上年结转</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（七）文化体育旅游与传媒支出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256.68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256.68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（九）医疗卫生与计划生育支出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78.16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二、年终结转结余</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收入合计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4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55"/>
        <w:gridCol w:w="456"/>
        <w:gridCol w:w="799"/>
        <w:gridCol w:w="2269"/>
        <w:gridCol w:w="1535"/>
        <w:gridCol w:w="1535"/>
        <w:gridCol w:w="1084"/>
        <w:gridCol w:w="1084"/>
        <w:gridCol w:w="1083"/>
        <w:gridCol w:w="967"/>
        <w:gridCol w:w="967"/>
        <w:gridCol w:w="970"/>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4660" w:type="dxa"/>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466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36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单位名称：</w:t>
            </w:r>
          </w:p>
        </w:tc>
        <w:tc>
          <w:tcPr>
            <w:tcW w:w="12321"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97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1712.72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1361.37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187.29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330.12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127101</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1712.72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1361.37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187.29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330.12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2173.61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1303.20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1121.13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182.07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330.12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其他行政事业单位养老支出</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行政单位医疗</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事业单位医疗</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69.46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5"/>
        <w:gridCol w:w="2767"/>
        <w:gridCol w:w="1845"/>
        <w:gridCol w:w="2767"/>
        <w:gridCol w:w="1845"/>
        <w:gridCol w:w="1845"/>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768" w:type="dxa"/>
            <w:gridSpan w:val="7"/>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4768"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11076"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84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4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部门预算支出经济分类科目</w:t>
            </w:r>
          </w:p>
        </w:tc>
        <w:tc>
          <w:tcPr>
            <w:tcW w:w="4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政府预算支出经济分类科目</w:t>
            </w:r>
          </w:p>
        </w:tc>
        <w:tc>
          <w:tcPr>
            <w:tcW w:w="5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1712.72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1525.43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343.17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343.17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429.46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429.46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30107</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340.75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340.75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30207</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50208</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30205</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30206</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30217</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50206</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30226</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50205</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50299</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30216</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30216</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30108</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30108</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50905</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30110</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30110</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30113</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7"/>
        <w:gridCol w:w="922"/>
        <w:gridCol w:w="3074"/>
        <w:gridCol w:w="1169"/>
        <w:gridCol w:w="1231"/>
        <w:gridCol w:w="1046"/>
        <w:gridCol w:w="923"/>
        <w:gridCol w:w="1230"/>
        <w:gridCol w:w="1046"/>
        <w:gridCol w:w="923"/>
        <w:gridCol w:w="923"/>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646"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4646"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2022年一般公共预算基本支出明细表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12492"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04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类型</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本年拨款</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财政拨款结转结余</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1712.72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1712.72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127101</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1712.72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1712.72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人员类</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行政人员及机关技术工人年基本工资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334.51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334.51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事业人员及事业技术工人年基本工资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国家保留津贴（行政）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国家保留津贴（事业）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70%基础性绩效工资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30%奖励性绩效工资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年终一次性奖金</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失业保险金</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工伤保险费（行政）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工伤保险费（事业）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在职人员文明奖（行政）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75.84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75.84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在职人员文明奖（事业）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在职人员采暖补贴（行政）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在职人员采暖补贴（事业）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年度目标考核奖（行政）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年度目标考核奖（事业）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月度目标考核奖（行政）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140.30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140.30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月度目标考核奖（事业）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在职人员全国文明城市奖（行政）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在职人员全国文明城市奖（事业）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其他特岗津贴补贴（行政）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131.80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131.80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在职人员物业服务补贴（行政）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在职人员物业服务补贴（事业）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在职人员公务通讯补贴</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规范性津贴补贴</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181.99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181.99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养老保险金（行政）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养老保险金（事业）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退休人员文明奖（行政）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退休人员采暖补贴（行政）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退休人员年健康休养费（行政）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退休人员平时健康休养费（行政）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退休人员全国文明城市奖（行政）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退休人员物业服务补贴（行政）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医疗保险金（行政）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医疗保险金（事业）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在职人员定额公用经费（行政）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在职人员定额公用经费（事业）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在职人员公用经费公务交通补贴（行政）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退休干部活动费（行政）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离退休人员公用经费（行政）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在职人员公用经费培训费（行政）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在职人员公用经费培训费（事业）</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422"/>
        <w:gridCol w:w="1543"/>
        <w:gridCol w:w="486"/>
        <w:gridCol w:w="422"/>
        <w:gridCol w:w="2138"/>
        <w:gridCol w:w="1221"/>
        <w:gridCol w:w="1221"/>
        <w:gridCol w:w="1222"/>
        <w:gridCol w:w="396"/>
        <w:gridCol w:w="492"/>
        <w:gridCol w:w="756"/>
        <w:gridCol w:w="638"/>
        <w:gridCol w:w="413"/>
        <w:gridCol w:w="413"/>
        <w:gridCol w:w="396"/>
        <w:gridCol w:w="396"/>
        <w:gridCol w:w="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3960"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3960"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2022年支出经济分类汇总表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2709"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单位名称：  </w:t>
            </w:r>
          </w:p>
        </w:tc>
        <w:tc>
          <w:tcPr>
            <w:tcW w:w="10617"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634"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27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部门预算经济分类  </w:t>
            </w:r>
          </w:p>
        </w:tc>
        <w:tc>
          <w:tcPr>
            <w:tcW w:w="3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政府预算经济分类</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2583.13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2311.84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343.17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343.17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343.17</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429.46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429.46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429.46</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340.75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340.75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340.75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90.18</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42.27</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67.63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52.29</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29.36</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取暖费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物业管理费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23.20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72.99</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42.99</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被装购置费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154.07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154.07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154.07</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60.50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0.38</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67.15</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170.67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130.67</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退休费</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509</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离退休费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164.06</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办公设备购置</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信息网络及软件购置更新</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办公设备购置</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信息网络及软件购置更新</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其他资本性支出</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503</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其他资本性支出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19.53</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37"/>
        <w:gridCol w:w="2337"/>
        <w:gridCol w:w="2338"/>
        <w:gridCol w:w="2338"/>
        <w:gridCol w:w="2338"/>
        <w:gridCol w:w="2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034" w:type="dxa"/>
            <w:gridSpan w:val="6"/>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9" w:hRule="atLeast"/>
        </w:trPr>
        <w:tc>
          <w:tcPr>
            <w:tcW w:w="14034"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2022年一般公共预算“三公”经费预算表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3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9356"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2339"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“三公”经费合计</w:t>
            </w: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因公出国（境）费</w:t>
            </w:r>
          </w:p>
        </w:tc>
        <w:tc>
          <w:tcPr>
            <w:tcW w:w="7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公务用车购置及运行费</w:t>
            </w: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公务用车购置费</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公务用车运行费</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53.90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47" w:hRule="atLeast"/>
        </w:trPr>
        <w:tc>
          <w:tcPr>
            <w:tcW w:w="14034"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按照党中央、国务院有关规定及部门预算管理有关规定，“三公”经费包括因公出国（境）费、公务用车购置及运行费和公务接待费。（1）因公出国（境）费，指单位工作人员公务出国（境）的住宿费、差旅费、伙食补助费、杂费、培训费等支出。（2）公务用车购置及运行费，指单位公务用车购置费及租用费、燃料费、维修费、过路过桥费、保险费、安全奖励费用等支出，公务用车指用于履行公务的机动车辆，包括一般公务用车和执法执勤用车。（3）公务接待费，指单位按规定开支的各类公务接待（含外宾接待）支出。</w:t>
            </w: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3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0"/>
        <w:gridCol w:w="410"/>
        <w:gridCol w:w="412"/>
        <w:gridCol w:w="769"/>
        <w:gridCol w:w="3285"/>
        <w:gridCol w:w="872"/>
        <w:gridCol w:w="872"/>
        <w:gridCol w:w="769"/>
        <w:gridCol w:w="873"/>
        <w:gridCol w:w="872"/>
        <w:gridCol w:w="874"/>
        <w:gridCol w:w="872"/>
        <w:gridCol w:w="875"/>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3040" w:type="dxa"/>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304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2022年政府性基金支出预算表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232"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10933"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87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2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26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2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3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417"/>
        <w:gridCol w:w="419"/>
        <w:gridCol w:w="782"/>
        <w:gridCol w:w="3340"/>
        <w:gridCol w:w="887"/>
        <w:gridCol w:w="887"/>
        <w:gridCol w:w="782"/>
        <w:gridCol w:w="888"/>
        <w:gridCol w:w="887"/>
        <w:gridCol w:w="888"/>
        <w:gridCol w:w="887"/>
        <w:gridCol w:w="890"/>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3260" w:type="dxa"/>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1326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2022年国有资本经营支出预算表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253"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11118"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889"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6" w:hRule="atLeast"/>
        </w:trPr>
        <w:tc>
          <w:tcPr>
            <w:tcW w:w="12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3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2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2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2766"/>
        <w:gridCol w:w="1536"/>
        <w:gridCol w:w="1230"/>
        <w:gridCol w:w="1230"/>
        <w:gridCol w:w="1045"/>
        <w:gridCol w:w="922"/>
        <w:gridCol w:w="1230"/>
        <w:gridCol w:w="1045"/>
        <w:gridCol w:w="922"/>
        <w:gridCol w:w="923"/>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953"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495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12861"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04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类型</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本年拨款</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财政拨款结转结余</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599.12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599.12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271.29</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市公共法律服务中心运行费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基层法律服务工作经费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政府法律顾问费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国家统一法律职业资格考试工作经费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监所管理工作经费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安置帮教经费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社区矫正工作经费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司法协警工资支出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干警被装经费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基层司法所建设经费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律师公证工作经费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普法宣传工作经费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依法治市业务费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法治政府建设领导小组工作经费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法治政府示范创建工作经费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人民监督员工作经费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人民陪审员工作经费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地方立法工作经费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推行行政执法责任制、服务型执法工作经费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规范性文件制定和监督管理工作经费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中央政法纪检监察转移支付资金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省级政法纪检监察转移支付资金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2021年政法纪检监察转移支付资金(装备)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2021年政法转移支付扫黑字除恶经费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2021年政法纪检监察转移支付资金</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下拨各省辖市2021年国家统一法律职业资格考试经费</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0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7"/>
        <w:gridCol w:w="3693"/>
        <w:gridCol w:w="3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0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6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8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0155"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2022年行政(事业)单位机构运行经费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369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338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部门预算支出经济分类科目</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机构运行经费支出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30205</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30206</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30207</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30213</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30216</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30217</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30226</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30231</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r>
    </w:tbl>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tbl>
      <w:tblPr>
        <w:tblStyle w:val="3"/>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6"/>
        <w:gridCol w:w="1500"/>
        <w:gridCol w:w="756"/>
        <w:gridCol w:w="923"/>
        <w:gridCol w:w="495"/>
        <w:gridCol w:w="450"/>
        <w:gridCol w:w="540"/>
        <w:gridCol w:w="756"/>
        <w:gridCol w:w="1231"/>
        <w:gridCol w:w="923"/>
        <w:gridCol w:w="1231"/>
        <w:gridCol w:w="923"/>
        <w:gridCol w:w="1231"/>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2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3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23"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w:t>
            </w:r>
            <w:r>
              <w:rPr>
                <w:rFonts w:hint="eastAsia" w:ascii="宋体" w:hAnsi="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576"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2022年单位预算项目绩效目标表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1" w:type="dxa"/>
            <w:vMerge w:val="restart"/>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单位编码</w:t>
            </w:r>
          </w:p>
        </w:tc>
        <w:tc>
          <w:tcPr>
            <w:tcW w:w="1500" w:type="dxa"/>
            <w:vMerge w:val="restart"/>
            <w:tcBorders>
              <w:top w:val="single" w:color="000000" w:sz="4" w:space="0"/>
              <w:left w:val="single" w:color="000000" w:sz="4" w:space="0"/>
              <w:bottom w:val="nil"/>
              <w:right w:val="single" w:color="000000" w:sz="4" w:space="0"/>
            </w:tcBorders>
            <w:shd w:val="clear" w:color="auto" w:fill="auto"/>
            <w:vAlign w:val="bottom"/>
          </w:tcPr>
          <w:p>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w:t>
            </w:r>
          </w:p>
        </w:tc>
        <w:tc>
          <w:tcPr>
            <w:tcW w:w="252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项目金额（万元）</w:t>
            </w:r>
          </w:p>
        </w:tc>
        <w:tc>
          <w:tcPr>
            <w:tcW w:w="73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1"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000000"/>
                <w:sz w:val="18"/>
                <w:szCs w:val="18"/>
                <w:u w:val="none"/>
              </w:rPr>
            </w:pPr>
          </w:p>
        </w:tc>
        <w:tc>
          <w:tcPr>
            <w:tcW w:w="252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成本指标  </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产出指标  </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效益指标  </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满意度指标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1231"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（项目编码）</w:t>
            </w:r>
          </w:p>
        </w:tc>
        <w:tc>
          <w:tcPr>
            <w:tcW w:w="1500" w:type="dxa"/>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政府预算资金</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127101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焦作市司法局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市公共法律服务中心运行费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公共法律服务中心面积</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≤2188平方米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对办公环境和办公条件的改善或提升程度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来访群众及干部职工满意程度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安全事故发生次数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410800220000000057723</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基层法律服务工作经费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组织会议培训活动场次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业务能力建设和律师服务所务规范建设 提升程度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广大人民群众对法律服务工作满意度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工作完成合格率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410800220000000057724</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案件受理件数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断降低法律援助门槛，扩大援助范围</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受援群众满意度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案件审核合格率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预算使用率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案件指派到律师事务所</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≤3工作日</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政府法律顾问费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法律顾问出勤率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提升政府依法履职水平</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对政府法律顾问服务水平满意度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法律顾问资质达标率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受理诉讼案件及时率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聘请法律顾问人数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410800220000000057727</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国家统一法律职业资格考试工作经费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参加全国法律资格考试考生人数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提升法律专业人才的职业水平</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参加全国考试考生满意度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考生使用考务系统正常率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考试工作完成合格率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410800220000000057728</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监所管理工作经费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参加扫黑除恶工作次数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专项宣传活动普及程度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参训干部满意度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参加警衔培训到场率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安置帮教经费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举办全市安置帮教信息化管理系统培训期数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≥1期</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刑满释放人员安置帮教工作落实范围</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刑满释放人员对安置帮教满意度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做好服刑人员基本信息核实工作</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刑满释放人员安置帮教信息化建设及时率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印制刑满释放人员安置帮教文件汇编及工作档案册数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≥1000册</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社区矫正工作经费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全市社区矫正综合管理指挥平台实现互联互动质量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社区矫正对象再犯罪率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社区矫正人员满意度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全市社区矫正加强制度建设及时率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提高全市社区矫正质量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举办全市社区矫正业务培训期数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≥1期</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司法协警工资支出</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74.26</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74.26</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聘用人员人数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≤22名</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预防和减少重违法犯罪率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辅警人员满意度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专业素质达标率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工资发放及时性</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410800220000000057734</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举办业务培训会人数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案件当事人投诉率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案件当事人满意度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司法鉴定案件质量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司法鉴定业务量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干警被装经费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换装人数占干警总数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干警警荣规范</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全局干警对服装适体度工作满意度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服装号型测量准确度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410800220000000057737</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基层司法所建设经费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检查督导调研次数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司法所建设对工作人员工作环境提升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广大人民群众对司法所工作满意度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工作完成合格率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司法所机构设置</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410800220000000057738</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律师公证工作经费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公证法律服务件数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提升全市公证服务率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公证当事人满意度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公证执法检查卷宗优良率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410800220000000057739</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编印资料台账</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≥1500套</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检查督导调研次数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人民调解员覆盖率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广大人民群众对人民调解工作满意度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化解矛盾纠纷及时率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组织会议培训活动场次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提升化解矛盾纠纷案件质量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普法宣传工作经费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≤132万元</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组织开展普法宣传活动场次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提升普法覆盖面</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群众对普法宣传工作满意度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举办培训活动质完成率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召开会议及时性</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邀请专家讲课</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普法宣传参加人数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依法治市业务费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各项工作完成率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法治文化宣传普及度提升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广大人民群众对法治工作满意度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建立法治文化公园数量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≥1个</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法治文化一条街建设</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清专家讲课次数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法治政府建设领导小组工作经费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举办依法行政能力提升培训班次数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提升领导干部法律意识</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领导干部对依法行政考核会满意程度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依法行政年度考核参会率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按时上传全省依法行政目标考试指标及时率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组织依法行政年度考核工作会场次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410800220000000057744</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法治政府示范创建工作经费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召开协调推进会场次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到各个县市区实地督导检查促进提升效果</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人民群众对法治政府建设满意度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督促各县市区指标完成率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及时按照规定节点上传指标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人民监督员工作经费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召开人民监督员素质培训场次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提升人民监督员工作水平提升案件结案率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广大人民群众对人民监督员工作满意度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确保案件结案率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及时发放监督员劳务费</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410800220000000057746</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人民陪审员工作经费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参加上级培训及业务办理差旅费人数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规范文件培训班证明事项工作会影响程度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群众对陪审员工作满意度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组织人民监督培训到场人数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人民陪审员案件率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410800220000000057747</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地方立法工作经费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召开地方性法规会议场次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提升市人大地方性法规完善</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市人大对配合完成地方规范制度满意程度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配合市人大地方性法规范定制度工作</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组织召开地方性法规、规章征求意见次数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配合市人大地方性调研工作及时率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410800220000000057748</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推行行政执法责任制、服务型执法工作经费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活动开展及时性</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提高行政执法整体水平促进依法行政</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行政执法部门及人员对行政执法协调监督工作满意度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举办及参加培训活动场次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印制法律法规政策汇编本</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≥200本</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410800220000000057749</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规范性文件制定和监督管理工作经费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举办规范文件培训班、证明事项工作会场次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推动依法行政方便百姓办事</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方便百姓办事</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县（市）区政府及市直部门对规范性文件管理工作满意度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定期检查县市城区相关工作</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定期</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规范性文件质量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410800220000000083394</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2021年政法纪检监察转移支付资金(装备)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102.93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购执法执勤车辆</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≥1辆</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对信息化建设改善或提升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办公环境及办公条件满意度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建设维护社区矫正指挥中心平台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及时维护</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国产设备替代及时性</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及时更换</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410800220000000083458</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2021年政法转移支付扫黑字除恶经费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开展全市扫黑除恶培训会数量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≥2场次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提升扫黑除恶意识</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全市对扫黑除恶培训满意度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扫黑培训会完成质量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扫黑除恶会议及时性</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410800220000000083470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2021年政法纪检监察转移支付资金</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134.36</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134.36</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全局组织培训数量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全市法治宣传力度、公益广告投放程度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全市对法治宣传满意度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及时维修、维护市司法局办公用房</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及时维护</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对司法局办公用房安保工资发放及时率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410800220000000083485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下拨各省辖市2021年国家统一法律职业资格考试经费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2022年国家统一法律职业资格考试场次</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2022年国家统一法律职业资格考试考生对考试舒适感</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2022年国家统一法律职业资格考试考生满意度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2022年国家统一法律职业资格考试完成程度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及时开展国家统一法律职业资格考试</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410800220000000076802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中央政法纪检监察转移支付资金</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全年预算执行数</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≤195万元</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法律援助案件数量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引导市县司法行政机关经济保障水平</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受援助群众满意度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社区服刑人员人数数量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≥1000人</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人民调解组织调解成功率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法律援助案卷审核合格率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按照标准及时支付</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410800220000000076855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省级政法纪检监察转移支付资金</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74.00</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74.00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全年预算执行数</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≤74万元</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社区服刑人员人数数量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引导市县司法行政机关经济保障水平</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受援群众满意度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法律援助案件数量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人民调解组织调解成功率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法律援助案卷审核合格率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按照标准及时支付</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2"/>
        <w:rPr>
          <w:rFonts w:hint="eastAsia" w:ascii="仿宋_GB2312" w:hAnsi="仿宋_GB2312" w:eastAsia="仿宋_GB2312" w:cs="仿宋_GB2312"/>
          <w:color w:val="00000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38EA8"/>
    <w:multiLevelType w:val="singleLevel"/>
    <w:tmpl w:val="C3C38EA8"/>
    <w:lvl w:ilvl="0" w:tentative="0">
      <w:start w:val="2"/>
      <w:numFmt w:val="chineseCounting"/>
      <w:suff w:val="nothing"/>
      <w:lvlText w:val="（%1）"/>
      <w:lvlJc w:val="left"/>
      <w:rPr>
        <w:rFonts w:hint="eastAsia"/>
      </w:rPr>
    </w:lvl>
  </w:abstractNum>
  <w:abstractNum w:abstractNumId="1">
    <w:nsid w:val="C5707CF8"/>
    <w:multiLevelType w:val="singleLevel"/>
    <w:tmpl w:val="C5707CF8"/>
    <w:lvl w:ilvl="0" w:tentative="0">
      <w:start w:val="1"/>
      <w:numFmt w:val="chineseCounting"/>
      <w:suff w:val="nothing"/>
      <w:lvlText w:val="%1、"/>
      <w:lvlJc w:val="left"/>
      <w:rPr>
        <w:rFonts w:hint="eastAsia"/>
      </w:rPr>
    </w:lvl>
  </w:abstractNum>
  <w:abstractNum w:abstractNumId="2">
    <w:nsid w:val="5A4F2DAA"/>
    <w:multiLevelType w:val="singleLevel"/>
    <w:tmpl w:val="5A4F2DAA"/>
    <w:lvl w:ilvl="0" w:tentative="0">
      <w:start w:val="1"/>
      <w:numFmt w:val="chineseCounting"/>
      <w:suff w:val="nothing"/>
      <w:lvlText w:val="（%1）"/>
      <w:lvlJc w:val="left"/>
    </w:lvl>
  </w:abstractNum>
  <w:abstractNum w:abstractNumId="3">
    <w:nsid w:val="5A796DEC"/>
    <w:multiLevelType w:val="singleLevel"/>
    <w:tmpl w:val="5A796DEC"/>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Y2IxYjI1MTI3ZjM5YjYxYWVkZmIxN2ZjZjJmYjcifQ=="/>
  </w:docVars>
  <w:rsids>
    <w:rsidRoot w:val="15F24C64"/>
    <w:rsid w:val="029A38EC"/>
    <w:rsid w:val="03483F10"/>
    <w:rsid w:val="03E272F9"/>
    <w:rsid w:val="04E903A7"/>
    <w:rsid w:val="05FE0636"/>
    <w:rsid w:val="06162B94"/>
    <w:rsid w:val="06615657"/>
    <w:rsid w:val="06630711"/>
    <w:rsid w:val="069663A0"/>
    <w:rsid w:val="080A32C2"/>
    <w:rsid w:val="086067C7"/>
    <w:rsid w:val="08DE07EC"/>
    <w:rsid w:val="105D7F97"/>
    <w:rsid w:val="10A42B78"/>
    <w:rsid w:val="10A73DA4"/>
    <w:rsid w:val="10C55292"/>
    <w:rsid w:val="10EE19D3"/>
    <w:rsid w:val="11346B2D"/>
    <w:rsid w:val="12A6008B"/>
    <w:rsid w:val="13D24CDE"/>
    <w:rsid w:val="13DB5DD0"/>
    <w:rsid w:val="14276FAA"/>
    <w:rsid w:val="14977C8B"/>
    <w:rsid w:val="15F24C64"/>
    <w:rsid w:val="15F56A18"/>
    <w:rsid w:val="171278B4"/>
    <w:rsid w:val="1A200723"/>
    <w:rsid w:val="1A345E4C"/>
    <w:rsid w:val="1A4C32C6"/>
    <w:rsid w:val="1D700F6D"/>
    <w:rsid w:val="1DCC587D"/>
    <w:rsid w:val="204C68CA"/>
    <w:rsid w:val="207941D9"/>
    <w:rsid w:val="20F12E19"/>
    <w:rsid w:val="21D30B38"/>
    <w:rsid w:val="21EA10ED"/>
    <w:rsid w:val="27321A96"/>
    <w:rsid w:val="29C80AFF"/>
    <w:rsid w:val="2A4E55C5"/>
    <w:rsid w:val="2B774076"/>
    <w:rsid w:val="2B7E34FB"/>
    <w:rsid w:val="2BD870AF"/>
    <w:rsid w:val="2BF37A45"/>
    <w:rsid w:val="2C3C529C"/>
    <w:rsid w:val="2EED38F6"/>
    <w:rsid w:val="2F776263"/>
    <w:rsid w:val="30877AD0"/>
    <w:rsid w:val="31C167CD"/>
    <w:rsid w:val="328A6334"/>
    <w:rsid w:val="336260C2"/>
    <w:rsid w:val="34575144"/>
    <w:rsid w:val="353612A0"/>
    <w:rsid w:val="35E724B1"/>
    <w:rsid w:val="35FE7F8F"/>
    <w:rsid w:val="396600C1"/>
    <w:rsid w:val="3A797CAF"/>
    <w:rsid w:val="3B3E2C51"/>
    <w:rsid w:val="3BA033DD"/>
    <w:rsid w:val="3BB15227"/>
    <w:rsid w:val="3C354D44"/>
    <w:rsid w:val="3E0D129D"/>
    <w:rsid w:val="3E7F160D"/>
    <w:rsid w:val="3EBC460F"/>
    <w:rsid w:val="401D09DD"/>
    <w:rsid w:val="40D94361"/>
    <w:rsid w:val="414428CD"/>
    <w:rsid w:val="42E657F2"/>
    <w:rsid w:val="430247A1"/>
    <w:rsid w:val="431A663E"/>
    <w:rsid w:val="434C41B3"/>
    <w:rsid w:val="445D308D"/>
    <w:rsid w:val="46920372"/>
    <w:rsid w:val="47A519F3"/>
    <w:rsid w:val="48F055E1"/>
    <w:rsid w:val="49995399"/>
    <w:rsid w:val="4C7D22D7"/>
    <w:rsid w:val="4C96688E"/>
    <w:rsid w:val="4CAA019C"/>
    <w:rsid w:val="4E7E10D4"/>
    <w:rsid w:val="4E892100"/>
    <w:rsid w:val="4EDD64ED"/>
    <w:rsid w:val="4FB36743"/>
    <w:rsid w:val="505E72D4"/>
    <w:rsid w:val="549972FF"/>
    <w:rsid w:val="54B576DE"/>
    <w:rsid w:val="550E7A9F"/>
    <w:rsid w:val="55FD30EB"/>
    <w:rsid w:val="56B45E9F"/>
    <w:rsid w:val="5A9D6360"/>
    <w:rsid w:val="5B9067AF"/>
    <w:rsid w:val="5C4001D5"/>
    <w:rsid w:val="5C660C34"/>
    <w:rsid w:val="5E8C30F0"/>
    <w:rsid w:val="60330078"/>
    <w:rsid w:val="60B8658C"/>
    <w:rsid w:val="62650996"/>
    <w:rsid w:val="65A2780B"/>
    <w:rsid w:val="66290E5A"/>
    <w:rsid w:val="66401E28"/>
    <w:rsid w:val="679A2E90"/>
    <w:rsid w:val="67FE1168"/>
    <w:rsid w:val="69A1420D"/>
    <w:rsid w:val="6BC30D92"/>
    <w:rsid w:val="6CAA08FF"/>
    <w:rsid w:val="6D033285"/>
    <w:rsid w:val="6E1E26E0"/>
    <w:rsid w:val="6F0B6421"/>
    <w:rsid w:val="6F460748"/>
    <w:rsid w:val="70A42689"/>
    <w:rsid w:val="71324ECE"/>
    <w:rsid w:val="72CB51FC"/>
    <w:rsid w:val="73290E3C"/>
    <w:rsid w:val="74017DF2"/>
    <w:rsid w:val="75693874"/>
    <w:rsid w:val="76410FD1"/>
    <w:rsid w:val="767427BA"/>
    <w:rsid w:val="774B410E"/>
    <w:rsid w:val="79CD4BFB"/>
    <w:rsid w:val="7A7A6EC4"/>
    <w:rsid w:val="7AD029D8"/>
    <w:rsid w:val="7CA0464C"/>
    <w:rsid w:val="7E6A3468"/>
    <w:rsid w:val="DDEF9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11662</Words>
  <Characters>16115</Characters>
  <Lines>0</Lines>
  <Paragraphs>0</Paragraphs>
  <TotalTime>7</TotalTime>
  <ScaleCrop>false</ScaleCrop>
  <LinksUpToDate>false</LinksUpToDate>
  <CharactersWithSpaces>16263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2022-05-19T08:44:00Z</dcterms:created>
  <dc:creator>吧啦</dc:creator>
  <cp:lastModifiedBy>Administrator</cp:lastModifiedBy>
  <dcterms:modified xsi:type="dcterms:W3CDTF">2022-06-22T07:24:25Z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DD177B620BED45DF9A8AFFBF3E2A5113</vt:lpwstr>
  </property>
</Properties>
</file>