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wordWrap w:val="0"/>
        <w:spacing w:beforeAutospacing="0" w:afterAutospacing="0"/>
        <w:jc w:val="center"/>
        <w:rPr>
          <w:rFonts w:hint="default" w:ascii="Times New Roman" w:hAnsi="Times New Roman" w:eastAsia="方正小标宋简体" w:cs="Times New Roman"/>
          <w:sz w:val="44"/>
          <w:szCs w:val="44"/>
        </w:rPr>
      </w:pPr>
      <w:bookmarkStart w:id="0" w:name="_GoBack"/>
      <w:bookmarkEnd w:id="0"/>
      <w:r>
        <w:rPr>
          <w:rFonts w:hint="eastAsia" w:ascii="Times New Roman" w:hAnsi="Times New Roman" w:eastAsia="方正小标宋简体" w:cs="Times New Roman"/>
          <w:sz w:val="44"/>
          <w:szCs w:val="44"/>
        </w:rPr>
        <w:t>市政府合作协议合法性审查办法</w:t>
      </w:r>
    </w:p>
    <w:p>
      <w:pPr>
        <w:pStyle w:val="7"/>
        <w:widowControl/>
        <w:shd w:val="clear" w:color="auto" w:fill="FFFFFF"/>
        <w:spacing w:beforeAutospacing="0" w:afterAutospacing="0" w:line="600" w:lineRule="exact"/>
        <w:jc w:val="center"/>
        <w:rPr>
          <w:rStyle w:val="10"/>
          <w:rFonts w:ascii="仿宋" w:hAnsi="仿宋" w:eastAsia="仿宋" w:cs="方正小标宋简体"/>
          <w:color w:val="333333"/>
          <w:sz w:val="44"/>
          <w:szCs w:val="44"/>
          <w:shd w:val="clear" w:color="auto" w:fill="FFFFFF"/>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Style w:val="10"/>
          <w:rFonts w:hint="eastAsia" w:ascii="黑体" w:hAnsi="黑体" w:eastAsia="黑体" w:cs="仿宋_GB2312"/>
          <w:b w:val="0"/>
          <w:bCs w:val="0"/>
          <w:sz w:val="32"/>
          <w:szCs w:val="32"/>
        </w:rPr>
        <w:t>第一条</w:t>
      </w:r>
      <w:r>
        <w:rPr>
          <w:rFonts w:hint="eastAsia" w:ascii="仿宋_GB2312" w:hAnsi="仿宋_GB2312" w:eastAsia="仿宋" w:cs="仿宋_GB2312"/>
          <w:b w:val="0"/>
          <w:bCs w:val="0"/>
          <w:sz w:val="32"/>
          <w:szCs w:val="32"/>
          <w:lang w:eastAsia="zh-CN"/>
        </w:rPr>
        <w:t xml:space="preserve">  </w:t>
      </w:r>
      <w:r>
        <w:rPr>
          <w:rFonts w:hint="eastAsia" w:ascii="Times New Roman" w:hAnsi="Times New Roman" w:eastAsia="仿宋_GB2312" w:cs="Times New Roman"/>
          <w:b w:val="0"/>
          <w:bCs w:val="0"/>
          <w:kern w:val="0"/>
          <w:sz w:val="32"/>
          <w:szCs w:val="32"/>
          <w:lang w:val="en-US" w:eastAsia="zh-CN" w:bidi="ar-SA"/>
        </w:rPr>
        <w:t>为规范市政府合作协议的合法性审查工作，提高审查质量和效率，防范法律风险，维护国家利益、公共利益及合作各方当事人的合法权益，根据《重大行政决策程序暂行条例》（国务院令第713号）、《焦作市人民政府关于进一步规范政府权力运行提高质量效率建立健全“四双”工作机制的实施意见》（焦政〔2019〕15号）等有关规定，结合我市实际，制定本办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b w:val="0"/>
          <w:bCs w:val="0"/>
          <w:sz w:val="32"/>
          <w:szCs w:val="32"/>
        </w:rPr>
      </w:pPr>
      <w:r>
        <w:rPr>
          <w:rStyle w:val="10"/>
          <w:rFonts w:hint="eastAsia" w:ascii="黑体" w:hAnsi="黑体" w:eastAsia="黑体" w:cs="仿宋_GB2312"/>
          <w:b w:val="0"/>
          <w:bCs w:val="0"/>
          <w:sz w:val="32"/>
          <w:szCs w:val="32"/>
        </w:rPr>
        <w:t>第二条</w:t>
      </w:r>
      <w:r>
        <w:rPr>
          <w:rFonts w:hint="eastAsia" w:ascii="仿宋_GB2312" w:hAnsi="仿宋_GB2312" w:eastAsia="仿宋" w:cs="仿宋_GB2312"/>
          <w:b w:val="0"/>
          <w:bCs w:val="0"/>
          <w:sz w:val="32"/>
          <w:szCs w:val="32"/>
          <w:lang w:eastAsia="zh-CN"/>
        </w:rPr>
        <w:t xml:space="preserve">  </w:t>
      </w:r>
      <w:r>
        <w:rPr>
          <w:rFonts w:hint="eastAsia" w:ascii="Times New Roman" w:hAnsi="Times New Roman" w:eastAsia="仿宋_GB2312" w:cs="Times New Roman"/>
          <w:b w:val="0"/>
          <w:bCs w:val="0"/>
          <w:kern w:val="0"/>
          <w:sz w:val="32"/>
          <w:szCs w:val="32"/>
          <w:lang w:val="en-US" w:eastAsia="zh-CN" w:bidi="ar-SA"/>
        </w:rPr>
        <w:t>本办法所称市政府合作协议，是指市政府在履行职责、提供公共服务和自身建设需要时，与公民、法人或其他组织经过协商一致所达成的协议，包括政府特许经营协议、政府采购协议、政府招商引资协议、合作框架协议、战略合作协议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Style w:val="10"/>
          <w:rFonts w:hint="eastAsia" w:ascii="黑体" w:hAnsi="黑体" w:eastAsia="黑体" w:cs="仿宋_GB2312"/>
          <w:b w:val="0"/>
          <w:bCs w:val="0"/>
          <w:sz w:val="32"/>
          <w:szCs w:val="32"/>
        </w:rPr>
        <w:t>第三条</w:t>
      </w:r>
      <w:r>
        <w:rPr>
          <w:rFonts w:hint="eastAsia" w:ascii="仿宋_GB2312" w:hAnsi="仿宋_GB2312" w:eastAsia="仿宋" w:cs="仿宋_GB2312"/>
          <w:b w:val="0"/>
          <w:bCs w:val="0"/>
          <w:sz w:val="32"/>
          <w:szCs w:val="32"/>
          <w:lang w:eastAsia="zh-CN"/>
        </w:rPr>
        <w:t xml:space="preserve">  </w:t>
      </w:r>
      <w:r>
        <w:rPr>
          <w:rFonts w:hint="eastAsia" w:ascii="Times New Roman" w:hAnsi="Times New Roman" w:eastAsia="仿宋_GB2312" w:cs="Times New Roman"/>
          <w:b w:val="0"/>
          <w:bCs w:val="0"/>
          <w:kern w:val="0"/>
          <w:sz w:val="32"/>
          <w:szCs w:val="32"/>
          <w:lang w:val="en-US" w:eastAsia="zh-CN" w:bidi="ar-SA"/>
        </w:rPr>
        <w:t>市司法行政部门负责对市政府合作协议进行合法性审查。市发改、财政、审计等部门按照各自职责履行相应的监管责任。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Style w:val="10"/>
          <w:rFonts w:hint="eastAsia" w:ascii="黑体" w:hAnsi="黑体" w:eastAsia="黑体" w:cs="仿宋_GB2312"/>
          <w:b w:val="0"/>
          <w:bCs w:val="0"/>
          <w:sz w:val="32"/>
          <w:szCs w:val="32"/>
        </w:rPr>
        <w:t>第四条</w:t>
      </w:r>
      <w:r>
        <w:rPr>
          <w:rFonts w:hint="eastAsia" w:ascii="仿宋_GB2312" w:hAnsi="仿宋_GB2312" w:eastAsia="仿宋" w:cs="仿宋_GB2312"/>
          <w:b w:val="0"/>
          <w:bCs w:val="0"/>
          <w:sz w:val="32"/>
          <w:szCs w:val="32"/>
          <w:lang w:eastAsia="zh-CN"/>
        </w:rPr>
        <w:t xml:space="preserve"> </w:t>
      </w:r>
      <w:r>
        <w:rPr>
          <w:rFonts w:hint="eastAsia" w:ascii="Times New Roman" w:hAnsi="Times New Roman" w:eastAsia="仿宋_GB2312" w:cs="Times New Roman"/>
          <w:b w:val="0"/>
          <w:bCs w:val="0"/>
          <w:kern w:val="0"/>
          <w:sz w:val="32"/>
          <w:szCs w:val="32"/>
          <w:lang w:val="en-US" w:eastAsia="zh-CN" w:bidi="ar-SA"/>
        </w:rPr>
        <w:t xml:space="preserve"> 政府合作协议的合法性审查工作应当遵循依法、尽责、审慎、公平原则。</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textAlignment w:val="auto"/>
        <w:rPr>
          <w:rFonts w:hint="default" w:ascii="Times New Roman" w:hAnsi="Times New Roman" w:eastAsia="仿宋_GB2312" w:cs="Times New Roman"/>
          <w:b w:val="0"/>
          <w:bCs w:val="0"/>
          <w:kern w:val="0"/>
          <w:sz w:val="32"/>
          <w:szCs w:val="32"/>
          <w:lang w:val="en-US" w:eastAsia="zh-CN" w:bidi="ar-SA"/>
        </w:rPr>
      </w:pPr>
      <w:r>
        <w:rPr>
          <w:rStyle w:val="10"/>
          <w:rFonts w:hint="eastAsia" w:ascii="黑体" w:hAnsi="黑体" w:eastAsia="黑体" w:cs="仿宋_GB2312"/>
          <w:b w:val="0"/>
          <w:bCs w:val="0"/>
          <w:sz w:val="32"/>
          <w:szCs w:val="32"/>
        </w:rPr>
        <w:t>第五条</w:t>
      </w:r>
      <w:r>
        <w:rPr>
          <w:rFonts w:hint="eastAsia" w:ascii="仿宋_GB2312" w:hAnsi="仿宋_GB2312" w:eastAsia="仿宋" w:cs="仿宋_GB2312"/>
          <w:b w:val="0"/>
          <w:bCs w:val="0"/>
          <w:sz w:val="32"/>
          <w:szCs w:val="32"/>
          <w:lang w:eastAsia="zh-CN"/>
        </w:rPr>
        <w:t xml:space="preserve">  </w:t>
      </w:r>
      <w:r>
        <w:rPr>
          <w:rFonts w:hint="eastAsia" w:ascii="Times New Roman" w:hAnsi="Times New Roman" w:eastAsia="仿宋_GB2312" w:cs="Times New Roman"/>
          <w:b w:val="0"/>
          <w:bCs w:val="0"/>
          <w:kern w:val="0"/>
          <w:sz w:val="32"/>
          <w:szCs w:val="32"/>
          <w:lang w:val="en-US" w:eastAsia="zh-CN" w:bidi="ar-SA"/>
        </w:rPr>
        <w:t>负责政府合作协议谈判、起草、报审、履行、争议解决、日常管理等事宜的单位或机构为承办部门。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承办部门应当履行下列具体职责：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（一）负责调查核实合作方的主体资格、信用情况、履约能力等情况；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（二）负责合作项目的调研论证、磋商谈判及合作协议文本的拟定或修改；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（三）涉及重大公共利益的，负责听取公众、社会组织的意见；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（四）涉及重大、疑难问题或者专业性较强的，负责组织专家进行论证；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（五）负责对合作协议文本中专业性、技术性内容进行审核把关；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（六）负责合作协议跟踪履行及文件资料的整理、保管、归档工作，发生争议时依法处置并及时上报；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（七）负责定期报告合作协议履行情况；</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（八）负责落实“四双”工作机制相关规定；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（九）其他应当由承办部门负责的事项。</w:t>
      </w:r>
    </w:p>
    <w:p>
      <w:pPr>
        <w:pStyle w:val="1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1"/>
        <w:textAlignment w:val="auto"/>
        <w:rPr>
          <w:rFonts w:hint="default" w:ascii="Times New Roman" w:hAnsi="Times New Roman" w:eastAsia="仿宋_GB2312" w:cs="Times New Roman"/>
          <w:b w:val="0"/>
          <w:bCs w:val="0"/>
          <w:kern w:val="0"/>
          <w:sz w:val="32"/>
          <w:szCs w:val="32"/>
          <w:lang w:val="en-US" w:eastAsia="zh-CN" w:bidi="ar-SA"/>
        </w:rPr>
      </w:pPr>
      <w:r>
        <w:rPr>
          <w:rStyle w:val="10"/>
          <w:rFonts w:hint="eastAsia" w:ascii="黑体" w:hAnsi="黑体" w:eastAsia="黑体" w:cs="仿宋_GB2312"/>
          <w:b w:val="0"/>
          <w:bCs w:val="0"/>
          <w:sz w:val="32"/>
          <w:szCs w:val="32"/>
        </w:rPr>
        <w:t>第六条</w:t>
      </w:r>
      <w:r>
        <w:rPr>
          <w:rFonts w:hint="eastAsia" w:ascii="仿宋_GB2312" w:hAnsi="仿宋_GB2312" w:eastAsia="仿宋" w:cs="仿宋_GB2312"/>
          <w:b w:val="0"/>
          <w:bCs w:val="0"/>
          <w:sz w:val="32"/>
          <w:szCs w:val="32"/>
          <w:lang w:eastAsia="zh-CN"/>
        </w:rPr>
        <w:t xml:space="preserve">  </w:t>
      </w:r>
      <w:r>
        <w:rPr>
          <w:rFonts w:hint="eastAsia" w:ascii="Times New Roman" w:hAnsi="Times New Roman" w:eastAsia="仿宋_GB2312" w:cs="Times New Roman"/>
          <w:b w:val="0"/>
          <w:bCs w:val="0"/>
          <w:kern w:val="0"/>
          <w:sz w:val="32"/>
          <w:szCs w:val="32"/>
          <w:lang w:val="en-US" w:eastAsia="zh-CN" w:bidi="ar-SA"/>
        </w:rPr>
        <w:t>合作协议涉及其他部门职能的，承办部门应当征求相关部门意见。意见分歧较大的，应当报请主管副秘书长召开协调会。</w:t>
      </w:r>
    </w:p>
    <w:p>
      <w:pPr>
        <w:pStyle w:val="1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1"/>
        <w:textAlignment w:val="auto"/>
        <w:rPr>
          <w:rFonts w:hint="eastAsia"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相关部门对合作协议中涉及本部门的行业政策、审批环节、办理流程的合法合规性负责。</w:t>
      </w:r>
    </w:p>
    <w:p>
      <w:pPr>
        <w:pStyle w:val="1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1"/>
        <w:textAlignment w:val="auto"/>
        <w:rPr>
          <w:rFonts w:hint="eastAsia" w:ascii="Times New Roman" w:hAnsi="Times New Roman" w:eastAsia="仿宋_GB2312" w:cs="Times New Roman"/>
          <w:b w:val="0"/>
          <w:bCs w:val="0"/>
          <w:kern w:val="0"/>
          <w:sz w:val="32"/>
          <w:szCs w:val="32"/>
          <w:lang w:val="en-US" w:eastAsia="zh-CN" w:bidi="ar-SA"/>
        </w:rPr>
      </w:pPr>
      <w:r>
        <w:rPr>
          <w:rStyle w:val="10"/>
          <w:rFonts w:hint="eastAsia" w:ascii="黑体" w:hAnsi="黑体" w:eastAsia="黑体" w:cs="仿宋_GB2312"/>
          <w:b w:val="0"/>
          <w:bCs w:val="0"/>
          <w:sz w:val="32"/>
          <w:szCs w:val="32"/>
        </w:rPr>
        <w:t>第七条</w:t>
      </w:r>
      <w:r>
        <w:rPr>
          <w:rFonts w:hint="eastAsia" w:ascii="仿宋_GB2312" w:hAnsi="仿宋_GB2312" w:eastAsia="仿宋" w:cs="仿宋_GB2312"/>
          <w:b w:val="0"/>
          <w:bCs w:val="0"/>
          <w:sz w:val="32"/>
          <w:szCs w:val="32"/>
          <w:lang w:eastAsia="zh-CN"/>
        </w:rPr>
        <w:t xml:space="preserve">  </w:t>
      </w:r>
      <w:r>
        <w:rPr>
          <w:rFonts w:hint="eastAsia" w:ascii="Times New Roman" w:hAnsi="Times New Roman" w:eastAsia="仿宋_GB2312" w:cs="Times New Roman"/>
          <w:b w:val="0"/>
          <w:bCs w:val="0"/>
          <w:kern w:val="0"/>
          <w:sz w:val="32"/>
          <w:szCs w:val="32"/>
          <w:lang w:val="en-US" w:eastAsia="zh-CN" w:bidi="ar-SA"/>
        </w:rPr>
        <w:t>承办部门将合作协议文本报送合法性审查前，应当</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履行下列主要程序：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（一）核实情况。包括合作方确定程序、合作方身份以及合作项目的真实性、可靠性等情况。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二）评估论证。对合作事项涉及的法律、经济、技术、社会稳定、公共安全和生态环境等方面的风险进行分析，必要时进行风险评估。对于专业性、技术性较强或者涉及重大、疑难、敏感事项的，应当邀请有关专业机构、专家进行论证，并征求本部门法律顾问或者公职律师的意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（三）征求意见。合作协议内容涉及其他部门、单位职责的，应当书面征求相关部门、单位意见，并形成协商会签意见。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（四）内部法制审核。承办部门法制机构应当对合作方主体资格、合作协议拟定程序及合作协议文本的合法性、合理性等进行审核，形成书面审核意见。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b w:val="0"/>
          <w:bCs w:val="0"/>
          <w:sz w:val="32"/>
          <w:szCs w:val="32"/>
        </w:rPr>
      </w:pPr>
      <w:r>
        <w:rPr>
          <w:rFonts w:hint="eastAsia" w:ascii="Times New Roman" w:hAnsi="Times New Roman" w:eastAsia="仿宋_GB2312" w:cs="Times New Roman"/>
          <w:b w:val="0"/>
          <w:bCs w:val="0"/>
          <w:kern w:val="0"/>
          <w:sz w:val="32"/>
          <w:szCs w:val="32"/>
          <w:lang w:val="en-US" w:eastAsia="zh-CN" w:bidi="ar-SA"/>
        </w:rPr>
        <w:t>（五）集体审议。合作协议文本应当经承办部门集体研究讨论，并形成会议纪要（记录）。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b w:val="0"/>
          <w:bCs w:val="0"/>
          <w:sz w:val="32"/>
          <w:szCs w:val="32"/>
        </w:rPr>
      </w:pPr>
      <w:r>
        <w:rPr>
          <w:rStyle w:val="10"/>
          <w:rFonts w:hint="eastAsia" w:ascii="黑体" w:hAnsi="黑体" w:eastAsia="黑体" w:cs="仿宋_GB2312"/>
          <w:b w:val="0"/>
          <w:bCs w:val="0"/>
          <w:sz w:val="32"/>
          <w:szCs w:val="32"/>
        </w:rPr>
        <w:t>第八条</w:t>
      </w:r>
      <w:r>
        <w:rPr>
          <w:rFonts w:hint="eastAsia" w:ascii="仿宋_GB2312" w:hAnsi="仿宋_GB2312" w:eastAsia="仿宋" w:cs="仿宋_GB2312"/>
          <w:b w:val="0"/>
          <w:bCs w:val="0"/>
          <w:sz w:val="32"/>
          <w:szCs w:val="32"/>
          <w:lang w:eastAsia="zh-CN"/>
        </w:rPr>
        <w:t xml:space="preserve">  </w:t>
      </w:r>
      <w:r>
        <w:rPr>
          <w:rFonts w:hint="eastAsia" w:ascii="Times New Roman" w:hAnsi="Times New Roman" w:eastAsia="仿宋_GB2312" w:cs="Times New Roman"/>
          <w:b w:val="0"/>
          <w:bCs w:val="0"/>
          <w:kern w:val="0"/>
          <w:sz w:val="32"/>
          <w:szCs w:val="32"/>
          <w:lang w:val="en-US" w:eastAsia="zh-CN" w:bidi="ar-SA"/>
        </w:rPr>
        <w:t>合作协议文本未经市司法行政部门合法性审查或者经审查不合法的，不得送请市政府签署。</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Style w:val="10"/>
          <w:rFonts w:hint="eastAsia" w:ascii="黑体" w:hAnsi="黑体" w:eastAsia="黑体" w:cs="仿宋_GB2312"/>
          <w:b w:val="0"/>
          <w:bCs w:val="0"/>
          <w:sz w:val="32"/>
          <w:szCs w:val="32"/>
        </w:rPr>
        <w:t>第九条</w:t>
      </w:r>
      <w:r>
        <w:rPr>
          <w:rFonts w:hint="eastAsia" w:ascii="仿宋_GB2312" w:hAnsi="仿宋_GB2312" w:eastAsia="仿宋" w:cs="仿宋_GB2312"/>
          <w:b w:val="0"/>
          <w:bCs w:val="0"/>
          <w:sz w:val="32"/>
          <w:szCs w:val="32"/>
          <w:lang w:eastAsia="zh-CN"/>
        </w:rPr>
        <w:t xml:space="preserve">  </w:t>
      </w:r>
      <w:r>
        <w:rPr>
          <w:rFonts w:hint="eastAsia" w:ascii="Times New Roman" w:hAnsi="Times New Roman" w:eastAsia="仿宋_GB2312" w:cs="Times New Roman"/>
          <w:b w:val="0"/>
          <w:bCs w:val="0"/>
          <w:kern w:val="0"/>
          <w:sz w:val="32"/>
          <w:szCs w:val="32"/>
          <w:lang w:val="en-US" w:eastAsia="zh-CN" w:bidi="ar-SA"/>
        </w:rPr>
        <w:t>承办部门送请合法性审查，应当提交下列材料，并对材料的真实性、完整性负责：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（一）送审申请书；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（二）合作协议送审稿；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（三）拟定合作协议的依据、批准文件等;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（四）拟定合作协议的说明（包含拟定背景、过程等情况）；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（五）征求意见、部门会签、评估论证、公平竞争审查等情况的书面材料；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（六）承办部门法制机构出具的法制审核意见；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（七）承办部门集体审议会议纪要（记录）；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（八）合法性审查需要的其他材料。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合作</w:t>
      </w:r>
      <w:r>
        <w:rPr>
          <w:rFonts w:hint="default" w:ascii="Times New Roman" w:hAnsi="Times New Roman" w:eastAsia="仿宋_GB2312" w:cs="Times New Roman"/>
          <w:b w:val="0"/>
          <w:bCs w:val="0"/>
          <w:kern w:val="0"/>
          <w:sz w:val="32"/>
          <w:szCs w:val="32"/>
          <w:lang w:val="en-US" w:eastAsia="zh-CN" w:bidi="ar-SA"/>
        </w:rPr>
        <w:t>事项属于重大行政决策事项范围的，应当同时提交履行重大行政决策程序规定的相关资料。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报送材料不符合要求的，承办部门应当在3个工作日内补正或者重新报送，补正材料时间不计入合法性审查时限。承办部门逾期未按要求补正或者重新报送的，审查部门不予审查。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Style w:val="10"/>
          <w:rFonts w:hint="eastAsia" w:ascii="黑体" w:hAnsi="黑体" w:eastAsia="黑体" w:cs="仿宋_GB2312"/>
          <w:b w:val="0"/>
          <w:bCs w:val="0"/>
          <w:sz w:val="32"/>
          <w:szCs w:val="32"/>
        </w:rPr>
        <w:t>第十条</w:t>
      </w:r>
      <w:r>
        <w:rPr>
          <w:rFonts w:hint="eastAsia" w:ascii="仿宋_GB2312" w:hAnsi="仿宋_GB2312" w:eastAsia="仿宋" w:cs="仿宋_GB2312"/>
          <w:b w:val="0"/>
          <w:bCs w:val="0"/>
          <w:sz w:val="32"/>
          <w:szCs w:val="32"/>
          <w:lang w:eastAsia="zh-CN"/>
        </w:rPr>
        <w:t xml:space="preserve">  </w:t>
      </w:r>
      <w:r>
        <w:rPr>
          <w:rFonts w:hint="eastAsia" w:ascii="Times New Roman" w:hAnsi="Times New Roman" w:eastAsia="仿宋_GB2312" w:cs="Times New Roman"/>
          <w:b w:val="0"/>
          <w:bCs w:val="0"/>
          <w:kern w:val="0"/>
          <w:sz w:val="32"/>
          <w:szCs w:val="32"/>
          <w:lang w:val="en-US" w:eastAsia="zh-CN" w:bidi="ar-SA"/>
        </w:rPr>
        <w:t>合法性审查的内容主要包括：</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（一）合作协议内容是否与法律、法规、规章相抵触，</w:t>
      </w:r>
      <w:r>
        <w:rPr>
          <w:rFonts w:hint="default" w:ascii="Times New Roman" w:hAnsi="Times New Roman" w:eastAsia="仿宋_GB2312" w:cs="Times New Roman"/>
          <w:b w:val="0"/>
          <w:bCs w:val="0"/>
          <w:kern w:val="0"/>
          <w:sz w:val="32"/>
          <w:szCs w:val="32"/>
          <w:lang w:val="en-US" w:eastAsia="zh-CN" w:bidi="ar-SA"/>
        </w:rPr>
        <w:t>是否损害国家利益、社会公共利益</w:t>
      </w:r>
      <w:r>
        <w:rPr>
          <w:rFonts w:hint="eastAsia" w:ascii="Times New Roman" w:hAnsi="Times New Roman" w:eastAsia="仿宋_GB2312" w:cs="Times New Roman"/>
          <w:b w:val="0"/>
          <w:bCs w:val="0"/>
          <w:kern w:val="0"/>
          <w:sz w:val="32"/>
          <w:szCs w:val="32"/>
          <w:lang w:val="en-US" w:eastAsia="zh-CN" w:bidi="ar-SA"/>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（二）</w:t>
      </w:r>
      <w:r>
        <w:rPr>
          <w:rFonts w:hint="default" w:ascii="Times New Roman" w:hAnsi="Times New Roman" w:eastAsia="仿宋_GB2312" w:cs="Times New Roman"/>
          <w:b w:val="0"/>
          <w:bCs w:val="0"/>
          <w:kern w:val="0"/>
          <w:sz w:val="32"/>
          <w:szCs w:val="32"/>
          <w:lang w:val="en-US" w:eastAsia="zh-CN" w:bidi="ar-SA"/>
        </w:rPr>
        <w:t>合同内容是否超越职权或者授权；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（三）合作协议内容是否显失公平，双方约定的权利义务是否明确、合理、对等；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（四）合作协议主要条款是否完整有效，表述是否严谨规范；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（五）合作协议</w:t>
      </w:r>
      <w:r>
        <w:rPr>
          <w:rFonts w:hint="default" w:ascii="Times New Roman" w:hAnsi="Times New Roman" w:eastAsia="仿宋_GB2312" w:cs="Times New Roman"/>
          <w:b w:val="0"/>
          <w:bCs w:val="0"/>
          <w:kern w:val="0"/>
          <w:sz w:val="32"/>
          <w:szCs w:val="32"/>
          <w:lang w:val="en-US" w:eastAsia="zh-CN" w:bidi="ar-SA"/>
        </w:rPr>
        <w:t>是否存在无效、可撤销</w:t>
      </w:r>
      <w:r>
        <w:rPr>
          <w:rFonts w:hint="eastAsia" w:ascii="Times New Roman" w:hAnsi="Times New Roman" w:eastAsia="仿宋_GB2312" w:cs="Times New Roman"/>
          <w:b w:val="0"/>
          <w:bCs w:val="0"/>
          <w:kern w:val="0"/>
          <w:sz w:val="32"/>
          <w:szCs w:val="32"/>
          <w:lang w:val="en-US" w:eastAsia="zh-CN" w:bidi="ar-SA"/>
        </w:rPr>
        <w:t>的</w:t>
      </w:r>
      <w:r>
        <w:rPr>
          <w:rFonts w:hint="default" w:ascii="Times New Roman" w:hAnsi="Times New Roman" w:eastAsia="仿宋_GB2312" w:cs="Times New Roman"/>
          <w:b w:val="0"/>
          <w:bCs w:val="0"/>
          <w:kern w:val="0"/>
          <w:sz w:val="32"/>
          <w:szCs w:val="32"/>
          <w:lang w:val="en-US" w:eastAsia="zh-CN" w:bidi="ar-SA"/>
        </w:rPr>
        <w:t>情形；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（六）合作协议文本的形成是否履行本办法规定的程序等。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Style w:val="10"/>
          <w:rFonts w:hint="eastAsia" w:ascii="黑体" w:hAnsi="黑体" w:eastAsia="黑体" w:cs="仿宋_GB2312"/>
          <w:b w:val="0"/>
          <w:bCs w:val="0"/>
          <w:sz w:val="32"/>
          <w:szCs w:val="32"/>
        </w:rPr>
        <w:t>第十一条</w:t>
      </w:r>
      <w:r>
        <w:rPr>
          <w:rFonts w:hint="eastAsia" w:ascii="仿宋_GB2312" w:hAnsi="仿宋_GB2312" w:eastAsia="仿宋" w:cs="仿宋_GB2312"/>
          <w:b w:val="0"/>
          <w:bCs w:val="0"/>
          <w:sz w:val="32"/>
          <w:szCs w:val="32"/>
          <w:lang w:eastAsia="zh-CN"/>
        </w:rPr>
        <w:t xml:space="preserve">  </w:t>
      </w:r>
      <w:r>
        <w:rPr>
          <w:rFonts w:hint="eastAsia" w:ascii="Times New Roman" w:hAnsi="Times New Roman" w:eastAsia="仿宋_GB2312" w:cs="Times New Roman"/>
          <w:b w:val="0"/>
          <w:bCs w:val="0"/>
          <w:kern w:val="0"/>
          <w:sz w:val="32"/>
          <w:szCs w:val="32"/>
          <w:lang w:val="en-US" w:eastAsia="zh-CN" w:bidi="ar-SA"/>
        </w:rPr>
        <w:t>合作协议必须征求法律顾问意见。对内容复杂、专业性或者技术性强、争议较大的合作协议，市司法行政部门可以组织法律顾问、公职律师或者有关专家进行咨询论证。法律顾问意见或咨询论证意见作为出具合法性审查意见的重要参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Style w:val="10"/>
          <w:rFonts w:hint="eastAsia" w:ascii="黑体" w:hAnsi="黑体" w:eastAsia="黑体" w:cs="仿宋_GB2312"/>
          <w:b w:val="0"/>
          <w:bCs w:val="0"/>
          <w:sz w:val="32"/>
          <w:szCs w:val="32"/>
        </w:rPr>
        <w:t>第十二条</w:t>
      </w:r>
      <w:r>
        <w:rPr>
          <w:rFonts w:hint="eastAsia" w:ascii="仿宋_GB2312" w:hAnsi="仿宋_GB2312" w:eastAsia="仿宋" w:cs="仿宋_GB2312"/>
          <w:b w:val="0"/>
          <w:bCs w:val="0"/>
          <w:sz w:val="32"/>
          <w:szCs w:val="32"/>
          <w:lang w:eastAsia="zh-CN"/>
        </w:rPr>
        <w:t xml:space="preserve">  </w:t>
      </w:r>
      <w:r>
        <w:rPr>
          <w:rFonts w:hint="eastAsia" w:ascii="Times New Roman" w:hAnsi="Times New Roman" w:eastAsia="仿宋_GB2312" w:cs="Times New Roman"/>
          <w:b w:val="0"/>
          <w:bCs w:val="0"/>
          <w:kern w:val="0"/>
          <w:sz w:val="32"/>
          <w:szCs w:val="32"/>
          <w:lang w:val="en-US" w:eastAsia="zh-CN" w:bidi="ar-SA"/>
        </w:rPr>
        <w:t>合法性审查时间一般不少于5个工作日。组织法律顾问、公职律师或者有关专家进行咨询论证的时间，不计算在审查期限内。对内容复杂、专业性或者技术性强、争议较大的合作协议，市司法行政部门可以适当延长审查时限，但最长不超过15个工作日。确需紧急审查的，承办部门应当就紧急情况作出书面说明，由市司法行政部门合理确定审查时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Style w:val="10"/>
          <w:rFonts w:hint="eastAsia" w:ascii="黑体" w:hAnsi="黑体" w:eastAsia="黑体" w:cs="仿宋_GB2312"/>
          <w:b w:val="0"/>
          <w:bCs w:val="0"/>
          <w:sz w:val="32"/>
          <w:szCs w:val="32"/>
        </w:rPr>
        <w:t>第十三条</w:t>
      </w:r>
      <w:r>
        <w:rPr>
          <w:rFonts w:hint="eastAsia" w:ascii="仿宋_GB2312" w:hAnsi="仿宋_GB2312" w:eastAsia="仿宋" w:cs="仿宋_GB2312"/>
          <w:b w:val="0"/>
          <w:bCs w:val="0"/>
          <w:sz w:val="32"/>
          <w:szCs w:val="32"/>
          <w:lang w:eastAsia="zh-CN"/>
        </w:rPr>
        <w:t xml:space="preserve">  </w:t>
      </w:r>
      <w:r>
        <w:rPr>
          <w:rFonts w:hint="eastAsia" w:ascii="Times New Roman" w:hAnsi="Times New Roman" w:eastAsia="仿宋_GB2312" w:cs="Times New Roman"/>
          <w:b w:val="0"/>
          <w:bCs w:val="0"/>
          <w:kern w:val="0"/>
          <w:sz w:val="32"/>
          <w:szCs w:val="32"/>
          <w:lang w:val="en-US" w:eastAsia="zh-CN" w:bidi="ar-SA"/>
        </w:rPr>
        <w:t xml:space="preserve">市司法行政部门完成合法性审查后，应当出具法制审核意见。法制审核意见应当载明下列内容：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（一）审核的基本情况；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（二）审核意见；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（三）存在合法性问题的，说明理由，并根据情况提出修改意见或建议。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b w:val="0"/>
          <w:bCs w:val="0"/>
          <w:sz w:val="32"/>
          <w:szCs w:val="32"/>
        </w:rPr>
      </w:pPr>
      <w:r>
        <w:rPr>
          <w:rStyle w:val="10"/>
          <w:rFonts w:hint="eastAsia" w:ascii="黑体" w:hAnsi="黑体" w:eastAsia="黑体" w:cs="仿宋_GB2312"/>
          <w:b w:val="0"/>
          <w:bCs w:val="0"/>
          <w:sz w:val="32"/>
          <w:szCs w:val="32"/>
        </w:rPr>
        <w:t>第十四条</w:t>
      </w:r>
      <w:r>
        <w:rPr>
          <w:rFonts w:hint="eastAsia" w:ascii="仿宋_GB2312" w:hAnsi="仿宋_GB2312" w:eastAsia="仿宋" w:cs="仿宋_GB2312"/>
          <w:b w:val="0"/>
          <w:bCs w:val="0"/>
          <w:sz w:val="32"/>
          <w:szCs w:val="32"/>
          <w:lang w:eastAsia="zh-CN"/>
        </w:rPr>
        <w:t xml:space="preserve">  </w:t>
      </w:r>
      <w:r>
        <w:rPr>
          <w:rFonts w:hint="eastAsia" w:ascii="Times New Roman" w:hAnsi="Times New Roman" w:eastAsia="仿宋_GB2312" w:cs="Times New Roman"/>
          <w:b w:val="0"/>
          <w:bCs w:val="0"/>
          <w:kern w:val="0"/>
          <w:sz w:val="32"/>
          <w:szCs w:val="32"/>
          <w:lang w:val="en-US" w:eastAsia="zh-CN" w:bidi="ar-SA"/>
        </w:rPr>
        <w:t>市司法行政部门就合作协议文本出具法制审核意见并对审核意见负责。因承办部门未按规定履行相关职责、程序，报送材料不全或者虚假产生法律风险及其他后果的，由承办部门承担相应责任。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Style w:val="10"/>
          <w:rFonts w:hint="eastAsia" w:ascii="黑体" w:hAnsi="黑体" w:eastAsia="黑体" w:cs="仿宋_GB2312"/>
          <w:b w:val="0"/>
          <w:bCs w:val="0"/>
          <w:sz w:val="32"/>
          <w:szCs w:val="32"/>
        </w:rPr>
        <w:t>第十五条</w:t>
      </w:r>
      <w:r>
        <w:rPr>
          <w:rFonts w:hint="eastAsia" w:ascii="仿宋_GB2312" w:hAnsi="仿宋_GB2312" w:eastAsia="仿宋" w:cs="仿宋_GB2312"/>
          <w:b w:val="0"/>
          <w:bCs w:val="0"/>
          <w:sz w:val="32"/>
          <w:szCs w:val="32"/>
          <w:lang w:eastAsia="zh-CN"/>
        </w:rPr>
        <w:t xml:space="preserve">  </w:t>
      </w:r>
      <w:r>
        <w:rPr>
          <w:rFonts w:hint="eastAsia" w:ascii="Times New Roman" w:hAnsi="Times New Roman" w:eastAsia="仿宋_GB2312" w:cs="Times New Roman"/>
          <w:b w:val="0"/>
          <w:bCs w:val="0"/>
          <w:kern w:val="0"/>
          <w:sz w:val="32"/>
          <w:szCs w:val="32"/>
          <w:lang w:val="en-US" w:eastAsia="zh-CN" w:bidi="ar-SA"/>
        </w:rPr>
        <w:t>市司法行政部门负责合作协议中文版的合法性审查工作；合作协议外文版与中文版的一致性由承办部门负责。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b w:val="0"/>
          <w:bCs w:val="0"/>
          <w:sz w:val="32"/>
          <w:szCs w:val="32"/>
        </w:rPr>
      </w:pPr>
      <w:r>
        <w:rPr>
          <w:rStyle w:val="10"/>
          <w:rFonts w:hint="eastAsia" w:ascii="黑体" w:hAnsi="黑体" w:eastAsia="黑体" w:cs="仿宋_GB2312"/>
          <w:b w:val="0"/>
          <w:bCs w:val="0"/>
          <w:sz w:val="32"/>
          <w:szCs w:val="32"/>
        </w:rPr>
        <w:t>第十六条</w:t>
      </w:r>
      <w:r>
        <w:rPr>
          <w:rStyle w:val="10"/>
          <w:rFonts w:hint="eastAsia" w:ascii="仿宋_GB2312" w:hAnsi="仿宋_GB2312" w:eastAsia="仿宋" w:cs="仿宋_GB2312"/>
          <w:b w:val="0"/>
          <w:bCs w:val="0"/>
          <w:sz w:val="32"/>
          <w:szCs w:val="32"/>
          <w:lang w:eastAsia="zh-CN"/>
        </w:rPr>
        <w:t xml:space="preserve">  </w:t>
      </w:r>
      <w:r>
        <w:rPr>
          <w:rFonts w:hint="eastAsia" w:ascii="Times New Roman" w:hAnsi="Times New Roman" w:eastAsia="仿宋_GB2312" w:cs="Times New Roman"/>
          <w:b w:val="0"/>
          <w:bCs w:val="0"/>
          <w:kern w:val="0"/>
          <w:sz w:val="32"/>
          <w:szCs w:val="32"/>
          <w:lang w:val="en-US" w:eastAsia="zh-CN" w:bidi="ar-SA"/>
        </w:rPr>
        <w:t>承办部门应当根据法制审核意见对合作协议作必要修改或者补充；未采纳或者未完全采纳法制审核意见的，应当向市政府书面说明理由及依据。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rPr>
      </w:pPr>
      <w:r>
        <w:rPr>
          <w:rStyle w:val="10"/>
          <w:rFonts w:hint="eastAsia" w:ascii="黑体" w:hAnsi="黑体" w:eastAsia="黑体" w:cs="仿宋_GB2312"/>
          <w:b w:val="0"/>
          <w:bCs w:val="0"/>
          <w:sz w:val="32"/>
          <w:szCs w:val="32"/>
        </w:rPr>
        <w:t>第十七条</w:t>
      </w:r>
      <w:r>
        <w:rPr>
          <w:rStyle w:val="10"/>
          <w:rFonts w:hint="eastAsia" w:ascii="仿宋_GB2312" w:hAnsi="仿宋_GB2312" w:eastAsia="仿宋" w:cs="仿宋_GB2312"/>
          <w:b w:val="0"/>
          <w:bCs w:val="0"/>
          <w:sz w:val="32"/>
          <w:szCs w:val="32"/>
          <w:lang w:eastAsia="zh-CN"/>
        </w:rPr>
        <w:t xml:space="preserve">  </w:t>
      </w:r>
      <w:r>
        <w:rPr>
          <w:rFonts w:hint="eastAsia" w:ascii="Times New Roman" w:hAnsi="Times New Roman" w:eastAsia="仿宋_GB2312" w:cs="Times New Roman"/>
          <w:b w:val="0"/>
          <w:bCs w:val="0"/>
          <w:kern w:val="0"/>
          <w:sz w:val="32"/>
          <w:szCs w:val="32"/>
          <w:lang w:val="en-US" w:eastAsia="zh-CN" w:bidi="ar-SA"/>
        </w:rPr>
        <w:t>本办法自发布之日起施行。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 w:hAnsi="仿宋" w:eastAsia="仿宋" w:cs="仿宋_GB2312"/>
          <w:sz w:val="32"/>
          <w:szCs w:val="32"/>
          <w:lang w:eastAsia="zh-CN"/>
        </w:rPr>
        <w:t>附件：</w:t>
      </w:r>
      <w:r>
        <w:rPr>
          <w:rFonts w:hint="eastAsia" w:ascii="Times New Roman" w:hAnsi="Times New Roman" w:eastAsia="仿宋_GB2312" w:cs="Times New Roman"/>
          <w:sz w:val="32"/>
          <w:szCs w:val="32"/>
        </w:rPr>
        <w:t>市政府合作协议合法性审查送审申请书（参考格式）</w:t>
      </w:r>
    </w:p>
    <w:p>
      <w:pPr>
        <w:pStyle w:val="11"/>
        <w:rPr>
          <w:rFonts w:ascii="仿宋" w:hAnsi="仿宋" w:eastAsia="仿宋" w:cs="仿宋_GB2312"/>
          <w:sz w:val="32"/>
          <w:szCs w:val="32"/>
        </w:rPr>
      </w:pPr>
    </w:p>
    <w:p>
      <w:pPr>
        <w:pStyle w:val="11"/>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spacing w:line="600" w:lineRule="exact"/>
        <w:jc w:val="left"/>
        <w:rPr>
          <w:rFonts w:hint="eastAsia" w:ascii="黑体" w:hAnsi="黑体" w:eastAsia="黑体" w:cs="仿宋_GB2312"/>
          <w:sz w:val="32"/>
          <w:szCs w:val="32"/>
        </w:rPr>
      </w:pPr>
      <w:r>
        <w:rPr>
          <w:rFonts w:hint="eastAsia" w:ascii="黑体" w:hAnsi="黑体" w:eastAsia="黑体" w:cs="仿宋_GB2312"/>
          <w:sz w:val="32"/>
          <w:szCs w:val="32"/>
        </w:rPr>
        <w:t>附</w:t>
      </w:r>
      <w:r>
        <w:rPr>
          <w:rFonts w:hint="eastAsia" w:ascii="黑体" w:hAnsi="黑体" w:eastAsia="黑体" w:cs="仿宋_GB2312"/>
          <w:sz w:val="32"/>
          <w:szCs w:val="32"/>
          <w:lang w:val="en-US" w:eastAsia="zh-CN"/>
        </w:rPr>
        <w:t xml:space="preserve">  </w:t>
      </w:r>
      <w:r>
        <w:rPr>
          <w:rFonts w:hint="eastAsia" w:ascii="黑体" w:hAnsi="黑体" w:eastAsia="黑体" w:cs="仿宋_GB2312"/>
          <w:sz w:val="32"/>
          <w:szCs w:val="32"/>
        </w:rPr>
        <w:t>件</w:t>
      </w:r>
    </w:p>
    <w:p>
      <w:pPr>
        <w:pStyle w:val="11"/>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市政府合作协议合法性审查送审申请书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 w:hAnsi="楷体" w:eastAsia="楷体" w:cs="楷体"/>
          <w:sz w:val="32"/>
          <w:szCs w:val="32"/>
        </w:rPr>
      </w:pPr>
      <w:r>
        <w:rPr>
          <w:rFonts w:hint="eastAsia" w:ascii="楷体" w:hAnsi="楷体" w:eastAsia="楷体" w:cs="楷体"/>
          <w:sz w:val="32"/>
          <w:szCs w:val="32"/>
        </w:rPr>
        <w:t>（参考格式）</w:t>
      </w:r>
    </w:p>
    <w:p>
      <w:pPr>
        <w:spacing w:line="600" w:lineRule="exact"/>
        <w:ind w:firstLine="320" w:firstLineChars="100"/>
        <w:rPr>
          <w:rFonts w:ascii="仿宋" w:hAnsi="仿宋" w:eastAsia="仿宋" w:cs="仿宋_GB2312"/>
          <w:sz w:val="32"/>
          <w:szCs w:val="32"/>
        </w:rPr>
      </w:pPr>
      <w:r>
        <w:rPr>
          <w:rFonts w:hint="eastAsia" w:ascii="仿宋" w:hAnsi="仿宋" w:eastAsia="仿宋" w:cs="仿宋_GB2312"/>
          <w:sz w:val="32"/>
          <w:szCs w:val="32"/>
        </w:rPr>
        <w:t xml:space="preserve">送审时间：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 xml:space="preserve">  年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 xml:space="preserve">月   日         </w:t>
      </w:r>
    </w:p>
    <w:tbl>
      <w:tblPr>
        <w:tblStyle w:val="8"/>
        <w:tblpPr w:leftFromText="180" w:rightFromText="180" w:vertAnchor="text" w:horzAnchor="page" w:tblpX="1826" w:tblpY="1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6" w:type="dxa"/>
            <w:vAlign w:val="center"/>
          </w:tcPr>
          <w:p>
            <w:pPr>
              <w:spacing w:line="340" w:lineRule="exact"/>
              <w:jc w:val="left"/>
              <w:rPr>
                <w:rFonts w:ascii="仿宋" w:hAnsi="仿宋" w:eastAsia="仿宋" w:cs="黑体"/>
                <w:sz w:val="32"/>
                <w:szCs w:val="32"/>
              </w:rPr>
            </w:pPr>
            <w:r>
              <w:rPr>
                <w:rFonts w:hint="eastAsia" w:ascii="仿宋" w:hAnsi="仿宋" w:eastAsia="仿宋" w:cs="黑体"/>
                <w:sz w:val="32"/>
                <w:szCs w:val="32"/>
              </w:rPr>
              <w:t>合作协议名    称</w:t>
            </w:r>
          </w:p>
        </w:tc>
        <w:tc>
          <w:tcPr>
            <w:tcW w:w="7040" w:type="dxa"/>
            <w:vAlign w:val="center"/>
          </w:tcPr>
          <w:p>
            <w:pPr>
              <w:spacing w:line="600" w:lineRule="exact"/>
              <w:rPr>
                <w:rFonts w:ascii="仿宋" w:hAnsi="仿宋" w:eastAsia="仿宋"/>
                <w:sz w:val="28"/>
                <w:szCs w:val="28"/>
              </w:rPr>
            </w:pPr>
            <w:r>
              <w:rPr>
                <w:rFonts w:hint="eastAsia" w:ascii="仿宋" w:hAnsi="仿宋" w:eastAsia="仿宋" w:cs="仿宋_GB2312"/>
                <w:sz w:val="28"/>
                <w:szCs w:val="28"/>
              </w:rPr>
              <w:t>《××××××(送审稿)》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1546" w:type="dxa"/>
            <w:vAlign w:val="center"/>
          </w:tcPr>
          <w:p>
            <w:pPr>
              <w:spacing w:line="480" w:lineRule="exact"/>
              <w:rPr>
                <w:rFonts w:ascii="仿宋" w:hAnsi="仿宋" w:eastAsia="仿宋"/>
                <w:sz w:val="32"/>
                <w:szCs w:val="32"/>
              </w:rPr>
            </w:pPr>
            <w:r>
              <w:rPr>
                <w:rFonts w:hint="eastAsia" w:ascii="仿宋" w:hAnsi="仿宋" w:eastAsia="仿宋" w:cs="黑体"/>
                <w:sz w:val="32"/>
                <w:szCs w:val="32"/>
              </w:rPr>
              <w:t>送审说明</w:t>
            </w:r>
          </w:p>
        </w:tc>
        <w:tc>
          <w:tcPr>
            <w:tcW w:w="7040" w:type="dxa"/>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30"/>
                <w:szCs w:val="30"/>
              </w:rPr>
            </w:pPr>
            <w:r>
              <w:rPr>
                <w:rFonts w:hint="eastAsia" w:ascii="仿宋" w:hAnsi="仿宋" w:eastAsia="仿宋" w:cs="仿宋_GB2312"/>
                <w:sz w:val="28"/>
                <w:szCs w:val="28"/>
              </w:rPr>
              <w:t>我单位起草的《××××××(送审稿)》，已经按照《市政府合作协议合法性审查办法》的规定，履行了核实情况、评估论证、征求意见、内部法制审核等程序，于×年×月×日经我单位集体研究讨论通过，拟提请市政府于×年×月×日签署。现将该《××××××(送审稿)》及相关材料送上，请予以合法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1546" w:type="dxa"/>
            <w:vAlign w:val="center"/>
          </w:tcPr>
          <w:p>
            <w:pPr>
              <w:spacing w:line="400" w:lineRule="exact"/>
              <w:rPr>
                <w:rFonts w:ascii="仿宋" w:hAnsi="仿宋" w:eastAsia="仿宋"/>
                <w:sz w:val="32"/>
                <w:szCs w:val="32"/>
              </w:rPr>
            </w:pPr>
            <w:r>
              <w:rPr>
                <w:rFonts w:hint="eastAsia" w:ascii="仿宋" w:hAnsi="仿宋" w:eastAsia="仿宋" w:cs="黑体"/>
                <w:sz w:val="32"/>
                <w:szCs w:val="32"/>
              </w:rPr>
              <w:t>送审材料目    录</w:t>
            </w:r>
          </w:p>
        </w:tc>
        <w:tc>
          <w:tcPr>
            <w:tcW w:w="7040" w:type="dxa"/>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1.《××××××(送审稿)》；</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2.拟定依据、批准文件等;</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3.起草说明；</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4.征求意见、部门会签、评估论证、公平竞争审查等情况的书面材料；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5.内部法制审核意见；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6.部门集体审议会议纪要（记录）；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_GB2312"/>
                <w:sz w:val="30"/>
                <w:szCs w:val="30"/>
              </w:rPr>
            </w:pPr>
            <w:r>
              <w:rPr>
                <w:rFonts w:hint="default" w:ascii="Times New Roman" w:hAnsi="Times New Roman" w:eastAsia="仿宋" w:cs="Times New Roman"/>
                <w:sz w:val="28"/>
                <w:szCs w:val="28"/>
              </w:rPr>
              <w:t>7.合法性审查需要的其</w:t>
            </w:r>
            <w:r>
              <w:rPr>
                <w:rFonts w:hint="eastAsia" w:ascii="仿宋" w:hAnsi="仿宋" w:eastAsia="仿宋" w:cs="仿宋_GB2312"/>
                <w:sz w:val="28"/>
                <w:szCs w:val="28"/>
              </w:rPr>
              <w:t>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0" w:hRule="atLeast"/>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黑体"/>
                <w:sz w:val="32"/>
                <w:szCs w:val="32"/>
              </w:rPr>
            </w:pPr>
            <w:r>
              <w:rPr>
                <w:rFonts w:hint="eastAsia" w:ascii="仿宋" w:hAnsi="仿宋" w:eastAsia="仿宋" w:cs="黑体"/>
                <w:sz w:val="32"/>
                <w:szCs w:val="32"/>
              </w:rPr>
              <w:t>承办部门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黑体"/>
                <w:sz w:val="32"/>
                <w:szCs w:val="32"/>
              </w:rPr>
            </w:pPr>
            <w:r>
              <w:rPr>
                <w:rFonts w:hint="eastAsia" w:ascii="仿宋" w:hAnsi="仿宋" w:eastAsia="仿宋" w:cs="黑体"/>
                <w:sz w:val="32"/>
                <w:szCs w:val="32"/>
              </w:rPr>
              <w:t>主要负责人签字、盖    章</w:t>
            </w:r>
          </w:p>
        </w:tc>
        <w:tc>
          <w:tcPr>
            <w:tcW w:w="7040" w:type="dxa"/>
          </w:tcPr>
          <w:p>
            <w:pPr>
              <w:spacing w:line="600" w:lineRule="exact"/>
              <w:ind w:firstLine="280" w:firstLineChars="100"/>
              <w:rPr>
                <w:rFonts w:ascii="仿宋" w:hAnsi="仿宋" w:eastAsia="仿宋" w:cs="仿宋_GB2312"/>
                <w:sz w:val="28"/>
                <w:szCs w:val="28"/>
              </w:rPr>
            </w:pPr>
            <w:r>
              <w:rPr>
                <w:rFonts w:hint="eastAsia" w:ascii="仿宋" w:hAnsi="仿宋" w:eastAsia="仿宋" w:cs="仿宋_GB2312"/>
                <w:sz w:val="28"/>
                <w:szCs w:val="28"/>
              </w:rPr>
              <w:t>主要负责人：（签字）</w:t>
            </w:r>
          </w:p>
          <w:p>
            <w:pPr>
              <w:spacing w:line="600" w:lineRule="exact"/>
              <w:ind w:firstLine="3640" w:firstLineChars="1300"/>
              <w:rPr>
                <w:rFonts w:ascii="仿宋" w:hAnsi="仿宋" w:eastAsia="仿宋" w:cs="仿宋_GB2312"/>
                <w:sz w:val="28"/>
                <w:szCs w:val="28"/>
              </w:rPr>
            </w:pPr>
            <w:r>
              <w:rPr>
                <w:rFonts w:hint="eastAsia" w:ascii="仿宋" w:hAnsi="仿宋" w:eastAsia="仿宋" w:cs="仿宋_GB2312"/>
                <w:sz w:val="28"/>
                <w:szCs w:val="28"/>
              </w:rPr>
              <w:t>承办部门名称（公章）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46" w:type="dxa"/>
            <w:vAlign w:val="center"/>
          </w:tcPr>
          <w:p>
            <w:pPr>
              <w:spacing w:line="400" w:lineRule="exact"/>
              <w:rPr>
                <w:rFonts w:ascii="仿宋" w:hAnsi="仿宋" w:eastAsia="仿宋" w:cs="黑体"/>
                <w:sz w:val="32"/>
                <w:szCs w:val="32"/>
              </w:rPr>
            </w:pPr>
            <w:r>
              <w:rPr>
                <w:rFonts w:hint="eastAsia" w:ascii="仿宋" w:hAnsi="仿宋" w:eastAsia="仿宋" w:cs="黑体"/>
                <w:sz w:val="32"/>
                <w:szCs w:val="32"/>
              </w:rPr>
              <w:t>联系人及联系电话</w:t>
            </w:r>
          </w:p>
        </w:tc>
        <w:tc>
          <w:tcPr>
            <w:tcW w:w="7040" w:type="dxa"/>
          </w:tcPr>
          <w:p>
            <w:pPr>
              <w:spacing w:line="600" w:lineRule="exact"/>
              <w:rPr>
                <w:rFonts w:ascii="仿宋" w:hAnsi="仿宋" w:eastAsia="仿宋"/>
                <w:sz w:val="30"/>
                <w:szCs w:val="30"/>
              </w:rPr>
            </w:pPr>
          </w:p>
        </w:tc>
      </w:tr>
    </w:tbl>
    <w:tbl>
      <w:tblPr>
        <w:tblStyle w:val="8"/>
        <w:tblpPr w:vertAnchor="page" w:horzAnchor="page" w:tblpX="1548" w:tblpY="14240"/>
        <w:tblW w:w="0" w:type="auto"/>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89"/>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889" w:type="dxa"/>
            <w:noWrap w:val="0"/>
            <w:vAlign w:val="center"/>
          </w:tcPr>
          <w:p>
            <w:pPr>
              <w:keepNext w:val="0"/>
              <w:keepLines w:val="0"/>
              <w:pageBreakBefore w:val="0"/>
              <w:widowControl w:val="0"/>
              <w:tabs>
                <w:tab w:val="left" w:pos="1291"/>
              </w:tabs>
              <w:kinsoku/>
              <w:wordWrap/>
              <w:overflowPunct/>
              <w:topLinePunct w:val="0"/>
              <w:autoSpaceDE/>
              <w:autoSpaceDN/>
              <w:bidi w:val="0"/>
              <w:adjustRightInd/>
              <w:snapToGrid/>
              <w:spacing w:line="400" w:lineRule="exact"/>
              <w:ind w:firstLine="280" w:firstLineChars="100"/>
              <w:jc w:val="both"/>
              <w:textAlignment w:val="bottom"/>
              <w:rPr>
                <w:rFonts w:hint="default" w:ascii="Times New Roman" w:hAnsi="Times New Roman" w:eastAsia="仿宋_GB2312" w:cs="Times New Roman"/>
                <w:b w:val="0"/>
                <w:bCs w:val="0"/>
                <w:i w:val="0"/>
                <w:strike w:val="0"/>
                <w:color w:val="auto"/>
                <w:spacing w:val="0"/>
                <w:w w:val="100"/>
                <w:sz w:val="28"/>
              </w:rPr>
            </w:pPr>
            <w:r>
              <w:rPr>
                <w:rFonts w:hint="default" w:ascii="Times New Roman" w:hAnsi="Times New Roman" w:eastAsia="仿宋_GB2312" w:cs="Times New Roman"/>
                <w:b w:val="0"/>
                <w:bCs w:val="0"/>
                <w:i w:val="0"/>
                <w:strike w:val="0"/>
                <w:color w:val="auto"/>
                <w:spacing w:val="0"/>
                <w:w w:val="100"/>
                <w:sz w:val="28"/>
              </w:rPr>
              <w:t xml:space="preserve">焦作市人民政府办公室    </w:t>
            </w:r>
            <w:r>
              <w:rPr>
                <w:rFonts w:hint="eastAsia" w:ascii="Times New Roman" w:hAnsi="Times New Roman" w:eastAsia="仿宋_GB2312" w:cs="Times New Roman"/>
                <w:b w:val="0"/>
                <w:bCs w:val="0"/>
                <w:i w:val="0"/>
                <w:strike w:val="0"/>
                <w:color w:val="auto"/>
                <w:spacing w:val="0"/>
                <w:w w:val="100"/>
                <w:sz w:val="28"/>
                <w:lang w:val="en-US" w:eastAsia="zh-CN"/>
              </w:rPr>
              <w:t xml:space="preserve"> </w:t>
            </w:r>
            <w:r>
              <w:rPr>
                <w:rFonts w:hint="default" w:ascii="Times New Roman" w:hAnsi="Times New Roman" w:eastAsia="仿宋_GB2312" w:cs="Times New Roman"/>
                <w:b w:val="0"/>
                <w:bCs w:val="0"/>
                <w:i w:val="0"/>
                <w:strike w:val="0"/>
                <w:color w:val="auto"/>
                <w:spacing w:val="0"/>
                <w:w w:val="100"/>
                <w:sz w:val="28"/>
              </w:rPr>
              <w:t xml:space="preserve"> </w:t>
            </w:r>
            <w:r>
              <w:rPr>
                <w:rFonts w:hint="eastAsia" w:ascii="Times New Roman" w:hAnsi="Times New Roman" w:eastAsia="仿宋_GB2312" w:cs="Times New Roman"/>
                <w:b w:val="0"/>
                <w:bCs w:val="0"/>
                <w:i w:val="0"/>
                <w:strike w:val="0"/>
                <w:color w:val="auto"/>
                <w:spacing w:val="0"/>
                <w:w w:val="100"/>
                <w:sz w:val="28"/>
                <w:lang w:val="en-US" w:eastAsia="zh-CN"/>
              </w:rPr>
              <w:t xml:space="preserve">   </w:t>
            </w:r>
            <w:r>
              <w:rPr>
                <w:rFonts w:hint="default" w:ascii="Times New Roman" w:hAnsi="Times New Roman" w:eastAsia="仿宋_GB2312" w:cs="Times New Roman"/>
                <w:b w:val="0"/>
                <w:bCs w:val="0"/>
                <w:i w:val="0"/>
                <w:strike w:val="0"/>
                <w:color w:val="auto"/>
                <w:spacing w:val="0"/>
                <w:w w:val="100"/>
                <w:sz w:val="28"/>
              </w:rPr>
              <w:t xml:space="preserve">        </w:t>
            </w:r>
            <w:r>
              <w:rPr>
                <w:rFonts w:hint="default" w:ascii="Times New Roman" w:hAnsi="Times New Roman" w:eastAsia="仿宋_GB2312" w:cs="Times New Roman"/>
                <w:b w:val="0"/>
                <w:bCs w:val="0"/>
                <w:i w:val="0"/>
                <w:strike w:val="0"/>
                <w:color w:val="auto"/>
                <w:spacing w:val="0"/>
                <w:w w:val="100"/>
                <w:sz w:val="28"/>
                <w:lang w:val="en-US" w:eastAsia="zh-CN"/>
              </w:rPr>
              <w:t xml:space="preserve"> </w:t>
            </w:r>
            <w:r>
              <w:rPr>
                <w:rFonts w:hint="default" w:ascii="Times New Roman" w:hAnsi="Times New Roman" w:eastAsia="仿宋_GB2312" w:cs="Times New Roman"/>
                <w:b w:val="0"/>
                <w:bCs w:val="0"/>
                <w:i w:val="0"/>
                <w:strike w:val="0"/>
                <w:color w:val="auto"/>
                <w:spacing w:val="0"/>
                <w:w w:val="100"/>
                <w:sz w:val="28"/>
              </w:rPr>
              <w:t xml:space="preserve"> 20</w:t>
            </w:r>
            <w:r>
              <w:rPr>
                <w:rFonts w:hint="default" w:ascii="Times New Roman" w:hAnsi="Times New Roman" w:eastAsia="仿宋_GB2312" w:cs="Times New Roman"/>
                <w:b w:val="0"/>
                <w:bCs w:val="0"/>
                <w:i w:val="0"/>
                <w:strike w:val="0"/>
                <w:color w:val="auto"/>
                <w:spacing w:val="0"/>
                <w:w w:val="100"/>
                <w:sz w:val="28"/>
                <w:lang w:val="en-US" w:eastAsia="zh-CN"/>
              </w:rPr>
              <w:t>2</w:t>
            </w:r>
            <w:r>
              <w:rPr>
                <w:rFonts w:hint="eastAsia" w:eastAsia="仿宋_GB2312" w:cs="Times New Roman"/>
                <w:b w:val="0"/>
                <w:bCs w:val="0"/>
                <w:i w:val="0"/>
                <w:strike w:val="0"/>
                <w:color w:val="auto"/>
                <w:spacing w:val="0"/>
                <w:w w:val="100"/>
                <w:sz w:val="28"/>
                <w:lang w:val="en-US" w:eastAsia="zh-CN"/>
              </w:rPr>
              <w:t>1</w:t>
            </w:r>
            <w:r>
              <w:rPr>
                <w:rFonts w:hint="default" w:ascii="Times New Roman" w:hAnsi="Times New Roman" w:eastAsia="仿宋_GB2312" w:cs="Times New Roman"/>
                <w:b w:val="0"/>
                <w:bCs w:val="0"/>
                <w:i w:val="0"/>
                <w:strike w:val="0"/>
                <w:color w:val="auto"/>
                <w:spacing w:val="0"/>
                <w:w w:val="100"/>
                <w:sz w:val="28"/>
              </w:rPr>
              <w:t>年</w:t>
            </w:r>
            <w:r>
              <w:rPr>
                <w:rFonts w:hint="eastAsia" w:ascii="Times New Roman" w:hAnsi="Times New Roman" w:eastAsia="仿宋_GB2312" w:cs="Times New Roman"/>
                <w:b w:val="0"/>
                <w:bCs w:val="0"/>
                <w:i w:val="0"/>
                <w:strike w:val="0"/>
                <w:color w:val="auto"/>
                <w:spacing w:val="0"/>
                <w:w w:val="100"/>
                <w:sz w:val="28"/>
                <w:lang w:val="en-US" w:eastAsia="zh-CN"/>
              </w:rPr>
              <w:t>10</w:t>
            </w:r>
            <w:r>
              <w:rPr>
                <w:rFonts w:hint="default" w:ascii="Times New Roman" w:hAnsi="Times New Roman" w:eastAsia="仿宋_GB2312" w:cs="Times New Roman"/>
                <w:b w:val="0"/>
                <w:bCs w:val="0"/>
                <w:i w:val="0"/>
                <w:strike w:val="0"/>
                <w:color w:val="auto"/>
                <w:spacing w:val="0"/>
                <w:w w:val="100"/>
                <w:sz w:val="28"/>
              </w:rPr>
              <w:t>月</w:t>
            </w:r>
            <w:r>
              <w:rPr>
                <w:rFonts w:hint="eastAsia" w:ascii="Times New Roman" w:hAnsi="Times New Roman" w:eastAsia="仿宋_GB2312" w:cs="Times New Roman"/>
                <w:b w:val="0"/>
                <w:bCs w:val="0"/>
                <w:i w:val="0"/>
                <w:strike w:val="0"/>
                <w:color w:val="auto"/>
                <w:spacing w:val="0"/>
                <w:w w:val="100"/>
                <w:sz w:val="28"/>
                <w:lang w:val="en-US" w:eastAsia="zh-CN"/>
              </w:rPr>
              <w:t>23</w:t>
            </w:r>
            <w:r>
              <w:rPr>
                <w:rFonts w:hint="default" w:ascii="Times New Roman" w:hAnsi="Times New Roman" w:eastAsia="仿宋_GB2312" w:cs="Times New Roman"/>
                <w:b w:val="0"/>
                <w:bCs w:val="0"/>
                <w:i w:val="0"/>
                <w:strike w:val="0"/>
                <w:color w:val="auto"/>
                <w:spacing w:val="0"/>
                <w:w w:val="100"/>
                <w:sz w:val="28"/>
              </w:rPr>
              <w:t>日印发</w:t>
            </w:r>
          </w:p>
        </w:tc>
      </w:tr>
    </w:tbl>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kern w:val="0"/>
          <w:sz w:val="44"/>
          <w:szCs w:val="44"/>
        </w:rPr>
        <w:sectPr>
          <w:headerReference r:id="rId3" w:type="default"/>
          <w:footerReference r:id="rId5" w:type="default"/>
          <w:headerReference r:id="rId4" w:type="even"/>
          <w:footerReference r:id="rId6" w:type="even"/>
          <w:pgSz w:w="11906" w:h="16838"/>
          <w:pgMar w:top="2098" w:right="1474" w:bottom="1985" w:left="1588" w:header="851" w:footer="992" w:gutter="0"/>
          <w:pgNumType w:fmt="decimal"/>
          <w:cols w:space="425" w:num="1"/>
          <w:docGrid w:type="lines" w:linePitch="312" w:charSpace="0"/>
        </w:sectPr>
      </w:pPr>
      <w:r>
        <w:rPr>
          <w:rFonts w:hint="eastAsia" w:ascii="仿宋" w:hAnsi="仿宋" w:eastAsia="仿宋" w:cs="仿宋_GB2312"/>
          <w:sz w:val="32"/>
          <w:szCs w:val="32"/>
          <w:lang w:eastAsia="zh-CN"/>
        </w:rPr>
        <w:drawing>
          <wp:anchor distT="0" distB="0" distL="114300" distR="114300" simplePos="0" relativeHeight="251659264" behindDoc="0" locked="0" layoutInCell="1" allowOverlap="1">
            <wp:simplePos x="0" y="0"/>
            <wp:positionH relativeFrom="column">
              <wp:posOffset>3623945</wp:posOffset>
            </wp:positionH>
            <wp:positionV relativeFrom="paragraph">
              <wp:posOffset>6452235</wp:posOffset>
            </wp:positionV>
            <wp:extent cx="1790700" cy="476250"/>
            <wp:effectExtent l="0" t="0" r="0" b="0"/>
            <wp:wrapNone/>
            <wp:docPr id="3" name="图片 3" descr="焦政〔2021〕19号"/>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焦政〔2021〕19号"/>
                    <pic:cNvPicPr>
                      <a:picLocks noChangeAspect="true"/>
                    </pic:cNvPicPr>
                  </pic:nvPicPr>
                  <pic:blipFill>
                    <a:blip r:embed="rId12"/>
                    <a:stretch>
                      <a:fillRect/>
                    </a:stretch>
                  </pic:blipFill>
                  <pic:spPr>
                    <a:xfrm>
                      <a:off x="0" y="0"/>
                      <a:ext cx="1790700" cy="476250"/>
                    </a:xfrm>
                    <a:prstGeom prst="rect">
                      <a:avLst/>
                    </a:prstGeom>
                  </pic:spPr>
                </pic:pic>
              </a:graphicData>
            </a:graphic>
          </wp:anchor>
        </w:drawing>
      </w:r>
    </w:p>
    <w:p>
      <w:pPr>
        <w:pStyle w:val="11"/>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宋体" w:eastAsia="方正小标宋简体" w:cs="宋体"/>
          <w:kern w:val="0"/>
          <w:sz w:val="44"/>
          <w:szCs w:val="44"/>
          <w:lang w:eastAsia="zh-CN"/>
        </w:rPr>
      </w:pPr>
    </w:p>
    <w:sectPr>
      <w:headerReference r:id="rId7" w:type="default"/>
      <w:footerReference r:id="rId9" w:type="default"/>
      <w:headerReference r:id="rId8" w:type="even"/>
      <w:footerReference r:id="rId10" w:type="even"/>
      <w:pgSz w:w="11906" w:h="16838"/>
      <w:pgMar w:top="2098" w:right="1474" w:bottom="1985" w:left="1588" w:header="851" w:footer="992" w:gutter="0"/>
      <w:pgNumType w:fmt="decimal"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4772025</wp:posOffset>
              </wp:positionH>
              <wp:positionV relativeFrom="paragraph">
                <wp:posOffset>-352425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left:375.75pt;margin-top:-27.75pt;height:144pt;width:144pt;mso-position-horizontal-relative:margin;mso-wrap-style:none;z-index:251660288;mso-width-relative:page;mso-height-relative:page;" filled="f" stroked="f" coordsize="21600,21600" o:gfxdata="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Ovi3MjX&#10;AAAADAEAAA8AAAAAAAAAAQAgAAAAOAAAAGRycy9kb3ducmV2LnhtbFBLAQIUABQAAAAIAIdO4kD2&#10;88Eu0gEAAIQDAAAOAAAAAAAAAAEAIAAAADwBAABkcnMvZTJvRG9jLnhtbFBLBQYAAAAABgAGAFkB&#10;AACABQAAAAA=&#10;">
              <v:fill on="f" focussize="0,0"/>
              <v:stroke on="f"/>
              <v:imagedata o:title=""/>
              <o:lock v:ext="edit" aspectratio="f"/>
              <v:textbox inset="0mm,0mm,0mm,0mm" style="mso-fit-shape-to-text:t;">
                <w:txbxContent>
                  <w:p>
                    <w:pPr>
                      <w:pStyle w:val="5"/>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posOffset>247650</wp:posOffset>
              </wp:positionH>
              <wp:positionV relativeFrom="paragraph">
                <wp:posOffset>-361950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9.5pt;margin-top:-28.5pt;height:144pt;width:144pt;mso-position-horizontal-relative:margin;mso-wrap-style:none;z-index:251661312;mso-width-relative:page;mso-height-relative:page;" filled="f" stroked="f" coordsize="21600,21600" o:gfxdata="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CvvMQ3WAAAACgEAAA8AAAAAAAAAAQAgAAAAOAAAAGRycy9kb3ducmV2LnhtbFBL&#10;AQIUABQAAAAIAIdO4kA8FiLyGwIAACkEAAAOAAAAAAAAAAEAIAAAADsBAABkcnMvZTJvRG9jLnht&#10;bFBLBQYAAAAABgAGAFkBAADI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214"/>
    <w:rsid w:val="000D6D55"/>
    <w:rsid w:val="001E367A"/>
    <w:rsid w:val="0022205D"/>
    <w:rsid w:val="002C2D8D"/>
    <w:rsid w:val="002D61B5"/>
    <w:rsid w:val="003F7A39"/>
    <w:rsid w:val="005E5314"/>
    <w:rsid w:val="006041DC"/>
    <w:rsid w:val="0077573B"/>
    <w:rsid w:val="007D029A"/>
    <w:rsid w:val="00815214"/>
    <w:rsid w:val="00823401"/>
    <w:rsid w:val="009B0862"/>
    <w:rsid w:val="009B7BAF"/>
    <w:rsid w:val="009D69E0"/>
    <w:rsid w:val="009E39C0"/>
    <w:rsid w:val="00A50B56"/>
    <w:rsid w:val="00A530E3"/>
    <w:rsid w:val="00AC68CC"/>
    <w:rsid w:val="00B45A2C"/>
    <w:rsid w:val="00B549F5"/>
    <w:rsid w:val="00B55AB2"/>
    <w:rsid w:val="00B93BF2"/>
    <w:rsid w:val="00BB697B"/>
    <w:rsid w:val="00BF3B14"/>
    <w:rsid w:val="00CD1388"/>
    <w:rsid w:val="00D26AEF"/>
    <w:rsid w:val="00D52127"/>
    <w:rsid w:val="00E421F5"/>
    <w:rsid w:val="00E55120"/>
    <w:rsid w:val="00E96D97"/>
    <w:rsid w:val="00FD2C25"/>
    <w:rsid w:val="06A81364"/>
    <w:rsid w:val="08953625"/>
    <w:rsid w:val="0B2E2050"/>
    <w:rsid w:val="0DF6338D"/>
    <w:rsid w:val="1109371E"/>
    <w:rsid w:val="11E96168"/>
    <w:rsid w:val="19CD6D2C"/>
    <w:rsid w:val="1B4669B6"/>
    <w:rsid w:val="1E653179"/>
    <w:rsid w:val="20340108"/>
    <w:rsid w:val="220B7C1E"/>
    <w:rsid w:val="251F5FA0"/>
    <w:rsid w:val="28385D9F"/>
    <w:rsid w:val="29AF3C1B"/>
    <w:rsid w:val="3633354C"/>
    <w:rsid w:val="3EDF79E0"/>
    <w:rsid w:val="436313B8"/>
    <w:rsid w:val="4F3F36CC"/>
    <w:rsid w:val="55C9017D"/>
    <w:rsid w:val="55DD7574"/>
    <w:rsid w:val="56466D10"/>
    <w:rsid w:val="567C7619"/>
    <w:rsid w:val="57B75CC3"/>
    <w:rsid w:val="581D27A4"/>
    <w:rsid w:val="5AAC2250"/>
    <w:rsid w:val="5D1E38F0"/>
    <w:rsid w:val="6312797D"/>
    <w:rsid w:val="6DBD3A3A"/>
    <w:rsid w:val="6E71288C"/>
    <w:rsid w:val="716A679A"/>
    <w:rsid w:val="749305E5"/>
    <w:rsid w:val="75FF7385"/>
    <w:rsid w:val="78AA526A"/>
    <w:rsid w:val="79AFE9A6"/>
    <w:rsid w:val="F3C64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pPr>
    <w:rPr>
      <w:rFonts w:ascii="Times New Roman" w:eastAsia="宋体"/>
      <w:sz w:val="24"/>
      <w:szCs w:val="24"/>
    </w:rPr>
  </w:style>
  <w:style w:type="paragraph" w:styleId="3">
    <w:name w:val="Body Text Indent"/>
    <w:basedOn w:val="1"/>
    <w:semiHidden/>
    <w:unhideWhenUsed/>
    <w:qFormat/>
    <w:uiPriority w:val="99"/>
    <w:pPr>
      <w:spacing w:line="560" w:lineRule="exact"/>
      <w:ind w:firstLine="600" w:firstLineChars="200"/>
    </w:pPr>
    <w:rPr>
      <w:rFonts w:ascii="仿宋_GB2312" w:eastAsia="仿宋_GB2312"/>
      <w:sz w:val="30"/>
      <w:szCs w:val="30"/>
    </w:rPr>
  </w:style>
  <w:style w:type="paragraph" w:styleId="4">
    <w:name w:val="Date"/>
    <w:basedOn w:val="1"/>
    <w:next w:val="1"/>
    <w:link w:val="14"/>
    <w:semiHidden/>
    <w:unhideWhenUsed/>
    <w:qFormat/>
    <w:uiPriority w:val="99"/>
    <w:pPr>
      <w:ind w:left="100" w:leftChars="2500"/>
    </w:p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character" w:styleId="10">
    <w:name w:val="Strong"/>
    <w:basedOn w:val="9"/>
    <w:qFormat/>
    <w:uiPriority w:val="0"/>
    <w:rPr>
      <w:b/>
    </w:rPr>
  </w:style>
  <w:style w:type="paragraph" w:customStyle="1" w:styleId="11">
    <w:name w:val="正文首缩两字 Char"/>
    <w:basedOn w:val="1"/>
    <w:qFormat/>
    <w:uiPriority w:val="0"/>
    <w:rPr>
      <w:rFonts w:ascii="Verdana" w:hAnsi="Verdana"/>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日期 Char"/>
    <w:basedOn w:val="9"/>
    <w:link w:val="4"/>
    <w:semiHidden/>
    <w:qFormat/>
    <w:uiPriority w:val="99"/>
  </w:style>
  <w:style w:type="paragraph" w:customStyle="1" w:styleId="15">
    <w:name w:val="p0"/>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540</Words>
  <Characters>3081</Characters>
  <Lines>25</Lines>
  <Paragraphs>7</Paragraphs>
  <TotalTime>26</TotalTime>
  <ScaleCrop>false</ScaleCrop>
  <LinksUpToDate>false</LinksUpToDate>
  <CharactersWithSpaces>3614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2021-09-15T09:02:00Z</dcterms:created>
  <dc:creator>Sky123.Org</dc:creator>
  <cp:lastModifiedBy>jzsfj</cp:lastModifiedBy>
  <cp:lastPrinted>2021-10-18T11:07:00Z</cp:lastPrinted>
  <dcterms:modified xsi:type="dcterms:W3CDTF">2025-01-06T15:57:58Z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C2ADFFD218894E268D1A7CAB8B9D576B</vt:lpwstr>
  </property>
</Properties>
</file>