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检查频次上限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9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行政检查事项名称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频次上限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单用途商业预付卡发卡监督检查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对报废机动车回收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企业的监督检查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对依法取得从事拍卖业务许可的企业的监督管理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对实施备案的二手车交易市场经营者、二手车经营主体的监督管理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对外国投资者、外商投资企业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履行信息报告义务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监督检查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对取得对外劳务合作经营资格企业的监督检查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对成品油零售经营企业的行政检查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对汽车销售及其相关服务活动的监督检查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DEAC4"/>
    <w:rsid w:val="5AFFC97C"/>
    <w:rsid w:val="73BDF620"/>
    <w:rsid w:val="BFFA068D"/>
    <w:rsid w:val="F5FB6143"/>
    <w:rsid w:val="FE79CC92"/>
    <w:rsid w:val="FEDDEAC4"/>
    <w:rsid w:val="FFFCF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2025-06-19T01:57:00Z</dcterms:created>
  <dc:creator>马雯慧</dc:creator>
  <cp:lastModifiedBy>马雯慧</cp:lastModifiedBy>
  <dcterms:modified xsi:type="dcterms:W3CDTF">2025-06-19T09:00:27Z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